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A75B7" w14:textId="05A0096F" w:rsidR="00646776" w:rsidRDefault="00646776" w:rsidP="00C37997">
      <w:pPr>
        <w:jc w:val="center"/>
        <w:rPr>
          <w:rFonts w:cs="Times New Roman"/>
          <w:b/>
          <w:sz w:val="32"/>
          <w:szCs w:val="28"/>
        </w:rPr>
      </w:pPr>
      <w:r w:rsidRPr="00863BE7">
        <w:rPr>
          <w:rFonts w:cs="Times New Roman"/>
          <w:b/>
          <w:sz w:val="32"/>
          <w:szCs w:val="28"/>
        </w:rPr>
        <w:t>The effect of flow stratification on ship performance: a numerical study</w:t>
      </w:r>
    </w:p>
    <w:p w14:paraId="1CEB7AB5" w14:textId="77777777" w:rsidR="00D8014E" w:rsidRPr="00863BE7" w:rsidRDefault="00D8014E" w:rsidP="00C37997">
      <w:pPr>
        <w:jc w:val="center"/>
        <w:rPr>
          <w:rFonts w:cs="Times New Roman"/>
          <w:b/>
          <w:sz w:val="32"/>
          <w:szCs w:val="28"/>
        </w:rPr>
      </w:pPr>
    </w:p>
    <w:p w14:paraId="38909F70" w14:textId="3C758415" w:rsidR="00863BE7" w:rsidRDefault="00863BE7" w:rsidP="00863BE7">
      <w:pPr>
        <w:jc w:val="center"/>
        <w:rPr>
          <w:rFonts w:cs="Times New Roman"/>
          <w:szCs w:val="24"/>
          <w:vertAlign w:val="superscript"/>
        </w:rPr>
      </w:pPr>
      <w:r>
        <w:rPr>
          <w:rFonts w:cs="Times New Roman"/>
          <w:szCs w:val="24"/>
        </w:rPr>
        <w:t>Patrick Reid</w:t>
      </w:r>
      <w:r>
        <w:rPr>
          <w:rFonts w:cs="Times New Roman"/>
          <w:szCs w:val="24"/>
          <w:vertAlign w:val="superscript"/>
        </w:rPr>
        <w:t>1</w:t>
      </w:r>
      <w:r>
        <w:rPr>
          <w:rFonts w:cs="Times New Roman"/>
          <w:szCs w:val="24"/>
        </w:rPr>
        <w:t>, Momchil Terziev</w:t>
      </w:r>
      <w:r w:rsidR="00922706">
        <w:rPr>
          <w:rFonts w:cs="Times New Roman"/>
          <w:szCs w:val="24"/>
          <w:vertAlign w:val="superscript"/>
        </w:rPr>
        <w:t>1</w:t>
      </w:r>
      <w:r w:rsidR="00B96AC0">
        <w:rPr>
          <w:rFonts w:cs="Times New Roman"/>
          <w:szCs w:val="24"/>
          <w:vertAlign w:val="superscript"/>
        </w:rPr>
        <w:t>*</w:t>
      </w:r>
      <w:r>
        <w:rPr>
          <w:rFonts w:cs="Times New Roman"/>
          <w:szCs w:val="24"/>
        </w:rPr>
        <w:t>, Tahsin Tezdogan</w:t>
      </w:r>
      <w:r w:rsidR="00922706">
        <w:rPr>
          <w:rFonts w:cs="Times New Roman"/>
          <w:szCs w:val="24"/>
          <w:vertAlign w:val="superscript"/>
        </w:rPr>
        <w:t>2</w:t>
      </w:r>
      <w:r>
        <w:rPr>
          <w:rFonts w:cs="Times New Roman"/>
          <w:szCs w:val="24"/>
        </w:rPr>
        <w:t>, Atilla Incecik</w:t>
      </w:r>
      <w:r w:rsidR="00922706">
        <w:rPr>
          <w:rFonts w:cs="Times New Roman"/>
          <w:szCs w:val="24"/>
          <w:vertAlign w:val="superscript"/>
        </w:rPr>
        <w:t>1</w:t>
      </w:r>
    </w:p>
    <w:p w14:paraId="0E5BEC85" w14:textId="77777777" w:rsidR="00D8014E" w:rsidRPr="00BE7F19" w:rsidRDefault="00D8014E" w:rsidP="00863BE7">
      <w:pPr>
        <w:jc w:val="center"/>
        <w:rPr>
          <w:rFonts w:cs="Times New Roman"/>
          <w:szCs w:val="24"/>
        </w:rPr>
      </w:pPr>
    </w:p>
    <w:p w14:paraId="29CFAA01" w14:textId="77777777" w:rsidR="00863BE7" w:rsidRDefault="00863BE7" w:rsidP="00863BE7">
      <w:pPr>
        <w:rPr>
          <w:rFonts w:cs="Times New Roman"/>
          <w:i/>
          <w:szCs w:val="24"/>
        </w:rPr>
      </w:pPr>
      <w:r>
        <w:rPr>
          <w:rFonts w:cs="Times New Roman"/>
          <w:i/>
          <w:szCs w:val="24"/>
          <w:vertAlign w:val="superscript"/>
        </w:rPr>
        <w:t>1</w:t>
      </w:r>
      <w:r>
        <w:rPr>
          <w:rFonts w:cs="Times New Roman"/>
          <w:i/>
          <w:szCs w:val="24"/>
        </w:rPr>
        <w:t>Department of Naval Architecture, Ocean and Marine Engineering, Henry Dyer Building, University of Strathclyde, 100 Montrose Street, Glasgow G4 0LZ, UK.</w:t>
      </w:r>
    </w:p>
    <w:p w14:paraId="1EB9A342" w14:textId="3FC9DD29" w:rsidR="00863BE7" w:rsidRDefault="00863BE7" w:rsidP="00863BE7">
      <w:pPr>
        <w:rPr>
          <w:rFonts w:cs="Times New Roman"/>
          <w:i/>
          <w:szCs w:val="24"/>
        </w:rPr>
      </w:pPr>
      <w:r>
        <w:rPr>
          <w:rFonts w:cs="Times New Roman"/>
          <w:i/>
          <w:szCs w:val="24"/>
          <w:vertAlign w:val="superscript"/>
        </w:rPr>
        <w:t>2</w:t>
      </w:r>
      <w:r>
        <w:rPr>
          <w:rFonts w:cs="Times New Roman"/>
          <w:i/>
          <w:szCs w:val="24"/>
        </w:rPr>
        <w:t xml:space="preserve">University of </w:t>
      </w:r>
      <w:r w:rsidR="00922706">
        <w:rPr>
          <w:rFonts w:cs="Times New Roman"/>
          <w:i/>
          <w:szCs w:val="24"/>
        </w:rPr>
        <w:t>Southampton, Department of Civil, Maritime and Environmental Engineering</w:t>
      </w:r>
      <w:r>
        <w:rPr>
          <w:rFonts w:cs="Times New Roman"/>
          <w:i/>
          <w:szCs w:val="24"/>
        </w:rPr>
        <w:t>.</w:t>
      </w:r>
    </w:p>
    <w:p w14:paraId="1B4196DC" w14:textId="30D0D0E2" w:rsidR="00863BE7" w:rsidRDefault="00863BE7" w:rsidP="00863BE7">
      <w:pPr>
        <w:pStyle w:val="Footer"/>
      </w:pPr>
      <w:r>
        <w:rPr>
          <w:vertAlign w:val="superscript"/>
        </w:rPr>
        <w:t>*</w:t>
      </w:r>
      <w:r>
        <w:t xml:space="preserve">Corresponding author: </w:t>
      </w:r>
      <w:hyperlink r:id="rId11" w:history="1">
        <w:r w:rsidR="00B96AC0" w:rsidRPr="00DF0433">
          <w:rPr>
            <w:rStyle w:val="Hyperlink"/>
          </w:rPr>
          <w:t>momchil.terziev@strath.ac.uk</w:t>
        </w:r>
      </w:hyperlink>
      <w:r w:rsidR="00B96AC0">
        <w:t xml:space="preserve"> </w:t>
      </w:r>
    </w:p>
    <w:p w14:paraId="1546C797" w14:textId="77777777" w:rsidR="00C37997" w:rsidRDefault="00C37997" w:rsidP="00251307"/>
    <w:p w14:paraId="7E782780" w14:textId="54C7EFC9" w:rsidR="00B40774" w:rsidRDefault="00B40774" w:rsidP="00254D19">
      <w:pPr>
        <w:pStyle w:val="Heading1"/>
        <w:numPr>
          <w:ilvl w:val="0"/>
          <w:numId w:val="0"/>
        </w:numPr>
        <w:ind w:left="720" w:hanging="360"/>
      </w:pPr>
      <w:r>
        <w:t>Abstract</w:t>
      </w:r>
    </w:p>
    <w:p w14:paraId="193BCAF2" w14:textId="10B9D681" w:rsidR="00646776" w:rsidRDefault="00646776" w:rsidP="00B40774">
      <w:pPr>
        <w:jc w:val="both"/>
      </w:pPr>
      <w:r w:rsidRPr="00646776">
        <w:t>Under certain conditions a body of water can stratify into two distinct layers. If a layer of low-density water settles on top of higher density water, such as fresh water melting from a glacier and settling on top of colder seawater, a stable stratification can occur. A vessel advancing in such a stratified fluid can generate internal waves between these layers. The generation of internal waves requires energy and thus increases the resistance experienced by the vessel</w:t>
      </w:r>
      <w:r w:rsidR="006C6453">
        <w:t xml:space="preserve">, a </w:t>
      </w:r>
      <w:r w:rsidRPr="00646776">
        <w:t xml:space="preserve">phenomenon known as the dead water effect </w:t>
      </w:r>
      <w:r w:rsidR="006C6453">
        <w:t xml:space="preserve">which </w:t>
      </w:r>
      <w:r w:rsidRPr="00646776">
        <w:t xml:space="preserve">can result in a severe reduction in speed and loss of steering power. This </w:t>
      </w:r>
      <w:r w:rsidR="00522D3F">
        <w:t>study</w:t>
      </w:r>
      <w:r w:rsidR="00522D3F" w:rsidRPr="00646776">
        <w:t xml:space="preserve"> </w:t>
      </w:r>
      <w:r w:rsidRPr="00646776">
        <w:t xml:space="preserve">uses </w:t>
      </w:r>
      <w:r w:rsidR="006C6453">
        <w:t>C</w:t>
      </w:r>
      <w:r w:rsidRPr="00646776">
        <w:t xml:space="preserve">omputational </w:t>
      </w:r>
      <w:r w:rsidR="006C6453">
        <w:t>F</w:t>
      </w:r>
      <w:r w:rsidRPr="00646776">
        <w:t xml:space="preserve">luid </w:t>
      </w:r>
      <w:r w:rsidR="006C6453">
        <w:t>D</w:t>
      </w:r>
      <w:r w:rsidRPr="00646776">
        <w:t xml:space="preserve">ynamics </w:t>
      </w:r>
      <w:r w:rsidR="00522D3F">
        <w:t xml:space="preserve">(CFD) </w:t>
      </w:r>
      <w:r w:rsidRPr="00646776">
        <w:t xml:space="preserve">to investigate the increase in </w:t>
      </w:r>
      <w:r w:rsidR="00522D3F">
        <w:t xml:space="preserve">ship </w:t>
      </w:r>
      <w:r w:rsidRPr="00646776">
        <w:t>resistance caused by the dead water effect. The results show that the presence of a stratified flow can increase</w:t>
      </w:r>
      <w:r w:rsidR="00EA3EB9">
        <w:t xml:space="preserve"> total</w:t>
      </w:r>
      <w:r w:rsidRPr="00646776">
        <w:t xml:space="preserve"> resistance </w:t>
      </w:r>
      <w:r w:rsidR="00C1201B">
        <w:t>approximately sixfold in extreme conditions</w:t>
      </w:r>
      <w:r w:rsidRPr="00646776">
        <w:t>.</w:t>
      </w:r>
      <w:r w:rsidR="00C1201B">
        <w:t xml:space="preserve"> At standard operating conditions,</w:t>
      </w:r>
      <w:r w:rsidR="004934AB">
        <w:t xml:space="preserve"> total</w:t>
      </w:r>
      <w:r w:rsidR="00C1201B">
        <w:t xml:space="preserve"> resistance may increase by approximately 6% as a result of flow stratification.</w:t>
      </w:r>
    </w:p>
    <w:p w14:paraId="5488486B" w14:textId="74DA340E" w:rsidR="00A94A33" w:rsidRDefault="00A94A33" w:rsidP="00B40774">
      <w:pPr>
        <w:jc w:val="both"/>
        <w:rPr>
          <w:i/>
        </w:rPr>
      </w:pPr>
      <w:r w:rsidRPr="00A47C03">
        <w:rPr>
          <w:b/>
          <w:bCs/>
          <w:iCs/>
        </w:rPr>
        <w:t>Keywords</w:t>
      </w:r>
      <w:r w:rsidRPr="00A94A33">
        <w:rPr>
          <w:i/>
        </w:rPr>
        <w:t>:</w:t>
      </w:r>
      <w:r w:rsidR="00646776">
        <w:rPr>
          <w:i/>
        </w:rPr>
        <w:t xml:space="preserve"> </w:t>
      </w:r>
      <w:r w:rsidR="00B67A78">
        <w:rPr>
          <w:i/>
        </w:rPr>
        <w:t>U</w:t>
      </w:r>
      <w:r w:rsidR="00F75960">
        <w:rPr>
          <w:i/>
        </w:rPr>
        <w:t xml:space="preserve">RANS, </w:t>
      </w:r>
      <w:r w:rsidR="00646776">
        <w:rPr>
          <w:i/>
        </w:rPr>
        <w:t>dead water, flow stratification</w:t>
      </w:r>
      <w:r w:rsidR="00F75960">
        <w:rPr>
          <w:i/>
        </w:rPr>
        <w:t xml:space="preserve">, </w:t>
      </w:r>
      <w:r w:rsidR="002A4E3D">
        <w:rPr>
          <w:i/>
        </w:rPr>
        <w:t xml:space="preserve">ship </w:t>
      </w:r>
      <w:r w:rsidR="00F75960">
        <w:rPr>
          <w:i/>
        </w:rPr>
        <w:t>resistance</w:t>
      </w:r>
      <w:r w:rsidR="002A4E3D">
        <w:rPr>
          <w:i/>
        </w:rPr>
        <w:t>, CFD</w:t>
      </w:r>
    </w:p>
    <w:p w14:paraId="720BFD49" w14:textId="4CFD0F32" w:rsidR="00646776" w:rsidRDefault="00646776" w:rsidP="00646776">
      <w:pPr>
        <w:pStyle w:val="Heading1"/>
      </w:pPr>
      <w:r>
        <w:t>Introduction</w:t>
      </w:r>
    </w:p>
    <w:p w14:paraId="213C2483" w14:textId="5D0A2E30" w:rsidR="001F052A" w:rsidRDefault="006C6453" w:rsidP="00646776">
      <w:pPr>
        <w:jc w:val="both"/>
        <w:rPr>
          <w:rFonts w:eastAsiaTheme="minorEastAsia"/>
        </w:rPr>
      </w:pPr>
      <w:r>
        <w:t>When sailing in a calm ocean, ships produce a characteristic V-shaped wave pattern, emanating from the bow at the so-called Kelvin half</w:t>
      </w:r>
      <w:r w:rsidR="006A1DFA">
        <w:t>-</w:t>
      </w:r>
      <w:r>
        <w:t>angle of approximately 19.47</w:t>
      </w:r>
      <m:oMath>
        <m:r>
          <w:rPr>
            <w:rFonts w:ascii="Cambria Math" w:hAnsi="Cambria Math"/>
          </w:rPr>
          <m:t>°</m:t>
        </m:r>
      </m:oMath>
      <w:r>
        <w:rPr>
          <w:rFonts w:eastAsiaTheme="minorEastAsia"/>
        </w:rPr>
        <w:t xml:space="preserve">. </w:t>
      </w:r>
      <w:r w:rsidR="00BA0A33">
        <w:rPr>
          <w:rFonts w:eastAsiaTheme="minorEastAsia"/>
        </w:rPr>
        <w:t xml:space="preserve">That distinctive wave pattern is only produced </w:t>
      </w:r>
      <w:r w:rsidR="001F052A">
        <w:rPr>
          <w:rFonts w:eastAsiaTheme="minorEastAsia"/>
        </w:rPr>
        <w:t xml:space="preserve">on a calm ocean; the presence of waves or currents modify the apparent wake considerably </w:t>
      </w:r>
      <w:r w:rsidR="001F052A">
        <w:rPr>
          <w:rFonts w:eastAsiaTheme="minorEastAsia"/>
        </w:rPr>
        <w:fldChar w:fldCharType="begin" w:fldLock="1"/>
      </w:r>
      <w:r w:rsidR="0060363C">
        <w:rPr>
          <w:rFonts w:eastAsiaTheme="minorEastAsia"/>
        </w:rPr>
        <w:instrText>ADDIN CSL_CITATION {"citationItems":[{"id":"ITEM-1","itemData":{"DOI":"10.1088/0143-0807/35/2/025005","ISSN":"13616404","abstract":"The interaction of surface waves with Couette-type current with uniform vorticity is a well suited problem for students approaching the theory of surface waves. The problem, although mathematically simple, contains rich physics, and is moreover important in several situations from oceanography and marine technology to microfluidics. We here lay out a simple two-dimensional theory of waves propagating upon a basic flow of uniform vorticity of constant depth. The dispersion relation is found, showing how the shearing current introduces different phase velocities for upstream and downstream propagating waves. The role of the surface tension is discussed and applied to the case of a wave pattern created by a moving source, stationary as seen by the source. We conclude by discussing how the average potential and kinetic energies are no longer equal in the presence of shear. © 2014 IOP Publishing Ltd.","author":[{"dropping-particle":"","family":"Ellingsen","given":"Simen","non-dropping-particle":"","parse-names":false,"suffix":""},{"dropping-particle":"","family":"Brevik","given":"Iver","non-dropping-particle":"","parse-names":false,"suffix":""}],"container-title":"European Journal of Physics","id":"ITEM-1","issue":"2","issued":{"date-parts":[["2014"]]},"title":"How linear surface waves are affected by a current with constant vorticity","type":"article-journal","volume":"35"},"uris":["http://www.mendeley.com/documents/?uuid=8d649c4c-c7d2-4fb4-9861-fa439e0fc197"]},{"id":"ITEM-2","itemData":{"DOI":"10.1016/j.euromechflu.2017.08.012","ISSN":"09977546","abstract":"We study the waves and wave-making forces acting on ships travelling on currents which vary as a function of depth. Our concern is realism; we consider a real current profile from the Columbia River, and model ships with dimensions and Froude numbers typical of three classes of vessels operating in these waters. To this end we employ the most general theory of waves from free-surface sources on shear current to date, which we derive and present here. Expressions are derived for ship waves which satisfy an arbitrary dispersion relation and are generated by a wave source acting on the free surface, with the source's shape and time-dependence is also being arbitrary. Practical calculation procedures for numerically calculating dispersion on a shear current which may vary arbitrarily with depth both in direction and magnitude, are indicated. For ships travelling at an oblique angle to a shear-current, the ship wave pattern is asymmetrical, and wave-making radiation forces have a lateral component in addition to the conventional wave resistance, the sternward component. No corresponding lateral force exists in the absence of shear. We consider the dependence of wave resistance and lateral force for upstream, downstream and cross-stream motion on the Columbia River current, both in steady motion and during two different manoeuvres: a ship suddenly set in motion, and a ship turning through 360</w:instrText>
      </w:r>
      <w:r w:rsidR="0060363C">
        <w:rPr>
          <w:rFonts w:ascii="Cambria Math" w:eastAsiaTheme="minorEastAsia" w:hAnsi="Cambria Math" w:cs="Cambria Math"/>
        </w:rPr>
        <w:instrText>∘</w:instrText>
      </w:r>
      <w:r w:rsidR="0060363C">
        <w:rPr>
          <w:rFonts w:eastAsiaTheme="minorEastAsia"/>
        </w:rPr>
        <w:instrText>. We find that for smaller ships (tugboats, fishing-boats) the wave resistance can differ drastically from that in quiescent water, and depends strongly on Froude number and direction of motion. For Froude numbers typical of such boats, wave resistance can vary by a factor 3 between upstream and downstream motion, and the strong Froude number dependence is made more complicated by interference effects. The lateral radiation force is approximately 20% of the wave resistance for cross-current motion for these ships, and can reach more than 50% for short periods during manoeuvring; this is by no means a small force, and will have an effect on seakeeping, economy, optimal choice of route and operational safety. For an example ship (tugboat) doing a turning motion, both the lateral force and wave resistance are predicted to undergo variations whose amplitude amounts to approximately 100% of their constant values in quiescent water.","author":[{"dropping-particle":"","family":"Li","given":"Yan","non-dropping-particle":"","parse-names":false,"suffix":""},{"dropping-particle":"","family":"Smeltzer","given":"Benjamin K.","non-dropping-particle":"","parse-names":false,"suffix":""},{"dropping-particle":"","family":"Ellingsen","given":"Simen","non-dropping-particle":"","parse-names":false,"suffix":""}],"container-title":"European Journal of Mechanics, B/Fluids","id":"ITEM-2","issued":{"date-parts":[["2019"]]},"page":"180-192","publisher":"Elsevier Masson SAS.","title":"Transient wave resistance upon a real shear current","type":"article-journal","volume":"73"},"uris":["http://www.mendeley.com/documents/?uuid=7ea72fc3-3a05-4a1b-a6a3-92b97b0524cd"]}],"mendeley":{"formattedCitation":"(Ellingsen and Brevik, 2014; Li et al., 2019)","plainTextFormattedCitation":"(Ellingsen and Brevik, 2014; Li et al., 2019)","previouslyFormattedCitation":"(Ellingsen and Brevik, 2014; Li et al., 2019)"},"properties":{"noteIndex":0},"schema":"https://github.com/citation-style-language/schema/raw/master/csl-citation.json"}</w:instrText>
      </w:r>
      <w:r w:rsidR="001F052A">
        <w:rPr>
          <w:rFonts w:eastAsiaTheme="minorEastAsia"/>
        </w:rPr>
        <w:fldChar w:fldCharType="separate"/>
      </w:r>
      <w:r w:rsidR="001F052A" w:rsidRPr="001F052A">
        <w:rPr>
          <w:rFonts w:eastAsiaTheme="minorEastAsia"/>
          <w:noProof/>
        </w:rPr>
        <w:t>(Ellingsen and Brevik, 2014; Li et al., 2019)</w:t>
      </w:r>
      <w:r w:rsidR="001F052A">
        <w:rPr>
          <w:rFonts w:eastAsiaTheme="minorEastAsia"/>
        </w:rPr>
        <w:fldChar w:fldCharType="end"/>
      </w:r>
      <w:r w:rsidR="001F052A">
        <w:rPr>
          <w:rFonts w:eastAsiaTheme="minorEastAsia"/>
        </w:rPr>
        <w:t xml:space="preserve">. Similarly, under certain conditions a calm ocean may stratify into layers of fresh and </w:t>
      </w:r>
      <w:r w:rsidR="00522D3F">
        <w:rPr>
          <w:rFonts w:eastAsiaTheme="minorEastAsia"/>
        </w:rPr>
        <w:t>saltwater</w:t>
      </w:r>
      <w:r w:rsidR="001F052A">
        <w:rPr>
          <w:rFonts w:eastAsiaTheme="minorEastAsia"/>
        </w:rPr>
        <w:t xml:space="preserve"> forming an interface in which a second, internal wave</w:t>
      </w:r>
      <w:r w:rsidR="00522D3F">
        <w:rPr>
          <w:rFonts w:eastAsiaTheme="minorEastAsia"/>
        </w:rPr>
        <w:t xml:space="preserve"> </w:t>
      </w:r>
      <w:r w:rsidR="001F052A">
        <w:rPr>
          <w:rFonts w:eastAsiaTheme="minorEastAsia"/>
        </w:rPr>
        <w:t>system, may be generated by the passage of a ship.</w:t>
      </w:r>
      <w:r w:rsidR="00BA0A33">
        <w:rPr>
          <w:rFonts w:eastAsiaTheme="minorEastAsia"/>
        </w:rPr>
        <w:t xml:space="preserve"> </w:t>
      </w:r>
      <w:r w:rsidR="001F052A">
        <w:rPr>
          <w:rFonts w:eastAsiaTheme="minorEastAsia"/>
        </w:rPr>
        <w:t xml:space="preserve">Such stratification, the internal wave system </w:t>
      </w:r>
      <w:r w:rsidR="001F052A">
        <w:rPr>
          <w:rFonts w:eastAsiaTheme="minorEastAsia"/>
        </w:rPr>
        <w:lastRenderedPageBreak/>
        <w:t xml:space="preserve">generated by the ship and its effects of the power consumption is known as the dead water effect. </w:t>
      </w:r>
    </w:p>
    <w:p w14:paraId="6495287E" w14:textId="22774AAC" w:rsidR="00646776" w:rsidRDefault="001F052A" w:rsidP="00646776">
      <w:pPr>
        <w:jc w:val="both"/>
      </w:pPr>
      <w:r>
        <w:rPr>
          <w:rFonts w:eastAsiaTheme="minorEastAsia"/>
        </w:rPr>
        <w:t>D</w:t>
      </w:r>
      <w:r w:rsidR="00646776">
        <w:t xml:space="preserve">ead water can </w:t>
      </w:r>
      <w:r>
        <w:t>cause</w:t>
      </w:r>
      <w:r w:rsidR="00646776">
        <w:t xml:space="preserve"> severe loss in performance </w:t>
      </w:r>
      <w:r>
        <w:t>with recorded</w:t>
      </w:r>
      <w:r w:rsidR="00646776">
        <w:t xml:space="preserve"> examples </w:t>
      </w:r>
      <w:r>
        <w:t xml:space="preserve">documenting ships </w:t>
      </w:r>
      <w:r w:rsidR="00646776">
        <w:t xml:space="preserve">slowing from 6-7 knots to 1.5 knots </w:t>
      </w:r>
      <w:r w:rsidR="00646776">
        <w:fldChar w:fldCharType="begin" w:fldLock="1"/>
      </w:r>
      <w:r w:rsidR="00010ECE">
        <w:instrText>ADDIN CSL_CITATION {"citationItems":[{"id":"ITEM-1","itemData":{"author":[{"dropping-particle":"","family":"Walker","given":"J. M.","non-dropping-particle":"","parse-names":false,"suffix":""}],"container-title":"Weather","id":"ITEM-1","issue":"6","issued":{"date-parts":[["1991"]]},"page":"158-164","title":"Farthest North, Dead Water and the Ekman Spiral. Part 2: Invisible Waves and a New Direction in Current Theory","type":"article-journal","volume":"46"},"uris":["http://www.mendeley.com/documents/?uuid=ad31b5d3-a1ee-4059-9fb8-f113ff3c7493","http://www.mendeley.com/documents/?uuid=7a1452bf-ccbb-418a-a1f3-55a9315bed32"]}],"mendeley":{"formattedCitation":"(Walker, 1991)","plainTextFormattedCitation":"(Walker, 1991)","previouslyFormattedCitation":"(Walker, 1991)"},"properties":{"noteIndex":0},"schema":"https://github.com/citation-style-language/schema/raw/master/csl-citation.json"}</w:instrText>
      </w:r>
      <w:r w:rsidR="00646776">
        <w:fldChar w:fldCharType="separate"/>
      </w:r>
      <w:r w:rsidR="00646776" w:rsidRPr="00646776">
        <w:rPr>
          <w:noProof/>
        </w:rPr>
        <w:t>(Walker, 1991)</w:t>
      </w:r>
      <w:r w:rsidR="00646776">
        <w:fldChar w:fldCharType="end"/>
      </w:r>
      <w:r w:rsidR="00646776">
        <w:t xml:space="preserve">. While these effects are severe the conditions required for the dead water effect occur </w:t>
      </w:r>
      <w:r>
        <w:t>are rare</w:t>
      </w:r>
      <w:r w:rsidR="00F42E98">
        <w:t xml:space="preserve"> and have not</w:t>
      </w:r>
      <w:r w:rsidR="00646776">
        <w:t xml:space="preserve"> created major obstacle</w:t>
      </w:r>
      <w:r w:rsidR="00F42E98">
        <w:t>s</w:t>
      </w:r>
      <w:r w:rsidR="00646776">
        <w:t xml:space="preserve"> for seafaring. However, as climate change continues to worsen glaciers are likely to melt a greater amount of fresh water into the ocean </w:t>
      </w:r>
      <w:r w:rsidR="00646776">
        <w:fldChar w:fldCharType="begin" w:fldLock="1"/>
      </w:r>
      <w:r w:rsidR="00010ECE">
        <w:instrText xml:space="preserve">ADDIN CSL_CITATION {"citationItems":[{"id":"ITEM-1","itemData":{"DOI":"10.1016/j.gloplacha.2006.08.004","ISSN":"09218181","abstract":"Documentation of glacier changes is a key element for reconstruction of past climate variability and early detection of global climate change. In this paper, records of Holocene glacier variations in different regions in Norway have been synthesised. During the period from approximately 8000 to 4000 cal. yr BP, most glaciers in Norway were completely melted away at least once due to high summer temperatures and/or reduced winter precipitation. Lichenometrically and historically dated moraines at Jostedalsbreen, in Jotunheimen, at Hardangerjøkulen, and at Folgefonna were used to extend records of glacier length variations back to their maximum position during the 'Little Ice Age'. The timing of the maximum 'Little Ice Age' glacial advance in different parts of southern Norway varied considerably, ranging from the early 18th century to the late 19th century. Cumulative glacier length variations of glaciers in southern Norway show an overall retreat from </w:instrText>
      </w:r>
      <w:r w:rsidR="00010ECE">
        <w:rPr>
          <w:rFonts w:ascii="Cambria Math" w:hAnsi="Cambria Math" w:cs="Cambria Math"/>
        </w:rPr>
        <w:instrText>∼</w:instrText>
      </w:r>
      <w:r w:rsidR="00010ECE">
        <w:instrText xml:space="preserve"> AD 1750 to the 1930s-40s. Thereafter, most Norwegian glaciers retreated significantly. Short maritime outlet glaciers with a short response time (&lt; 10-15 yr) started to advance in the mid-1950s, whereas long outlet glaciers with longer frontal time lag (&gt; 15-20 yr) continued their retreat to the 1980s. In the 1990s, however, several of the maritime glaciers started to advance as a response to higher winter accumulation during the first part of the 1990s. Since 2000 most of the observed glaciers have retreated remarkably fast (annual frontal retreat &gt; 100 m) mainly due to high summer temperatures. The last glacier inventory in Norway published in 1988 shows that there were 1627 glaciers covering a total area of 2609 km2 with an estimated volume of 164 km3. Modern climate-glacier relationships from mass balance data in Scandinavia have been used to present possible effects on the Norwegian glaciers of climate scenarios between 1961-1990 and 2070-2100 presented by the 'RegClim' project. This long-term weather 'forecast' for western Norway indicates a rise in the summer temperature of 2.3 °C and an increase in the winter precipitation of 16% by the end of the 21st century. This climate scenario may, if it occurs, cause the equilibrium-line altitude (ELA) to rise 260 ± 50 m. As a result, about 98% of the Norwegian glaciers are likely to disappear and the glacier area may be reduced </w:instrText>
      </w:r>
      <w:r w:rsidR="00010ECE">
        <w:rPr>
          <w:rFonts w:ascii="Cambria Math" w:hAnsi="Cambria Math" w:cs="Cambria Math"/>
        </w:rPr>
        <w:instrText>∼</w:instrText>
      </w:r>
      <w:r w:rsidR="00010ECE">
        <w:instrText xml:space="preserve"> 34% by AD 2100. </w:instrText>
      </w:r>
      <w:r w:rsidR="00010ECE">
        <w:rPr>
          <w:rFonts w:cs="Palatino Linotype"/>
        </w:rPr>
        <w:instrText>©</w:instrText>
      </w:r>
      <w:r w:rsidR="00010ECE">
        <w:instrText xml:space="preserve"> 2007 Elsevier B.V. All rights reserved.","author":[{"dropping-particle":"","family":"Nesje","given":"Atle","non-dropping-particle":"","parse-names":false,"suffix":""},{"dropping-particle":"","family":"Bakke","given":"Jostein","non-dropping-particle":"","parse-names":false,"suffix":""},{"dropping-particle":"","family":"Dahl","given":"Svein Olaf","non-dropping-particle":"","parse-names":false,"suffix":""},{"dropping-particle":"","family":"Lie","given":"Øyvind","non-dropping-particle":"","parse-names":false,"suffix":""},{"dropping-particle":"","family":"Matthews","given":"John A.","non-dropping-particle":"","parse-names":false,"suffix":""}],"container-title":"Global and Planetary Change","id":"ITEM-1","issue":"1-2","issued":{"date-parts":[["2008"]]},"page":"10-27","title":"Norwegian mountain glaciers in the past, present and future","type":"article-journal","volume":"60"},"uris":["http://www.mendeley.com/documents/?uuid=aa3042dc-e4c8-4300-bd33-d690ba3b4389","http://www.mendeley.com/documents/?uuid=a70684f1-c998-4411-9d12-4288c2256174"]}],"mendeley":{"formattedCitation":"(Nesje et al., 2008)","plainTextFormattedCitation":"(Nesje et al., 2008)","previouslyFormattedCitation":"(Nesje et al., 2008)"},"properties":{"noteIndex":0},"schema":"https://github.com/citation-style-language/schema/raw/master/csl-citation.json"}</w:instrText>
      </w:r>
      <w:r w:rsidR="00646776">
        <w:fldChar w:fldCharType="separate"/>
      </w:r>
      <w:r w:rsidR="00646776" w:rsidRPr="00646776">
        <w:rPr>
          <w:noProof/>
        </w:rPr>
        <w:t>(Nesje et al., 2008)</w:t>
      </w:r>
      <w:r w:rsidR="00646776">
        <w:fldChar w:fldCharType="end"/>
      </w:r>
      <w:r w:rsidR="00646776">
        <w:t xml:space="preserve">. As glacial runoff is one of the easiest ways for a stable stratification of two distinct layers to form </w:t>
      </w:r>
      <w:r w:rsidR="00646776">
        <w:fldChar w:fldCharType="begin" w:fldLock="1"/>
      </w:r>
      <w:r w:rsidR="00010ECE">
        <w:instrText>ADDIN CSL_CITATION {"citationItems":[{"id":"ITEM-1","itemData":{"author":[{"dropping-particle":"","family":"Grue","given":"John","non-dropping-particle":"","parse-names":false,"suffix":""}],"container-title":"The Ocean in Motion","id":"ITEM-1","issued":{"date-parts":[["2018"]]},"page":"41-53","title":"Calculating FRAM’s dead water","type":"chapter"},"uris":["http://www.mendeley.com/documents/?uuid=7d51133f-ff8d-4492-9373-713d86903454","http://www.mendeley.com/documents/?uuid=7bfe5507-1964-48dd-95d3-836364c23f04"]}],"mendeley":{"formattedCitation":"(Grue, 2018)","plainTextFormattedCitation":"(Grue, 2018)","previouslyFormattedCitation":"(Grue, 2018)"},"properties":{"noteIndex":0},"schema":"https://github.com/citation-style-language/schema/raw/master/csl-citation.json"}</w:instrText>
      </w:r>
      <w:r w:rsidR="00646776">
        <w:fldChar w:fldCharType="separate"/>
      </w:r>
      <w:r w:rsidR="00646776" w:rsidRPr="00646776">
        <w:rPr>
          <w:noProof/>
        </w:rPr>
        <w:t>(Grue, 2018)</w:t>
      </w:r>
      <w:r w:rsidR="00646776">
        <w:fldChar w:fldCharType="end"/>
      </w:r>
      <w:r w:rsidR="00646776">
        <w:t xml:space="preserve"> the dead water effect may become increasingly common. In addition</w:t>
      </w:r>
      <w:r w:rsidR="00F42E98">
        <w:t xml:space="preserve">, </w:t>
      </w:r>
      <w:r w:rsidR="00646776">
        <w:t xml:space="preserve">climate change is expected to increase the likelihood of the pycnocline ocean layer being present at the ocean’s surface </w:t>
      </w:r>
      <w:r w:rsidR="00646776">
        <w:fldChar w:fldCharType="begin" w:fldLock="1"/>
      </w:r>
      <w:r w:rsidR="00010ECE">
        <w:instrText>ADDIN CSL_CITATION {"citationItems":[{"id":"ITEM-1","itemData":{"DOI":"10.1038/s41586-021-03303-x","ISSN":"14764687","PMID":"33762764","abstract":"The surface mixed layer of the world ocean regulates global climate by controlling heat and carbon exchange between the atmosphere and the oceanic interior1–3. The mixed layer also shapes marine ecosystems by hosting most of the ocean’s primary production4 and providing the conduit for oxygenation of deep oceanic layers. Despite these important climatic and life-supporting roles, possible changes in the mixed layer during an era of global climate change remain uncertain. Here we use oceanographic observations to show that from 1970 to 2018 the density contrast across the base of the mixed layer increased and that the mixed layer itself became deeper. Using a physically based definition of upper-ocean stability that follows different dynamical regimes across the global ocean, we find that the summertime density contrast increased by 8.9 ± 2.7 per cent per decade (10−6–10−5 per second squared per decade, depending on region), more than six times greater than previous estimates. Whereas prior work has suggested that a thinner mixed layer should accompany a more stratified upper ocean5–7, we find instead that the summertime mixed layer deepened by 2.9 ± 0.5 per cent per decade, or several metres per decade (typically 5–10 metres per decade, depending on region). A detailed mechanistic interpretation is challenging, but the concurrent stratification and deepening of the mixed layer are related to an increase in stability associated with surface warming and high-latitude surface freshening8,9, accompanied by a wind-driven intensification of upper-ocean turbulence10,11. Our findings are based on a complex dataset with incomplete coverage of a vast area. Although our results are robust within a wide range of sensitivity analyses, important uncertainties remain, such as those related to sparse coverage in the early years of the 1970–2018 period. Nonetheless, our work calls for reconsideration of the drivers of ongoing shifts in marine primary production, and reveals stark changes in the world’s upper ocean over the past five decades.","author":[{"dropping-particle":"","family":"Sallée","given":"Jean Baptiste","non-dropping-particle":"","parse-names":false,"suffix":""},{"dropping-particle":"","family":"Pellichero","given":"Violaine","non-dropping-particle":"","parse-names":false,"suffix":""},{"dropping-particle":"","family":"Akhoudas","given":"Camille","non-dropping-particle":"","parse-names":false,"suffix":""},{"dropping-particle":"","family":"Pauthenet","given":"Etienne","non-dropping-particle":"","parse-names":false,"suffix":""},{"dropping-particle":"","family":"Vignes","given":"Lucie","non-dropping-particle":"","parse-names":false,"suffix":""},{"dropping-particle":"","family":"Schmidtko","given":"Sunke","non-dropping-particle":"","parse-names":false,"suffix":""},{"dropping-particle":"","family":"Garabato","given":"Alberto Naveira","non-dropping-particle":"","parse-names":false,"suffix":""},{"dropping-particle":"","family":"Sutherland","given":"Peter","non-dropping-particle":"","parse-names":false,"suffix":""},{"dropping-particle":"","family":"Kuusela","given":"Mikael","non-dropping-particle":"","parse-names":false,"suffix":""}],"container-title":"Nature","id":"ITEM-1","issue":"7851","issued":{"date-parts":[["2021"]]},"page":"592-598","title":"Summertime increases in upper-ocean stratification and mixed-layer depth","type":"article-journal","volume":"591"},"uris":["http://www.mendeley.com/documents/?uuid=078c7884-b359-4f11-b12c-fa7d64db2f47","http://www.mendeley.com/documents/?uuid=7f03928e-fee4-495b-bbbb-c5597865b675"]}],"mendeley":{"formattedCitation":"(Sallée et al., 2021)","plainTextFormattedCitation":"(Sallée et al., 2021)","previouslyFormattedCitation":"(Sallée et al., 2021)"},"properties":{"noteIndex":0},"schema":"https://github.com/citation-style-language/schema/raw/master/csl-citation.json"}</w:instrText>
      </w:r>
      <w:r w:rsidR="00646776">
        <w:fldChar w:fldCharType="separate"/>
      </w:r>
      <w:r w:rsidR="00646776" w:rsidRPr="00646776">
        <w:rPr>
          <w:noProof/>
        </w:rPr>
        <w:t>(Sallée et al., 2021)</w:t>
      </w:r>
      <w:r w:rsidR="00646776">
        <w:fldChar w:fldCharType="end"/>
      </w:r>
      <w:r w:rsidR="00646776">
        <w:t xml:space="preserve">. This will increase the likelihood of ships experiencing increased resistance due to linear stratification as described by </w:t>
      </w:r>
      <w:r w:rsidR="00646776">
        <w:fldChar w:fldCharType="begin" w:fldLock="1"/>
      </w:r>
      <w:r w:rsidR="00010ECE">
        <w:instrText>ADDIN CSL_CITATION {"citationItems":[{"id":"ITEM-1","itemData":{"DOI":"10.5194/npg-18-193-2011","ISSN":"16077946","abstract":"We revisit experimental studies performed by Ekman on dead-water (Ekman, 1904) using modern techniques in order to present new insights on this peculiar phenomenon. We extend its description to more general situations such as a three-layer fluid or a linearly stratified fluid in presence of a pycnocline, showing the robustness of dead-water phenomenon. We observe large amplitude nonlinear internal waves which are coupled to the boat dynamics, and we emphasize that the modeling of the wave-induced drag requires more analysis, taking into account nonlinear effects. © 2011 Author(s).","author":[{"dropping-particle":"","family":"Mercier","given":"M. J.","non-dropping-particle":"","parse-names":false,"suffix":""},{"dropping-particle":"","family":"Vasseur","given":"R.","non-dropping-particle":"","parse-names":false,"suffix":""},{"dropping-particle":"","family":"Dauxois","given":"T.","non-dropping-particle":"","parse-names":false,"suffix":""}],"container-title":"Nonlinear Processes in Geophysics","id":"ITEM-1","issue":"2","issued":{"date-parts":[["2011"]]},"page":"193-208","title":"Resurrecting dead-water phenomenon","type":"article-journal","volume":"18"},"uris":["http://www.mendeley.com/documents/?uuid=937e4c22-c6c5-489a-84ea-4a2009c6536b","http://www.mendeley.com/documents/?uuid=4aa65bed-7f5e-4843-a686-a5fffa7d9509"]}],"mendeley":{"formattedCitation":"(Mercier et al., 2011)","manualFormatting":"Mercier et al. (2011)","plainTextFormattedCitation":"(Mercier et al., 2011)","previouslyFormattedCitation":"(Mercier et al., 2011)"},"properties":{"noteIndex":0},"schema":"https://github.com/citation-style-language/schema/raw/master/csl-citation.json"}</w:instrText>
      </w:r>
      <w:r w:rsidR="00646776">
        <w:fldChar w:fldCharType="separate"/>
      </w:r>
      <w:r w:rsidR="00646776" w:rsidRPr="00646776">
        <w:rPr>
          <w:noProof/>
        </w:rPr>
        <w:t xml:space="preserve">Mercier et al. </w:t>
      </w:r>
      <w:r w:rsidR="00F42E98">
        <w:rPr>
          <w:noProof/>
        </w:rPr>
        <w:t>(</w:t>
      </w:r>
      <w:r w:rsidR="00646776" w:rsidRPr="00646776">
        <w:rPr>
          <w:noProof/>
        </w:rPr>
        <w:t>2011)</w:t>
      </w:r>
      <w:r w:rsidR="00646776">
        <w:fldChar w:fldCharType="end"/>
      </w:r>
      <w:r w:rsidR="00646776">
        <w:t xml:space="preserve">. </w:t>
      </w:r>
    </w:p>
    <w:p w14:paraId="1C22C36C" w14:textId="6FD93990" w:rsidR="00646776" w:rsidRDefault="00F42E98" w:rsidP="00646776">
      <w:pPr>
        <w:jc w:val="both"/>
      </w:pPr>
      <w:r>
        <w:t xml:space="preserve">The present </w:t>
      </w:r>
      <w:r w:rsidR="00CA6307">
        <w:t xml:space="preserve">study reported in this </w:t>
      </w:r>
      <w:r>
        <w:t>paper</w:t>
      </w:r>
      <w:r w:rsidR="00646776">
        <w:t xml:space="preserve"> aims to understand the effect of flow stratification on the performance of a modern container ship. To do this it </w:t>
      </w:r>
      <w:r w:rsidR="00946B70">
        <w:t>is</w:t>
      </w:r>
      <w:r w:rsidR="00646776">
        <w:t xml:space="preserve"> necessary to investigate the types of flow stratification that occur in nature and to determine which scenarios pose a risk of affecting ship performance. </w:t>
      </w:r>
      <w:r w:rsidR="00946B70">
        <w:t xml:space="preserve">A Reynolds Averaged Navier-Stokes </w:t>
      </w:r>
      <w:r w:rsidR="00CA6307">
        <w:t xml:space="preserve">(RANS) </w:t>
      </w:r>
      <w:r w:rsidR="00946B70">
        <w:t xml:space="preserve">methodology is adopted to model several scenarios, including </w:t>
      </w:r>
      <w:r w:rsidR="00C37570">
        <w:t xml:space="preserve">the design speed as well as </w:t>
      </w:r>
      <w:r w:rsidR="00946B70">
        <w:t>a case</w:t>
      </w:r>
      <w:r w:rsidR="00646776">
        <w:t xml:space="preserve"> where the greatest increase in resistance would be expected based on existing </w:t>
      </w:r>
      <w:r w:rsidR="00946B70">
        <w:t xml:space="preserve">theoretical </w:t>
      </w:r>
      <w:r w:rsidR="00646776">
        <w:t xml:space="preserve">research. </w:t>
      </w:r>
      <w:r w:rsidR="00C37570">
        <w:t>The latter</w:t>
      </w:r>
      <w:r w:rsidR="00646776">
        <w:t xml:space="preserve"> </w:t>
      </w:r>
      <w:r w:rsidR="00946B70">
        <w:t>is</w:t>
      </w:r>
      <w:r w:rsidR="00646776">
        <w:t xml:space="preserve"> used to quantify the</w:t>
      </w:r>
      <w:r w:rsidR="00946B70">
        <w:t xml:space="preserve"> maximum</w:t>
      </w:r>
      <w:r w:rsidR="00646776">
        <w:t xml:space="preserve"> increase in resistance that can occur due to flow stratification and to break it down into its components </w:t>
      </w:r>
      <w:r w:rsidR="00946B70">
        <w:t>of pressure and friction</w:t>
      </w:r>
      <w:r w:rsidR="00646776">
        <w:t xml:space="preserve">. </w:t>
      </w:r>
    </w:p>
    <w:p w14:paraId="233CC948" w14:textId="720F39B0" w:rsidR="00646776" w:rsidRDefault="00946B70" w:rsidP="00646776">
      <w:pPr>
        <w:jc w:val="both"/>
      </w:pPr>
      <w:r>
        <w:t>The remainder of this paper</w:t>
      </w:r>
      <w:r w:rsidR="00646776">
        <w:t xml:space="preserve"> is arranged as follows. Section 2 provides background information and a review of the existing literature regarding flow stratification, naturally occurring d</w:t>
      </w:r>
      <w:r w:rsidR="00733FA6">
        <w:t>e</w:t>
      </w:r>
      <w:r w:rsidR="00646776">
        <w:t xml:space="preserve">ad water, internal waves, and the dead water effect. Section 3 outlines the geometry </w:t>
      </w:r>
      <w:r w:rsidR="00801388">
        <w:t>and case studies</w:t>
      </w:r>
      <w:r w:rsidR="00646776">
        <w:t>. Section 4 describes the numerical modelling process performed using CFD.</w:t>
      </w:r>
      <w:r w:rsidR="00801388">
        <w:t xml:space="preserve"> Following this, s</w:t>
      </w:r>
      <w:r w:rsidR="00646776">
        <w:t>ection 5 covers the analysis of the simulation results and is split into multiple subsections. Finally, section 6 contains the concluding remarks</w:t>
      </w:r>
      <w:r w:rsidR="00801388">
        <w:t xml:space="preserve"> and</w:t>
      </w:r>
      <w:r w:rsidR="00646776">
        <w:t xml:space="preserve"> </w:t>
      </w:r>
      <w:r w:rsidR="00801388">
        <w:t>sets out</w:t>
      </w:r>
      <w:r w:rsidR="00646776">
        <w:t xml:space="preserve"> recommendations for future work.  </w:t>
      </w:r>
    </w:p>
    <w:p w14:paraId="2FDA42A8" w14:textId="08C1F513" w:rsidR="00646776" w:rsidRDefault="00646776" w:rsidP="00646776">
      <w:pPr>
        <w:pStyle w:val="Heading1"/>
      </w:pPr>
      <w:r>
        <w:t>Background</w:t>
      </w:r>
    </w:p>
    <w:p w14:paraId="62F6EA3F" w14:textId="43E84A29" w:rsidR="00646776" w:rsidRDefault="00646776" w:rsidP="00801388">
      <w:pPr>
        <w:jc w:val="both"/>
      </w:pPr>
      <w:r>
        <w:t>Flow stratification is a phenomenon that occurs to some extent in any large body of water. A fluid can be said to be stratified if the fluid density varies with distance in any direction</w:t>
      </w:r>
      <w:r w:rsidR="004531E3">
        <w:t>.</w:t>
      </w:r>
      <w:r>
        <w:t xml:space="preserve"> </w:t>
      </w:r>
      <w:r w:rsidR="004531E3">
        <w:t>H</w:t>
      </w:r>
      <w:r>
        <w:t>owever</w:t>
      </w:r>
      <w:r w:rsidR="00801388">
        <w:t>,</w:t>
      </w:r>
      <w:r>
        <w:t xml:space="preserve"> stable stratification can only occur for a vertically stratified fluid </w:t>
      </w:r>
      <w:r>
        <w:fldChar w:fldCharType="begin" w:fldLock="1"/>
      </w:r>
      <w:r w:rsidR="00A305CF">
        <w:instrText>ADDIN CSL_CITATION {"citationItems":[{"id":"ITEM-1","itemData":{"DOI":"10.17077/etd.5z2auqsl","abstract":"A stratified fluid is defined by its mean density variation with depth as a result of any change in salinity and/or temperature. Almost all fluids found in the environment are stratified except on very small scales, and stratified flows are prevalent in various natural environments such as oceans, lakes and estuaries. Therefore, the flow caused by moving objects in these media are of importance and have directed much attention to the subject of stably stratified flows. This thesis presents contributions to simulate stratified flow effects on moving surface ships and submarines. Two different geometries are considered, the research vessel Athena, a surface ship, and the Joubert BB2 geometry, a generic submarine. It is observed that the structure of the stratified flow is completely different from the non stratified one and the presence of buoyancy forces due to stratification has a substantial effect on the flow development and mixing processes around both geometries and hence influences the flow pattern and results in different resistance forces. Also, when a ship sails slowly in stratified seas she loses steering power and speed and experiences a large change in resistance force. This resistance force can be as high as that of the ship moving two to three times faster in non-stratified flow, a phenomenon known as the dead-water effect. Though the dead water problem has been studied in the literature using potential flow methods, this thesis presents the first attempt at using computational fluid dynamics (CFD) to analyze the flow. Results show that CFD can reproduce trends observed in potential flow studies, and also account for significant viscous effects in the wake and the friction coefficient. Studying this phenomenon shows the design factors for manufacturing a ship with high level of efficiency will change.","author":[{"dropping-particle":"","family":"Esmaeilpour","given":"M.","non-dropping-particle":"","parse-names":false,"suffix":""}],"id":"ITEM-1","issued":{"date-parts":[["2017"]]},"title":"A ship advancing in a stratified fluid: the dead water effect revisited","type":"thesis"},"uris":["http://www.mendeley.com/documents/?uuid=1b39b9b3-c40e-4bfb-b04b-d34685257e77"]}],"mendeley":{"formattedCitation":"(Esmaeilpour, 2017)","plainTextFormattedCitation":"(Esmaeilpour, 2017)","previouslyFormattedCitation":"(Esmaeilpour, 2017)"},"properties":{"noteIndex":0},"schema":"https://github.com/citation-style-language/schema/raw/master/csl-citation.json"}</w:instrText>
      </w:r>
      <w:r>
        <w:fldChar w:fldCharType="separate"/>
      </w:r>
      <w:r w:rsidRPr="00646776">
        <w:rPr>
          <w:noProof/>
        </w:rPr>
        <w:t>(Esmaeilpour, 2017)</w:t>
      </w:r>
      <w:r>
        <w:fldChar w:fldCharType="end"/>
      </w:r>
      <w:r>
        <w:t>.</w:t>
      </w:r>
    </w:p>
    <w:p w14:paraId="3C543354" w14:textId="1D2B0478" w:rsidR="00646776" w:rsidRDefault="00646776" w:rsidP="005A1BF0">
      <w:pPr>
        <w:jc w:val="both"/>
      </w:pPr>
      <w:r>
        <w:t xml:space="preserve">When describing a stratified fluid there are two primary parameters that </w:t>
      </w:r>
      <w:r w:rsidR="004531E3">
        <w:t>determine</w:t>
      </w:r>
      <w:r>
        <w:t xml:space="preserve"> whether </w:t>
      </w:r>
      <w:r w:rsidR="00801388">
        <w:t xml:space="preserve">a stratification </w:t>
      </w:r>
      <w:r>
        <w:t xml:space="preserve">will be stable or not. The first of these is the Brunt-Vaisala </w:t>
      </w:r>
      <w:r>
        <w:lastRenderedPageBreak/>
        <w:t>frequency</w:t>
      </w:r>
      <w:r w:rsidR="00801388">
        <w:t xml:space="preserve">, which </w:t>
      </w:r>
      <w:r w:rsidR="005A1BF0">
        <w:t>c</w:t>
      </w:r>
      <w:r>
        <w:t xml:space="preserve">an be </w:t>
      </w:r>
      <w:r w:rsidR="00801388">
        <w:t>thought of</w:t>
      </w:r>
      <w:r>
        <w:t xml:space="preserve"> as the frequency of an infinitesimal fluid element as it oscillates up and down in a vertical density gradient</w:t>
      </w:r>
      <w:r w:rsidR="009C4688">
        <w:t xml:space="preserve"> </w:t>
      </w:r>
      <w:r w:rsidR="005C6F58">
        <w:fldChar w:fldCharType="begin" w:fldLock="1"/>
      </w:r>
      <w:r w:rsidR="006A1948">
        <w:instrText>ADDIN CSL_CITATION {"citationItems":[{"id":"ITEM-1","itemData":{"author":[{"dropping-particle":"","family":"Gill","given":"A. E.","non-dropping-particle":"","parse-names":false,"suffix":""}],"container-title":"Atmosphere-ocean dynamics","id":"ITEM-1","issued":{"date-parts":[["1982"]]},"page":"117-188","title":"Adjustment under gravity of a density-stratified fluid","type":"article"},"uris":["http://www.mendeley.com/documents/?uuid=2ccb3ce3-c95c-4fe4-a30f-12683098cb49"]}],"mendeley":{"formattedCitation":"(Gill, 1982)","plainTextFormattedCitation":"(Gill, 1982)","previouslyFormattedCitation":"(Gill, 1982)"},"properties":{"noteIndex":0},"schema":"https://github.com/citation-style-language/schema/raw/master/csl-citation.json"}</w:instrText>
      </w:r>
      <w:r w:rsidR="005C6F58">
        <w:fldChar w:fldCharType="separate"/>
      </w:r>
      <w:r w:rsidR="005C6F58" w:rsidRPr="005C6F58">
        <w:rPr>
          <w:noProof/>
        </w:rPr>
        <w:t>(Gill, 1982)</w:t>
      </w:r>
      <w:r w:rsidR="005C6F58">
        <w:fldChar w:fldCharType="end"/>
      </w:r>
      <w:r>
        <w:t xml:space="preserve">. As the volume moves downwards it will become surrounded by fluid of a higher density which will result in the fluid being pushed back up by the force of buoyancy. As it moves upwards its momentum will cause to move through the region of equal density and become surrounded by lower density fluid, causing it to be pushed back down as its weight overcomes the buoyancy force. </w:t>
      </w:r>
      <w:r w:rsidR="00801388" w:rsidRPr="00801388">
        <w:t>The frequency of this oscillation is given by</w:t>
      </w:r>
      <w:r w:rsidR="00801388">
        <w:t xml:space="preserve"> </w:t>
      </w:r>
      <w:r w:rsidR="0060363C">
        <w:fldChar w:fldCharType="begin" w:fldLock="1"/>
      </w:r>
      <w:r w:rsidR="00010ECE">
        <w:instrText>ADDIN CSL_CITATION {"citationItems":[{"id":"ITEM-1","itemData":{"DOI":"10.1146/annurev.fluid.35.101101.161220","ISSN":"00664189","abstract":"Recent small-scale turbulence observations allow the mixing regimes in lakes, reservoirs, and other enclosed basins to be categorized into the turbulent surface and bottom boundary layers as well as the comparably quiet interior. The surface layer consists of an energetic wave-affected thin zone at the very top and a law-of-the-wall layer right below, where the classical logarithmic-layer characteristic applies on average. Short-term current and dissipation profiles, however, deviate strongly from any steady state. In contrast, the quasi-steady bottom boundary layer behaves almost perfectly as a logarithmic layer, although periodic seiching modifies the structure in the details. The interior stratified turbulence is extremely weak, even though much of the mechanical energy is contained in baroclinic basin-scale seiching and Kelvin waves or inertial currents (large lakes). The transformation of large-scale motions to turbulence occurs mainly in the bottom boundary and not in the interior, where the local shear remains weak and the Richardson numbers are generally large.","author":[{"dropping-particle":"","family":"Wüest","given":"Alfred","non-dropping-particle":"","parse-names":false,"suffix":""},{"dropping-particle":"","family":"Lorke","given":"Andreas","non-dropping-particle":"","parse-names":false,"suffix":""}],"container-title":"Annual Review of Fluid Mechanics","id":"ITEM-1","issue":"Section 3","issued":{"date-parts":[["2003"]]},"page":"373-412","title":"Small-scale hydrodynamics in lakes","type":"article-journal","volume":"35"},"uris":["http://www.mendeley.com/documents/?uuid=211ee907-d38f-4c2a-be58-bf0e6a89c37d","http://www.mendeley.com/documents/?uuid=cf2560a9-7aab-47b1-84b3-b6c7ba836428"]}],"mendeley":{"formattedCitation":"(Wüest and Lorke, 2003)","plainTextFormattedCitation":"(Wüest and Lorke, 2003)","previouslyFormattedCitation":"(Wüest and Lorke, 2003)"},"properties":{"noteIndex":0},"schema":"https://github.com/citation-style-language/schema/raw/master/csl-citation.json"}</w:instrText>
      </w:r>
      <w:r w:rsidR="0060363C">
        <w:fldChar w:fldCharType="separate"/>
      </w:r>
      <w:r w:rsidR="0060363C" w:rsidRPr="0060363C">
        <w:rPr>
          <w:noProof/>
        </w:rPr>
        <w:t>(Wüest and Lorke, 2003)</w:t>
      </w:r>
      <w:r w:rsidR="0060363C">
        <w:fldChar w:fldCharType="end"/>
      </w:r>
      <w:r w:rsidR="0060363C">
        <w:t>:</w:t>
      </w:r>
    </w:p>
    <w:p w14:paraId="4497F4A4" w14:textId="06A67D62" w:rsidR="0060363C" w:rsidRDefault="00922706" w:rsidP="005A1BF0">
      <w:pPr>
        <w:jc w:val="both"/>
        <w:rPr>
          <w:rFonts w:eastAsiaTheme="minorEastAsia"/>
        </w:rPr>
      </w:pPr>
      <m:oMath>
        <m:sSup>
          <m:sSupPr>
            <m:ctrlPr>
              <w:rPr>
                <w:rFonts w:ascii="Cambria Math" w:hAnsi="Cambria Math" w:cs="David"/>
                <w:i/>
              </w:rPr>
            </m:ctrlPr>
          </m:sSupPr>
          <m:e>
            <m:r>
              <w:rPr>
                <w:rFonts w:ascii="Cambria Math" w:hAnsi="Cambria Math" w:cs="David"/>
              </w:rPr>
              <m:t>N</m:t>
            </m:r>
          </m:e>
          <m:sup>
            <m:r>
              <w:rPr>
                <w:rFonts w:ascii="Cambria Math" w:hAnsi="Cambria Math" w:cs="David"/>
              </w:rPr>
              <m:t>2</m:t>
            </m:r>
          </m:sup>
        </m:sSup>
        <m:r>
          <w:rPr>
            <w:rFonts w:ascii="Cambria Math" w:hAnsi="Cambria Math" w:cs="David"/>
          </w:rPr>
          <m:t>=-</m:t>
        </m:r>
        <m:f>
          <m:fPr>
            <m:ctrlPr>
              <w:rPr>
                <w:rFonts w:ascii="Cambria Math" w:hAnsi="Cambria Math" w:cs="David"/>
                <w:i/>
              </w:rPr>
            </m:ctrlPr>
          </m:fPr>
          <m:num>
            <m:r>
              <w:rPr>
                <w:rFonts w:ascii="Cambria Math" w:hAnsi="Cambria Math" w:cs="David"/>
              </w:rPr>
              <m:t>g</m:t>
            </m:r>
          </m:num>
          <m:den>
            <m:r>
              <w:rPr>
                <w:rFonts w:ascii="Cambria Math" w:hAnsi="Cambria Math" w:cs="David"/>
              </w:rPr>
              <m:t>ρ</m:t>
            </m:r>
          </m:den>
        </m:f>
        <m:f>
          <m:fPr>
            <m:ctrlPr>
              <w:rPr>
                <w:rFonts w:ascii="Cambria Math" w:hAnsi="Cambria Math" w:cs="David"/>
                <w:i/>
              </w:rPr>
            </m:ctrlPr>
          </m:fPr>
          <m:num>
            <m:r>
              <m:rPr>
                <m:sty m:val="p"/>
              </m:rPr>
              <w:rPr>
                <w:rFonts w:ascii="Cambria Math" w:hAnsi="Cambria Math" w:cs="Arial"/>
                <w:color w:val="202124"/>
                <w:shd w:val="clear" w:color="auto" w:fill="FFFFFF"/>
              </w:rPr>
              <m:t>∂ρ</m:t>
            </m:r>
          </m:num>
          <m:den>
            <m:r>
              <m:rPr>
                <m:sty m:val="p"/>
              </m:rPr>
              <w:rPr>
                <w:rFonts w:ascii="Cambria Math" w:hAnsi="Cambria Math" w:cs="Arial"/>
                <w:color w:val="202124"/>
                <w:shd w:val="clear" w:color="auto" w:fill="FFFFFF"/>
              </w:rPr>
              <m:t>∂z</m:t>
            </m:r>
          </m:den>
        </m:f>
      </m:oMath>
      <w:r w:rsidR="0060363C">
        <w:rPr>
          <w:rFonts w:eastAsiaTheme="minorEastAsia"/>
        </w:rPr>
        <w:tab/>
      </w:r>
      <w:r w:rsidR="0060363C">
        <w:rPr>
          <w:rFonts w:eastAsiaTheme="minorEastAsia"/>
        </w:rPr>
        <w:tab/>
      </w:r>
      <w:r w:rsidR="0060363C">
        <w:rPr>
          <w:rFonts w:eastAsiaTheme="minorEastAsia"/>
        </w:rPr>
        <w:tab/>
      </w:r>
      <w:r w:rsidR="0060363C">
        <w:rPr>
          <w:rFonts w:eastAsiaTheme="minorEastAsia"/>
        </w:rPr>
        <w:tab/>
      </w:r>
      <w:r w:rsidR="0060363C">
        <w:rPr>
          <w:rFonts w:eastAsiaTheme="minorEastAsia"/>
        </w:rPr>
        <w:tab/>
      </w:r>
      <w:r w:rsidR="0060363C">
        <w:rPr>
          <w:rFonts w:eastAsiaTheme="minorEastAsia"/>
        </w:rPr>
        <w:tab/>
      </w:r>
      <w:r w:rsidR="0060363C">
        <w:rPr>
          <w:rFonts w:eastAsiaTheme="minorEastAsia"/>
        </w:rPr>
        <w:tab/>
      </w:r>
      <w:r w:rsidR="0060363C">
        <w:rPr>
          <w:rFonts w:eastAsiaTheme="minorEastAsia"/>
        </w:rPr>
        <w:tab/>
      </w:r>
      <w:r w:rsidR="0060363C">
        <w:rPr>
          <w:rFonts w:eastAsiaTheme="minorEastAsia"/>
        </w:rPr>
        <w:tab/>
      </w:r>
      <w:r w:rsidR="0060363C">
        <w:rPr>
          <w:rFonts w:eastAsiaTheme="minorEastAsia"/>
        </w:rPr>
        <w:tab/>
      </w:r>
      <w:r w:rsidR="0060363C">
        <w:rPr>
          <w:rFonts w:eastAsiaTheme="minorEastAsia"/>
        </w:rPr>
        <w:tab/>
        <w:t>(1)</w:t>
      </w:r>
    </w:p>
    <w:p w14:paraId="7700EE06" w14:textId="5F7491AB" w:rsidR="0060363C" w:rsidRDefault="0060363C" w:rsidP="0060363C">
      <w:pPr>
        <w:jc w:val="both"/>
        <w:rPr>
          <w:rFonts w:eastAsiaTheme="minorEastAsia"/>
        </w:rPr>
      </w:pPr>
      <w:r>
        <w:rPr>
          <w:rFonts w:eastAsiaTheme="minorEastAsia"/>
        </w:rPr>
        <w:t xml:space="preserve">where </w:t>
      </w:r>
      <m:oMath>
        <m:r>
          <w:rPr>
            <w:rFonts w:ascii="Cambria Math" w:eastAsiaTheme="minorEastAsia" w:hAnsi="Cambria Math"/>
          </w:rPr>
          <m:t>N</m:t>
        </m:r>
      </m:oMath>
      <w:r>
        <w:rPr>
          <w:rFonts w:eastAsiaTheme="minorEastAsia"/>
        </w:rPr>
        <w:t xml:space="preserve"> is the </w:t>
      </w:r>
      <w:r w:rsidRPr="0060363C">
        <w:rPr>
          <w:rFonts w:eastAsiaTheme="minorEastAsia"/>
        </w:rPr>
        <w:t>Brunt-Vaisala frequency</w:t>
      </w:r>
      <w:r>
        <w:rPr>
          <w:rFonts w:eastAsiaTheme="minorEastAsia"/>
        </w:rPr>
        <w:t xml:space="preserve">, </w:t>
      </w:r>
      <m:oMath>
        <m:f>
          <m:fPr>
            <m:type m:val="lin"/>
            <m:ctrlPr>
              <w:rPr>
                <w:rFonts w:ascii="Cambria Math" w:hAnsi="Cambria Math" w:cs="David"/>
                <w:i/>
              </w:rPr>
            </m:ctrlPr>
          </m:fPr>
          <m:num>
            <m:r>
              <m:rPr>
                <m:sty m:val="p"/>
              </m:rPr>
              <w:rPr>
                <w:rFonts w:ascii="Cambria Math" w:hAnsi="Cambria Math" w:cs="Arial"/>
                <w:color w:val="202124"/>
                <w:shd w:val="clear" w:color="auto" w:fill="FFFFFF"/>
              </w:rPr>
              <m:t>∂ρ</m:t>
            </m:r>
          </m:num>
          <m:den>
            <m:r>
              <m:rPr>
                <m:sty m:val="p"/>
              </m:rPr>
              <w:rPr>
                <w:rFonts w:ascii="Cambria Math" w:hAnsi="Cambria Math" w:cs="Arial"/>
                <w:color w:val="202124"/>
                <w:shd w:val="clear" w:color="auto" w:fill="FFFFFF"/>
              </w:rPr>
              <m:t>∂z</m:t>
            </m:r>
          </m:den>
        </m:f>
      </m:oMath>
      <w:r>
        <w:rPr>
          <w:rFonts w:eastAsiaTheme="minorEastAsia"/>
        </w:rPr>
        <w:t xml:space="preserve"> is the vertical density gradient, </w:t>
      </w:r>
      <m:oMath>
        <m:r>
          <w:rPr>
            <w:rFonts w:ascii="Cambria Math" w:eastAsiaTheme="minorEastAsia" w:hAnsi="Cambria Math"/>
          </w:rPr>
          <m:t>g</m:t>
        </m:r>
      </m:oMath>
      <w:r>
        <w:rPr>
          <w:rFonts w:eastAsiaTheme="minorEastAsia"/>
        </w:rPr>
        <w:t xml:space="preserve"> is the acceleration due to gravity, and </w:t>
      </w:r>
      <m:oMath>
        <m:r>
          <w:rPr>
            <w:rFonts w:ascii="Cambria Math" w:eastAsiaTheme="minorEastAsia" w:hAnsi="Cambria Math"/>
          </w:rPr>
          <m:t>ρ</m:t>
        </m:r>
      </m:oMath>
      <w:r>
        <w:rPr>
          <w:rFonts w:eastAsiaTheme="minorEastAsia"/>
        </w:rPr>
        <w:t xml:space="preserve"> is the density at depth </w:t>
      </w:r>
      <m:oMath>
        <m:r>
          <w:rPr>
            <w:rFonts w:ascii="Cambria Math" w:eastAsiaTheme="minorEastAsia" w:hAnsi="Cambria Math"/>
          </w:rPr>
          <m:t>z</m:t>
        </m:r>
      </m:oMath>
      <w:r>
        <w:rPr>
          <w:rFonts w:eastAsiaTheme="minorEastAsia"/>
        </w:rPr>
        <w:t xml:space="preserve">. </w:t>
      </w:r>
      <w:r w:rsidRPr="0060363C">
        <w:rPr>
          <w:rFonts w:eastAsiaTheme="minorEastAsia"/>
        </w:rPr>
        <w:t xml:space="preserve">In the context of a stratified flow, as long as </w:t>
      </w:r>
      <m:oMath>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r>
          <w:rPr>
            <w:rFonts w:ascii="Cambria Math" w:eastAsiaTheme="minorEastAsia" w:hAnsi="Cambria Math"/>
          </w:rPr>
          <m:t>&gt;0</m:t>
        </m:r>
      </m:oMath>
      <w:r w:rsidRPr="0060363C">
        <w:rPr>
          <w:rFonts w:eastAsiaTheme="minorEastAsia"/>
        </w:rPr>
        <w:t xml:space="preserve">  the fluid element will </w:t>
      </w:r>
      <w:r w:rsidR="00A07660">
        <w:rPr>
          <w:rFonts w:eastAsiaTheme="minorEastAsia"/>
        </w:rPr>
        <w:t>oscillate</w:t>
      </w:r>
      <w:r w:rsidRPr="0060363C">
        <w:rPr>
          <w:rFonts w:eastAsiaTheme="minorEastAsia"/>
        </w:rPr>
        <w:t xml:space="preserve"> stably with frequency </w:t>
      </w:r>
      <m:oMath>
        <m:r>
          <w:rPr>
            <w:rFonts w:ascii="Cambria Math" w:eastAsiaTheme="minorEastAsia" w:hAnsi="Cambria Math"/>
          </w:rPr>
          <m:t>N</m:t>
        </m:r>
      </m:oMath>
      <w:r w:rsidRPr="0060363C">
        <w:rPr>
          <w:rFonts w:eastAsiaTheme="minorEastAsia"/>
        </w:rPr>
        <w:t xml:space="preserve"> until damped to zero by viscous forces, resulting in a stable stratification. If </w:t>
      </w:r>
      <m:oMath>
        <m:r>
          <w:rPr>
            <w:rFonts w:ascii="Cambria Math" w:eastAsiaTheme="minorEastAsia" w:hAnsi="Cambria Math"/>
          </w:rPr>
          <m:t>N&lt;0</m:t>
        </m:r>
      </m:oMath>
      <w:r>
        <w:rPr>
          <w:rFonts w:eastAsiaTheme="minorEastAsia"/>
        </w:rPr>
        <w:t xml:space="preserve"> </w:t>
      </w:r>
      <w:r w:rsidRPr="0060363C">
        <w:rPr>
          <w:rFonts w:eastAsiaTheme="minorEastAsia"/>
        </w:rPr>
        <w:t>the oscillations will continue to grow until the two strata of fluid mix. It is also important to note that internal waves will only be generated within a stratified fluid if the disturbance is at a frequency that is less than the Brunt-Vaisala frequency</w:t>
      </w:r>
      <w:r w:rsidR="000D78EE">
        <w:rPr>
          <w:rFonts w:eastAsiaTheme="minorEastAsia"/>
        </w:rPr>
        <w:t xml:space="preserve"> </w:t>
      </w:r>
      <w:r w:rsidR="000D78EE">
        <w:fldChar w:fldCharType="begin" w:fldLock="1"/>
      </w:r>
      <w:r w:rsidR="006A1948">
        <w:instrText>ADDIN CSL_CITATION {"citationItems":[{"id":"ITEM-1","itemData":{"author":[{"dropping-particle":"","family":"Gill","given":"A. E.","non-dropping-particle":"","parse-names":false,"suffix":""}],"container-title":"Atmosphere-ocean dynamics","id":"ITEM-1","issued":{"date-parts":[["1982"]]},"page":"117-188","title":"Adjustment under gravity of a density-stratified fluid","type":"article"},"uris":["http://www.mendeley.com/documents/?uuid=2ccb3ce3-c95c-4fe4-a30f-12683098cb49"]}],"mendeley":{"formattedCitation":"(Gill, 1982)","plainTextFormattedCitation":"(Gill, 1982)","previouslyFormattedCitation":"(Gill, 1982)"},"properties":{"noteIndex":0},"schema":"https://github.com/citation-style-language/schema/raw/master/csl-citation.json"}</w:instrText>
      </w:r>
      <w:r w:rsidR="000D78EE">
        <w:fldChar w:fldCharType="separate"/>
      </w:r>
      <w:r w:rsidR="000D78EE" w:rsidRPr="005C6F58">
        <w:rPr>
          <w:noProof/>
        </w:rPr>
        <w:t>(Gill, 1982)</w:t>
      </w:r>
      <w:r w:rsidR="000D78EE">
        <w:fldChar w:fldCharType="end"/>
      </w:r>
      <w:r w:rsidRPr="0060363C">
        <w:rPr>
          <w:rFonts w:eastAsiaTheme="minorEastAsia"/>
        </w:rPr>
        <w:t xml:space="preserve">. </w:t>
      </w:r>
    </w:p>
    <w:p w14:paraId="1F53F4E7" w14:textId="160E62CE" w:rsidR="0060363C" w:rsidRPr="0060363C" w:rsidRDefault="0060363C" w:rsidP="0060363C">
      <w:pPr>
        <w:jc w:val="both"/>
        <w:rPr>
          <w:rFonts w:eastAsiaTheme="minorEastAsia"/>
        </w:rPr>
      </w:pPr>
      <w:r w:rsidRPr="0060363C">
        <w:rPr>
          <w:rFonts w:eastAsiaTheme="minorEastAsia"/>
        </w:rPr>
        <w:t>The second main parameter required for stable stratification is the Richardson number</w:t>
      </w:r>
      <w:r w:rsidR="006B3071">
        <w:rPr>
          <w:rFonts w:eastAsiaTheme="minorEastAsia"/>
        </w:rPr>
        <w:t xml:space="preserve"> (</w:t>
      </w:r>
      <m:oMath>
        <m:r>
          <w:rPr>
            <w:rFonts w:ascii="Cambria Math" w:eastAsiaTheme="minorEastAsia" w:hAnsi="Cambria Math"/>
          </w:rPr>
          <m:t>Ri</m:t>
        </m:r>
      </m:oMath>
      <w:r w:rsidR="006B3071">
        <w:rPr>
          <w:rFonts w:eastAsiaTheme="minorEastAsia"/>
        </w:rPr>
        <w:t>)</w:t>
      </w:r>
      <w:r w:rsidRPr="0060363C">
        <w:rPr>
          <w:rFonts w:eastAsiaTheme="minorEastAsia"/>
        </w:rPr>
        <w:t xml:space="preserve">, this is defined as </w:t>
      </w:r>
      <w:r w:rsidR="006A1948">
        <w:rPr>
          <w:rFonts w:eastAsiaTheme="minorEastAsia"/>
        </w:rPr>
        <w:fldChar w:fldCharType="begin" w:fldLock="1"/>
      </w:r>
      <w:r w:rsidR="00776335">
        <w:rPr>
          <w:rFonts w:eastAsiaTheme="minorEastAsia"/>
        </w:rPr>
        <w:instrText>ADDIN CSL_CITATION {"citationItems":[{"id":"ITEM-1","itemData":{"author":[{"dropping-particle":"","family":"Nappo","given":"Carmen J.","non-dropping-particle":"","parse-names":false,"suffix":""}],"id":"ITEM-1","issued":{"date-parts":[["2012"]]},"number-of-pages":"29-56","title":"International Geophysics: The Linear Theory","type":"book","volume":"102"},"uris":["http://www.mendeley.com/documents/?uuid=3d0f0a75-b780-47bd-bb22-3b71a78d2b10"]}],"mendeley":{"formattedCitation":"(Nappo, 2012)","plainTextFormattedCitation":"(Nappo, 2012)","previouslyFormattedCitation":"(Nappo, 2012)"},"properties":{"noteIndex":0},"schema":"https://github.com/citation-style-language/schema/raw/master/csl-citation.json"}</w:instrText>
      </w:r>
      <w:r w:rsidR="006A1948">
        <w:rPr>
          <w:rFonts w:eastAsiaTheme="minorEastAsia"/>
        </w:rPr>
        <w:fldChar w:fldCharType="separate"/>
      </w:r>
      <w:r w:rsidR="006A1948" w:rsidRPr="006A1948">
        <w:rPr>
          <w:rFonts w:eastAsiaTheme="minorEastAsia"/>
          <w:noProof/>
        </w:rPr>
        <w:t>(Nappo, 2012)</w:t>
      </w:r>
      <w:r w:rsidR="006A1948">
        <w:rPr>
          <w:rFonts w:eastAsiaTheme="minorEastAsia"/>
        </w:rPr>
        <w:fldChar w:fldCharType="end"/>
      </w:r>
      <w:r>
        <w:rPr>
          <w:rFonts w:eastAsiaTheme="minorEastAsia"/>
        </w:rPr>
        <w:t>:</w:t>
      </w:r>
    </w:p>
    <w:p w14:paraId="79B84587" w14:textId="5DDF9D02" w:rsidR="0060363C" w:rsidRDefault="0060363C" w:rsidP="0060363C">
      <w:pPr>
        <w:jc w:val="both"/>
        <w:rPr>
          <w:rFonts w:eastAsiaTheme="minorEastAsia"/>
        </w:rPr>
      </w:pPr>
      <m:oMath>
        <m:r>
          <w:rPr>
            <w:rFonts w:ascii="Cambria Math" w:hAnsi="Cambria Math" w:cs="David"/>
          </w:rPr>
          <m:t>Ri=</m:t>
        </m:r>
        <m:f>
          <m:fPr>
            <m:type m:val="lin"/>
            <m:ctrlPr>
              <w:rPr>
                <w:rFonts w:ascii="Cambria Math" w:hAnsi="Cambria Math" w:cs="David"/>
                <w:i/>
              </w:rPr>
            </m:ctrlPr>
          </m:fPr>
          <m:num>
            <m:sSup>
              <m:sSupPr>
                <m:ctrlPr>
                  <w:rPr>
                    <w:rFonts w:ascii="Cambria Math" w:hAnsi="Cambria Math" w:cs="David"/>
                    <w:i/>
                  </w:rPr>
                </m:ctrlPr>
              </m:sSupPr>
              <m:e>
                <m:r>
                  <w:rPr>
                    <w:rFonts w:ascii="Cambria Math" w:hAnsi="Cambria Math" w:cs="David"/>
                  </w:rPr>
                  <m:t>N</m:t>
                </m:r>
              </m:e>
              <m:sup>
                <m:r>
                  <w:rPr>
                    <w:rFonts w:ascii="Cambria Math" w:hAnsi="Cambria Math" w:cs="David"/>
                  </w:rPr>
                  <m:t>2</m:t>
                </m:r>
              </m:sup>
            </m:sSup>
          </m:num>
          <m:den>
            <m:sSup>
              <m:sSupPr>
                <m:ctrlPr>
                  <w:rPr>
                    <w:rFonts w:ascii="Cambria Math" w:hAnsi="Cambria Math" w:cs="David"/>
                    <w:i/>
                  </w:rPr>
                </m:ctrlPr>
              </m:sSupPr>
              <m:e>
                <m:r>
                  <w:rPr>
                    <w:rFonts w:ascii="Cambria Math" w:hAnsi="Cambria Math" w:cs="David"/>
                  </w:rPr>
                  <m:t>(</m:t>
                </m:r>
                <m:f>
                  <m:fPr>
                    <m:type m:val="lin"/>
                    <m:ctrlPr>
                      <w:rPr>
                        <w:rFonts w:ascii="Cambria Math" w:hAnsi="Cambria Math" w:cs="David"/>
                        <w:i/>
                      </w:rPr>
                    </m:ctrlPr>
                  </m:fPr>
                  <m:num>
                    <m:r>
                      <m:rPr>
                        <m:sty m:val="p"/>
                      </m:rPr>
                      <w:rPr>
                        <w:rFonts w:ascii="Cambria Math" w:hAnsi="Cambria Math" w:cs="Arial"/>
                        <w:color w:val="202124"/>
                        <w:shd w:val="clear" w:color="auto" w:fill="FFFFFF"/>
                      </w:rPr>
                      <m:t>∂</m:t>
                    </m:r>
                    <m:r>
                      <w:rPr>
                        <w:rFonts w:ascii="Cambria Math" w:hAnsi="Cambria Math" w:cs="Arial"/>
                        <w:color w:val="202124"/>
                        <w:shd w:val="clear" w:color="auto" w:fill="FFFFFF"/>
                      </w:rPr>
                      <m:t>u</m:t>
                    </m:r>
                  </m:num>
                  <m:den>
                    <m:r>
                      <m:rPr>
                        <m:sty m:val="p"/>
                      </m:rPr>
                      <w:rPr>
                        <w:rFonts w:ascii="Cambria Math" w:hAnsi="Cambria Math" w:cs="Arial"/>
                        <w:color w:val="202124"/>
                        <w:shd w:val="clear" w:color="auto" w:fill="FFFFFF"/>
                      </w:rPr>
                      <m:t>∂</m:t>
                    </m:r>
                    <m:r>
                      <w:rPr>
                        <w:rFonts w:ascii="Cambria Math" w:hAnsi="Cambria Math" w:cs="Arial"/>
                        <w:color w:val="202124"/>
                        <w:shd w:val="clear" w:color="auto" w:fill="FFFFFF"/>
                      </w:rPr>
                      <m:t>z</m:t>
                    </m:r>
                  </m:den>
                </m:f>
                <m:r>
                  <w:rPr>
                    <w:rFonts w:ascii="Cambria Math" w:hAnsi="Cambria Math" w:cs="David"/>
                  </w:rPr>
                  <m:t>)</m:t>
                </m:r>
              </m:e>
              <m:sup>
                <m:r>
                  <w:rPr>
                    <w:rFonts w:ascii="Cambria Math" w:hAnsi="Cambria Math" w:cs="David"/>
                  </w:rPr>
                  <m:t>2</m:t>
                </m:r>
              </m:sup>
            </m:sSup>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(2)</w:t>
      </w:r>
    </w:p>
    <w:p w14:paraId="4A6096B8" w14:textId="6AB3883C" w:rsidR="000B1F38" w:rsidRDefault="009D08C2" w:rsidP="000B1F38">
      <w:pPr>
        <w:jc w:val="both"/>
      </w:pPr>
      <w:r>
        <w:t>w</w:t>
      </w:r>
      <w:r w:rsidRPr="000B1F38">
        <w:t xml:space="preserve">here </w:t>
      </w:r>
      <m:oMath>
        <m:r>
          <w:rPr>
            <w:rFonts w:ascii="Cambria Math" w:hAnsi="Cambria Math"/>
          </w:rPr>
          <m:t>∂u/∂z</m:t>
        </m:r>
      </m:oMath>
      <w:r w:rsidR="000B1F38" w:rsidRPr="000B1F38">
        <w:t xml:space="preserve"> is the vertical shear velocity. The Richardson number represents the ratio of turbulence kinetic energy created by buoyant forces to turbulent kinetic energy produced by shear forces</w:t>
      </w:r>
      <w:r w:rsidR="00003717">
        <w:t xml:space="preserve"> </w:t>
      </w:r>
      <w:r w:rsidR="00776335">
        <w:fldChar w:fldCharType="begin" w:fldLock="1"/>
      </w:r>
      <w:r w:rsidR="00C76EC1">
        <w:instrText>ADDIN CSL_CITATION {"citationItems":[{"id":"ITEM-1","itemData":{"author":[{"dropping-particle":"","family":"Schnelle","given":"K. B.","non-dropping-particle":"","parse-names":false,"suffix":""}],"id":"ITEM-1","issued":{"date-parts":[["2003"]]},"number-of-pages":"679-705","title":"Atmospheric Diffusion Modeling. Encyclopedia of Physical","type":"book"},"uris":["http://www.mendeley.com/documents/?uuid=429d5202-36d1-4dca-9dac-39e260a4d49f"]}],"mendeley":{"formattedCitation":"(Schnelle, 2003)","plainTextFormattedCitation":"(Schnelle, 2003)","previouslyFormattedCitation":"(Schnelle, 2003)"},"properties":{"noteIndex":0},"schema":"https://github.com/citation-style-language/schema/raw/master/csl-citation.json"}</w:instrText>
      </w:r>
      <w:r w:rsidR="00776335">
        <w:fldChar w:fldCharType="separate"/>
      </w:r>
      <w:r w:rsidR="00776335" w:rsidRPr="00776335">
        <w:rPr>
          <w:noProof/>
        </w:rPr>
        <w:t>(Schnelle, 2003)</w:t>
      </w:r>
      <w:r w:rsidR="00776335">
        <w:fldChar w:fldCharType="end"/>
      </w:r>
      <w:r w:rsidR="000B1F38" w:rsidRPr="000B1F38">
        <w:t xml:space="preserve">. The flow will be stable as long as the Richardson number is </w:t>
      </w:r>
      <w:r w:rsidR="000B1F38">
        <w:t>higher than</w:t>
      </w:r>
      <w:r w:rsidR="000B1F38" w:rsidRPr="000B1F38">
        <w:t xml:space="preserve"> 0.25 however if </w:t>
      </w:r>
      <m:oMath>
        <m:r>
          <w:rPr>
            <w:rFonts w:ascii="Cambria Math" w:hAnsi="Cambria Math"/>
          </w:rPr>
          <m:t>0&lt;Ri&lt;0.25</m:t>
        </m:r>
      </m:oMath>
      <w:r w:rsidR="000B1F38" w:rsidRPr="000B1F38">
        <w:t xml:space="preserve"> Kelvin-Helmholtz waves will appear and cause the flow to become turbulent</w:t>
      </w:r>
      <w:r w:rsidR="00974038">
        <w:t xml:space="preserve"> </w:t>
      </w:r>
      <w:r w:rsidR="00C76EC1">
        <w:fldChar w:fldCharType="begin" w:fldLock="1"/>
      </w:r>
      <w:r w:rsidR="002E5A17">
        <w:instrText>ADDIN CSL_CITATION {"citationItems":[{"id":"ITEM-1","itemData":{"DOI":"10.1017/S0022112070001295","ISSN":"14697645","abstract":"Non-linear Kelvin–Helmholtz instability, of two parallel horizontal streams of inviscid incompressible fluids under the action of gravity, is studied theoretically. The lower stream is denser and there is surface tension between the streams. Some progressing waves of finite amplitude are found as the development of a slightly unstable wave of infinitesimal amplitude. In particular, the non-linear elevation of the interface between the fluids is calculated. The finite amplitude of the waves does not equilibrate to a constant after a long time, but varies periodically with time. In practice, slight dissipation should lead to equilibration at an amplitude close to a value given by the present theory. © 1970, Cambridge University Press. All rights reserved.","author":[{"dropping-particle":"","family":"Drazin","given":"P. G.","non-dropping-particle":"","parse-names":false,"suffix":""}],"container-title":"Journal of Fluid Mechanics","id":"ITEM-1","issue":"2","issued":{"date-parts":[["1970"]]},"page":"321-335","title":"Kelvin–Helmholtz instability of finite amplitude","type":"article-journal","volume":"42"},"uris":["http://www.mendeley.com/documents/?uuid=78299ec4-6ae5-40e7-8581-8d5c92a1fad6"]}],"mendeley":{"formattedCitation":"(Drazin, 1970)","plainTextFormattedCitation":"(Drazin, 1970)","previouslyFormattedCitation":"(Drazin, 1970)"},"properties":{"noteIndex":0},"schema":"https://github.com/citation-style-language/schema/raw/master/csl-citation.json"}</w:instrText>
      </w:r>
      <w:r w:rsidR="00C76EC1">
        <w:fldChar w:fldCharType="separate"/>
      </w:r>
      <w:r w:rsidR="00C76EC1" w:rsidRPr="00C76EC1">
        <w:rPr>
          <w:noProof/>
        </w:rPr>
        <w:t>(Drazin, 1970)</w:t>
      </w:r>
      <w:r w:rsidR="00C76EC1">
        <w:fldChar w:fldCharType="end"/>
      </w:r>
      <w:r w:rsidR="000B1F38" w:rsidRPr="000B1F38">
        <w:t xml:space="preserve">. </w:t>
      </w:r>
      <w:r w:rsidR="004C4143">
        <w:t xml:space="preserve">For </w:t>
      </w:r>
      <w:r w:rsidR="000B1F38" w:rsidRPr="000B1F38">
        <w:t xml:space="preserve">Richardson numbers of </w:t>
      </w:r>
      <m:oMath>
        <m:r>
          <w:rPr>
            <w:rFonts w:ascii="Cambria Math" w:hAnsi="Cambria Math"/>
          </w:rPr>
          <m:t>Ri&lt;0</m:t>
        </m:r>
      </m:oMath>
      <w:r w:rsidR="000B1F38" w:rsidRPr="000B1F38">
        <w:t xml:space="preserve"> the flow will be convectively unstable, meaning that it will become turbulent even </w:t>
      </w:r>
      <w:r w:rsidR="000B1F38">
        <w:t xml:space="preserve">in the absence of </w:t>
      </w:r>
      <w:r w:rsidR="000B1F38" w:rsidRPr="000B1F38">
        <w:t>an initial disturbance</w:t>
      </w:r>
      <w:r w:rsidR="008E1814">
        <w:t xml:space="preserve"> </w:t>
      </w:r>
      <w:r w:rsidR="008E1814">
        <w:rPr>
          <w:rFonts w:eastAsiaTheme="minorEastAsia"/>
        </w:rPr>
        <w:fldChar w:fldCharType="begin" w:fldLock="1"/>
      </w:r>
      <w:r w:rsidR="00776335">
        <w:rPr>
          <w:rFonts w:eastAsiaTheme="minorEastAsia"/>
        </w:rPr>
        <w:instrText>ADDIN CSL_CITATION {"citationItems":[{"id":"ITEM-1","itemData":{"author":[{"dropping-particle":"","family":"Nappo","given":"Carmen J.","non-dropping-particle":"","parse-names":false,"suffix":""}],"id":"ITEM-1","issued":{"date-parts":[["2012"]]},"number-of-pages":"29-56","title":"International Geophysics: The Linear Theory","type":"book","volume":"102"},"uris":["http://www.mendeley.com/documents/?uuid=3d0f0a75-b780-47bd-bb22-3b71a78d2b10"]}],"mendeley":{"formattedCitation":"(Nappo, 2012)","plainTextFormattedCitation":"(Nappo, 2012)","previouslyFormattedCitation":"(Nappo, 2012)"},"properties":{"noteIndex":0},"schema":"https://github.com/citation-style-language/schema/raw/master/csl-citation.json"}</w:instrText>
      </w:r>
      <w:r w:rsidR="008E1814">
        <w:rPr>
          <w:rFonts w:eastAsiaTheme="minorEastAsia"/>
        </w:rPr>
        <w:fldChar w:fldCharType="separate"/>
      </w:r>
      <w:r w:rsidR="008E1814" w:rsidRPr="006A1948">
        <w:rPr>
          <w:rFonts w:eastAsiaTheme="minorEastAsia"/>
          <w:noProof/>
        </w:rPr>
        <w:t>(Nappo, 2012)</w:t>
      </w:r>
      <w:r w:rsidR="008E1814">
        <w:rPr>
          <w:rFonts w:eastAsiaTheme="minorEastAsia"/>
        </w:rPr>
        <w:fldChar w:fldCharType="end"/>
      </w:r>
      <w:r w:rsidR="000B1F38" w:rsidRPr="000B1F38">
        <w:t>.</w:t>
      </w:r>
    </w:p>
    <w:p w14:paraId="50227F90" w14:textId="3560570C" w:rsidR="00646776" w:rsidRDefault="00646776" w:rsidP="00646776">
      <w:pPr>
        <w:pStyle w:val="Heading2"/>
      </w:pPr>
      <w:r>
        <w:t xml:space="preserve">Naturally </w:t>
      </w:r>
      <w:r w:rsidR="00DA363D">
        <w:t>o</w:t>
      </w:r>
      <w:r w:rsidR="005A1BF0">
        <w:t xml:space="preserve">ccurring </w:t>
      </w:r>
      <w:r w:rsidR="00DA363D">
        <w:t>d</w:t>
      </w:r>
      <w:r w:rsidR="005A1BF0">
        <w:t>ead</w:t>
      </w:r>
      <w:r>
        <w:t xml:space="preserve"> </w:t>
      </w:r>
      <w:r w:rsidR="00DA363D">
        <w:t>w</w:t>
      </w:r>
      <w:r>
        <w:t>ater</w:t>
      </w:r>
    </w:p>
    <w:p w14:paraId="39FA51B9" w14:textId="3FF33803" w:rsidR="00646776" w:rsidRDefault="00646776" w:rsidP="005D05AE">
      <w:pPr>
        <w:jc w:val="both"/>
      </w:pPr>
      <w:r>
        <w:t xml:space="preserve">The specific case of flow stratification being investigated </w:t>
      </w:r>
      <w:r w:rsidR="005D05AE">
        <w:t>herein</w:t>
      </w:r>
      <w:r>
        <w:t xml:space="preserve"> is the ‘dead water effect’ a phenomenon that creates an increase in the resistance of a body moving in a stable, distinctly stratified fluid, due to the generation of internal waves between two stratified layers. </w:t>
      </w:r>
    </w:p>
    <w:p w14:paraId="41DD738E" w14:textId="32D944A3" w:rsidR="00646776" w:rsidRDefault="00646776" w:rsidP="00B142F4">
      <w:pPr>
        <w:jc w:val="both"/>
      </w:pPr>
      <w:r>
        <w:t xml:space="preserve">A pycnocline refers to the region of a body of fluid where the rate of change of density is greatest. For a ship moving through a stratified fluid this refers to the thin plane that separates the two distinct layers. However, in the oceanic context the pycnocline is a large volume of water hundreds of </w:t>
      </w:r>
      <w:r w:rsidR="009D08C2">
        <w:t xml:space="preserve">metres </w:t>
      </w:r>
      <w:r>
        <w:t xml:space="preserve">deep that is characterised by a large </w:t>
      </w:r>
      <w:r>
        <w:lastRenderedPageBreak/>
        <w:t>increase in density with depth. This differentiates it from the mixed (surface) layer and deep layer where density distribution is largely constant. Depending on latitude and weather the pycnocline layer can be present at the ocean’s surface, with no mixed layer present</w:t>
      </w:r>
      <w:r w:rsidR="005A1BF0">
        <w:t xml:space="preserve"> </w:t>
      </w:r>
      <w:r w:rsidR="005A1BF0">
        <w:fldChar w:fldCharType="begin" w:fldLock="1"/>
      </w:r>
      <w:r w:rsidR="00010ECE">
        <w:instrText>ADDIN CSL_CITATION {"citationItems":[{"id":"ITEM-1","itemData":{"DOI":"10.1023/B:JOCE.0000038323.62130.a0","ISSN":"09168370","abstract":"We present a compilation of apparent oxygen utilization (AOU) changes observed in the upper pycnocline of the North Pacific Ocean over the last several decades. The goal here is to place previously-published data in a common format, and assess the causes of the observed changes. The general trend along repeat cross sections of the eastern and western subtropical ocean and the subarctic ocean is an increase in AOU from the mid 1980s to the mid 1990s. AOU has also been increasing in a time-series study in the northwest subarctic Ocean off of Japan since the late 1960s. Observed AOU changes south of 35°N in the subtropical ocean are 10-20 μmol kg-1, with much greater changes, reaching 60-80 μmol kg-1 in isolated areas, in the subtropical/subarctic boundary and the subarctic ocean. Analysis of changes in both AOU and salinity on isopycnals suggests that there are significant salinity-normalized increases that must be due to alteration in the rate of ventilation or organic matter degradation. A common feature in the data is that the maximum increase in AOU is centered near the density horizon σθ = 26.6. Time series results from the Oyashio Current region near the winter outcrop area of this density horizon indicate that surface waters there have become fresher with time, which may mean this density surface has ceased to outcrop in the latter decades of the 20th century. Whether this is due to natural decadal-scale changes or anthropogenic influences can be decided by determining future trends in AOU on these density surfaces. © The Oceanographic Society of Japan.","author":[{"dropping-particle":"","family":"Emerson","given":"Steven","non-dropping-particle":"","parse-names":false,"suffix":""},{"dropping-particle":"","family":"Watanabe","given":"Yutaka W.","non-dropping-particle":"","parse-names":false,"suffix":""},{"dropping-particle":"","family":"Ono","given":"Tsuneo","non-dropping-particle":"","parse-names":false,"suffix":""},{"dropping-particle":"","family":"Mecking","given":"Sabine","non-dropping-particle":"","parse-names":false,"suffix":""}],"container-title":"Journal of Oceanography","id":"ITEM-1","issue":"1","issued":{"date-parts":[["2004"]]},"page":"139-147","title":"Temporal trends in apparent oxygen utilization in the upper pycnocline of the North Pacific: 1980-2000","type":"article-journal","volume":"60"},"uris":["http://www.mendeley.com/documents/?uuid=a11ed2eb-81a4-43f6-ae0d-098f7140903c","http://www.mendeley.com/documents/?uuid=0e924238-acd6-4f41-a24e-7ac1e1c718f8"]}],"mendeley":{"formattedCitation":"(Emerson et al., 2004)","plainTextFormattedCitation":"(Emerson et al., 2004)","previouslyFormattedCitation":"(Emerson et al., 2004)"},"properties":{"noteIndex":0},"schema":"https://github.com/citation-style-language/schema/raw/master/csl-citation.json"}</w:instrText>
      </w:r>
      <w:r w:rsidR="005A1BF0">
        <w:fldChar w:fldCharType="separate"/>
      </w:r>
      <w:r w:rsidR="005A1BF0" w:rsidRPr="005A1BF0">
        <w:rPr>
          <w:noProof/>
        </w:rPr>
        <w:t>(Emerson et al., 2004)</w:t>
      </w:r>
      <w:r w:rsidR="005A1BF0">
        <w:fldChar w:fldCharType="end"/>
      </w:r>
      <w:r>
        <w:t xml:space="preserve">. This results in a linearly stratified ocean surface with a gradually increasing density gradient. </w:t>
      </w:r>
      <w:r w:rsidR="0007529B">
        <w:t>A</w:t>
      </w:r>
      <w:r>
        <w:t xml:space="preserve"> linear stratification can still create internal waves and increased resistance as shown by </w:t>
      </w:r>
      <w:r w:rsidR="005A1BF0">
        <w:fldChar w:fldCharType="begin" w:fldLock="1"/>
      </w:r>
      <w:r w:rsidR="00010ECE">
        <w:instrText>ADDIN CSL_CITATION {"citationItems":[{"id":"ITEM-1","itemData":{"DOI":"10.5194/npg-18-193-2011","ISSN":"16077946","abstract":"We revisit experimental studies performed by Ekman on dead-water (Ekman, 1904) using modern techniques in order to present new insights on this peculiar phenomenon. We extend its description to more general situations such as a three-layer fluid or a linearly stratified fluid in presence of a pycnocline, showing the robustness of dead-water phenomenon. We observe large amplitude nonlinear internal waves which are coupled to the boat dynamics, and we emphasize that the modeling of the wave-induced drag requires more analysis, taking into account nonlinear effects. © 2011 Author(s).","author":[{"dropping-particle":"","family":"Mercier","given":"M. J.","non-dropping-particle":"","parse-names":false,"suffix":""},{"dropping-particle":"","family":"Vasseur","given":"R.","non-dropping-particle":"","parse-names":false,"suffix":""},{"dropping-particle":"","family":"Dauxois","given":"T.","non-dropping-particle":"","parse-names":false,"suffix":""}],"container-title":"Nonlinear Processes in Geophysics","id":"ITEM-1","issue":"2","issued":{"date-parts":[["2011"]]},"page":"193-208","title":"Resurrecting dead-water phenomenon","type":"article-journal","volume":"18"},"uris":["http://www.mendeley.com/documents/?uuid=4aa65bed-7f5e-4843-a686-a5fffa7d9509","http://www.mendeley.com/documents/?uuid=937e4c22-c6c5-489a-84ea-4a2009c6536b"]}],"mendeley":{"formattedCitation":"(Mercier et al., 2011)","manualFormatting":"Mercier et al. (2011)","plainTextFormattedCitation":"(Mercier et al., 2011)","previouslyFormattedCitation":"(Mercier et al., 2011)"},"properties":{"noteIndex":0},"schema":"https://github.com/citation-style-language/schema/raw/master/csl-citation.json"}</w:instrText>
      </w:r>
      <w:r w:rsidR="005A1BF0">
        <w:fldChar w:fldCharType="separate"/>
      </w:r>
      <w:r w:rsidR="005A1BF0" w:rsidRPr="005A1BF0">
        <w:rPr>
          <w:noProof/>
        </w:rPr>
        <w:t xml:space="preserve">Mercier et al. </w:t>
      </w:r>
      <w:r w:rsidR="0007529B">
        <w:rPr>
          <w:noProof/>
        </w:rPr>
        <w:t>(</w:t>
      </w:r>
      <w:r w:rsidR="005A1BF0" w:rsidRPr="005A1BF0">
        <w:rPr>
          <w:noProof/>
        </w:rPr>
        <w:t>2011)</w:t>
      </w:r>
      <w:r w:rsidR="005A1BF0">
        <w:fldChar w:fldCharType="end"/>
      </w:r>
      <w:r>
        <w:t>.</w:t>
      </w:r>
    </w:p>
    <w:p w14:paraId="29B9637C" w14:textId="50948D13" w:rsidR="005A1BF0" w:rsidRDefault="00646776" w:rsidP="0007529B">
      <w:pPr>
        <w:jc w:val="both"/>
      </w:pPr>
      <w:r>
        <w:t xml:space="preserve">It is possible for a thin pycnocline between two distinct layers to occur close to the ocean’s surface under specific circumstances. A layer of warmer fresh water can be generated on top of colder sea water due to ice melting from a glacier or other similar processes </w:t>
      </w:r>
      <w:r w:rsidR="005A1BF0">
        <w:fldChar w:fldCharType="begin" w:fldLock="1"/>
      </w:r>
      <w:r w:rsidR="00010ECE">
        <w:instrText>ADDIN CSL_CITATION {"citationItems":[{"id":"ITEM-1","itemData":{"author":[{"dropping-particle":"","family":"Grue","given":"John","non-dropping-particle":"","parse-names":false,"suffix":""}],"container-title":"The Ocean in Motion","id":"ITEM-1","issued":{"date-parts":[["2018"]]},"page":"41-53","title":"Calculating FRAM’s dead water","type":"chapter"},"uris":["http://www.mendeley.com/documents/?uuid=7bfe5507-1964-48dd-95d3-836364c23f04","http://www.mendeley.com/documents/?uuid=7d51133f-ff8d-4492-9373-713d86903454"]}],"mendeley":{"formattedCitation":"(Grue, 2018)","plainTextFormattedCitation":"(Grue, 2018)","previouslyFormattedCitation":"(Grue, 2018)"},"properties":{"noteIndex":0},"schema":"https://github.com/citation-style-language/schema/raw/master/csl-citation.json"}</w:instrText>
      </w:r>
      <w:r w:rsidR="005A1BF0">
        <w:fldChar w:fldCharType="separate"/>
      </w:r>
      <w:r w:rsidR="005A1BF0" w:rsidRPr="005A1BF0">
        <w:rPr>
          <w:noProof/>
        </w:rPr>
        <w:t>(Grue, 2018)</w:t>
      </w:r>
      <w:r w:rsidR="005A1BF0">
        <w:fldChar w:fldCharType="end"/>
      </w:r>
      <w:r w:rsidR="005A1BF0">
        <w:t>.</w:t>
      </w:r>
      <w:r>
        <w:t xml:space="preserve"> This creates perfect conditions for the generation of internal waves if a moving body like a ship passes through this region. The dead water effect will create a large increase in resistance when a ship moves through this region with a speed close to the celerity of the internal waves being  generated </w:t>
      </w:r>
      <w:r w:rsidR="005A1BF0">
        <w:fldChar w:fldCharType="begin" w:fldLock="1"/>
      </w:r>
      <w:r w:rsidR="005A1BF0">
        <w:instrText>ADDIN CSL_CITATION {"citationItems":[{"id":"ITEM-1","itemData":{"DOI":"10.1063/1.4928411","ISSN":"10897666","abstract":"The dead water resistance F1 = 1 2Cdw ρSU2 (ρ fluid density, U ship speed, S wetted body surface, Cdw resistance coefficient) on a ship moving at subcritical speed along the upper layer of a two-layer fluid is calculated by a strongly nonlinear method assuming potential flow in each layer. The ship dimensions correspond to those of the Polar ship Fram. The ship draught, b0, is varied in the range 0.25h0-0.9h0 (h0 the upper layer depth). The calculations show that Cdw/(b0/h0)2 depends on the Froude number only, in the range close to critical speed, Fr = U/c0 ~ 0.875-1.125 (c0 the linear internal long wave speed), irrespective of the ship draught. The function Cdw/(b0/h0)2 attains a maximum at subcritical Froude number depending on the draught. Maximum Cdw/(b0/h0)2 becomes 0.15 for Fr = 0.76, b0/h0 = 0.9, and 0.16 for Fr = 0.74, b0/h0 = 1, where the latter extrapolated value of the dead water resistance coefficient is about 60 times higher than the frictional drag coefficient and relevant for the historical dead water observations. The nonlinear Cdw significantly exceeds linear theory (Fr &lt; 0.85). The ship generated waves have a wave height comparable to the upper layer depth. Calculations of three-dimensional wave patterns at critical speed compare well to available laboratory experiments. Upstream solitary waves are generated in a wave tank of finite width, when the layer depths differ, causing an oscillation of the force. In a wide ocean, a very wide wave system develops at critical speed. The force approaches a constant value for increasing time.","author":[{"dropping-particle":"","family":"Grue","given":"John","non-dropping-particle":"","parse-names":false,"suffix":""}],"container-title":"Physics of Fluids","id":"ITEM-1","issue":"8","issued":{"date-parts":[["2015"]]},"title":"Nonlinear dead water resistance at subcritical speed","type":"article-journal","volume":"27"},"uris":["http://www.mendeley.com/documents/?uuid=44cc5aa7-31f5-40ea-a39e-c8c0342b255a"]}],"mendeley":{"formattedCitation":"(Grue, 2015)","plainTextFormattedCitation":"(Grue, 2015)","previouslyFormattedCitation":"(Grue, 2015)"},"properties":{"noteIndex":0},"schema":"https://github.com/citation-style-language/schema/raw/master/csl-citation.json"}</w:instrText>
      </w:r>
      <w:r w:rsidR="005A1BF0">
        <w:fldChar w:fldCharType="separate"/>
      </w:r>
      <w:r w:rsidR="005A1BF0" w:rsidRPr="005A1BF0">
        <w:rPr>
          <w:noProof/>
        </w:rPr>
        <w:t>(Grue, 2015)</w:t>
      </w:r>
      <w:r w:rsidR="005A1BF0">
        <w:fldChar w:fldCharType="end"/>
      </w:r>
      <w:r w:rsidR="005A1BF0">
        <w:t>.</w:t>
      </w:r>
    </w:p>
    <w:p w14:paraId="54ADFB89" w14:textId="480758F7" w:rsidR="00646776" w:rsidRDefault="00646776" w:rsidP="00E5358B">
      <w:pPr>
        <w:jc w:val="both"/>
      </w:pPr>
      <w:r>
        <w:t>The most frequent cause of naturally occurring dead water is runoff from melting glaciers deposi</w:t>
      </w:r>
      <w:r w:rsidR="00E5358B">
        <w:t>ting</w:t>
      </w:r>
      <w:r>
        <w:t xml:space="preserve"> warmer, fresh water on top of oceanic salt water, particularly in fjord regions </w:t>
      </w:r>
      <w:r w:rsidR="005A1BF0">
        <w:fldChar w:fldCharType="begin" w:fldLock="1"/>
      </w:r>
      <w:r w:rsidR="00010ECE">
        <w:instrText>ADDIN CSL_CITATION {"citationItems":[{"id":"ITEM-1","itemData":{"author":[{"dropping-particle":"","family":"Grue","given":"John","non-dropping-particle":"","parse-names":false,"suffix":""}],"container-title":"The Ocean in Motion","id":"ITEM-1","issued":{"date-parts":[["2018"]]},"page":"41-53","title":"Calculating FRAM’s dead water","type":"chapter"},"uris":["http://www.mendeley.com/documents/?uuid=7bfe5507-1964-48dd-95d3-836364c23f04","http://www.mendeley.com/documents/?uuid=7d51133f-ff8d-4492-9373-713d86903454"]}],"mendeley":{"formattedCitation":"(Grue, 2018)","plainTextFormattedCitation":"(Grue, 2018)","previouslyFormattedCitation":"(Grue, 2018)"},"properties":{"noteIndex":0},"schema":"https://github.com/citation-style-language/schema/raw/master/csl-citation.json"}</w:instrText>
      </w:r>
      <w:r w:rsidR="005A1BF0">
        <w:fldChar w:fldCharType="separate"/>
      </w:r>
      <w:r w:rsidR="005A1BF0" w:rsidRPr="005A1BF0">
        <w:rPr>
          <w:noProof/>
        </w:rPr>
        <w:t>(Grue, 2018)</w:t>
      </w:r>
      <w:r w:rsidR="005A1BF0">
        <w:fldChar w:fldCharType="end"/>
      </w:r>
      <w:r>
        <w:t xml:space="preserve">.  According to </w:t>
      </w:r>
      <w:r w:rsidR="005A1BF0">
        <w:fldChar w:fldCharType="begin" w:fldLock="1"/>
      </w:r>
      <w:r w:rsidR="00010ECE">
        <w:instrText>ADDIN CSL_CITATION {"citationItems":[{"id":"ITEM-1","itemData":{"DOI":"10.1002/jgrc.20134","ISSN":"21699291","abstract":"The Greenland Ice Sheet releases large amounts of freshwater into the fjords around Greenland and many fjords are in direct contact with the ice sheet through tidewater outlet glaciers. Here we present the first seasonal hydrographic observations from the inner part of a sub-Arctic fjord, relatively close to and within 4-50 km of a fast-flowing tidewater outlet glacier. This region is characterized by a dense glacial and sea ice cover. Freshwater from runoff, subglacial freshwater (SgFW) discharge, glacial, and sea ice melt are observed above 50-90m depth. During summer, SgFW and subsurface glacial melt mixed with ambient water are observed as a layered structure in the temperature profiles below the low-saline summer surface layer (&lt;7 m). During winter, the upper water column is characterized by stepwise halo- and thermoclines formed by mixing between deeper layers and the surface layer influenced by ice melt. The warm (T&gt;1°C) intermediate water mass is a significant subsurface heat source for ice melt. We analyze the temperature and salinity profiles observed in late summer with a thermodynamic mixing model and determine the total freshwater content in the layer below the summer surface layer to be between 5% and 11%. The total freshwater contribution in this layer from melted glacial ice was estimated to be 1-2%, while the corresponding SgFW was estimated to be 3-10%. The winter measurements in the subsurface halocline layer showed a total freshwater content of about 1% and no significant contribution from SgFW. © 2013. American Geophysical Union. All Rights Reserved.","author":[{"dropping-particle":"","family":"Mortensen","given":"J.","non-dropping-particle":"","parse-names":false,"suffix":""},{"dropping-particle":"","family":"Bendtsen","given":"J.","non-dropping-particle":"","parse-names":false,"suffix":""},{"dropping-particle":"","family":"Motyka","given":"R. J.","non-dropping-particle":"","parse-names":false,"suffix":""},{"dropping-particle":"","family":"Lennert","given":"K.","non-dropping-particle":"","parse-names":false,"suffix":""},{"dropping-particle":"","family":"Truffer","given":"M.","non-dropping-particle":"","parse-names":false,"suffix":""},{"dropping-particle":"","family":"Fahnestock","given":"M.","non-dropping-particle":"","parse-names":false,"suffix":""},{"dropping-particle":"","family":"Rysgaard","given":"S.","non-dropping-particle":"","parse-names":false,"suffix":""}],"container-title":"Journal of Geophysical Research: Oceans","id":"ITEM-1","issue":"3","issued":{"date-parts":[["2013"]]},"page":"1382-1395","title":"On the seasonal freshwater stratification in the proximity of fast-flowing tidewater outlet glaciers in a sub-Arctic sill fjord","type":"article-journal","volume":"118"},"uris":["http://www.mendeley.com/documents/?uuid=30399b32-5978-4ab1-9d76-bb94bcca1a3d","http://www.mendeley.com/documents/?uuid=8be789ab-0464-425d-8bd7-97f8fd8c0793"]}],"mendeley":{"formattedCitation":"(Mortensen et al., 2013)","manualFormatting":"Mortensen et al. (2013)","plainTextFormattedCitation":"(Mortensen et al., 2013)","previouslyFormattedCitation":"(Mortensen et al., 2013)"},"properties":{"noteIndex":0},"schema":"https://github.com/citation-style-language/schema/raw/master/csl-citation.json"}</w:instrText>
      </w:r>
      <w:r w:rsidR="005A1BF0">
        <w:fldChar w:fldCharType="separate"/>
      </w:r>
      <w:r w:rsidR="005A1BF0" w:rsidRPr="005A1BF0">
        <w:rPr>
          <w:noProof/>
        </w:rPr>
        <w:t xml:space="preserve">Mortensen et al. </w:t>
      </w:r>
      <w:r w:rsidR="00E5358B">
        <w:rPr>
          <w:noProof/>
        </w:rPr>
        <w:t>(</w:t>
      </w:r>
      <w:r w:rsidR="005A1BF0" w:rsidRPr="005A1BF0">
        <w:rPr>
          <w:noProof/>
        </w:rPr>
        <w:t>2013)</w:t>
      </w:r>
      <w:r w:rsidR="005A1BF0">
        <w:fldChar w:fldCharType="end"/>
      </w:r>
      <w:r>
        <w:t xml:space="preserve"> the pycnocline  between fresh and salt water for a standard glacial fjord is only observed between 30 and 90m during summer months and between 16 and 40m in winter months. This results in a net change in minimum pycnocline depth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t>) of 14m and a net change in maximum pycnocline depth (</w:t>
      </w:r>
      <m:oMath>
        <m:sSub>
          <m:sSubPr>
            <m:ctrlPr>
              <w:rPr>
                <w:rFonts w:ascii="Cambria Math" w:hAnsi="Cambria Math"/>
                <w:i/>
              </w:rPr>
            </m:ctrlPr>
          </m:sSubPr>
          <m:e>
            <m:r>
              <w:rPr>
                <w:rFonts w:ascii="Cambria Math" w:hAnsi="Cambria Math"/>
              </w:rPr>
              <m:t>h</m:t>
            </m:r>
          </m:e>
          <m:sub>
            <m:r>
              <w:rPr>
                <w:rFonts w:ascii="Cambria Math" w:hAnsi="Cambria Math"/>
              </w:rPr>
              <m:t>max</m:t>
            </m:r>
          </m:sub>
        </m:sSub>
      </m:oMath>
      <w:r>
        <w:t xml:space="preserve">) of 50m. </w:t>
      </w:r>
    </w:p>
    <w:p w14:paraId="0AF2FEDC" w14:textId="37AC4EA8" w:rsidR="005A1BF0" w:rsidRDefault="005A1BF0" w:rsidP="007D1E04">
      <w:pPr>
        <w:jc w:val="both"/>
      </w:pPr>
      <w:r>
        <w:fldChar w:fldCharType="begin" w:fldLock="1"/>
      </w:r>
      <w:r w:rsidR="00010ECE">
        <w:instrText>ADDIN CSL_CITATION {"citationItems":[{"id":"ITEM-1","itemData":{"author":[{"dropping-particle":"","family":"Johannesson","given":"T","non-dropping-particle":"","parse-names":false,"suffix":""},{"dropping-particle":"","family":"Sigurdsson","given":"O","non-dropping-particle":"","parse-names":false,"suffix":""},{"dropping-particle":"","family":"Laumann","given":"T","non-dropping-particle":"","parse-names":false,"suffix":""},{"dropping-particle":"","family":"M","given":"Kennett","non-dropping-particle":"","parse-names":false,"suffix":""}],"container-title":"Journal of Glaciology","id":"ITEM-1","issue":"138","issued":{"date-parts":[["1995"]]},"title":"Degree-day glacier modelling with applications to glaciers in Iceland, Norway and Greenland","type":"article-journal","volume":"41"},"uris":["http://www.mendeley.com/documents/?uuid=ff17c1ed-af92-4f47-afc5-d9254104aeb6","http://www.mendeley.com/documents/?uuid=5891edb1-82a0-4fbf-b2b3-3a6d0484ab3b"]}],"mendeley":{"formattedCitation":"(Johannesson et al., 1995)","manualFormatting":"Johannesson et al. (1995)","plainTextFormattedCitation":"(Johannesson et al., 1995)","previouslyFormattedCitation":"(Johannesson et al., 1995)"},"properties":{"noteIndex":0},"schema":"https://github.com/citation-style-language/schema/raw/master/csl-citation.json"}</w:instrText>
      </w:r>
      <w:r>
        <w:fldChar w:fldCharType="separate"/>
      </w:r>
      <w:r w:rsidRPr="005A1BF0">
        <w:rPr>
          <w:noProof/>
        </w:rPr>
        <w:t xml:space="preserve">Johannesson et al. </w:t>
      </w:r>
      <w:r w:rsidR="007D2B5B">
        <w:rPr>
          <w:noProof/>
        </w:rPr>
        <w:t>(</w:t>
      </w:r>
      <w:r w:rsidRPr="005A1BF0">
        <w:rPr>
          <w:noProof/>
        </w:rPr>
        <w:t>1995)</w:t>
      </w:r>
      <w:r>
        <w:fldChar w:fldCharType="end"/>
      </w:r>
      <w:r w:rsidR="00646776">
        <w:t xml:space="preserve"> </w:t>
      </w:r>
      <w:r w:rsidR="00DF2ED5">
        <w:t xml:space="preserve">predict </w:t>
      </w:r>
      <w:r w:rsidR="00646776">
        <w:t>glacial mass changes between 5 and 10m w.e</w:t>
      </w:r>
      <w:r w:rsidR="00F121C3">
        <w:t>.</w:t>
      </w:r>
      <w:r w:rsidR="00DF2ED5">
        <w:t xml:space="preserve"> (</w:t>
      </w:r>
      <w:r w:rsidR="00A95CF7">
        <w:t>metre</w:t>
      </w:r>
      <w:r w:rsidR="00A95CF7" w:rsidRPr="00033630">
        <w:t xml:space="preserve"> </w:t>
      </w:r>
      <w:r w:rsidR="00033630" w:rsidRPr="00033630">
        <w:t>water equivalent from summer to winter</w:t>
      </w:r>
      <w:r w:rsidR="00033630">
        <w:t>;</w:t>
      </w:r>
      <w:r w:rsidR="00033630" w:rsidRPr="00033630">
        <w:t xml:space="preserve"> a measure of the total volume of water lost divided by the surface area of the glacier</w:t>
      </w:r>
      <w:r w:rsidR="00033630">
        <w:t xml:space="preserve">, </w:t>
      </w:r>
      <w:r w:rsidR="00033630" w:rsidRPr="00033630">
        <w:t>represents the ’depth’ of water into the glacier that has melted</w:t>
      </w:r>
      <w:r w:rsidR="00033630">
        <w:t xml:space="preserve"> </w:t>
      </w:r>
      <w:r w:rsidR="00646776">
        <w:t>from summer to winter</w:t>
      </w:r>
      <w:r w:rsidR="00033630">
        <w:t>)</w:t>
      </w:r>
      <w:r w:rsidR="00646776">
        <w:t xml:space="preserve">. It is this change in glacial mass that results in the increase in pycnocline depth, due to the large amount of fresh water being deposited onto the ocean surface by the melting glacier. According to the climate forecast by </w:t>
      </w:r>
      <w:r>
        <w:fldChar w:fldCharType="begin" w:fldLock="1"/>
      </w:r>
      <w:r w:rsidR="00010ECE">
        <w:instrText xml:space="preserve">ADDIN CSL_CITATION {"citationItems":[{"id":"ITEM-1","itemData":{"DOI":"10.1016/j.gloplacha.2006.08.004","ISSN":"09218181","abstract":"Documentation of glacier changes is a key element for reconstruction of past climate variability and early detection of global climate change. In this paper, records of Holocene glacier variations in different regions in Norway have been synthesised. During the period from approximately 8000 to 4000 cal. yr BP, most glaciers in Norway were completely melted away at least once due to high summer temperatures and/or reduced winter precipitation. Lichenometrically and historically dated moraines at Jostedalsbreen, in Jotunheimen, at Hardangerjøkulen, and at Folgefonna were used to extend records of glacier length variations back to their maximum position during the 'Little Ice Age'. The timing of the maximum 'Little Ice Age' glacial advance in different parts of southern Norway varied considerably, ranging from the early 18th century to the late 19th century. Cumulative glacier length variations of glaciers in southern Norway show an overall retreat from </w:instrText>
      </w:r>
      <w:r w:rsidR="00010ECE">
        <w:rPr>
          <w:rFonts w:ascii="Cambria Math" w:hAnsi="Cambria Math" w:cs="Cambria Math"/>
        </w:rPr>
        <w:instrText>∼</w:instrText>
      </w:r>
      <w:r w:rsidR="00010ECE">
        <w:instrText xml:space="preserve"> AD 1750 to the 1930s-40s. Thereafter, most Norwegian glaciers retreated significantly. Short maritime outlet glaciers with a short response time (&lt; 10-15 yr) started to advance in the mid-1950s, whereas long outlet glaciers with longer frontal time lag (&gt; 15-20 yr) continued their retreat to the 1980s. In the 1990s, however, several of the maritime glaciers started to advance as a response to higher winter accumulation during the first part of the 1990s. Since 2000 most of the observed glaciers have retreated remarkably fast (annual frontal retreat &gt; 100 m) mainly due to high summer temperatures. The last glacier inventory in Norway published in 1988 shows that there were 1627 glaciers covering a total area of 2609 km2 with an estimated volume of 164 km3. Modern climate-glacier relationships from mass balance data in Scandinavia have been used to present possible effects on the Norwegian glaciers of climate scenarios between 1961-1990 and 2070-2100 presented by the 'RegClim' project. This long-term weather 'forecast' for western Norway indicates a rise in the summer temperature of 2.3 °C and an increase in the winter precipitation of 16% by the end of the 21st century. This climate scenario may, if it occurs, cause the equilibrium-line altitude (ELA) to rise 260 ± 50 m. As a result, about 98% of the Norwegian glaciers are likely to disappear and the glacier area may be reduced </w:instrText>
      </w:r>
      <w:r w:rsidR="00010ECE">
        <w:rPr>
          <w:rFonts w:ascii="Cambria Math" w:hAnsi="Cambria Math" w:cs="Cambria Math"/>
        </w:rPr>
        <w:instrText>∼</w:instrText>
      </w:r>
      <w:r w:rsidR="00010ECE">
        <w:instrText xml:space="preserve"> 34% by AD 2100. </w:instrText>
      </w:r>
      <w:r w:rsidR="00010ECE">
        <w:rPr>
          <w:rFonts w:cs="Palatino Linotype"/>
        </w:rPr>
        <w:instrText>©</w:instrText>
      </w:r>
      <w:r w:rsidR="00010ECE">
        <w:instrText xml:space="preserve"> 2007 Elsevier B.V. All rights reserved.","author":[{"dropping-particle":"","family":"Nesje","given":"Atle","non-dropping-particle":"","parse-names":false,"suffix":""},{"dropping-particle":"","family":"Bakke","given":"Jostein","non-dropping-particle":"","parse-names":false,"suffix":""},{"dropping-particle":"","family":"Dahl","given":"Svein Olaf","non-dropping-particle":"","parse-names":false,"suffix":""},{"dropping-particle":"","family":"Lie","given":"Øyvind","non-dropping-particle":"","parse-names":false,"suffix":""},{"dropping-particle":"","family":"Matthews","given":"John A.","non-dropping-particle":"","parse-names":false,"suffix":""}],"container-title":"Global and Planetary Change","id":"ITEM-1","issue":"1-2","issued":{"date-parts":[["2008"]]},"page":"10-27","title":"Norwegian mountain glaciers in the past, present and future","type":"article-journal","volume":"60"},"uris":["http://www.mendeley.com/documents/?uuid=a70684f1-c998-4411-9d12-4288c2256174","http://www.mendeley.com/documents/?uuid=aa3042dc-e4c8-4300-bd33-d690ba3b4389"]}],"mendeley":{"formattedCitation":"(Nesje et al., 2008)","manualFormatting":"Nesje et al. (2008)","plainTextFormattedCitation":"(Nesje et al., 2008)","previouslyFormattedCitation":"(Nesje et al., 2008)"},"properties":{"noteIndex":0},"schema":"https://github.com/citation-style-language/schema/raw/master/csl-citation.json"}</w:instrText>
      </w:r>
      <w:r>
        <w:fldChar w:fldCharType="separate"/>
      </w:r>
      <w:r w:rsidRPr="005A1BF0">
        <w:rPr>
          <w:noProof/>
        </w:rPr>
        <w:t xml:space="preserve">Nesje et al. </w:t>
      </w:r>
      <w:r w:rsidR="007D2B5B">
        <w:rPr>
          <w:noProof/>
        </w:rPr>
        <w:t>(</w:t>
      </w:r>
      <w:r w:rsidRPr="005A1BF0">
        <w:rPr>
          <w:noProof/>
        </w:rPr>
        <w:t>2008)</w:t>
      </w:r>
      <w:r>
        <w:fldChar w:fldCharType="end"/>
      </w:r>
      <w:r w:rsidR="00646776">
        <w:t xml:space="preserve"> climate change could lead to a total glacial melting of up to 140±30m w.e. of ice by</w:t>
      </w:r>
      <w:r w:rsidR="007D1E04">
        <w:t xml:space="preserve"> the year</w:t>
      </w:r>
      <w:r w:rsidR="00646776">
        <w:t xml:space="preserve"> 2100. Due to the limited research pe</w:t>
      </w:r>
      <w:r w:rsidR="00A95CF7">
        <w:t>r</w:t>
      </w:r>
      <w:r w:rsidR="00646776">
        <w:t xml:space="preserve">formed in this area it is not possible to confidently say how exactly this increase in glacial melting will affect pycnocline depth, but it is foreseeable that pycnocline depth would increase. </w:t>
      </w:r>
    </w:p>
    <w:p w14:paraId="3FF296CE" w14:textId="0E31EFF8" w:rsidR="00646776" w:rsidRDefault="00646776" w:rsidP="005A1BF0">
      <w:pPr>
        <w:pStyle w:val="Heading2"/>
      </w:pPr>
      <w:r>
        <w:t xml:space="preserve">Internal </w:t>
      </w:r>
      <w:r w:rsidR="00DA363D">
        <w:t>w</w:t>
      </w:r>
      <w:r>
        <w:t>aves</w:t>
      </w:r>
    </w:p>
    <w:p w14:paraId="0745322C" w14:textId="1FFD58E1" w:rsidR="002D4716" w:rsidRDefault="00646776" w:rsidP="002D4716">
      <w:pPr>
        <w:jc w:val="both"/>
      </w:pPr>
      <w:r>
        <w:t xml:space="preserve">In </w:t>
      </w:r>
      <w:r w:rsidR="007D1E04">
        <w:t>a</w:t>
      </w:r>
      <w:r>
        <w:t xml:space="preserve"> stably stratified environment, any disturbances such as wind or the motion of a body within the fluid can create internal waves.  These waves can occur for distinctly stratified or linearly stratified environment</w:t>
      </w:r>
      <w:r w:rsidR="00D352E5">
        <w:t>s</w:t>
      </w:r>
      <w:r>
        <w:t xml:space="preserve">, such as within the oceanic pycnocline. Oceanic internal waves can travel over extremely long distances and can be observed </w:t>
      </w:r>
      <w:r>
        <w:lastRenderedPageBreak/>
        <w:t xml:space="preserve">from space, can be seen in </w:t>
      </w:r>
      <w:r w:rsidR="0008136A">
        <w:fldChar w:fldCharType="begin"/>
      </w:r>
      <w:r w:rsidR="0008136A">
        <w:instrText xml:space="preserve"> REF _Ref107925071 \h </w:instrText>
      </w:r>
      <w:r w:rsidR="0008136A">
        <w:fldChar w:fldCharType="separate"/>
      </w:r>
      <w:r w:rsidR="00363A7B">
        <w:t xml:space="preserve">Figure </w:t>
      </w:r>
      <w:r w:rsidR="00363A7B">
        <w:rPr>
          <w:noProof/>
        </w:rPr>
        <w:t>1</w:t>
      </w:r>
      <w:r w:rsidR="0008136A">
        <w:fldChar w:fldCharType="end"/>
      </w:r>
      <w:r>
        <w:t>, both internal and atmospheric waves of</w:t>
      </w:r>
      <w:r w:rsidR="002D4716">
        <w:t>f</w:t>
      </w:r>
      <w:r>
        <w:t xml:space="preserve"> the coast of Australia</w:t>
      </w:r>
      <w:r w:rsidR="0008136A">
        <w:t>.</w:t>
      </w:r>
    </w:p>
    <w:p w14:paraId="3A201224" w14:textId="551CD5A3" w:rsidR="00646776" w:rsidRDefault="0008136A" w:rsidP="002D4716">
      <w:pPr>
        <w:jc w:val="both"/>
      </w:pPr>
      <w:r w:rsidRPr="00B65A01">
        <w:rPr>
          <w:rFonts w:ascii="Cambria Math" w:hAnsi="Cambria Math"/>
          <w:noProof/>
        </w:rPr>
        <w:drawing>
          <wp:inline distT="0" distB="0" distL="0" distR="0" wp14:anchorId="3264A224" wp14:editId="0C747514">
            <wp:extent cx="5731510" cy="3820795"/>
            <wp:effectExtent l="0" t="0" r="2540" b="8255"/>
            <wp:docPr id="4" name="Picture 4" descr="Waves Above and Below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s Above and Below the Wa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B64C5EB" w14:textId="339E03A5" w:rsidR="00646776" w:rsidRDefault="00646776" w:rsidP="0008136A">
      <w:pPr>
        <w:pStyle w:val="Caption"/>
      </w:pPr>
      <w:bookmarkStart w:id="0" w:name="_Ref107925071"/>
      <w:r>
        <w:t xml:space="preserve">Figure </w:t>
      </w:r>
      <w:r w:rsidR="0008136A">
        <w:fldChar w:fldCharType="begin"/>
      </w:r>
      <w:r w:rsidR="0008136A">
        <w:instrText>SEQ Figure \* ARABIC</w:instrText>
      </w:r>
      <w:r w:rsidR="0008136A">
        <w:fldChar w:fldCharType="separate"/>
      </w:r>
      <w:r w:rsidR="00363A7B">
        <w:rPr>
          <w:noProof/>
        </w:rPr>
        <w:t>1</w:t>
      </w:r>
      <w:r w:rsidR="0008136A">
        <w:fldChar w:fldCharType="end"/>
      </w:r>
      <w:bookmarkEnd w:id="0"/>
      <w:r w:rsidR="0008136A">
        <w:t xml:space="preserve">. </w:t>
      </w:r>
      <w:r>
        <w:t xml:space="preserve"> Satellite photo of internal waves off the coast of Australia </w:t>
      </w:r>
      <w:r w:rsidR="00996311">
        <w:fldChar w:fldCharType="begin" w:fldLock="1"/>
      </w:r>
      <w:r w:rsidR="005A48FF">
        <w:instrText>ADDIN CSL_CITATION {"citationItems":[{"id":"ITEM-1","itemData":{"URL":"https://earthobservatory.nasa.gov/images/87519/waves-above-and-below-the-water","author":[{"dropping-particle":"","family":"NASA","given":"","non-dropping-particle":"","parse-names":false,"suffix":""}],"container-title":"Eath Observatory","id":"ITEM-1","issued":{"date-parts":[["2016"]]},"title":"Waves Above and Below the Water. Image by Jeff Schmaltz","type":"webpage"},"uris":["http://www.mendeley.com/documents/?uuid=98719191-8e42-4d0f-97a9-b8291453c414"]}],"mendeley":{"formattedCitation":"(NASA, 2016)","plainTextFormattedCitation":"(NASA, 2016)","previouslyFormattedCitation":"(NASA, 2016)"},"properties":{"noteIndex":0},"schema":"https://github.com/citation-style-language/schema/raw/master/csl-citation.json"}</w:instrText>
      </w:r>
      <w:r w:rsidR="00996311">
        <w:fldChar w:fldCharType="separate"/>
      </w:r>
      <w:r w:rsidR="00E557F8" w:rsidRPr="00E557F8">
        <w:rPr>
          <w:noProof/>
        </w:rPr>
        <w:t>(NASA, 2016)</w:t>
      </w:r>
      <w:r w:rsidR="00996311">
        <w:fldChar w:fldCharType="end"/>
      </w:r>
    </w:p>
    <w:p w14:paraId="58BE1093" w14:textId="3AA05923" w:rsidR="00646776" w:rsidRDefault="00646776" w:rsidP="0008136A">
      <w:pPr>
        <w:jc w:val="both"/>
      </w:pPr>
      <w:r>
        <w:t xml:space="preserve">Internal waves can also be created much closer to the surface due to the motion of a body through a distinctly stratified region such as a one made up of fresh water sitting atop salt water. While internal waves create resistance in a manner similar to the wave making resistance of surface waves, they differ in several </w:t>
      </w:r>
      <w:r w:rsidR="0008136A">
        <w:t>important</w:t>
      </w:r>
      <w:r>
        <w:t xml:space="preserve"> ways. The difference in density between air and water is much larger than the difference in density between two strata of water. As a result of this surface waves will have a much larger restoring force</w:t>
      </w:r>
      <w:r w:rsidR="002E5A17">
        <w:t xml:space="preserve"> </w:t>
      </w:r>
      <w:r w:rsidR="002E5A17">
        <w:fldChar w:fldCharType="begin" w:fldLock="1"/>
      </w:r>
      <w:r w:rsidR="00E25E84">
        <w:instrText>ADDIN CSL_CITATION {"citationItems":[{"id":"ITEM-1","itemData":{"DOI":"10.1115/1.4037693","ISSN":"1528901X","abstract":"The dead water problem, in which under certain conditions a vessel advancing in a stratified fluid experiences a considerable increase in resistance respect to the equivalent case without stratification, was studied using computational fluid dynamics (CFD). The advance of a vessel in presence of a density interface (pycnocline) results in the generation of an internal wave that in the most adverse conditions can increase the total resistance coefficient by almost an order of magnitude. This paper analyses the effects of stratification on total and friction resistance, the near field wake, internal and free surface waves, and resistance dynamics. Some of these effects are reported for the first time, as limitations of previous efforts using potential flow are overcome by the use of a viscous, free surface CFD solver. A range of densimetric Froude numbers from subcritical to supercritical are evaluated changing both the ship speed and pycnocline depth, using as platform the research vessel athena. It was found that the presence of the internal wave causes a favorable pressure gradient, acceleration of the flow in the downstream of the hull, resulting in thinning of the boundary layer and increases of the friction resistance coefficient of up to 30%. The total resistance presents an unstable region that results in a hysteretic behavior, though the characteristic time to establish the speed-resistance curve, dominated by the formation of the internal waves, is very long and unlikely to cause problems in modern ship speed controllers.","author":[{"dropping-particle":"","family":"Esmaeilpour","given":"Mehdi","non-dropping-particle":"","parse-names":false,"suffix":""},{"dropping-particle":"","family":"Ezequiel Martin","given":"J.","non-dropping-particle":"","parse-names":false,"suffix":""},{"dropping-particle":"","family":"Carrica","given":"Pablo M.","non-dropping-particle":"","parse-names":false,"suffix":""}],"container-title":"Journal of Fluids Engineering, Transactions of the ASME","id":"ITEM-1","issue":"3","issued":{"date-parts":[["2018"]]},"page":"1-8","title":"Computational Fluid Dynamics Study of the Dead Water Problem","type":"article-journal","volume":"140"},"uris":["http://www.mendeley.com/documents/?uuid=c04ca327-52a7-4a49-9e43-c47a585b12d9"]}],"mendeley":{"formattedCitation":"(Esmaeilpour et al., 2018)","plainTextFormattedCitation":"(Esmaeilpour et al., 2018)","previouslyFormattedCitation":"(Esmaeilpour et al., 2018)"},"properties":{"noteIndex":0},"schema":"https://github.com/citation-style-language/schema/raw/master/csl-citation.json"}</w:instrText>
      </w:r>
      <w:r w:rsidR="002E5A17">
        <w:fldChar w:fldCharType="separate"/>
      </w:r>
      <w:r w:rsidR="002E5A17" w:rsidRPr="002E5A17">
        <w:rPr>
          <w:noProof/>
        </w:rPr>
        <w:t>(Esmaeilpour et al., 2018)</w:t>
      </w:r>
      <w:r w:rsidR="002E5A17">
        <w:fldChar w:fldCharType="end"/>
      </w:r>
      <w:r>
        <w:t xml:space="preserve">. This in turn means that internal waves have a larger amplitude and period but a smaller celerity. </w:t>
      </w:r>
    </w:p>
    <w:p w14:paraId="21579EDD" w14:textId="4A7426AB" w:rsidR="00646776" w:rsidRDefault="00646776" w:rsidP="005A1BF0">
      <w:pPr>
        <w:pStyle w:val="Heading2"/>
      </w:pPr>
      <w:r>
        <w:t xml:space="preserve">The </w:t>
      </w:r>
      <w:r w:rsidR="00DA363D">
        <w:t>d</w:t>
      </w:r>
      <w:r>
        <w:t xml:space="preserve">ead </w:t>
      </w:r>
      <w:r w:rsidR="00DA363D">
        <w:t>w</w:t>
      </w:r>
      <w:r>
        <w:t xml:space="preserve">ater </w:t>
      </w:r>
      <w:r w:rsidR="00DA363D">
        <w:t>e</w:t>
      </w:r>
      <w:r>
        <w:t>ffect</w:t>
      </w:r>
    </w:p>
    <w:p w14:paraId="0923300C" w14:textId="1D1B95D5" w:rsidR="00646776" w:rsidRDefault="00646776" w:rsidP="007E3A58">
      <w:pPr>
        <w:jc w:val="both"/>
      </w:pPr>
      <w:r>
        <w:t xml:space="preserve">If a flow is known to be stably stratified due to the Brunt-Vaisala frequency and Richardson number, the key parameter in determining whether the dead water phenomenon will occur is the densimetric Froude number. The densimetric Froude number is defined </w:t>
      </w:r>
      <w:r w:rsidR="00781C68">
        <w:t xml:space="preserve">as </w:t>
      </w:r>
      <w:r w:rsidR="005D63DB">
        <w:fldChar w:fldCharType="begin" w:fldLock="1"/>
      </w:r>
      <w:r w:rsidR="00A305CF">
        <w:instrText>ADDIN CSL_CITATION {"citationItems":[{"id":"ITEM-1","itemData":{"DOI":"10.17077/etd.5z2auqsl","abstract":"A stratified fluid is defined by its mean density variation with depth as a result of any change in salinity and/or temperature. Almost all fluids found in the environment are stratified except on very small scales, and stratified flows are prevalent in various natural environments such as oceans, lakes and estuaries. Therefore, the flow caused by moving objects in these media are of importance and have directed much attention to the subject of stably stratified flows. This thesis presents contributions to simulate stratified flow effects on moving surface ships and submarines. Two different geometries are considered, the research vessel Athena, a surface ship, and the Joubert BB2 geometry, a generic submarine. It is observed that the structure of the stratified flow is completely different from the non stratified one and the presence of buoyancy forces due to stratification has a substantial effect on the flow development and mixing processes around both geometries and hence influences the flow pattern and results in different resistance forces. Also, when a ship sails slowly in stratified seas she loses steering power and speed and experiences a large change in resistance force. This resistance force can be as high as that of the ship moving two to three times faster in non-stratified flow, a phenomenon known as the dead-water effect. Though the dead water problem has been studied in the literature using potential flow methods, this thesis presents the first attempt at using computational fluid dynamics (CFD) to analyze the flow. Results show that CFD can reproduce trends observed in potential flow studies, and also account for significant viscous effects in the wake and the friction coefficient. Studying this phenomenon shows the design factors for manufacturing a ship with high level of efficiency will change.","author":[{"dropping-particle":"","family":"Esmaeilpour","given":"M.","non-dropping-particle":"","parse-names":false,"suffix":""}],"id":"ITEM-1","issued":{"date-parts":[["2017"]]},"title":"A ship advancing in a stratified fluid: the dead water effect revisited","type":"thesis"},"uris":["http://www.mendeley.com/documents/?uuid=1b39b9b3-c40e-4bfb-b04b-d34685257e77"]}],"mendeley":{"formattedCitation":"(Esmaeilpour, 2017)","plainTextFormattedCitation":"(Esmaeilpour, 2017)","previouslyFormattedCitation":"(Esmaeilpour, 2017)"},"properties":{"noteIndex":0},"schema":"https://github.com/citation-style-language/schema/raw/master/csl-citation.json"}</w:instrText>
      </w:r>
      <w:r w:rsidR="005D63DB">
        <w:fldChar w:fldCharType="separate"/>
      </w:r>
      <w:r w:rsidR="005D63DB" w:rsidRPr="005D63DB">
        <w:rPr>
          <w:noProof/>
        </w:rPr>
        <w:t>(Esmaeilpour, 2017)</w:t>
      </w:r>
      <w:r w:rsidR="005D63DB">
        <w:fldChar w:fldCharType="end"/>
      </w:r>
      <w:r>
        <w:t>:</w:t>
      </w:r>
    </w:p>
    <w:p w14:paraId="0E41AC12" w14:textId="528B0488" w:rsidR="00646776" w:rsidRDefault="00922706" w:rsidP="00646776">
      <m:oMath>
        <m:sSub>
          <m:sSubPr>
            <m:ctrlPr>
              <w:rPr>
                <w:rFonts w:ascii="Cambria Math" w:hAnsi="Cambria Math" w:cs="David"/>
                <w:i/>
              </w:rPr>
            </m:ctrlPr>
          </m:sSubPr>
          <m:e>
            <m:r>
              <w:rPr>
                <w:rFonts w:ascii="Cambria Math" w:hAnsi="Cambria Math" w:cs="David"/>
              </w:rPr>
              <m:t>Fr</m:t>
            </m:r>
          </m:e>
          <m:sub>
            <m:r>
              <w:rPr>
                <w:rFonts w:ascii="Cambria Math" w:hAnsi="Cambria Math" w:cs="David"/>
              </w:rPr>
              <m:t>i</m:t>
            </m:r>
          </m:sub>
        </m:sSub>
        <m:r>
          <w:rPr>
            <w:rFonts w:ascii="Cambria Math" w:hAnsi="Cambria Math" w:cs="David"/>
          </w:rPr>
          <m:t>=</m:t>
        </m:r>
        <m:f>
          <m:fPr>
            <m:type m:val="lin"/>
            <m:ctrlPr>
              <w:rPr>
                <w:rFonts w:ascii="Cambria Math" w:eastAsiaTheme="minorEastAsia" w:hAnsi="Cambria Math" w:cs="David"/>
                <w:i/>
              </w:rPr>
            </m:ctrlPr>
          </m:fPr>
          <m:num>
            <m:r>
              <w:rPr>
                <w:rFonts w:ascii="Cambria Math" w:eastAsiaTheme="minorEastAsia" w:hAnsi="Cambria Math" w:cs="David"/>
              </w:rPr>
              <m:t>U</m:t>
            </m:r>
          </m:num>
          <m:den>
            <m:rad>
              <m:radPr>
                <m:degHide m:val="1"/>
                <m:ctrlPr>
                  <w:rPr>
                    <w:rFonts w:ascii="Cambria Math" w:eastAsiaTheme="minorEastAsia" w:hAnsi="Cambria Math" w:cs="David"/>
                    <w:i/>
                  </w:rPr>
                </m:ctrlPr>
              </m:radPr>
              <m:deg/>
              <m:e>
                <m:f>
                  <m:fPr>
                    <m:ctrlPr>
                      <w:rPr>
                        <w:rFonts w:ascii="Cambria Math" w:eastAsiaTheme="minorEastAsia" w:hAnsi="Cambria Math" w:cs="David"/>
                        <w:i/>
                      </w:rPr>
                    </m:ctrlPr>
                  </m:fPr>
                  <m:num>
                    <m:r>
                      <w:rPr>
                        <w:rFonts w:ascii="Cambria Math" w:eastAsiaTheme="minorEastAsia" w:hAnsi="Cambria Math" w:cs="David"/>
                      </w:rPr>
                      <m:t>Δρ</m:t>
                    </m:r>
                  </m:num>
                  <m:den>
                    <m:sSub>
                      <m:sSubPr>
                        <m:ctrlPr>
                          <w:rPr>
                            <w:rFonts w:ascii="Cambria Math" w:eastAsiaTheme="minorEastAsia" w:hAnsi="Cambria Math" w:cs="David"/>
                            <w:i/>
                          </w:rPr>
                        </m:ctrlPr>
                      </m:sSubPr>
                      <m:e>
                        <m:r>
                          <w:rPr>
                            <w:rFonts w:ascii="Cambria Math" w:eastAsiaTheme="minorEastAsia" w:hAnsi="Cambria Math" w:cs="David"/>
                          </w:rPr>
                          <m:t>ρ</m:t>
                        </m:r>
                      </m:e>
                      <m:sub>
                        <m:r>
                          <w:rPr>
                            <w:rFonts w:ascii="Cambria Math" w:eastAsiaTheme="minorEastAsia" w:hAnsi="Cambria Math" w:cs="David"/>
                          </w:rPr>
                          <m:t>0</m:t>
                        </m:r>
                      </m:sub>
                    </m:sSub>
                  </m:den>
                </m:f>
                <m:r>
                  <w:rPr>
                    <w:rFonts w:ascii="Cambria Math" w:eastAsiaTheme="minorEastAsia" w:hAnsi="Cambria Math" w:cs="David"/>
                  </w:rPr>
                  <m:t>g</m:t>
                </m:r>
                <m:r>
                  <w:rPr>
                    <w:rFonts w:ascii="Cambria Math" w:eastAsiaTheme="minorEastAsia" w:hAnsi="Cambria Math" w:cs="David"/>
                  </w:rPr>
                  <m:t>h</m:t>
                </m:r>
              </m:e>
            </m:rad>
          </m:den>
        </m:f>
      </m:oMath>
      <w:r w:rsidR="005D63DB">
        <w:rPr>
          <w:rFonts w:eastAsiaTheme="minorEastAsia"/>
        </w:rPr>
        <w:tab/>
      </w:r>
      <w:r w:rsidR="005D63DB">
        <w:rPr>
          <w:rFonts w:eastAsiaTheme="minorEastAsia"/>
        </w:rPr>
        <w:tab/>
      </w:r>
      <w:r w:rsidR="005D63DB">
        <w:rPr>
          <w:rFonts w:eastAsiaTheme="minorEastAsia"/>
        </w:rPr>
        <w:tab/>
      </w:r>
      <w:r w:rsidR="005D63DB">
        <w:rPr>
          <w:rFonts w:eastAsiaTheme="minorEastAsia"/>
        </w:rPr>
        <w:tab/>
      </w:r>
      <w:r w:rsidR="005D63DB">
        <w:rPr>
          <w:rFonts w:eastAsiaTheme="minorEastAsia"/>
        </w:rPr>
        <w:tab/>
      </w:r>
      <w:r w:rsidR="005D63DB">
        <w:rPr>
          <w:rFonts w:eastAsiaTheme="minorEastAsia"/>
        </w:rPr>
        <w:tab/>
      </w:r>
      <w:r w:rsidR="005D63DB">
        <w:rPr>
          <w:rFonts w:eastAsiaTheme="minorEastAsia"/>
        </w:rPr>
        <w:tab/>
      </w:r>
      <w:r w:rsidR="005D63DB">
        <w:rPr>
          <w:rFonts w:eastAsiaTheme="minorEastAsia"/>
        </w:rPr>
        <w:tab/>
      </w:r>
      <w:r w:rsidR="005D63DB">
        <w:rPr>
          <w:rFonts w:eastAsiaTheme="minorEastAsia"/>
        </w:rPr>
        <w:tab/>
      </w:r>
      <w:r w:rsidR="005D63DB">
        <w:rPr>
          <w:rFonts w:eastAsiaTheme="minorEastAsia"/>
        </w:rPr>
        <w:tab/>
        <w:t>(3)</w:t>
      </w:r>
    </w:p>
    <w:p w14:paraId="017083EF" w14:textId="15610528" w:rsidR="00646776" w:rsidRDefault="00646776" w:rsidP="00920739">
      <w:pPr>
        <w:jc w:val="both"/>
      </w:pPr>
      <w:r>
        <w:lastRenderedPageBreak/>
        <w:t xml:space="preserve">Where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is the densimetric (or internal) Froude number, </w:t>
      </w:r>
      <m:oMath>
        <m:r>
          <w:rPr>
            <w:rFonts w:ascii="Cambria Math" w:hAnsi="Cambria Math"/>
          </w:rPr>
          <m:t>U</m:t>
        </m:r>
      </m:oMath>
      <w:r>
        <w:t xml:space="preserve"> is the ship’s velocity</w:t>
      </w:r>
      <w:r w:rsidR="00CD5317">
        <w:t xml:space="preserve"> in m/s</w:t>
      </w:r>
      <w:r>
        <w:t xml:space="preserve">, </w:t>
      </w:r>
      <m:oMath>
        <m:f>
          <m:fPr>
            <m:type m:val="lin"/>
            <m:ctrlPr>
              <w:rPr>
                <w:rFonts w:ascii="Cambria Math" w:eastAsiaTheme="minorEastAsia" w:hAnsi="Cambria Math" w:cs="David"/>
                <w:i/>
              </w:rPr>
            </m:ctrlPr>
          </m:fPr>
          <m:num>
            <m:r>
              <w:rPr>
                <w:rFonts w:ascii="Cambria Math" w:eastAsiaTheme="minorEastAsia" w:hAnsi="Cambria Math" w:cs="David"/>
              </w:rPr>
              <m:t>Δρ</m:t>
            </m:r>
          </m:num>
          <m:den>
            <m:sSub>
              <m:sSubPr>
                <m:ctrlPr>
                  <w:rPr>
                    <w:rFonts w:ascii="Cambria Math" w:eastAsiaTheme="minorEastAsia" w:hAnsi="Cambria Math" w:cs="David"/>
                    <w:i/>
                  </w:rPr>
                </m:ctrlPr>
              </m:sSubPr>
              <m:e>
                <m:r>
                  <w:rPr>
                    <w:rFonts w:ascii="Cambria Math" w:eastAsiaTheme="minorEastAsia" w:hAnsi="Cambria Math" w:cs="David"/>
                  </w:rPr>
                  <m:t>ρ</m:t>
                </m:r>
              </m:e>
              <m:sub>
                <m:r>
                  <w:rPr>
                    <w:rFonts w:ascii="Cambria Math" w:eastAsiaTheme="minorEastAsia" w:hAnsi="Cambria Math" w:cs="David"/>
                  </w:rPr>
                  <m:t>0</m:t>
                </m:r>
              </m:sub>
            </m:sSub>
          </m:den>
        </m:f>
      </m:oMath>
      <w:r>
        <w:t xml:space="preserve">  is the relative density difference, and </w:t>
      </w:r>
      <m:oMath>
        <m:r>
          <w:rPr>
            <w:rFonts w:ascii="Cambria Math" w:hAnsi="Cambria Math"/>
          </w:rPr>
          <m:t>h</m:t>
        </m:r>
      </m:oMath>
      <w:r>
        <w:t xml:space="preserve"> is the reference pycnocline depth</w:t>
      </w:r>
      <w:r w:rsidR="00CD5317">
        <w:t xml:space="preserve"> in m</w:t>
      </w:r>
      <w:r>
        <w:t xml:space="preserve">. The densimetric Froude number represents the ratio of ship speed to the celerity of the largest internal wave and as such the dead water phenomenon will occur when the densimetric Froude number is close to 1. </w:t>
      </w:r>
    </w:p>
    <w:p w14:paraId="0FF7BA37" w14:textId="701BCCC7" w:rsidR="001B1873" w:rsidRDefault="00646776" w:rsidP="002A3F7B">
      <w:pPr>
        <w:jc w:val="both"/>
      </w:pPr>
      <w:r>
        <w:t>The dead water effect was first reported by</w:t>
      </w:r>
      <w:r w:rsidR="00864E42">
        <w:t xml:space="preserve"> </w:t>
      </w:r>
      <w:r w:rsidR="00E25E84">
        <w:fldChar w:fldCharType="begin" w:fldLock="1"/>
      </w:r>
      <w:r w:rsidR="00B042AA">
        <w:instrText>ADDIN CSL_CITATION {"citationItems":[{"id":"ITEM-1","itemData":{"author":[{"dropping-particle":"","family":"Nansen","given":"F.","non-dropping-particle":"","parse-names":false,"suffix":""}],"id":"ITEM-1","issued":{"date-parts":[["1897"]]},"title":"Farthest North: The epic adventure of a visionary explorer","type":"book"},"uris":["http://www.mendeley.com/documents/?uuid=7ebea0c2-d856-4bfd-b03f-3f498db2396a"]}],"mendeley":{"formattedCitation":"(Nansen, 1897)","manualFormatting":"Nansen (1897)","plainTextFormattedCitation":"(Nansen, 1897)","previouslyFormattedCitation":"(Nansen, 1897)"},"properties":{"noteIndex":0},"schema":"https://github.com/citation-style-language/schema/raw/master/csl-citation.json"}</w:instrText>
      </w:r>
      <w:r w:rsidR="00E25E84">
        <w:fldChar w:fldCharType="separate"/>
      </w:r>
      <w:r w:rsidR="00E25E84" w:rsidRPr="00E25E84">
        <w:rPr>
          <w:noProof/>
        </w:rPr>
        <w:t xml:space="preserve">Nansen </w:t>
      </w:r>
      <w:r w:rsidR="00E25E84">
        <w:rPr>
          <w:noProof/>
        </w:rPr>
        <w:t>(</w:t>
      </w:r>
      <w:r w:rsidR="00E25E84" w:rsidRPr="00E25E84">
        <w:rPr>
          <w:noProof/>
        </w:rPr>
        <w:t>1897)</w:t>
      </w:r>
      <w:r w:rsidR="00E25E84">
        <w:fldChar w:fldCharType="end"/>
      </w:r>
      <w:r w:rsidR="00E25E84">
        <w:t xml:space="preserve"> </w:t>
      </w:r>
      <w:r>
        <w:t xml:space="preserve">after his ship suddenly lost speed and steering while journeying to the </w:t>
      </w:r>
      <w:r w:rsidR="00A95CF7">
        <w:t>N</w:t>
      </w:r>
      <w:r>
        <w:t xml:space="preserve">orth </w:t>
      </w:r>
      <w:r w:rsidR="00A95CF7">
        <w:t>P</w:t>
      </w:r>
      <w:r>
        <w:t xml:space="preserve">ole. The phenomenon had been noted previously including as early as 98AD by </w:t>
      </w:r>
      <w:r w:rsidR="00B042AA">
        <w:fldChar w:fldCharType="begin" w:fldLock="1"/>
      </w:r>
      <w:r w:rsidR="00B85C65">
        <w:instrText>ADDIN CSL_CITATION {"citationItems":[{"id":"ITEM-1","itemData":{"author":[{"dropping-particle":"","family":"Tacitus","given":"","non-dropping-particle":"","parse-names":false,"suffix":""}],"id":"ITEM-1","issued":{"date-parts":[["98"]]},"title":"Germania","type":"article"},"uris":["http://www.mendeley.com/documents/?uuid=9523b1da-4e88-4942-b9d9-b69f6a8550d3"]}],"mendeley":{"formattedCitation":"(Tacitus, 98AD)","manualFormatting":"Tacitus (98AD)","plainTextFormattedCitation":"(Tacitus, 98AD)","previouslyFormattedCitation":"(Tacitus, 98AD)"},"properties":{"noteIndex":0},"schema":"https://github.com/citation-style-language/schema/raw/master/csl-citation.json"}</w:instrText>
      </w:r>
      <w:r w:rsidR="00B042AA">
        <w:fldChar w:fldCharType="separate"/>
      </w:r>
      <w:r w:rsidR="00B042AA" w:rsidRPr="00B042AA">
        <w:rPr>
          <w:noProof/>
        </w:rPr>
        <w:t xml:space="preserve">Tacitus </w:t>
      </w:r>
      <w:r w:rsidR="00D00C36">
        <w:rPr>
          <w:noProof/>
        </w:rPr>
        <w:t>(</w:t>
      </w:r>
      <w:r w:rsidR="00B042AA" w:rsidRPr="00B042AA">
        <w:rPr>
          <w:noProof/>
        </w:rPr>
        <w:t>98AD)</w:t>
      </w:r>
      <w:r w:rsidR="00B042AA">
        <w:fldChar w:fldCharType="end"/>
      </w:r>
      <w:r w:rsidR="00B042AA">
        <w:t xml:space="preserve"> </w:t>
      </w:r>
      <w:r>
        <w:t>who described a calm sea on which it was not possible to row a boat, however Nansen was the first to correctly identify its cause as the generation of internal waves in a stratified fluid.</w:t>
      </w:r>
      <w:r w:rsidR="003B4952">
        <w:t xml:space="preserve"> </w:t>
      </w:r>
      <w:r w:rsidR="003B4952">
        <w:fldChar w:fldCharType="begin" w:fldLock="1"/>
      </w:r>
      <w:r w:rsidR="00010ECE">
        <w:instrText>ADDIN CSL_CITATION {"citationItems":[{"id":"ITEM-1","itemData":{"author":[{"dropping-particle":"","family":"Ekman","given":"Vagn Walfrid","non-dropping-particle":"","parse-names":false,"suffix":""}],"id":"ITEM-1","issued":{"date-parts":[["1904"]]},"number-of-pages":"1893-1986","title":"On Dead Water. Norwegian Noth Polar Expedition","type":"book"},"uris":["http://www.mendeley.com/documents/?uuid=388dbc57-ae45-4f3e-a409-5998ef5e0f99","http://www.mendeley.com/documents/?uuid=90115400-f0b7-4600-a639-3b6d123ee3c0"]}],"mendeley":{"formattedCitation":"(Ekman, 1904)","manualFormatting":"Ekman (1904)","plainTextFormattedCitation":"(Ekman, 1904)","previouslyFormattedCitation":"(Ekman, 1904)"},"properties":{"noteIndex":0},"schema":"https://github.com/citation-style-language/schema/raw/master/csl-citation.json"}</w:instrText>
      </w:r>
      <w:r w:rsidR="003B4952">
        <w:fldChar w:fldCharType="separate"/>
      </w:r>
      <w:r w:rsidR="003B4952" w:rsidRPr="003B4952">
        <w:rPr>
          <w:noProof/>
        </w:rPr>
        <w:t>Ekman</w:t>
      </w:r>
      <w:r w:rsidR="008B3DD3">
        <w:rPr>
          <w:noProof/>
        </w:rPr>
        <w:t xml:space="preserve"> (</w:t>
      </w:r>
      <w:r w:rsidR="003B4952" w:rsidRPr="003B4952">
        <w:rPr>
          <w:noProof/>
        </w:rPr>
        <w:t>1904)</w:t>
      </w:r>
      <w:r w:rsidR="003B4952">
        <w:fldChar w:fldCharType="end"/>
      </w:r>
      <w:r>
        <w:t xml:space="preserve"> was the first researcher to </w:t>
      </w:r>
      <w:r w:rsidR="008B3DD3">
        <w:t>conduct scientific research on the dead water phenomenon</w:t>
      </w:r>
      <w:r>
        <w:t xml:space="preserve">. </w:t>
      </w:r>
      <w:r w:rsidR="008B3DD3">
        <w:t xml:space="preserve">He found </w:t>
      </w:r>
      <w:r>
        <w:t>experimental proof the dead water effect, simulating it using a scale model in a tank filled with a stratified fluid. The primary new development of Ekman’s research was the discovery of a dispersive undulating depression that accompanies the stationary internal waves reported by Nansen</w:t>
      </w:r>
      <w:r w:rsidR="001B1873">
        <w:t>.</w:t>
      </w:r>
      <w:r>
        <w:t xml:space="preserve"> </w:t>
      </w:r>
      <w:r w:rsidR="001B1873">
        <w:t>T</w:t>
      </w:r>
      <w:r>
        <w:t xml:space="preserve">he resistance caused by this secondary phenomenon is known as Ekman wave-making drag to differentiate it from the effect of Nansen’s stationary internal waves. It is these two effects acting concurrently that create the overall dead water effect. </w:t>
      </w:r>
    </w:p>
    <w:p w14:paraId="12D9C60E" w14:textId="07AA44F5" w:rsidR="00646776" w:rsidRDefault="001B1873" w:rsidP="00FB0454">
      <w:pPr>
        <w:jc w:val="both"/>
      </w:pPr>
      <w:r>
        <w:fldChar w:fldCharType="begin" w:fldLock="1"/>
      </w:r>
      <w:r w:rsidR="00010ECE">
        <w:instrText>ADDIN CSL_CITATION {"citationItems":[{"id":"ITEM-1","itemData":{"abstract":"A linearized theory is presented for the dead-water phenomena. A two-layer fluid model of finite depth is assumed and the solutions for both wave resistance as well as the interface and free-surface disturbances are obtained in terms of Green's function. Numerical solutions are given for the case of a semi-submersible slender-body (prolate spheroid) moving steadily on the free-surface. (Authors)","author":[{"dropping-particle":"","family":"Miloh","given":"T.","non-dropping-particle":"","parse-names":false,"suffix":""},{"dropping-particle":"","family":"Tulin","given":"M. P.","non-dropping-particle":"","parse-names":false,"suffix":""},{"dropping-particle":"","family":"Zilman","given":"G.","non-dropping-particle":"","parse-names":false,"suffix":""}],"id":"ITEM-1","issue":"May 1993","issued":{"date-parts":[["1992"]]},"title":"Dead-water effects of a ship moving in stratified seas","type":"article-journal"},"uris":["http://www.mendeley.com/documents/?uuid=7c6831b5-1878-4b12-aa93-8b773d9becc9","http://www.mendeley.com/documents/?uuid=28cfd964-983c-4282-8d07-28356eb58b69"]}],"mendeley":{"formattedCitation":"(Miloh et al., 1992)","manualFormatting":"Miloh et al. (1992)","plainTextFormattedCitation":"(Miloh et al., 1992)","previouslyFormattedCitation":"(Miloh et al., 1992)"},"properties":{"noteIndex":0},"schema":"https://github.com/citation-style-language/schema/raw/master/csl-citation.json"}</w:instrText>
      </w:r>
      <w:r>
        <w:fldChar w:fldCharType="separate"/>
      </w:r>
      <w:r w:rsidRPr="001B1873">
        <w:rPr>
          <w:noProof/>
        </w:rPr>
        <w:t xml:space="preserve">Miloh et al. </w:t>
      </w:r>
      <w:r>
        <w:rPr>
          <w:noProof/>
        </w:rPr>
        <w:t>(</w:t>
      </w:r>
      <w:r w:rsidRPr="001B1873">
        <w:rPr>
          <w:noProof/>
        </w:rPr>
        <w:t>1992)</w:t>
      </w:r>
      <w:r>
        <w:fldChar w:fldCharType="end"/>
      </w:r>
      <w:r w:rsidR="00646776">
        <w:t xml:space="preserve"> created the first mathematical model capable of simulating the dead water effect using linear theory. They simulated a ship as a prolate spheroid and found a sudden increase in wave resistance as the densimetric Froude number approached 1, </w:t>
      </w:r>
      <w:r w:rsidR="00FB0454">
        <w:t>proposing</w:t>
      </w:r>
      <w:r w:rsidR="00646776">
        <w:t xml:space="preserve"> a theoretical explanation of the dead water effect. This provided a largely accurate model of the dead water effect and was able to predict both the internal wave pattern predicted by Nansen as well as the dispersive undulating depression that Ekman predicted. However, as the approach was based on linear potential flow theory it cannot </w:t>
      </w:r>
      <w:r w:rsidR="00FB0454">
        <w:t>consider</w:t>
      </w:r>
      <w:r w:rsidR="00646776">
        <w:t xml:space="preserve"> the effects of turbulence and viscosity and is therefore unable to fully model the complexities of the flow. </w:t>
      </w:r>
    </w:p>
    <w:p w14:paraId="6325201E" w14:textId="08218076" w:rsidR="00646776" w:rsidRDefault="00646776" w:rsidP="00463109">
      <w:pPr>
        <w:jc w:val="both"/>
      </w:pPr>
      <w:r>
        <w:t xml:space="preserve">Ekman’s work was expanded by </w:t>
      </w:r>
      <w:r w:rsidR="00FB0454">
        <w:fldChar w:fldCharType="begin" w:fldLock="1"/>
      </w:r>
      <w:r w:rsidR="00010ECE">
        <w:instrText>ADDIN CSL_CITATION {"citationItems":[{"id":"ITEM-1","itemData":{"DOI":"10.5194/npg-18-193-2011","ISSN":"16077946","abstract":"We revisit experimental studies performed by Ekman on dead-water (Ekman, 1904) using modern techniques in order to present new insights on this peculiar phenomenon. We extend its description to more general situations such as a three-layer fluid or a linearly stratified fluid in presence of a pycnocline, showing the robustness of dead-water phenomenon. We observe large amplitude nonlinear internal waves which are coupled to the boat dynamics, and we emphasize that the modeling of the wave-induced drag requires more analysis, taking into account nonlinear effects. © 2011 Author(s).","author":[{"dropping-particle":"","family":"Mercier","given":"M. J.","non-dropping-particle":"","parse-names":false,"suffix":""},{"dropping-particle":"","family":"Vasseur","given":"R.","non-dropping-particle":"","parse-names":false,"suffix":""},{"dropping-particle":"","family":"Dauxois","given":"T.","non-dropping-particle":"","parse-names":false,"suffix":""}],"container-title":"Nonlinear Processes in Geophysics","id":"ITEM-1","issue":"2","issued":{"date-parts":[["2011"]]},"page":"193-208","title":"Resurrecting dead-water phenomenon","type":"article-journal","volume":"18"},"uris":["http://www.mendeley.com/documents/?uuid=4aa65bed-7f5e-4843-a686-a5fffa7d9509","http://www.mendeley.com/documents/?uuid=937e4c22-c6c5-489a-84ea-4a2009c6536b"]}],"mendeley":{"formattedCitation":"(Mercier et al., 2011)","manualFormatting":"Mercier et al. (2011)","plainTextFormattedCitation":"(Mercier et al., 2011)","previouslyFormattedCitation":"(Mercier et al., 2011)"},"properties":{"noteIndex":0},"schema":"https://github.com/citation-style-language/schema/raw/master/csl-citation.json"}</w:instrText>
      </w:r>
      <w:r w:rsidR="00FB0454">
        <w:fldChar w:fldCharType="separate"/>
      </w:r>
      <w:r w:rsidR="00FB0454" w:rsidRPr="00FB0454">
        <w:rPr>
          <w:noProof/>
        </w:rPr>
        <w:t xml:space="preserve">Mercier et al. </w:t>
      </w:r>
      <w:r w:rsidR="00FB0454">
        <w:rPr>
          <w:noProof/>
        </w:rPr>
        <w:t>(</w:t>
      </w:r>
      <w:r w:rsidR="00FB0454" w:rsidRPr="00FB0454">
        <w:rPr>
          <w:noProof/>
        </w:rPr>
        <w:t>2011)</w:t>
      </w:r>
      <w:r w:rsidR="00FB0454">
        <w:fldChar w:fldCharType="end"/>
      </w:r>
      <w:r>
        <w:t xml:space="preserve"> by using modern techniques to perform a broader range of experiments including three-layer stratification as well as linear stratification. Linear stratification describes a case where there is a gradual density gradient across a large vertical distance. This is of particular interest as it occurs much more frequently in nature than stratification between two distinct fluids. </w:t>
      </w:r>
      <w:r w:rsidR="00463109">
        <w:fldChar w:fldCharType="begin" w:fldLock="1"/>
      </w:r>
      <w:r w:rsidR="00010ECE">
        <w:instrText>ADDIN CSL_CITATION {"citationItems":[{"id":"ITEM-1","itemData":{"author":[{"dropping-particle":"","family":"Ekman","given":"Vagn Walfrid","non-dropping-particle":"","parse-names":false,"suffix":""}],"id":"ITEM-1","issued":{"date-parts":[["1904"]]},"number-of-pages":"1893-1986","title":"On Dead Water. Norwegian Noth Polar Expedition","type":"book"},"uris":["http://www.mendeley.com/documents/?uuid=90115400-f0b7-4600-a639-3b6d123ee3c0","http://www.mendeley.com/documents/?uuid=388dbc57-ae45-4f3e-a409-5998ef5e0f99"]}],"mendeley":{"formattedCitation":"(Ekman, 1904)","manualFormatting":"Ekman's (1904)","plainTextFormattedCitation":"(Ekman, 1904)","previouslyFormattedCitation":"(Ekman, 1904)"},"properties":{"noteIndex":0},"schema":"https://github.com/citation-style-language/schema/raw/master/csl-citation.json"}</w:instrText>
      </w:r>
      <w:r w:rsidR="00463109">
        <w:fldChar w:fldCharType="separate"/>
      </w:r>
      <w:r w:rsidR="00463109" w:rsidRPr="003B4952">
        <w:rPr>
          <w:noProof/>
        </w:rPr>
        <w:t>Ekman</w:t>
      </w:r>
      <w:r w:rsidR="00463109">
        <w:rPr>
          <w:noProof/>
        </w:rPr>
        <w:t>'s (</w:t>
      </w:r>
      <w:r w:rsidR="00463109" w:rsidRPr="003B4952">
        <w:rPr>
          <w:noProof/>
        </w:rPr>
        <w:t>1904)</w:t>
      </w:r>
      <w:r w:rsidR="00463109">
        <w:fldChar w:fldCharType="end"/>
      </w:r>
      <w:r w:rsidR="00463109">
        <w:t xml:space="preserve"> </w:t>
      </w:r>
      <w:r>
        <w:t>work was further expanded upon by</w:t>
      </w:r>
      <w:r w:rsidR="004934AB">
        <w:t xml:space="preserve"> </w:t>
      </w:r>
      <w:r w:rsidR="004934AB">
        <w:fldChar w:fldCharType="begin" w:fldLock="1"/>
      </w:r>
      <w:r w:rsidR="00A305CF">
        <w:instrText>ADDIN CSL_CITATION {"citationItems":[{"id":"ITEM-1","itemData":{"DOI":"10.1073/pnas.1922584117","ISSN":"0027-8424","abstract":"&lt;p&gt;A ship encounters a higher drag in a stratified fluid compared to a homogeneous one. Grouped under the same “dead-water” vocabulary, two wave-making resistance phenomena have been historically reported. The first, the Nansen wave-making drag, generates a stationary internal wake which produces a kinematic drag with a noticeable hysteresis. The second, the Ekman wave-making drag, is characterized by velocity oscillations caused by a dynamical resistance whose origin is still unclear. The latter has been justified previously by a periodic emission of nonlinear internal waves. Here we show that these speed variations are due to the generation of an internal dispersive undulating depression produced during the initial acceleration of the ship within a linear regime. The dispersive undulating depression front and its subsequent whelps act as a bumpy treadmill on which the ship would move back and forth. We provide an analytical description of the coupled dynamics of the ship and the wave, which demonstrates the unsteady motion of the ship. Thanks to dynamic calculations substantiated by laboratory experiments, we prove that this oscillating regime is only temporary: the ship will escape the transient Ekman regime while maintaining its propulsion force, reaching the asymptotic Nansen limit. In addition, we show that the lateral confinement, often imposed by experimental setups or in harbors and locks, exacerbates oscillations and modifies the asymptotic speed.&lt;/p&gt;","author":[{"dropping-particle":"","family":"Fourdrinoy","given":"Johan","non-dropping-particle":"","parse-names":false,"suffix":""},{"dropping-particle":"","family":"Dambrine","given":"Julien","non-dropping-particle":"","parse-names":false,"suffix":""},{"dropping-particle":"","family":"Petcu","given":"Madalina","non-dropping-particle":"","parse-names":false,"suffix":""},{"dropping-particle":"","family":"Pierre","given":"Morgan","non-dropping-particle":"","parse-names":false,"suffix":""},{"dropping-particle":"","family":"Rousseaux","given":"Germain","non-dropping-particle":"","parse-names":false,"suffix":""}],"container-title":"Proceedings of the National Academy of Sciences","id":"ITEM-1","issue":"29","issued":{"date-parts":[["2020"]]},"page":"201922584","title":"The dual nature of the dead-water phenomenology: Nansen versus Ekman wave-making drags","type":"article-journal","volume":"117"},"uris":["http://www.mendeley.com/documents/?uuid=d1062fe5-b1f1-4cbc-a624-56247bd82cf8"]}],"mendeley":{"formattedCitation":"(Fourdrinoy et al., 2020)","manualFormatting":"Fourdrinoy et al. (2020)","plainTextFormattedCitation":"(Fourdrinoy et al., 2020)","previouslyFormattedCitation":"(Fourdrinoy et al., 2020)"},"properties":{"noteIndex":0},"schema":"https://github.com/citation-style-language/schema/raw/master/csl-citation.json"}</w:instrText>
      </w:r>
      <w:r w:rsidR="004934AB">
        <w:fldChar w:fldCharType="separate"/>
      </w:r>
      <w:r w:rsidR="004934AB" w:rsidRPr="004934AB">
        <w:rPr>
          <w:noProof/>
        </w:rPr>
        <w:t xml:space="preserve">Fourdrinoy et al. </w:t>
      </w:r>
      <w:r w:rsidR="004934AB">
        <w:rPr>
          <w:noProof/>
        </w:rPr>
        <w:t>(</w:t>
      </w:r>
      <w:r w:rsidR="004934AB" w:rsidRPr="004934AB">
        <w:rPr>
          <w:noProof/>
        </w:rPr>
        <w:t>2020)</w:t>
      </w:r>
      <w:r w:rsidR="004934AB">
        <w:fldChar w:fldCharType="end"/>
      </w:r>
      <w:r w:rsidR="00692B0F">
        <w:t>,</w:t>
      </w:r>
      <w:r>
        <w:t xml:space="preserve"> who investigated the cause and nature of Ekman wave-making drag. They demonstrated that Ekman wave-making drag is a result of the initial acceleration of the ship that occurs upon entering a region of dead water. A linear analytical model was also used to prove that the oscillating regime of the Ekman wave-making drag is only temporary and that a ship can escape this regime while maintaining constant propulsion. </w:t>
      </w:r>
    </w:p>
    <w:p w14:paraId="1B75280F" w14:textId="572FED6F" w:rsidR="00646776" w:rsidRDefault="005508ED" w:rsidP="005508ED">
      <w:pPr>
        <w:jc w:val="both"/>
      </w:pPr>
      <w:r>
        <w:lastRenderedPageBreak/>
        <w:fldChar w:fldCharType="begin" w:fldLock="1"/>
      </w:r>
      <w:r>
        <w:instrText>ADDIN CSL_CITATION {"citationItems":[{"id":"ITEM-1","itemData":{"DOI":"10.1063/1.4928411","ISSN":"10897666","abstract":"The dead water resistance F1 = 1 2Cdw ρSU2 (ρ fluid density, U ship speed, S wetted body surface, Cdw resistance coefficient) on a ship moving at subcritical speed along the upper layer of a two-layer fluid is calculated by a strongly nonlinear method assuming potential flow in each layer. The ship dimensions correspond to those of the Polar ship Fram. The ship draught, b0, is varied in the range 0.25h0-0.9h0 (h0 the upper layer depth). The calculations show that Cdw/(b0/h0)2 depends on the Froude number only, in the range close to critical speed, Fr = U/c0 ~ 0.875-1.125 (c0 the linear internal long wave speed), irrespective of the ship draught. The function Cdw/(b0/h0)2 attains a maximum at subcritical Froude number depending on the draught. Maximum Cdw/(b0/h0)2 becomes 0.15 for Fr = 0.76, b0/h0 = 0.9, and 0.16 for Fr = 0.74, b0/h0 = 1, where the latter extrapolated value of the dead water resistance coefficient is about 60 times higher than the frictional drag coefficient and relevant for the historical dead water observations. The nonlinear Cdw significantly exceeds linear theory (Fr &lt; 0.85). The ship generated waves have a wave height comparable to the upper layer depth. Calculations of three-dimensional wave patterns at critical speed compare well to available laboratory experiments. Upstream solitary waves are generated in a wave tank of finite width, when the layer depths differ, causing an oscillation of the force. In a wide ocean, a very wide wave system develops at critical speed. The force approaches a constant value for increasing time.","author":[{"dropping-particle":"","family":"Grue","given":"John","non-dropping-particle":"","parse-names":false,"suffix":""}],"container-title":"Physics of Fluids","id":"ITEM-1","issue":"8","issued":{"date-parts":[["2015"]]},"title":"Nonlinear dead water resistance at subcritical speed","type":"article-journal","volume":"27"},"uris":["http://www.mendeley.com/documents/?uuid=44cc5aa7-31f5-40ea-a39e-c8c0342b255a"]}],"mendeley":{"formattedCitation":"(Grue, 2015)","manualFormatting":"Grue (2015)","plainTextFormattedCitation":"(Grue, 2015)","previouslyFormattedCitation":"(Grue, 2015)"},"properties":{"noteIndex":0},"schema":"https://github.com/citation-style-language/schema/raw/master/csl-citation.json"}</w:instrText>
      </w:r>
      <w:r>
        <w:fldChar w:fldCharType="separate"/>
      </w:r>
      <w:r w:rsidRPr="005508ED">
        <w:rPr>
          <w:noProof/>
        </w:rPr>
        <w:t xml:space="preserve">Grue </w:t>
      </w:r>
      <w:r>
        <w:rPr>
          <w:noProof/>
        </w:rPr>
        <w:t>(</w:t>
      </w:r>
      <w:r w:rsidRPr="005508ED">
        <w:rPr>
          <w:noProof/>
        </w:rPr>
        <w:t>2015)</w:t>
      </w:r>
      <w:r>
        <w:fldChar w:fldCharType="end"/>
      </w:r>
      <w:r w:rsidR="00646776">
        <w:t xml:space="preserve"> expanded </w:t>
      </w:r>
      <w:r>
        <w:t xml:space="preserve">the 2D theory proposed by </w:t>
      </w:r>
      <w:r>
        <w:fldChar w:fldCharType="begin" w:fldLock="1"/>
      </w:r>
      <w:r w:rsidR="00010ECE">
        <w:instrText>ADDIN CSL_CITATION {"citationItems":[{"id":"ITEM-1","itemData":{"abstract":"A linearized theory is presented for the dead-water phenomena. A two-layer fluid model of finite depth is assumed and the solutions for both wave resistance as well as the interface and free-surface disturbances are obtained in terms of Green's function. Numerical solutions are given for the case of a semi-submersible slender-body (prolate spheroid) moving steadily on the free-surface. (Authors)","author":[{"dropping-particle":"","family":"Miloh","given":"T.","non-dropping-particle":"","parse-names":false,"suffix":""},{"dropping-particle":"","family":"Tulin","given":"M. P.","non-dropping-particle":"","parse-names":false,"suffix":""},{"dropping-particle":"","family":"Zilman","given":"G.","non-dropping-particle":"","parse-names":false,"suffix":""}],"id":"ITEM-1","issue":"May 1993","issued":{"date-parts":[["1992"]]},"title":"Dead-water effects of a ship moving in stratified seas","type":"article-journal"},"uris":["http://www.mendeley.com/documents/?uuid=28cfd964-983c-4282-8d07-28356eb58b69","http://www.mendeley.com/documents/?uuid=7c6831b5-1878-4b12-aa93-8b773d9becc9"]}],"mendeley":{"formattedCitation":"(Miloh et al., 1992)","manualFormatting":"Miloh et al. (1992)","plainTextFormattedCitation":"(Miloh et al., 1992)","previouslyFormattedCitation":"(Miloh et al., 1992)"},"properties":{"noteIndex":0},"schema":"https://github.com/citation-style-language/schema/raw/master/csl-citation.json"}</w:instrText>
      </w:r>
      <w:r>
        <w:fldChar w:fldCharType="separate"/>
      </w:r>
      <w:r w:rsidRPr="005508ED">
        <w:rPr>
          <w:noProof/>
        </w:rPr>
        <w:t xml:space="preserve">Miloh et al. </w:t>
      </w:r>
      <w:r>
        <w:rPr>
          <w:noProof/>
        </w:rPr>
        <w:t>(</w:t>
      </w:r>
      <w:r w:rsidRPr="005508ED">
        <w:rPr>
          <w:noProof/>
        </w:rPr>
        <w:t>1992)</w:t>
      </w:r>
      <w:r>
        <w:fldChar w:fldCharType="end"/>
      </w:r>
      <w:r w:rsidR="00646776">
        <w:t xml:space="preserve"> by creating a three-dimensional numerical model. </w:t>
      </w:r>
      <w:r>
        <w:fldChar w:fldCharType="begin" w:fldLock="1"/>
      </w:r>
      <w:r>
        <w:instrText>ADDIN CSL_CITATION {"citationItems":[{"id":"ITEM-1","itemData":{"DOI":"10.1063/1.4928411","ISSN":"10897666","abstract":"The dead water resistance F1 = 1 2Cdw ρSU2 (ρ fluid density, U ship speed, S wetted body surface, Cdw resistance coefficient) on a ship moving at subcritical speed along the upper layer of a two-layer fluid is calculated by a strongly nonlinear method assuming potential flow in each layer. The ship dimensions correspond to those of the Polar ship Fram. The ship draught, b0, is varied in the range 0.25h0-0.9h0 (h0 the upper layer depth). The calculations show that Cdw/(b0/h0)2 depends on the Froude number only, in the range close to critical speed, Fr = U/c0 ~ 0.875-1.125 (c0 the linear internal long wave speed), irrespective of the ship draught. The function Cdw/(b0/h0)2 attains a maximum at subcritical Froude number depending on the draught. Maximum Cdw/(b0/h0)2 becomes 0.15 for Fr = 0.76, b0/h0 = 0.9, and 0.16 for Fr = 0.74, b0/h0 = 1, where the latter extrapolated value of the dead water resistance coefficient is about 60 times higher than the frictional drag coefficient and relevant for the historical dead water observations. The nonlinear Cdw significantly exceeds linear theory (Fr &lt; 0.85). The ship generated waves have a wave height comparable to the upper layer depth. Calculations of three-dimensional wave patterns at critical speed compare well to available laboratory experiments. Upstream solitary waves are generated in a wave tank of finite width, when the layer depths differ, causing an oscillation of the force. In a wide ocean, a very wide wave system develops at critical speed. The force approaches a constant value for increasing time.","author":[{"dropping-particle":"","family":"Grue","given":"John","non-dropping-particle":"","parse-names":false,"suffix":""}],"container-title":"Physics of Fluids","id":"ITEM-1","issue":"8","issued":{"date-parts":[["2015"]]},"title":"Nonlinear dead water resistance at subcritical speed","type":"article-journal","volume":"27"},"uris":["http://www.mendeley.com/documents/?uuid=44cc5aa7-31f5-40ea-a39e-c8c0342b255a"]}],"mendeley":{"formattedCitation":"(Grue, 2015)","manualFormatting":"Grue (2015)","plainTextFormattedCitation":"(Grue, 2015)","previouslyFormattedCitation":"(Grue, 2015)"},"properties":{"noteIndex":0},"schema":"https://github.com/citation-style-language/schema/raw/master/csl-citation.json"}</w:instrText>
      </w:r>
      <w:r>
        <w:fldChar w:fldCharType="separate"/>
      </w:r>
      <w:r w:rsidRPr="005508ED">
        <w:rPr>
          <w:noProof/>
        </w:rPr>
        <w:t xml:space="preserve">Grue </w:t>
      </w:r>
      <w:r>
        <w:rPr>
          <w:noProof/>
        </w:rPr>
        <w:t>(</w:t>
      </w:r>
      <w:r w:rsidRPr="005508ED">
        <w:rPr>
          <w:noProof/>
        </w:rPr>
        <w:t>2015)</w:t>
      </w:r>
      <w:r>
        <w:fldChar w:fldCharType="end"/>
      </w:r>
      <w:r w:rsidR="00223B71">
        <w:t xml:space="preserve"> </w:t>
      </w:r>
      <w:r w:rsidR="00646776">
        <w:t xml:space="preserve">discovered that the resistance due to the dead water effect was independent of </w:t>
      </w:r>
      <w:r w:rsidR="00223B71">
        <w:t>draft</w:t>
      </w:r>
      <w:r w:rsidR="00646776">
        <w:t xml:space="preserve"> and varied only with densimetric Froude number. </w:t>
      </w:r>
      <w:r>
        <w:t>His</w:t>
      </w:r>
      <w:r w:rsidR="00646776">
        <w:t xml:space="preserve"> study utilised a strongly non-linear potential flow method that was able to obtain more accurate results than those derived from linear </w:t>
      </w:r>
      <w:r w:rsidR="00692B0F">
        <w:t>theory,</w:t>
      </w:r>
      <w:r w:rsidR="00646776">
        <w:t xml:space="preserve"> but the model was still ultimately irrotational and thus was subject to the associated </w:t>
      </w:r>
      <w:r>
        <w:t>assumptions.</w:t>
      </w:r>
    </w:p>
    <w:p w14:paraId="4E409409" w14:textId="09CD9551" w:rsidR="00223B71" w:rsidRPr="00646776" w:rsidRDefault="005508ED" w:rsidP="005508ED">
      <w:pPr>
        <w:jc w:val="both"/>
      </w:pPr>
      <w:r>
        <w:fldChar w:fldCharType="begin" w:fldLock="1"/>
      </w:r>
      <w:r w:rsidR="00687E30">
        <w:instrText>ADDIN CSL_CITATION {"citationItems":[{"id":"ITEM-1","itemData":{"DOI":"10.1115/1.4037693","ISSN":"1528901X","abstract":"The dead water problem, in which under certain conditions a vessel advancing in a stratified fluid experiences a considerable increase in resistance respect to the equivalent case without stratification, was studied using computational fluid dynamics (CFD). The advance of a vessel in presence of a density interface (pycnocline) results in the generation of an internal wave that in the most adverse conditions can increase the total resistance coefficient by almost an order of magnitude. This paper analyses the effects of stratification on total and friction resistance, the near field wake, internal and free surface waves, and resistance dynamics. Some of these effects are reported for the first time, as limitations of previous efforts using potential flow are overcome by the use of a viscous, free surface CFD solver. A range of densimetric Froude numbers from subcritical to supercritical are evaluated changing both the ship speed and pycnocline depth, using as platform the research vessel athena. It was found that the presence of the internal wave causes a favorable pressure gradient, acceleration of the flow in the downstream of the hull, resulting in thinning of the boundary layer and increases of the friction resistance coefficient of up to 30%. The total resistance presents an unstable region that results in a hysteretic behavior, though the characteristic time to establish the speed-resistance curve, dominated by the formation of the internal waves, is very long and unlikely to cause problems in modern ship speed controllers.","author":[{"dropping-particle":"","family":"Esmaeilpour","given":"Mehdi","non-dropping-particle":"","parse-names":false,"suffix":""},{"dropping-particle":"","family":"Ezequiel Martin","given":"J.","non-dropping-particle":"","parse-names":false,"suffix":""},{"dropping-particle":"","family":"Carrica","given":"Pablo M.","non-dropping-particle":"","parse-names":false,"suffix":""}],"container-title":"Journal of Fluids Engineering, Transactions of the ASME","id":"ITEM-1","issue":"3","issued":{"date-parts":[["2018"]]},"page":"1-8","title":"Computational Fluid Dynamics Study of the Dead Water Problem","type":"article-journal","volume":"140"},"uris":["http://www.mendeley.com/documents/?uuid=c04ca327-52a7-4a49-9e43-c47a585b12d9"]}],"mendeley":{"formattedCitation":"(Esmaeilpour et al., 2018)","manualFormatting":"Esmaeilpour et al. (2018)","plainTextFormattedCitation":"(Esmaeilpour et al., 2018)","previouslyFormattedCitation":"(Esmaeilpour et al., 2018)"},"properties":{"noteIndex":0},"schema":"https://github.com/citation-style-language/schema/raw/master/csl-citation.json"}</w:instrText>
      </w:r>
      <w:r>
        <w:fldChar w:fldCharType="separate"/>
      </w:r>
      <w:r w:rsidRPr="005508ED">
        <w:rPr>
          <w:noProof/>
        </w:rPr>
        <w:t xml:space="preserve">Esmaeilpour et al. </w:t>
      </w:r>
      <w:r>
        <w:rPr>
          <w:noProof/>
        </w:rPr>
        <w:t>(</w:t>
      </w:r>
      <w:r w:rsidRPr="005508ED">
        <w:rPr>
          <w:noProof/>
        </w:rPr>
        <w:t>2018)</w:t>
      </w:r>
      <w:r>
        <w:fldChar w:fldCharType="end"/>
      </w:r>
      <w:r w:rsidR="00646776">
        <w:t xml:space="preserve"> were the first to utilise CFD to simulate the dead water effect. This allowed for a more complete model that included viscous and free surface effects although only the near field flow was simulated. </w:t>
      </w:r>
      <w:r w:rsidR="00687E30">
        <w:t>Their</w:t>
      </w:r>
      <w:r w:rsidR="00646776">
        <w:t xml:space="preserve"> research was largely in agreement with previous numerical results, however an increase in the frictional resistance was also observed </w:t>
      </w:r>
      <w:r w:rsidR="00173273">
        <w:t>because</w:t>
      </w:r>
      <w:r w:rsidR="00646776">
        <w:t xml:space="preserve"> of a thinning of the boundary layer around the hull due to the flow being partially constrained by the pycnocline. As this effect was caused by the boundary layer, which is a viscous effect, previous studies </w:t>
      </w:r>
      <w:r w:rsidR="00687E30">
        <w:t>carried out</w:t>
      </w:r>
      <w:r w:rsidR="00646776">
        <w:t xml:space="preserve"> using potential flow theory </w:t>
      </w:r>
      <w:r w:rsidR="00687E30">
        <w:t>could not</w:t>
      </w:r>
      <w:r w:rsidR="00646776">
        <w:t xml:space="preserve"> predict this increase in resistance. </w:t>
      </w:r>
      <w:r w:rsidR="002825A1">
        <w:t xml:space="preserve">Later, </w:t>
      </w:r>
      <w:r w:rsidR="00687E30">
        <w:fldChar w:fldCharType="begin" w:fldLock="1"/>
      </w:r>
      <w:r w:rsidR="00010ECE">
        <w:instrText>ADDIN CSL_CITATION {"citationItems":[{"id":"ITEM-1","itemData":{"DOI":"10.35248/2572-3103.19.7.191","author":[{"dropping-particle":"","family":"Danieletto","given":"Marco","non-dropping-particle":"","parse-names":false,"suffix":""},{"dropping-particle":"","family":"Brown","given":"Justin M","non-dropping-particle":"","parse-names":false,"suffix":""},{"dropping-particle":"","family":"Radko","given":"Timour","non-dropping-particle":"","parse-names":false,"suffix":""}],"container-title":"Journal of Oceanography and Marine Research","id":"ITEM-1","issue":"01","issued":{"date-parts":[["2019"]]},"page":"1-7","title":"The Immortal Science of Dead Water: Effects of Internal Wave Drag on Propagating Submerged Bodies","type":"article-journal","volume":"07"},"uris":["http://www.mendeley.com/documents/?uuid=2cf42c6d-e1dc-4dad-a965-55e5f55cce20","http://www.mendeley.com/documents/?uuid=6e62c1df-e8d7-418b-afe4-8e12dd9619c9"]}],"mendeley":{"formattedCitation":"(Danieletto et al., 2019)","manualFormatting":"Danieletto et al. (2019)","plainTextFormattedCitation":"(Danieletto et al., 2019)","previouslyFormattedCitation":"(Danieletto et al., 2019)"},"properties":{"noteIndex":0},"schema":"https://github.com/citation-style-language/schema/raw/master/csl-citation.json"}</w:instrText>
      </w:r>
      <w:r w:rsidR="00687E30">
        <w:fldChar w:fldCharType="separate"/>
      </w:r>
      <w:r w:rsidR="00687E30" w:rsidRPr="00687E30">
        <w:rPr>
          <w:noProof/>
        </w:rPr>
        <w:t xml:space="preserve">Danieletto et al. </w:t>
      </w:r>
      <w:r w:rsidR="00687E30">
        <w:rPr>
          <w:noProof/>
        </w:rPr>
        <w:t>(</w:t>
      </w:r>
      <w:r w:rsidR="00687E30" w:rsidRPr="00687E30">
        <w:rPr>
          <w:noProof/>
        </w:rPr>
        <w:t>2019)</w:t>
      </w:r>
      <w:r w:rsidR="00687E30">
        <w:fldChar w:fldCharType="end"/>
      </w:r>
      <w:r w:rsidR="00646776">
        <w:t xml:space="preserve"> compared the effects </w:t>
      </w:r>
      <w:r w:rsidR="00692B0F">
        <w:t xml:space="preserve">of </w:t>
      </w:r>
      <w:r w:rsidR="00646776">
        <w:t>dead water on both surface and submerged bodies by measuring their resistance in a towing tank. It was demonstrated that the resistance generated by internal waves was identical whether the body was partially or fully submerged.</w:t>
      </w:r>
      <w:r w:rsidR="00FB4A05">
        <w:t xml:space="preserve"> </w:t>
      </w:r>
      <w:r w:rsidR="00223B71">
        <w:t xml:space="preserve">The present study builds on the </w:t>
      </w:r>
      <w:r w:rsidR="00692B0F">
        <w:t>previously reviewed</w:t>
      </w:r>
      <w:r w:rsidR="00223B71">
        <w:t xml:space="preserve"> CFD</w:t>
      </w:r>
      <w:r w:rsidR="00FB4A05">
        <w:t xml:space="preserve"> research by investigating the effect of dead water on modern containerships. </w:t>
      </w:r>
    </w:p>
    <w:p w14:paraId="5361B169" w14:textId="240A33B0" w:rsidR="00C77D06" w:rsidRDefault="00C77D06" w:rsidP="00C77D06">
      <w:pPr>
        <w:pStyle w:val="Heading1"/>
      </w:pPr>
      <w:r>
        <w:t>Case studies</w:t>
      </w:r>
    </w:p>
    <w:p w14:paraId="2B3047FA" w14:textId="16EA43BA" w:rsidR="00C77D06" w:rsidRDefault="00A97B52" w:rsidP="001A5EA2">
      <w:pPr>
        <w:jc w:val="both"/>
      </w:pPr>
      <w:r>
        <w:t xml:space="preserve">All numerical modelling </w:t>
      </w:r>
      <w:r w:rsidR="00DF4AAE">
        <w:t xml:space="preserve">was </w:t>
      </w:r>
      <w:r>
        <w:t>carried out on the</w:t>
      </w:r>
      <w:r w:rsidR="00C3118A">
        <w:t xml:space="preserve"> KRISO container ship</w:t>
      </w:r>
      <w:r>
        <w:t xml:space="preserve"> </w:t>
      </w:r>
      <w:r w:rsidR="00C3118A">
        <w:t>(</w:t>
      </w:r>
      <w:r>
        <w:t>KCS</w:t>
      </w:r>
      <w:r w:rsidR="00C3118A">
        <w:t>)</w:t>
      </w:r>
      <w:r>
        <w:t xml:space="preserve"> hull </w:t>
      </w:r>
      <w:r w:rsidR="00BB69AA">
        <w:t xml:space="preserve">geometry </w:t>
      </w:r>
      <w:r>
        <w:t xml:space="preserve">due to the abundant experimental data and its widespread use in </w:t>
      </w:r>
      <w:r w:rsidR="001A5EA2">
        <w:t>numerical studies.</w:t>
      </w:r>
      <w:r w:rsidR="00E6276E">
        <w:t xml:space="preserve"> This allows partial validation of the results against a special subset of experiments performed in deep water and reported in </w:t>
      </w:r>
      <w:r w:rsidR="00E6276E">
        <w:fldChar w:fldCharType="begin" w:fldLock="1"/>
      </w:r>
      <w:r w:rsidR="006E40D4">
        <w:instrText>ADDIN CSL_CITATION {"citationItems":[{"id":"ITEM-1","itemData":{"DOI":"10.1007/s003480100332","ISBN":"07234864 (ISSN)","ISSN":"07234864","abstract":"To document the details of flow characteristics around modern commercial ships, global force, wave pattern, and local mean velocity components were measured in the towing tank. Three modern commercial hull models of a container ship (KRISO container ship = KCS) and of two very large crude-oil carriers (VLCCs) with the same forebody and slightly different afterbody (KVLCC and KVLCC2) having bow and stern bulbs were selected for the test. Uncertainty analysis was performed for the measured data using the procedure recommended by the ITTC. Obtained experimental data will provide a good opportunity to explore integrated flow phenomena around practical hull forms of today. Those can be also used as the validation data for the computational fluid dynamics (CFD) code of both inviscid and viscous flow calculations.","author":[{"dropping-particle":"","family":"Kim","given":"W. J.","non-dropping-particle":"","parse-names":false,"suffix":""},{"dropping-particle":"","family":"Van","given":"S. H.","non-dropping-particle":"","parse-names":false,"suffix":""},{"dropping-particle":"","family":"Kim","given":"D. H.","non-dropping-particle":"","parse-names":false,"suffix":""}],"container-title":"Experiments in Fluids","id":"ITEM-1","issue":"5","issued":{"date-parts":[["2001"]]},"page":"567-578","title":"Measurement of flows around modern commercial ship models","type":"article-journal","volume":"31"},"uris":["http://www.mendeley.com/documents/?uuid=0dc3607f-3866-42b2-ae07-fb6b76eb9001"]}],"mendeley":{"formattedCitation":"(Kim et al., 2001)","manualFormatting":"Kim et al. (2001)","plainTextFormattedCitation":"(Kim et al., 2001)","previouslyFormattedCitation":"(Kim et al., 2001)"},"properties":{"noteIndex":0},"schema":"https://github.com/citation-style-language/schema/raw/master/csl-citation.json"}</w:instrText>
      </w:r>
      <w:r w:rsidR="00E6276E">
        <w:fldChar w:fldCharType="separate"/>
      </w:r>
      <w:r w:rsidR="00E6276E" w:rsidRPr="00E6276E">
        <w:rPr>
          <w:noProof/>
        </w:rPr>
        <w:t xml:space="preserve">Kim et al. </w:t>
      </w:r>
      <w:r w:rsidR="00E6276E">
        <w:rPr>
          <w:noProof/>
        </w:rPr>
        <w:t>(</w:t>
      </w:r>
      <w:r w:rsidR="00E6276E" w:rsidRPr="00E6276E">
        <w:rPr>
          <w:noProof/>
        </w:rPr>
        <w:t>2001)</w:t>
      </w:r>
      <w:r w:rsidR="00E6276E">
        <w:fldChar w:fldCharType="end"/>
      </w:r>
      <w:r w:rsidR="00EA3EB9">
        <w:t xml:space="preserve"> in subsequent sections</w:t>
      </w:r>
      <w:r w:rsidR="00692B0F">
        <w:t>.</w:t>
      </w:r>
      <w:r w:rsidR="001A5EA2">
        <w:t xml:space="preserve"> The main particulars of the hull are given in </w:t>
      </w:r>
      <w:r w:rsidR="00DA363D">
        <w:fldChar w:fldCharType="begin"/>
      </w:r>
      <w:r w:rsidR="00DA363D">
        <w:instrText xml:space="preserve"> REF _Ref107926546 \h </w:instrText>
      </w:r>
      <w:r w:rsidR="00DA363D">
        <w:fldChar w:fldCharType="separate"/>
      </w:r>
      <w:r w:rsidR="00363A7B">
        <w:t xml:space="preserve">Table </w:t>
      </w:r>
      <w:r w:rsidR="00363A7B">
        <w:rPr>
          <w:noProof/>
        </w:rPr>
        <w:t>1</w:t>
      </w:r>
      <w:r w:rsidR="00DA363D">
        <w:fldChar w:fldCharType="end"/>
      </w:r>
      <w:r w:rsidR="00DA363D">
        <w:t>.</w:t>
      </w:r>
    </w:p>
    <w:p w14:paraId="200D7914" w14:textId="235E929E" w:rsidR="00DA363D" w:rsidRDefault="00DA363D" w:rsidP="00DA363D">
      <w:pPr>
        <w:pStyle w:val="Caption"/>
        <w:spacing w:after="0"/>
        <w:jc w:val="left"/>
      </w:pPr>
      <w:bookmarkStart w:id="1" w:name="_Ref107926546"/>
      <w:r>
        <w:t xml:space="preserve">Table </w:t>
      </w:r>
      <w:r>
        <w:fldChar w:fldCharType="begin"/>
      </w:r>
      <w:r>
        <w:instrText>SEQ Table \* ARABIC</w:instrText>
      </w:r>
      <w:r>
        <w:fldChar w:fldCharType="separate"/>
      </w:r>
      <w:r w:rsidR="00363A7B">
        <w:rPr>
          <w:noProof/>
        </w:rPr>
        <w:t>1</w:t>
      </w:r>
      <w:r>
        <w:fldChar w:fldCharType="end"/>
      </w:r>
      <w:bookmarkEnd w:id="1"/>
      <w:r>
        <w:t>. KCS main particulars</w:t>
      </w:r>
    </w:p>
    <w:tbl>
      <w:tblPr>
        <w:tblStyle w:val="TableGrid"/>
        <w:tblW w:w="0" w:type="auto"/>
        <w:tblLook w:val="04A0" w:firstRow="1" w:lastRow="0" w:firstColumn="1" w:lastColumn="0" w:noHBand="0" w:noVBand="1"/>
      </w:tblPr>
      <w:tblGrid>
        <w:gridCol w:w="2322"/>
        <w:gridCol w:w="1070"/>
        <w:gridCol w:w="710"/>
        <w:gridCol w:w="1290"/>
        <w:gridCol w:w="1570"/>
      </w:tblGrid>
      <w:tr w:rsidR="00DA363D" w:rsidRPr="00DA363D" w14:paraId="1EA353D9" w14:textId="77777777" w:rsidTr="00C94D0C">
        <w:tc>
          <w:tcPr>
            <w:tcW w:w="0" w:type="auto"/>
            <w:shd w:val="clear" w:color="auto" w:fill="E7E6E6" w:themeFill="background2"/>
          </w:tcPr>
          <w:p w14:paraId="5797060A" w14:textId="594996EB" w:rsidR="00DA363D" w:rsidRPr="00DA363D" w:rsidRDefault="00DA363D" w:rsidP="00DA363D">
            <w:pPr>
              <w:jc w:val="both"/>
              <w:rPr>
                <w:rFonts w:cs="David"/>
                <w:b/>
                <w:bCs/>
              </w:rPr>
            </w:pPr>
            <w:r>
              <w:rPr>
                <w:rFonts w:cs="David"/>
                <w:b/>
                <w:bCs/>
              </w:rPr>
              <w:t>Property</w:t>
            </w:r>
          </w:p>
        </w:tc>
        <w:tc>
          <w:tcPr>
            <w:tcW w:w="0" w:type="auto"/>
            <w:shd w:val="clear" w:color="auto" w:fill="E7E6E6" w:themeFill="background2"/>
          </w:tcPr>
          <w:p w14:paraId="0961DC90" w14:textId="69650477" w:rsidR="00DA363D" w:rsidRPr="00DA363D" w:rsidRDefault="00DA363D" w:rsidP="00DA363D">
            <w:pPr>
              <w:jc w:val="both"/>
              <w:rPr>
                <w:rFonts w:cs="David"/>
                <w:b/>
                <w:bCs/>
              </w:rPr>
            </w:pPr>
            <w:r>
              <w:rPr>
                <w:rFonts w:cs="David"/>
                <w:b/>
                <w:bCs/>
              </w:rPr>
              <w:t>Symbol</w:t>
            </w:r>
          </w:p>
        </w:tc>
        <w:tc>
          <w:tcPr>
            <w:tcW w:w="0" w:type="auto"/>
            <w:shd w:val="clear" w:color="auto" w:fill="E7E6E6" w:themeFill="background2"/>
          </w:tcPr>
          <w:p w14:paraId="080824E4" w14:textId="566CE882" w:rsidR="00DA363D" w:rsidRPr="00DA363D" w:rsidRDefault="00DA363D" w:rsidP="00DA363D">
            <w:pPr>
              <w:jc w:val="center"/>
              <w:rPr>
                <w:rFonts w:cs="David"/>
                <w:b/>
                <w:bCs/>
              </w:rPr>
            </w:pPr>
            <w:r w:rsidRPr="00DA363D">
              <w:rPr>
                <w:rFonts w:cs="David"/>
                <w:b/>
                <w:bCs/>
              </w:rPr>
              <w:t>Unit</w:t>
            </w:r>
          </w:p>
        </w:tc>
        <w:tc>
          <w:tcPr>
            <w:tcW w:w="0" w:type="auto"/>
            <w:shd w:val="clear" w:color="auto" w:fill="E7E6E6" w:themeFill="background2"/>
          </w:tcPr>
          <w:p w14:paraId="0A572C00" w14:textId="5BE1FF33" w:rsidR="00DA363D" w:rsidRPr="00DA363D" w:rsidRDefault="00DA363D" w:rsidP="00DA363D">
            <w:pPr>
              <w:jc w:val="center"/>
              <w:rPr>
                <w:rFonts w:cs="David"/>
                <w:b/>
                <w:bCs/>
              </w:rPr>
            </w:pPr>
            <w:r w:rsidRPr="00DA363D">
              <w:rPr>
                <w:rFonts w:cs="David"/>
                <w:b/>
                <w:bCs/>
              </w:rPr>
              <w:t>Full Scale</w:t>
            </w:r>
          </w:p>
        </w:tc>
        <w:tc>
          <w:tcPr>
            <w:tcW w:w="0" w:type="auto"/>
            <w:shd w:val="clear" w:color="auto" w:fill="E7E6E6" w:themeFill="background2"/>
          </w:tcPr>
          <w:p w14:paraId="4D3FAB81" w14:textId="77777777" w:rsidR="00DA363D" w:rsidRPr="00DA363D" w:rsidRDefault="00DA363D" w:rsidP="00DA363D">
            <w:pPr>
              <w:jc w:val="center"/>
              <w:rPr>
                <w:rFonts w:cs="David"/>
                <w:b/>
                <w:bCs/>
              </w:rPr>
            </w:pPr>
            <w:r w:rsidRPr="00DA363D">
              <w:rPr>
                <w:rFonts w:cs="David"/>
                <w:b/>
                <w:bCs/>
              </w:rPr>
              <w:t>Model Scale</w:t>
            </w:r>
          </w:p>
        </w:tc>
      </w:tr>
      <w:tr w:rsidR="00DA363D" w:rsidRPr="00DA363D" w14:paraId="67F206C7" w14:textId="77777777" w:rsidTr="00DA363D">
        <w:tc>
          <w:tcPr>
            <w:tcW w:w="0" w:type="auto"/>
          </w:tcPr>
          <w:p w14:paraId="217B3ACA" w14:textId="63A4AFB0" w:rsidR="00DA363D" w:rsidRPr="00DA363D" w:rsidRDefault="00DA363D" w:rsidP="00DA363D">
            <w:pPr>
              <w:jc w:val="both"/>
              <w:rPr>
                <w:rFonts w:cs="David"/>
              </w:rPr>
            </w:pPr>
            <w:r w:rsidRPr="00DA363D">
              <w:rPr>
                <w:rFonts w:cs="David"/>
              </w:rPr>
              <w:t>Scale</w:t>
            </w:r>
            <w:r>
              <w:rPr>
                <w:rFonts w:cs="David"/>
              </w:rPr>
              <w:t xml:space="preserve"> factor</w:t>
            </w:r>
          </w:p>
        </w:tc>
        <w:tc>
          <w:tcPr>
            <w:tcW w:w="0" w:type="auto"/>
          </w:tcPr>
          <w:p w14:paraId="7AD47974" w14:textId="0D647F9C" w:rsidR="00DA363D" w:rsidRPr="002F4E26" w:rsidRDefault="00DA363D" w:rsidP="00DA363D">
            <w:pPr>
              <w:jc w:val="both"/>
              <w:rPr>
                <w:rFonts w:cs="David"/>
                <w:i/>
                <w:iCs/>
              </w:rPr>
            </w:pPr>
            <w:r w:rsidRPr="002F4E26">
              <w:rPr>
                <w:rFonts w:cs="David"/>
                <w:i/>
                <w:iCs/>
                <w:lang w:val="el-GR"/>
              </w:rPr>
              <w:t>λ</w:t>
            </w:r>
          </w:p>
        </w:tc>
        <w:tc>
          <w:tcPr>
            <w:tcW w:w="0" w:type="auto"/>
          </w:tcPr>
          <w:p w14:paraId="56ABE8C8" w14:textId="2B20992C" w:rsidR="00DA363D" w:rsidRPr="00DA363D" w:rsidRDefault="00DA363D" w:rsidP="00DA363D">
            <w:pPr>
              <w:jc w:val="center"/>
              <w:rPr>
                <w:rFonts w:cs="David"/>
              </w:rPr>
            </w:pPr>
            <w:r>
              <w:rPr>
                <w:rFonts w:cs="David"/>
              </w:rPr>
              <w:t>-</w:t>
            </w:r>
          </w:p>
        </w:tc>
        <w:tc>
          <w:tcPr>
            <w:tcW w:w="0" w:type="auto"/>
          </w:tcPr>
          <w:p w14:paraId="44445E3D" w14:textId="5BE40BF7" w:rsidR="00DA363D" w:rsidRPr="00DA363D" w:rsidRDefault="00DA363D" w:rsidP="00DA363D">
            <w:pPr>
              <w:jc w:val="center"/>
              <w:rPr>
                <w:rFonts w:cs="David"/>
              </w:rPr>
            </w:pPr>
            <w:r w:rsidRPr="00DA363D">
              <w:rPr>
                <w:rFonts w:cs="David"/>
              </w:rPr>
              <w:t>1</w:t>
            </w:r>
          </w:p>
        </w:tc>
        <w:tc>
          <w:tcPr>
            <w:tcW w:w="0" w:type="auto"/>
          </w:tcPr>
          <w:p w14:paraId="0DE010D2" w14:textId="77777777" w:rsidR="00DA363D" w:rsidRPr="00DA363D" w:rsidRDefault="00DA363D" w:rsidP="00DA363D">
            <w:pPr>
              <w:jc w:val="center"/>
              <w:rPr>
                <w:rFonts w:cs="David"/>
              </w:rPr>
            </w:pPr>
            <w:r w:rsidRPr="00DA363D">
              <w:rPr>
                <w:rFonts w:cs="David"/>
              </w:rPr>
              <w:t>31.599</w:t>
            </w:r>
          </w:p>
        </w:tc>
      </w:tr>
      <w:tr w:rsidR="00DA363D" w:rsidRPr="00DA363D" w14:paraId="620A60F4" w14:textId="77777777" w:rsidTr="00DA363D">
        <w:tc>
          <w:tcPr>
            <w:tcW w:w="0" w:type="auto"/>
          </w:tcPr>
          <w:p w14:paraId="59D1B5A3" w14:textId="0A706174" w:rsidR="00DA363D" w:rsidRPr="00DA363D" w:rsidRDefault="00DA363D" w:rsidP="00DA363D">
            <w:pPr>
              <w:jc w:val="both"/>
              <w:rPr>
                <w:rFonts w:cs="David"/>
              </w:rPr>
            </w:pPr>
            <w:r>
              <w:rPr>
                <w:rFonts w:cs="David"/>
              </w:rPr>
              <w:t>Length</w:t>
            </w:r>
          </w:p>
        </w:tc>
        <w:tc>
          <w:tcPr>
            <w:tcW w:w="0" w:type="auto"/>
          </w:tcPr>
          <w:p w14:paraId="4AFAECDD" w14:textId="3B92E4E9" w:rsidR="00DA363D" w:rsidRPr="002F4E26" w:rsidRDefault="00DA363D" w:rsidP="00DA363D">
            <w:pPr>
              <w:jc w:val="both"/>
              <w:rPr>
                <w:rFonts w:cs="David"/>
                <w:i/>
                <w:iCs/>
              </w:rPr>
            </w:pPr>
            <w:r w:rsidRPr="002F4E26">
              <w:rPr>
                <w:rFonts w:cs="David"/>
                <w:i/>
                <w:iCs/>
              </w:rPr>
              <w:t xml:space="preserve">L </w:t>
            </w:r>
          </w:p>
        </w:tc>
        <w:tc>
          <w:tcPr>
            <w:tcW w:w="0" w:type="auto"/>
          </w:tcPr>
          <w:p w14:paraId="4C0B410A" w14:textId="1CA0ED93" w:rsidR="00DA363D" w:rsidRPr="00DA363D" w:rsidRDefault="00DA363D" w:rsidP="00DA363D">
            <w:pPr>
              <w:jc w:val="center"/>
              <w:rPr>
                <w:rFonts w:cs="David"/>
              </w:rPr>
            </w:pPr>
            <w:r>
              <w:rPr>
                <w:rFonts w:cs="David"/>
              </w:rPr>
              <w:t>m</w:t>
            </w:r>
          </w:p>
        </w:tc>
        <w:tc>
          <w:tcPr>
            <w:tcW w:w="0" w:type="auto"/>
          </w:tcPr>
          <w:p w14:paraId="175DBBB2" w14:textId="09C7AB82" w:rsidR="00DA363D" w:rsidRPr="00DA363D" w:rsidRDefault="00DA363D" w:rsidP="00DA363D">
            <w:pPr>
              <w:jc w:val="center"/>
              <w:rPr>
                <w:rFonts w:cs="David"/>
              </w:rPr>
            </w:pPr>
            <w:r w:rsidRPr="00DA363D">
              <w:rPr>
                <w:rFonts w:cs="David"/>
              </w:rPr>
              <w:t>230</w:t>
            </w:r>
          </w:p>
        </w:tc>
        <w:tc>
          <w:tcPr>
            <w:tcW w:w="0" w:type="auto"/>
          </w:tcPr>
          <w:p w14:paraId="01F6543D" w14:textId="77777777" w:rsidR="00DA363D" w:rsidRPr="00DA363D" w:rsidRDefault="00DA363D" w:rsidP="00DA363D">
            <w:pPr>
              <w:jc w:val="center"/>
              <w:rPr>
                <w:rFonts w:cs="David"/>
              </w:rPr>
            </w:pPr>
            <w:r w:rsidRPr="00DA363D">
              <w:rPr>
                <w:rFonts w:cs="David"/>
              </w:rPr>
              <w:t>7.2786</w:t>
            </w:r>
          </w:p>
        </w:tc>
      </w:tr>
      <w:tr w:rsidR="00DA363D" w:rsidRPr="00DA363D" w14:paraId="2CC4220B" w14:textId="77777777" w:rsidTr="00DA363D">
        <w:tc>
          <w:tcPr>
            <w:tcW w:w="0" w:type="auto"/>
          </w:tcPr>
          <w:p w14:paraId="4E483EE6" w14:textId="5B133C86" w:rsidR="00DA363D" w:rsidRPr="00DA363D" w:rsidRDefault="00DA363D" w:rsidP="00DA363D">
            <w:pPr>
              <w:jc w:val="both"/>
              <w:rPr>
                <w:rFonts w:cs="David"/>
              </w:rPr>
            </w:pPr>
            <w:r>
              <w:rPr>
                <w:rFonts w:cs="David"/>
              </w:rPr>
              <w:t>Depth</w:t>
            </w:r>
          </w:p>
        </w:tc>
        <w:tc>
          <w:tcPr>
            <w:tcW w:w="0" w:type="auto"/>
          </w:tcPr>
          <w:p w14:paraId="16CC81E1" w14:textId="1C46416A" w:rsidR="00DA363D" w:rsidRPr="002F4E26" w:rsidRDefault="00DA363D" w:rsidP="00DA363D">
            <w:pPr>
              <w:jc w:val="both"/>
              <w:rPr>
                <w:rFonts w:cs="David"/>
                <w:i/>
                <w:iCs/>
              </w:rPr>
            </w:pPr>
            <w:r w:rsidRPr="002F4E26">
              <w:rPr>
                <w:rFonts w:cs="David"/>
                <w:i/>
                <w:iCs/>
              </w:rPr>
              <w:t>D</w:t>
            </w:r>
          </w:p>
        </w:tc>
        <w:tc>
          <w:tcPr>
            <w:tcW w:w="0" w:type="auto"/>
          </w:tcPr>
          <w:p w14:paraId="17C55448" w14:textId="01CDE222" w:rsidR="00DA363D" w:rsidRPr="00DA363D" w:rsidRDefault="00DA363D" w:rsidP="00DA363D">
            <w:pPr>
              <w:jc w:val="center"/>
              <w:rPr>
                <w:rFonts w:cs="David"/>
              </w:rPr>
            </w:pPr>
            <w:r>
              <w:rPr>
                <w:rFonts w:cs="David"/>
              </w:rPr>
              <w:t>m</w:t>
            </w:r>
          </w:p>
        </w:tc>
        <w:tc>
          <w:tcPr>
            <w:tcW w:w="0" w:type="auto"/>
          </w:tcPr>
          <w:p w14:paraId="3E9F478A" w14:textId="0612BC10" w:rsidR="00DA363D" w:rsidRPr="00DA363D" w:rsidRDefault="00DA363D" w:rsidP="00DA363D">
            <w:pPr>
              <w:jc w:val="center"/>
              <w:rPr>
                <w:rFonts w:cs="David"/>
              </w:rPr>
            </w:pPr>
            <w:r w:rsidRPr="00DA363D">
              <w:rPr>
                <w:rFonts w:cs="David"/>
              </w:rPr>
              <w:t>19</w:t>
            </w:r>
          </w:p>
        </w:tc>
        <w:tc>
          <w:tcPr>
            <w:tcW w:w="0" w:type="auto"/>
          </w:tcPr>
          <w:p w14:paraId="7F8858D0" w14:textId="77777777" w:rsidR="00DA363D" w:rsidRPr="00DA363D" w:rsidRDefault="00DA363D" w:rsidP="00DA363D">
            <w:pPr>
              <w:jc w:val="center"/>
              <w:rPr>
                <w:rFonts w:cs="David"/>
              </w:rPr>
            </w:pPr>
            <w:r w:rsidRPr="00DA363D">
              <w:rPr>
                <w:rFonts w:cs="David"/>
              </w:rPr>
              <w:t>0.6013</w:t>
            </w:r>
          </w:p>
        </w:tc>
      </w:tr>
      <w:tr w:rsidR="00DA363D" w:rsidRPr="00DA363D" w14:paraId="38EBC3F8" w14:textId="77777777" w:rsidTr="00DA363D">
        <w:tc>
          <w:tcPr>
            <w:tcW w:w="0" w:type="auto"/>
          </w:tcPr>
          <w:p w14:paraId="312F161B" w14:textId="1581FDE2" w:rsidR="00DA363D" w:rsidRPr="00DA363D" w:rsidRDefault="00DA363D" w:rsidP="00DA363D">
            <w:pPr>
              <w:jc w:val="both"/>
              <w:rPr>
                <w:rFonts w:cs="David"/>
              </w:rPr>
            </w:pPr>
            <w:r>
              <w:rPr>
                <w:rFonts w:cs="David"/>
              </w:rPr>
              <w:t>Draft</w:t>
            </w:r>
          </w:p>
        </w:tc>
        <w:tc>
          <w:tcPr>
            <w:tcW w:w="0" w:type="auto"/>
          </w:tcPr>
          <w:p w14:paraId="7B5ACAD9" w14:textId="4720420E" w:rsidR="00DA363D" w:rsidRPr="002F4E26" w:rsidRDefault="00DA363D" w:rsidP="00DA363D">
            <w:pPr>
              <w:jc w:val="both"/>
              <w:rPr>
                <w:rFonts w:cs="David"/>
                <w:i/>
                <w:iCs/>
              </w:rPr>
            </w:pPr>
            <w:r w:rsidRPr="002F4E26">
              <w:rPr>
                <w:rFonts w:cs="David"/>
                <w:i/>
                <w:iCs/>
              </w:rPr>
              <w:t xml:space="preserve">T </w:t>
            </w:r>
          </w:p>
        </w:tc>
        <w:tc>
          <w:tcPr>
            <w:tcW w:w="0" w:type="auto"/>
          </w:tcPr>
          <w:p w14:paraId="51DDCD6D" w14:textId="17A075A4" w:rsidR="00DA363D" w:rsidRPr="00DA363D" w:rsidRDefault="00DA363D" w:rsidP="00DA363D">
            <w:pPr>
              <w:jc w:val="center"/>
              <w:rPr>
                <w:rFonts w:cs="David"/>
              </w:rPr>
            </w:pPr>
            <w:r>
              <w:rPr>
                <w:rFonts w:cs="David"/>
              </w:rPr>
              <w:t>m</w:t>
            </w:r>
          </w:p>
        </w:tc>
        <w:tc>
          <w:tcPr>
            <w:tcW w:w="0" w:type="auto"/>
          </w:tcPr>
          <w:p w14:paraId="6524D247" w14:textId="0B7CE805" w:rsidR="00DA363D" w:rsidRPr="00DA363D" w:rsidRDefault="00DA363D" w:rsidP="00DA363D">
            <w:pPr>
              <w:jc w:val="center"/>
              <w:rPr>
                <w:rFonts w:cs="David"/>
              </w:rPr>
            </w:pPr>
            <w:r w:rsidRPr="00DA363D">
              <w:rPr>
                <w:rFonts w:cs="David"/>
              </w:rPr>
              <w:t>10.8</w:t>
            </w:r>
          </w:p>
        </w:tc>
        <w:tc>
          <w:tcPr>
            <w:tcW w:w="0" w:type="auto"/>
          </w:tcPr>
          <w:p w14:paraId="50A3D9EA" w14:textId="77777777" w:rsidR="00DA363D" w:rsidRPr="00DA363D" w:rsidRDefault="00DA363D" w:rsidP="00DA363D">
            <w:pPr>
              <w:jc w:val="center"/>
              <w:rPr>
                <w:rFonts w:cs="David"/>
              </w:rPr>
            </w:pPr>
            <w:r w:rsidRPr="00DA363D">
              <w:rPr>
                <w:rFonts w:cs="David"/>
              </w:rPr>
              <w:t>0.3418</w:t>
            </w:r>
          </w:p>
        </w:tc>
      </w:tr>
      <w:tr w:rsidR="00DA363D" w:rsidRPr="00DA363D" w14:paraId="1F2A8328" w14:textId="77777777" w:rsidTr="00DA363D">
        <w:tc>
          <w:tcPr>
            <w:tcW w:w="0" w:type="auto"/>
          </w:tcPr>
          <w:p w14:paraId="73C62EC3" w14:textId="16385E0A" w:rsidR="00DA363D" w:rsidRPr="00DA363D" w:rsidRDefault="00DA363D" w:rsidP="00DA363D">
            <w:pPr>
              <w:jc w:val="both"/>
              <w:rPr>
                <w:rFonts w:cs="David"/>
              </w:rPr>
            </w:pPr>
            <w:r>
              <w:rPr>
                <w:rFonts w:cs="David"/>
              </w:rPr>
              <w:t>Displacement</w:t>
            </w:r>
          </w:p>
        </w:tc>
        <w:tc>
          <w:tcPr>
            <w:tcW w:w="0" w:type="auto"/>
          </w:tcPr>
          <w:p w14:paraId="47C9D264" w14:textId="06A3DA7A" w:rsidR="00DA363D" w:rsidRPr="00DA363D" w:rsidRDefault="0004099E" w:rsidP="00DA363D">
            <w:pPr>
              <w:jc w:val="both"/>
              <w:rPr>
                <w:rFonts w:cs="David"/>
              </w:rPr>
            </w:pPr>
            <m:oMathPara>
              <m:oMathParaPr>
                <m:jc m:val="left"/>
              </m:oMathParaPr>
              <m:oMath>
                <m:r>
                  <w:rPr>
                    <w:rFonts w:ascii="Cambria Math" w:hAnsi="Cambria Math" w:cs="David"/>
                  </w:rPr>
                  <m:t>∇</m:t>
                </m:r>
              </m:oMath>
            </m:oMathPara>
          </w:p>
        </w:tc>
        <w:tc>
          <w:tcPr>
            <w:tcW w:w="0" w:type="auto"/>
          </w:tcPr>
          <w:p w14:paraId="07A0FB3B" w14:textId="7EEE50D8" w:rsidR="00DA363D" w:rsidRPr="00DA363D" w:rsidRDefault="00DA363D" w:rsidP="00DA363D">
            <w:pPr>
              <w:jc w:val="center"/>
              <w:rPr>
                <w:rFonts w:cs="David"/>
              </w:rPr>
            </w:pPr>
            <w:r w:rsidRPr="00DA363D">
              <w:rPr>
                <w:rFonts w:cs="David"/>
              </w:rPr>
              <w:t>m</w:t>
            </w:r>
            <w:r w:rsidRPr="00DA363D">
              <w:rPr>
                <w:rFonts w:cs="David"/>
                <w:vertAlign w:val="superscript"/>
              </w:rPr>
              <w:t>3</w:t>
            </w:r>
          </w:p>
        </w:tc>
        <w:tc>
          <w:tcPr>
            <w:tcW w:w="0" w:type="auto"/>
          </w:tcPr>
          <w:p w14:paraId="2499233E" w14:textId="2AC94D23" w:rsidR="00DA363D" w:rsidRPr="00DA363D" w:rsidRDefault="00DA363D" w:rsidP="00DA363D">
            <w:pPr>
              <w:jc w:val="center"/>
              <w:rPr>
                <w:rFonts w:cs="David"/>
              </w:rPr>
            </w:pPr>
            <w:r w:rsidRPr="00DA363D">
              <w:rPr>
                <w:rFonts w:cs="David"/>
              </w:rPr>
              <w:t>52030</w:t>
            </w:r>
          </w:p>
        </w:tc>
        <w:tc>
          <w:tcPr>
            <w:tcW w:w="0" w:type="auto"/>
          </w:tcPr>
          <w:p w14:paraId="21E9BDFE" w14:textId="77777777" w:rsidR="00DA363D" w:rsidRPr="00DA363D" w:rsidRDefault="00DA363D" w:rsidP="00DA363D">
            <w:pPr>
              <w:jc w:val="center"/>
              <w:rPr>
                <w:rFonts w:cs="David"/>
              </w:rPr>
            </w:pPr>
            <w:r w:rsidRPr="00DA363D">
              <w:rPr>
                <w:rFonts w:cs="David"/>
              </w:rPr>
              <w:t>1.649</w:t>
            </w:r>
          </w:p>
        </w:tc>
      </w:tr>
      <w:tr w:rsidR="00DA363D" w:rsidRPr="00DA363D" w14:paraId="5993E2C7" w14:textId="77777777" w:rsidTr="00DA363D">
        <w:tc>
          <w:tcPr>
            <w:tcW w:w="0" w:type="auto"/>
          </w:tcPr>
          <w:p w14:paraId="15C30DE8" w14:textId="4D5FA94C" w:rsidR="00DA363D" w:rsidRPr="00DA363D" w:rsidRDefault="00DA363D" w:rsidP="00DA363D">
            <w:pPr>
              <w:jc w:val="both"/>
              <w:rPr>
                <w:rFonts w:cs="David"/>
              </w:rPr>
            </w:pPr>
            <w:r>
              <w:rPr>
                <w:rFonts w:cs="David"/>
              </w:rPr>
              <w:t>Wetted surface area</w:t>
            </w:r>
          </w:p>
        </w:tc>
        <w:tc>
          <w:tcPr>
            <w:tcW w:w="0" w:type="auto"/>
          </w:tcPr>
          <w:p w14:paraId="3CF64CC1" w14:textId="327C7201" w:rsidR="00DA363D" w:rsidRPr="00DA363D" w:rsidRDefault="0004099E" w:rsidP="00DA363D">
            <w:pPr>
              <w:jc w:val="both"/>
              <w:rPr>
                <w:rFonts w:cs="David"/>
              </w:rPr>
            </w:pPr>
            <m:oMathPara>
              <m:oMathParaPr>
                <m:jc m:val="left"/>
              </m:oMathParaPr>
              <m:oMath>
                <m:r>
                  <w:rPr>
                    <w:rFonts w:ascii="Cambria Math" w:hAnsi="Cambria Math" w:cs="David"/>
                  </w:rPr>
                  <m:t>S</m:t>
                </m:r>
              </m:oMath>
            </m:oMathPara>
          </w:p>
        </w:tc>
        <w:tc>
          <w:tcPr>
            <w:tcW w:w="0" w:type="auto"/>
          </w:tcPr>
          <w:p w14:paraId="3A6911AB" w14:textId="3BD5E235" w:rsidR="00DA363D" w:rsidRPr="00DA363D" w:rsidRDefault="00DA363D" w:rsidP="00DA363D">
            <w:pPr>
              <w:jc w:val="center"/>
              <w:rPr>
                <w:rFonts w:cs="David"/>
              </w:rPr>
            </w:pPr>
            <w:r w:rsidRPr="00DA363D">
              <w:rPr>
                <w:rFonts w:cs="David"/>
              </w:rPr>
              <w:t>m</w:t>
            </w:r>
            <w:r>
              <w:rPr>
                <w:rFonts w:cs="David"/>
                <w:vertAlign w:val="superscript"/>
              </w:rPr>
              <w:t>2</w:t>
            </w:r>
          </w:p>
        </w:tc>
        <w:tc>
          <w:tcPr>
            <w:tcW w:w="0" w:type="auto"/>
          </w:tcPr>
          <w:p w14:paraId="4FEB5CEE" w14:textId="1B3E26F4" w:rsidR="00DA363D" w:rsidRPr="00DA363D" w:rsidRDefault="00DA363D" w:rsidP="00DA363D">
            <w:pPr>
              <w:jc w:val="center"/>
              <w:rPr>
                <w:rFonts w:cs="David"/>
              </w:rPr>
            </w:pPr>
            <w:r w:rsidRPr="00DA363D">
              <w:rPr>
                <w:rFonts w:cs="David"/>
              </w:rPr>
              <w:t>9530</w:t>
            </w:r>
          </w:p>
        </w:tc>
        <w:tc>
          <w:tcPr>
            <w:tcW w:w="0" w:type="auto"/>
          </w:tcPr>
          <w:p w14:paraId="135907FB" w14:textId="77777777" w:rsidR="00DA363D" w:rsidRPr="00DA363D" w:rsidRDefault="00DA363D" w:rsidP="00DA363D">
            <w:pPr>
              <w:jc w:val="center"/>
              <w:rPr>
                <w:rFonts w:cs="David"/>
              </w:rPr>
            </w:pPr>
            <w:r w:rsidRPr="00DA363D">
              <w:rPr>
                <w:rFonts w:cs="David"/>
              </w:rPr>
              <w:t>9.5441</w:t>
            </w:r>
          </w:p>
        </w:tc>
      </w:tr>
      <w:tr w:rsidR="00DA363D" w:rsidRPr="00DA363D" w14:paraId="56BB8ECD" w14:textId="77777777" w:rsidTr="00DA363D">
        <w:tc>
          <w:tcPr>
            <w:tcW w:w="0" w:type="auto"/>
          </w:tcPr>
          <w:p w14:paraId="5C49EAA2" w14:textId="2AB7058F" w:rsidR="00DA363D" w:rsidRPr="00DA363D" w:rsidRDefault="00DA363D" w:rsidP="00DA363D">
            <w:pPr>
              <w:jc w:val="both"/>
              <w:rPr>
                <w:rFonts w:cs="David"/>
              </w:rPr>
            </w:pPr>
            <w:r>
              <w:rPr>
                <w:rFonts w:cs="David"/>
              </w:rPr>
              <w:t>Block coefficient</w:t>
            </w:r>
          </w:p>
        </w:tc>
        <w:tc>
          <w:tcPr>
            <w:tcW w:w="0" w:type="auto"/>
          </w:tcPr>
          <w:p w14:paraId="196FC7C8" w14:textId="36B5A995" w:rsidR="00DA363D" w:rsidRPr="00DA363D" w:rsidRDefault="00922706" w:rsidP="00DA363D">
            <w:pPr>
              <w:jc w:val="both"/>
              <w:rPr>
                <w:rFonts w:cs="David"/>
              </w:rPr>
            </w:pPr>
            <m:oMathPara>
              <m:oMathParaPr>
                <m:jc m:val="left"/>
              </m:oMathParaPr>
              <m:oMath>
                <m:sSub>
                  <m:sSubPr>
                    <m:ctrlPr>
                      <w:rPr>
                        <w:rFonts w:ascii="Cambria Math" w:hAnsi="Cambria Math" w:cs="David"/>
                        <w:i/>
                      </w:rPr>
                    </m:ctrlPr>
                  </m:sSubPr>
                  <m:e>
                    <m:r>
                      <w:rPr>
                        <w:rFonts w:ascii="Cambria Math" w:hAnsi="Cambria Math" w:cs="David"/>
                      </w:rPr>
                      <m:t>C</m:t>
                    </m:r>
                  </m:e>
                  <m:sub>
                    <m:r>
                      <w:rPr>
                        <w:rFonts w:ascii="Cambria Math" w:hAnsi="Cambria Math" w:cs="David"/>
                      </w:rPr>
                      <m:t>b</m:t>
                    </m:r>
                  </m:sub>
                </m:sSub>
              </m:oMath>
            </m:oMathPara>
          </w:p>
        </w:tc>
        <w:tc>
          <w:tcPr>
            <w:tcW w:w="0" w:type="auto"/>
          </w:tcPr>
          <w:p w14:paraId="1163FEDA" w14:textId="1E895F25" w:rsidR="00DA363D" w:rsidRPr="00DA363D" w:rsidRDefault="00DA363D" w:rsidP="00DA363D">
            <w:pPr>
              <w:jc w:val="center"/>
              <w:rPr>
                <w:rFonts w:cs="David"/>
              </w:rPr>
            </w:pPr>
            <w:r>
              <w:rPr>
                <w:rFonts w:cs="David"/>
              </w:rPr>
              <w:t>-</w:t>
            </w:r>
          </w:p>
        </w:tc>
        <w:tc>
          <w:tcPr>
            <w:tcW w:w="0" w:type="auto"/>
          </w:tcPr>
          <w:p w14:paraId="7050152D" w14:textId="5352250B" w:rsidR="00DA363D" w:rsidRPr="00DA363D" w:rsidRDefault="00DA363D" w:rsidP="00DA363D">
            <w:pPr>
              <w:jc w:val="center"/>
              <w:rPr>
                <w:rFonts w:cs="David"/>
              </w:rPr>
            </w:pPr>
            <w:r w:rsidRPr="00DA363D">
              <w:rPr>
                <w:rFonts w:cs="David"/>
              </w:rPr>
              <w:t>0.651</w:t>
            </w:r>
          </w:p>
        </w:tc>
        <w:tc>
          <w:tcPr>
            <w:tcW w:w="0" w:type="auto"/>
          </w:tcPr>
          <w:p w14:paraId="4B49512A" w14:textId="77777777" w:rsidR="00DA363D" w:rsidRPr="00DA363D" w:rsidRDefault="00DA363D" w:rsidP="00DA363D">
            <w:pPr>
              <w:jc w:val="center"/>
              <w:rPr>
                <w:rFonts w:cs="David"/>
              </w:rPr>
            </w:pPr>
            <w:r w:rsidRPr="00DA363D">
              <w:rPr>
                <w:rFonts w:cs="David"/>
              </w:rPr>
              <w:t>0.651</w:t>
            </w:r>
          </w:p>
        </w:tc>
      </w:tr>
      <w:tr w:rsidR="00DA363D" w:rsidRPr="00DA363D" w14:paraId="71A95F98" w14:textId="77777777" w:rsidTr="00DA363D">
        <w:trPr>
          <w:trHeight w:val="70"/>
        </w:trPr>
        <w:tc>
          <w:tcPr>
            <w:tcW w:w="0" w:type="auto"/>
          </w:tcPr>
          <w:p w14:paraId="113F8B43" w14:textId="4E19FDB7" w:rsidR="00DA363D" w:rsidRPr="00DA363D" w:rsidRDefault="00DA363D" w:rsidP="00DA363D">
            <w:pPr>
              <w:jc w:val="both"/>
              <w:rPr>
                <w:rFonts w:cs="David"/>
              </w:rPr>
            </w:pPr>
            <w:r w:rsidRPr="00DA363D">
              <w:rPr>
                <w:rFonts w:cs="David"/>
              </w:rPr>
              <w:t>Froude Number</w:t>
            </w:r>
          </w:p>
        </w:tc>
        <w:tc>
          <w:tcPr>
            <w:tcW w:w="0" w:type="auto"/>
          </w:tcPr>
          <w:p w14:paraId="5CE8C80D" w14:textId="03F27CF2" w:rsidR="00DA363D" w:rsidRPr="00DA363D" w:rsidRDefault="0004099E" w:rsidP="00DA363D">
            <w:pPr>
              <w:jc w:val="both"/>
              <w:rPr>
                <w:rFonts w:cs="David"/>
              </w:rPr>
            </w:pPr>
            <m:oMathPara>
              <m:oMathParaPr>
                <m:jc m:val="left"/>
              </m:oMathParaPr>
              <m:oMath>
                <m:r>
                  <w:rPr>
                    <w:rFonts w:ascii="Cambria Math" w:hAnsi="Cambria Math" w:cs="David"/>
                  </w:rPr>
                  <m:t>Fr</m:t>
                </m:r>
              </m:oMath>
            </m:oMathPara>
          </w:p>
        </w:tc>
        <w:tc>
          <w:tcPr>
            <w:tcW w:w="0" w:type="auto"/>
          </w:tcPr>
          <w:p w14:paraId="137719FF" w14:textId="1713C3B8" w:rsidR="00DA363D" w:rsidRPr="00DA363D" w:rsidRDefault="00DA363D" w:rsidP="00DA363D">
            <w:pPr>
              <w:jc w:val="center"/>
              <w:rPr>
                <w:rFonts w:cs="David"/>
              </w:rPr>
            </w:pPr>
            <w:r>
              <w:rPr>
                <w:rFonts w:cs="David"/>
              </w:rPr>
              <w:t>-</w:t>
            </w:r>
          </w:p>
        </w:tc>
        <w:tc>
          <w:tcPr>
            <w:tcW w:w="0" w:type="auto"/>
          </w:tcPr>
          <w:p w14:paraId="694F78E8" w14:textId="79E9A54B" w:rsidR="00DA363D" w:rsidRPr="00DA363D" w:rsidRDefault="00DA363D" w:rsidP="00DA363D">
            <w:pPr>
              <w:jc w:val="center"/>
              <w:rPr>
                <w:rFonts w:cs="David"/>
              </w:rPr>
            </w:pPr>
            <w:r w:rsidRPr="00DA363D">
              <w:rPr>
                <w:rFonts w:cs="David"/>
              </w:rPr>
              <w:t>0.26</w:t>
            </w:r>
          </w:p>
        </w:tc>
        <w:tc>
          <w:tcPr>
            <w:tcW w:w="0" w:type="auto"/>
          </w:tcPr>
          <w:p w14:paraId="28DE427C" w14:textId="77777777" w:rsidR="00DA363D" w:rsidRPr="00DA363D" w:rsidRDefault="00DA363D" w:rsidP="00DA363D">
            <w:pPr>
              <w:jc w:val="center"/>
              <w:rPr>
                <w:rFonts w:cs="David"/>
              </w:rPr>
            </w:pPr>
            <w:r w:rsidRPr="00DA363D">
              <w:rPr>
                <w:rFonts w:cs="David"/>
              </w:rPr>
              <w:t>0.26</w:t>
            </w:r>
          </w:p>
        </w:tc>
      </w:tr>
    </w:tbl>
    <w:p w14:paraId="03342A1B" w14:textId="53EF986F" w:rsidR="00C24EE1" w:rsidRDefault="00E510D2" w:rsidP="006054EF">
      <w:pPr>
        <w:spacing w:before="240"/>
        <w:jc w:val="both"/>
      </w:pPr>
      <w:r>
        <w:lastRenderedPageBreak/>
        <w:t xml:space="preserve">The methodology adopted in this study </w:t>
      </w:r>
      <w:r w:rsidR="00EA3EB9">
        <w:t>was</w:t>
      </w:r>
      <w:r>
        <w:t xml:space="preserve"> to validate </w:t>
      </w:r>
      <w:r w:rsidR="00D430FD">
        <w:t>the</w:t>
      </w:r>
      <w:r>
        <w:t xml:space="preserve"> </w:t>
      </w:r>
      <w:r w:rsidR="00692B0F">
        <w:t>deep-water</w:t>
      </w:r>
      <w:r>
        <w:t xml:space="preserve"> </w:t>
      </w:r>
      <w:r w:rsidR="00EA3EB9">
        <w:t>resistance</w:t>
      </w:r>
      <w:r w:rsidR="00D430FD">
        <w:t xml:space="preserve"> value</w:t>
      </w:r>
      <w:r w:rsidR="00A51C98">
        <w:t xml:space="preserve"> against the available experimental data. Then, </w:t>
      </w:r>
      <w:r w:rsidR="007A6C62">
        <w:t xml:space="preserve">the densimetric Froude number </w:t>
      </w:r>
      <w:r w:rsidR="00D430FD">
        <w:t>was</w:t>
      </w:r>
      <w:r w:rsidR="007A6C62">
        <w:t xml:space="preserve"> varied by changing the depth </w:t>
      </w:r>
      <w:r w:rsidR="00D430FD">
        <w:t>of</w:t>
      </w:r>
      <w:r w:rsidR="007A6C62">
        <w:t xml:space="preserve"> the pycnocline as well as the ship speed.</w:t>
      </w:r>
      <w:r w:rsidR="00782B95">
        <w:t xml:space="preserve"> Taking precedent </w:t>
      </w:r>
      <w:r w:rsidR="0062436C">
        <w:t xml:space="preserve">from studies </w:t>
      </w:r>
      <w:r w:rsidR="00521285">
        <w:t>of shallow water ship hydrodynamics, the</w:t>
      </w:r>
      <w:r w:rsidR="00174220">
        <w:t xml:space="preserve"> pycnocline </w:t>
      </w:r>
      <w:r w:rsidR="00521285">
        <w:t xml:space="preserve">depth to draft </w:t>
      </w:r>
      <w:r w:rsidR="00174220">
        <w:t>ratio (</w:t>
      </w:r>
      <m:oMath>
        <m:r>
          <w:rPr>
            <w:rFonts w:ascii="Cambria Math" w:hAnsi="Cambria Math"/>
          </w:rPr>
          <m:t>h/T</m:t>
        </m:r>
      </m:oMath>
      <w:r w:rsidR="00174220">
        <w:rPr>
          <w:rFonts w:eastAsiaTheme="minorEastAsia"/>
        </w:rPr>
        <w:t>)</w:t>
      </w:r>
      <w:r w:rsidR="00174220">
        <w:t xml:space="preserve"> </w:t>
      </w:r>
      <w:r w:rsidR="00D430FD">
        <w:t>was</w:t>
      </w:r>
      <w:r w:rsidR="00174220">
        <w:t xml:space="preserve"> varied between 0.25 and 10.5 to produce </w:t>
      </w:r>
      <w:r w:rsidR="005E1BC3">
        <w:t xml:space="preserve">a range of cases. </w:t>
      </w:r>
      <w:r w:rsidR="00BA38D1">
        <w:t>Additionally, two ship speeds, corresponding to Froude numbers of 0.26 (the service speed</w:t>
      </w:r>
      <w:r w:rsidR="0043651D">
        <w:t>, 24 knots full-scale equivalent</w:t>
      </w:r>
      <w:r w:rsidR="00BA38D1">
        <w:t xml:space="preserve">) and a lower speed corresponding to </w:t>
      </w:r>
      <m:oMath>
        <m:r>
          <w:rPr>
            <w:rFonts w:ascii="Cambria Math" w:hAnsi="Cambria Math"/>
          </w:rPr>
          <m:t>Fr=0.0431</m:t>
        </m:r>
      </m:oMath>
      <w:r w:rsidR="00BA38D1">
        <w:rPr>
          <w:rFonts w:eastAsiaTheme="minorEastAsia"/>
        </w:rPr>
        <w:t xml:space="preserve"> </w:t>
      </w:r>
      <w:r w:rsidR="0043651D">
        <w:rPr>
          <w:rFonts w:eastAsiaTheme="minorEastAsia"/>
        </w:rPr>
        <w:t xml:space="preserve">(4 knots full-scale equivalent) </w:t>
      </w:r>
      <w:r w:rsidR="00D430FD">
        <w:rPr>
          <w:rFonts w:eastAsiaTheme="minorEastAsia"/>
        </w:rPr>
        <w:t>we</w:t>
      </w:r>
      <w:r w:rsidR="00B04344">
        <w:rPr>
          <w:rFonts w:eastAsiaTheme="minorEastAsia"/>
        </w:rPr>
        <w:t>re</w:t>
      </w:r>
      <w:r w:rsidR="00BA38D1">
        <w:rPr>
          <w:rFonts w:eastAsiaTheme="minorEastAsia"/>
        </w:rPr>
        <w:t xml:space="preserve"> modelled to </w:t>
      </w:r>
      <w:r w:rsidR="00FC6928">
        <w:rPr>
          <w:rFonts w:eastAsiaTheme="minorEastAsia"/>
        </w:rPr>
        <w:t>create cases where</w:t>
      </w:r>
      <w:r w:rsidR="00BA38D1">
        <w:rPr>
          <w:rFonts w:eastAsiaTheme="minorEastAsia"/>
        </w:rPr>
        <w:t xml:space="preserve"> </w:t>
      </w:r>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&lt;1</m:t>
        </m:r>
      </m:oMath>
      <w:r w:rsidR="00FC6928">
        <w:rPr>
          <w:rFonts w:eastAsiaTheme="minorEastAsia"/>
        </w:rPr>
        <w:t>. These case studies represent</w:t>
      </w:r>
      <w:r w:rsidR="00A32E9C">
        <w:t xml:space="preserve"> practical and extreme cases</w:t>
      </w:r>
      <w:r w:rsidR="00FC6928">
        <w:t xml:space="preserve">, </w:t>
      </w:r>
      <w:r w:rsidR="00A32E9C">
        <w:t xml:space="preserve">to gauge the influence of varying operational conditions on the resistance of the hull. As mentioned in the previous section, a resistance spike </w:t>
      </w:r>
      <w:r w:rsidR="00265B77">
        <w:t xml:space="preserve">is expected when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≈1</m:t>
        </m:r>
      </m:oMath>
      <w:r w:rsidR="00881961">
        <w:t xml:space="preserve">. Case studies </w:t>
      </w:r>
      <w:r w:rsidR="00D430FD">
        <w:t>we</w:t>
      </w:r>
      <w:r w:rsidR="00881961">
        <w:t xml:space="preserve">re therefore set to ensure </w:t>
      </w:r>
      <w:r w:rsidR="0004099E">
        <w:t xml:space="preserve">these conditions are accounted for. The full test matrix is given in </w:t>
      </w:r>
      <w:r w:rsidR="00C2392C">
        <w:fldChar w:fldCharType="begin"/>
      </w:r>
      <w:r w:rsidR="00C2392C">
        <w:instrText xml:space="preserve"> REF _Ref107927333 \h </w:instrText>
      </w:r>
      <w:r w:rsidR="00C2392C">
        <w:fldChar w:fldCharType="separate"/>
      </w:r>
      <w:r w:rsidR="00363A7B">
        <w:t xml:space="preserve">Table </w:t>
      </w:r>
      <w:r w:rsidR="00363A7B">
        <w:rPr>
          <w:noProof/>
        </w:rPr>
        <w:t>2</w:t>
      </w:r>
      <w:r w:rsidR="00C2392C">
        <w:fldChar w:fldCharType="end"/>
      </w:r>
      <w:r w:rsidR="00C2392C">
        <w:t>.</w:t>
      </w:r>
      <w:r w:rsidR="00C24EE1">
        <w:t xml:space="preserve"> </w:t>
      </w:r>
    </w:p>
    <w:p w14:paraId="4602E1FE" w14:textId="21F1390F" w:rsidR="0069113E" w:rsidRDefault="0069113E" w:rsidP="00881961">
      <w:pPr>
        <w:jc w:val="both"/>
      </w:pPr>
      <w:r>
        <w:t>The full-scale equivalent pycnocline depths chosen var</w:t>
      </w:r>
      <w:r w:rsidR="00147381">
        <w:t>ied</w:t>
      </w:r>
      <w:r>
        <w:t xml:space="preserve"> from </w:t>
      </w:r>
      <w:r w:rsidR="002461D9">
        <w:t>approximately</w:t>
      </w:r>
      <w:r>
        <w:t xml:space="preserve"> 5.4m to 113.4m to cover the entire range of possible </w:t>
      </w:r>
      <w:r w:rsidR="002461D9">
        <w:t>naturally occurring depths (0</w:t>
      </w:r>
      <w:r w:rsidR="007C45A7">
        <w:t>m</w:t>
      </w:r>
      <w:r w:rsidR="002461D9">
        <w:t xml:space="preserve"> – 90m)</w:t>
      </w:r>
      <w:r w:rsidR="00D16691">
        <w:t xml:space="preserve"> </w:t>
      </w:r>
      <w:r w:rsidR="00147381">
        <w:t>and</w:t>
      </w:r>
      <w:r w:rsidR="00D16691">
        <w:t xml:space="preserve"> to observe</w:t>
      </w:r>
      <w:r w:rsidR="007C45A7">
        <w:t xml:space="preserve"> the</w:t>
      </w:r>
      <w:r w:rsidR="00D16691">
        <w:t xml:space="preserve"> </w:t>
      </w:r>
      <w:r w:rsidR="007C45A7" w:rsidRPr="007C45A7">
        <w:t>effects of increasing pycnocline depths due to climate change (90m</w:t>
      </w:r>
      <w:r w:rsidR="007C45A7">
        <w:t xml:space="preserve"> – </w:t>
      </w:r>
      <w:r w:rsidR="007C45A7" w:rsidRPr="007C45A7">
        <w:t>113.4m).</w:t>
      </w:r>
      <w:r w:rsidR="001A5F74">
        <w:t xml:space="preserve"> </w:t>
      </w:r>
      <w:r w:rsidR="001A5F74" w:rsidRPr="001A5F74">
        <w:t xml:space="preserve">While, as discussed in greater detail in </w:t>
      </w:r>
      <w:r w:rsidR="001A5F74">
        <w:t>the previous section</w:t>
      </w:r>
      <w:r w:rsidR="001A5F74" w:rsidRPr="001A5F74">
        <w:t xml:space="preserve">, sufficient data does not yet exist to predict how much pycnocline depths are likely to increase by, an increase of more than 2 times the </w:t>
      </w:r>
      <w:r w:rsidR="00EA69E2">
        <w:t>difference</w:t>
      </w:r>
      <w:r w:rsidR="001A5F74" w:rsidRPr="001A5F74">
        <w:t xml:space="preserve"> between summer and winter is assumed to be more tha</w:t>
      </w:r>
      <w:r w:rsidR="00EA69E2">
        <w:t>n</w:t>
      </w:r>
      <w:r w:rsidR="001A5F74" w:rsidRPr="001A5F74">
        <w:t xml:space="preserve"> sufficient to account for a worst-case scenario.</w:t>
      </w:r>
    </w:p>
    <w:p w14:paraId="6A72A3B2" w14:textId="10B83E8D" w:rsidR="006E40D4" w:rsidRDefault="006E40D4" w:rsidP="00881961">
      <w:pPr>
        <w:jc w:val="both"/>
      </w:pPr>
      <w:r w:rsidRPr="006E40D4">
        <w:t>The properties of fresh and salt water were taken from</w:t>
      </w:r>
      <w:r>
        <w:t xml:space="preserve"> the International Towing Tank Conference</w:t>
      </w:r>
      <w:r w:rsidR="00995650">
        <w:t xml:space="preserve"> (ITTC)</w:t>
      </w:r>
      <w:r>
        <w:t xml:space="preserve"> </w:t>
      </w:r>
      <w:r>
        <w:fldChar w:fldCharType="begin" w:fldLock="1"/>
      </w:r>
      <w:r w:rsidR="0066043D">
        <w:instrText>ADDIN CSL_CITATION {"citationItems":[{"id":"ITEM-1","itemData":{"DOI":"10.1002/cphc.200400116","ISSN":"14394235","abstract":"Testing and Extrapolation Methods, General Density and Viscosity of Water","author":[{"dropping-particle":"","family":"26th ITTC Specialist Committee","given":"","non-dropping-particle":"","parse-names":false,"suffix":""}],"container-title":"International Towing Tank Conference","id":"ITEM-1","issue":"10","issued":{"date-parts":[["2011"]]},"page":"1596-1599","title":"Fresh Water and Seawater Properties","type":"article-journal","volume":"5"},"uris":["http://www.mendeley.com/documents/?uuid=97ec9dd0-1e81-4c45-84a0-0d0d9e94f757"]}],"mendeley":{"formattedCitation":"(26th ITTC Specialist Committee, 2011)","plainTextFormattedCitation":"(26th ITTC Specialist Committee, 2011)","previouslyFormattedCitation":"(26th ITTC Specialist Committee, 2011)"},"properties":{"noteIndex":0},"schema":"https://github.com/citation-style-language/schema/raw/master/csl-citation.json"}</w:instrText>
      </w:r>
      <w:r>
        <w:fldChar w:fldCharType="separate"/>
      </w:r>
      <w:r w:rsidRPr="006E40D4">
        <w:rPr>
          <w:noProof/>
        </w:rPr>
        <w:t>(26th ITTC Specialist Committee, 2011)</w:t>
      </w:r>
      <w:r>
        <w:fldChar w:fldCharType="end"/>
      </w:r>
      <w:r w:rsidRPr="006E40D4">
        <w:t>. Both were taken to have a temperature of 12</w:t>
      </w:r>
      <m:oMath>
        <m:r>
          <m:rPr>
            <m:sty m:val="p"/>
          </m:rPr>
          <w:rPr>
            <w:rFonts w:ascii="Cambria Math" w:hAnsi="Cambria Math"/>
          </w:rPr>
          <m:t>°</m:t>
        </m:r>
        <m:r>
          <w:rPr>
            <w:rFonts w:ascii="Cambria Math" w:hAnsi="Cambria Math"/>
          </w:rPr>
          <m:t>C</m:t>
        </m:r>
      </m:oMath>
      <w:r w:rsidRPr="006E40D4">
        <w:t xml:space="preserve"> </w:t>
      </w:r>
      <w:r w:rsidR="0066043D">
        <w:t>because, as explained in the following section,</w:t>
      </w:r>
      <w:r w:rsidRPr="006E40D4">
        <w:t xml:space="preserve"> the </w:t>
      </w:r>
      <w:r w:rsidR="0066043D">
        <w:t xml:space="preserve">Volume of Fluid </w:t>
      </w:r>
      <w:r w:rsidR="0090610C">
        <w:t xml:space="preserve">(VoF) </w:t>
      </w:r>
      <w:r w:rsidR="0066043D">
        <w:t xml:space="preserve">method used to model free surfaces </w:t>
      </w:r>
      <w:r w:rsidRPr="006E40D4">
        <w:t xml:space="preserve">requires a constant temperature </w:t>
      </w:r>
      <w:r w:rsidR="0066043D">
        <w:fldChar w:fldCharType="begin" w:fldLock="1"/>
      </w:r>
      <w:r w:rsidR="00893699">
        <w:instrText>ADDIN CSL_CITATION {"citationItems":[{"id":"ITEM-1","itemData":{"author":[{"dropping-particle":"","family":"Siemens","given":"","non-dropping-particle":"","parse-names":false,"suffix":""}],"id":"ITEM-1","issued":{"date-parts":[["2018"]]},"title":"Star-CCM+ User Guide version 13.04","type":"article"},"uris":["http://www.mendeley.com/documents/?uuid=1632eece-69d0-4c3f-9ab8-c8843f49c20e"]}],"mendeley":{"formattedCitation":"(Siemens, 2018)","plainTextFormattedCitation":"(Siemens, 2018)","previouslyFormattedCitation":"(Siemens, 2018)"},"properties":{"noteIndex":0},"schema":"https://github.com/citation-style-language/schema/raw/master/csl-citation.json"}</w:instrText>
      </w:r>
      <w:r w:rsidR="0066043D">
        <w:fldChar w:fldCharType="separate"/>
      </w:r>
      <w:r w:rsidR="0066043D" w:rsidRPr="0066043D">
        <w:rPr>
          <w:noProof/>
        </w:rPr>
        <w:t>(Siemens, 2018)</w:t>
      </w:r>
      <w:r w:rsidR="0066043D">
        <w:fldChar w:fldCharType="end"/>
      </w:r>
      <w:r w:rsidRPr="006E40D4">
        <w:t xml:space="preserve">. The density of fresh water, </w:t>
      </w:r>
      <m:oMath>
        <m:sSub>
          <m:sSubPr>
            <m:ctrlPr>
              <w:rPr>
                <w:rFonts w:ascii="Cambria Math" w:hAnsi="Cambria Math"/>
              </w:rPr>
            </m:ctrlPr>
          </m:sSubPr>
          <m:e>
            <m:r>
              <w:rPr>
                <w:rFonts w:ascii="Cambria Math" w:hAnsi="Cambria Math"/>
              </w:rPr>
              <m:t>ρ</m:t>
            </m:r>
          </m:e>
          <m:sub>
            <m:r>
              <m:rPr>
                <m:sty m:val="p"/>
              </m:rPr>
              <w:rPr>
                <w:rFonts w:ascii="Cambria Math" w:hAnsi="Cambria Math"/>
              </w:rPr>
              <m:t>0</m:t>
            </m:r>
          </m:sub>
        </m:sSub>
      </m:oMath>
      <w:r w:rsidRPr="006E40D4">
        <w:t>, was taken as</w:t>
      </w:r>
      <w:r w:rsidR="0066043D">
        <w:t xml:space="preserve"> </w:t>
      </w:r>
      <w:r w:rsidRPr="006E40D4">
        <w:t>999.5 kg/m</w:t>
      </w:r>
      <w:r w:rsidRPr="00DF4AAE">
        <w:rPr>
          <w:vertAlign w:val="superscript"/>
        </w:rPr>
        <w:t>3</w:t>
      </w:r>
      <w:r w:rsidRPr="006E40D4">
        <w:t xml:space="preserve"> and its dynamic viscosity, </w:t>
      </w:r>
      <m:oMath>
        <m:sSub>
          <m:sSubPr>
            <m:ctrlPr>
              <w:rPr>
                <w:rFonts w:ascii="Cambria Math" w:hAnsi="Cambria Math"/>
              </w:rPr>
            </m:ctrlPr>
          </m:sSubPr>
          <m:e>
            <m:r>
              <w:rPr>
                <w:rFonts w:ascii="Cambria Math" w:hAnsi="Cambria Math"/>
              </w:rPr>
              <m:t>μ</m:t>
            </m:r>
          </m:e>
          <m:sub>
            <m:r>
              <m:rPr>
                <m:sty m:val="p"/>
              </m:rPr>
              <w:rPr>
                <w:rFonts w:ascii="Cambria Math" w:hAnsi="Cambria Math"/>
              </w:rPr>
              <m:t>0</m:t>
            </m:r>
          </m:sub>
        </m:sSub>
      </m:oMath>
      <w:r w:rsidRPr="006E40D4">
        <w:t xml:space="preserve">, was taken as 0.001234 Pa-s. The density of salt water, </w:t>
      </w:r>
      <m:oMath>
        <m:sSub>
          <m:sSubPr>
            <m:ctrlPr>
              <w:rPr>
                <w:rFonts w:ascii="Cambria Math" w:hAnsi="Cambria Math"/>
              </w:rPr>
            </m:ctrlPr>
          </m:sSubPr>
          <m:e>
            <m:r>
              <w:rPr>
                <w:rFonts w:ascii="Cambria Math" w:hAnsi="Cambria Math"/>
              </w:rPr>
              <m:t>ρ</m:t>
            </m:r>
          </m:e>
          <m:sub>
            <m:r>
              <m:rPr>
                <m:sty m:val="p"/>
              </m:rPr>
              <w:rPr>
                <w:rFonts w:ascii="Cambria Math" w:hAnsi="Cambria Math"/>
              </w:rPr>
              <m:t>0</m:t>
            </m:r>
          </m:sub>
        </m:sSub>
        <m:r>
          <m:rPr>
            <m:sty m:val="p"/>
          </m:rPr>
          <w:rPr>
            <w:rFonts w:ascii="Cambria Math" w:hAnsi="Cambria Math"/>
          </w:rPr>
          <m:t>+</m:t>
        </m:r>
        <m:r>
          <w:rPr>
            <w:rFonts w:ascii="Cambria Math" w:hAnsi="Cambria Math"/>
          </w:rPr>
          <m:t>Δρ</m:t>
        </m:r>
      </m:oMath>
      <w:r w:rsidRPr="006E40D4">
        <w:t>, was taken as 1026.64</w:t>
      </w:r>
      <w:r w:rsidR="00995650" w:rsidRPr="00995650">
        <w:t xml:space="preserve"> </w:t>
      </w:r>
      <w:r w:rsidR="00995650" w:rsidRPr="006E40D4">
        <w:t>kg/m</w:t>
      </w:r>
      <w:r w:rsidR="00995650" w:rsidRPr="004934AB">
        <w:t>3</w:t>
      </w:r>
      <w:r w:rsidRPr="006E40D4">
        <w:t xml:space="preserve"> and its dynamic viscosity, </w:t>
      </w:r>
      <m:oMath>
        <m:sSub>
          <m:sSubPr>
            <m:ctrlPr>
              <w:rPr>
                <w:rFonts w:ascii="Cambria Math" w:hAnsi="Cambria Math"/>
              </w:rPr>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Δμ</m:t>
        </m:r>
      </m:oMath>
      <w:r w:rsidRPr="006E40D4">
        <w:t>, was taken as 0.00136</w:t>
      </w:r>
      <w:r w:rsidR="00995650">
        <w:t xml:space="preserve"> Pa-s</w:t>
      </w:r>
      <w:r w:rsidRPr="006E40D4">
        <w:t xml:space="preserve">. A </w:t>
      </w:r>
      <w:r w:rsidR="00CA6FAB">
        <w:t>graphical representation of the general</w:t>
      </w:r>
      <w:r w:rsidR="00995650">
        <w:t xml:space="preserve"> the</w:t>
      </w:r>
      <w:r w:rsidRPr="006E40D4">
        <w:t xml:space="preserve"> setup </w:t>
      </w:r>
      <w:r w:rsidR="00CA6FAB">
        <w:t xml:space="preserve">used in this study </w:t>
      </w:r>
      <w:r w:rsidRPr="006E40D4">
        <w:t xml:space="preserve">is shown in </w:t>
      </w:r>
      <w:r w:rsidR="00A67380">
        <w:fldChar w:fldCharType="begin"/>
      </w:r>
      <w:r w:rsidR="00A67380">
        <w:instrText xml:space="preserve"> REF _Ref107928261 \h </w:instrText>
      </w:r>
      <w:r w:rsidR="00DF4AAE">
        <w:instrText xml:space="preserve"> \* MERGEFORMAT </w:instrText>
      </w:r>
      <w:r w:rsidR="00A67380">
        <w:fldChar w:fldCharType="separate"/>
      </w:r>
      <w:r w:rsidR="00363A7B">
        <w:t>Figure 2</w:t>
      </w:r>
      <w:r w:rsidR="00A67380">
        <w:fldChar w:fldCharType="end"/>
      </w:r>
      <w:r w:rsidR="00A67380">
        <w:t>.</w:t>
      </w:r>
    </w:p>
    <w:p w14:paraId="29EE5C1B" w14:textId="72B8EDD5" w:rsidR="00C24EE1" w:rsidRDefault="00C24EE1" w:rsidP="00881961">
      <w:pPr>
        <w:jc w:val="both"/>
      </w:pPr>
    </w:p>
    <w:p w14:paraId="2892F070" w14:textId="77777777" w:rsidR="003C6E9B" w:rsidRDefault="003C6E9B" w:rsidP="00881961">
      <w:pPr>
        <w:jc w:val="both"/>
      </w:pPr>
    </w:p>
    <w:p w14:paraId="3FD16C3F" w14:textId="77777777" w:rsidR="00C2392C" w:rsidRDefault="00C2392C" w:rsidP="00881961">
      <w:pPr>
        <w:jc w:val="both"/>
      </w:pPr>
    </w:p>
    <w:p w14:paraId="418CA952" w14:textId="6032896C" w:rsidR="00C2392C" w:rsidRDefault="00C2392C" w:rsidP="00881961">
      <w:pPr>
        <w:jc w:val="both"/>
        <w:sectPr w:rsidR="00C2392C" w:rsidSect="003A7749">
          <w:footerReference w:type="default" r:id="rId13"/>
          <w:pgSz w:w="11906" w:h="16838"/>
          <w:pgMar w:top="1440" w:right="1440" w:bottom="1440" w:left="1440" w:header="708" w:footer="708" w:gutter="0"/>
          <w:cols w:space="708"/>
          <w:docGrid w:linePitch="360"/>
        </w:sectPr>
      </w:pPr>
    </w:p>
    <w:p w14:paraId="7EA97BBD" w14:textId="40ADFF78" w:rsidR="003C6E9B" w:rsidRPr="00C77D06" w:rsidRDefault="00D5563D" w:rsidP="00D5563D">
      <w:pPr>
        <w:pStyle w:val="Caption"/>
        <w:spacing w:after="0"/>
        <w:ind w:firstLine="720"/>
        <w:jc w:val="left"/>
      </w:pPr>
      <w:bookmarkStart w:id="2" w:name="_Ref107927333"/>
      <w:r>
        <w:lastRenderedPageBreak/>
        <w:t xml:space="preserve">Table </w:t>
      </w:r>
      <w:r>
        <w:fldChar w:fldCharType="begin"/>
      </w:r>
      <w:r>
        <w:instrText>SEQ Table \* ARABIC</w:instrText>
      </w:r>
      <w:r>
        <w:fldChar w:fldCharType="separate"/>
      </w:r>
      <w:r w:rsidR="00363A7B">
        <w:rPr>
          <w:noProof/>
        </w:rPr>
        <w:t>2</w:t>
      </w:r>
      <w:r>
        <w:fldChar w:fldCharType="end"/>
      </w:r>
      <w:bookmarkEnd w:id="2"/>
      <w:r>
        <w:t>. Test matrix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2382"/>
        <w:gridCol w:w="1970"/>
        <w:gridCol w:w="1672"/>
        <w:gridCol w:w="2169"/>
        <w:gridCol w:w="2343"/>
        <w:gridCol w:w="3376"/>
      </w:tblGrid>
      <w:tr w:rsidR="00D93B9F" w:rsidRPr="004C1D0F" w14:paraId="662BE879" w14:textId="77777777" w:rsidTr="00B60657">
        <w:trPr>
          <w:trHeight w:val="480"/>
          <w:jc w:val="center"/>
        </w:trPr>
        <w:tc>
          <w:tcPr>
            <w:tcW w:w="0" w:type="auto"/>
            <w:shd w:val="clear" w:color="auto" w:fill="E7E6E6" w:themeFill="background2"/>
            <w:noWrap/>
            <w:vAlign w:val="center"/>
            <w:hideMark/>
          </w:tcPr>
          <w:p w14:paraId="62F2E6A7" w14:textId="77777777" w:rsidR="00D93B9F" w:rsidRPr="004C1D0F" w:rsidRDefault="00D93B9F" w:rsidP="00AD4D40">
            <w:pPr>
              <w:spacing w:after="0" w:line="240" w:lineRule="auto"/>
              <w:jc w:val="center"/>
              <w:rPr>
                <w:rFonts w:eastAsia="Times New Roman" w:cs="Times New Roman"/>
                <w:b/>
                <w:bCs/>
                <w:color w:val="404040"/>
                <w:szCs w:val="24"/>
                <w:lang w:eastAsia="ja-JP"/>
              </w:rPr>
            </w:pPr>
            <w:r w:rsidRPr="004C1D0F">
              <w:rPr>
                <w:rFonts w:eastAsia="Times New Roman" w:cs="Times New Roman"/>
                <w:b/>
                <w:bCs/>
                <w:color w:val="404040"/>
                <w:szCs w:val="24"/>
                <w:lang w:eastAsia="ja-JP"/>
              </w:rPr>
              <w:t>Ship Speed</w:t>
            </w:r>
          </w:p>
          <w:p w14:paraId="1B8777F3" w14:textId="77777777" w:rsidR="00D93B9F" w:rsidRPr="004C1D0F" w:rsidRDefault="00D93B9F" w:rsidP="00AD4D40">
            <w:pPr>
              <w:spacing w:after="0" w:line="240" w:lineRule="auto"/>
              <w:jc w:val="center"/>
              <w:rPr>
                <w:rFonts w:eastAsia="Times New Roman" w:cs="Times New Roman"/>
                <w:b/>
                <w:bCs/>
                <w:color w:val="404040"/>
                <w:szCs w:val="24"/>
                <w:lang w:eastAsia="ja-JP"/>
              </w:rPr>
            </w:pPr>
          </w:p>
        </w:tc>
        <w:tc>
          <w:tcPr>
            <w:tcW w:w="0" w:type="auto"/>
            <w:vMerge w:val="restart"/>
            <w:shd w:val="clear" w:color="auto" w:fill="E7E6E6" w:themeFill="background2"/>
          </w:tcPr>
          <w:p w14:paraId="383287FC" w14:textId="77E69F0B" w:rsidR="00D93B9F" w:rsidRPr="004C1D0F" w:rsidRDefault="00D93B9F" w:rsidP="00AD4D40">
            <w:pPr>
              <w:spacing w:after="0" w:line="240" w:lineRule="auto"/>
              <w:jc w:val="center"/>
              <w:rPr>
                <w:rFonts w:eastAsia="Times New Roman" w:cs="Times New Roman"/>
                <w:b/>
                <w:bCs/>
                <w:color w:val="404040"/>
                <w:szCs w:val="24"/>
                <w:lang w:eastAsia="ja-JP"/>
              </w:rPr>
            </w:pPr>
            <w:r>
              <w:rPr>
                <w:rFonts w:eastAsia="Times New Roman" w:cs="Times New Roman"/>
                <w:b/>
                <w:bCs/>
                <w:color w:val="404040"/>
                <w:szCs w:val="24"/>
                <w:lang w:eastAsia="ja-JP"/>
              </w:rPr>
              <w:t>Full-scale equivalent speed (kn)</w:t>
            </w:r>
          </w:p>
        </w:tc>
        <w:tc>
          <w:tcPr>
            <w:tcW w:w="0" w:type="auto"/>
            <w:shd w:val="clear" w:color="auto" w:fill="E7E6E6" w:themeFill="background2"/>
            <w:noWrap/>
            <w:vAlign w:val="center"/>
            <w:hideMark/>
          </w:tcPr>
          <w:p w14:paraId="3711729B" w14:textId="098E6E85" w:rsidR="00D93B9F" w:rsidRPr="004C1D0F" w:rsidRDefault="00D93B9F" w:rsidP="00AD4D40">
            <w:pPr>
              <w:spacing w:after="0" w:line="240" w:lineRule="auto"/>
              <w:jc w:val="center"/>
              <w:rPr>
                <w:rFonts w:eastAsia="Times New Roman" w:cs="Times New Roman"/>
                <w:b/>
                <w:bCs/>
                <w:color w:val="404040"/>
                <w:szCs w:val="24"/>
                <w:lang w:eastAsia="ja-JP"/>
              </w:rPr>
            </w:pPr>
            <w:r w:rsidRPr="004C1D0F">
              <w:rPr>
                <w:rFonts w:eastAsia="Times New Roman" w:cs="Times New Roman"/>
                <w:b/>
                <w:bCs/>
                <w:color w:val="404040"/>
                <w:szCs w:val="24"/>
                <w:lang w:eastAsia="ja-JP"/>
              </w:rPr>
              <w:t>Froude Number</w:t>
            </w:r>
          </w:p>
          <w:p w14:paraId="3366692B" w14:textId="77777777" w:rsidR="00D93B9F" w:rsidRPr="004C1D0F" w:rsidRDefault="00D93B9F" w:rsidP="00AD4D40">
            <w:pPr>
              <w:spacing w:after="0" w:line="240" w:lineRule="auto"/>
              <w:jc w:val="center"/>
              <w:rPr>
                <w:rFonts w:eastAsia="Times New Roman" w:cs="Times New Roman"/>
                <w:b/>
                <w:bCs/>
                <w:color w:val="404040"/>
                <w:szCs w:val="24"/>
                <w:lang w:eastAsia="ja-JP"/>
              </w:rPr>
            </w:pPr>
          </w:p>
        </w:tc>
        <w:tc>
          <w:tcPr>
            <w:tcW w:w="0" w:type="auto"/>
            <w:shd w:val="clear" w:color="auto" w:fill="E7E6E6" w:themeFill="background2"/>
            <w:vAlign w:val="center"/>
          </w:tcPr>
          <w:p w14:paraId="7ADD6DAF" w14:textId="77777777" w:rsidR="00D93B9F" w:rsidRPr="004C1D0F" w:rsidRDefault="00D93B9F" w:rsidP="00AD4D40">
            <w:pPr>
              <w:spacing w:after="0" w:line="240" w:lineRule="auto"/>
              <w:jc w:val="center"/>
              <w:rPr>
                <w:rFonts w:eastAsia="Times New Roman" w:cs="Times New Roman"/>
                <w:b/>
                <w:bCs/>
                <w:color w:val="404040"/>
                <w:szCs w:val="24"/>
                <w:lang w:eastAsia="ja-JP"/>
              </w:rPr>
            </w:pPr>
            <w:r w:rsidRPr="004C1D0F">
              <w:rPr>
                <w:rFonts w:eastAsia="Times New Roman" w:cs="Times New Roman"/>
                <w:b/>
                <w:bCs/>
                <w:color w:val="404040"/>
                <w:szCs w:val="24"/>
                <w:lang w:eastAsia="ja-JP"/>
              </w:rPr>
              <w:t>Reynolds Number</w:t>
            </w:r>
          </w:p>
        </w:tc>
        <w:tc>
          <w:tcPr>
            <w:tcW w:w="0" w:type="auto"/>
            <w:shd w:val="clear" w:color="auto" w:fill="E7E6E6" w:themeFill="background2"/>
            <w:noWrap/>
            <w:vAlign w:val="center"/>
            <w:hideMark/>
          </w:tcPr>
          <w:p w14:paraId="1BC5D554" w14:textId="77777777" w:rsidR="00D93B9F" w:rsidRPr="004C1D0F" w:rsidRDefault="00D93B9F" w:rsidP="00AD4D40">
            <w:pPr>
              <w:spacing w:after="0" w:line="240" w:lineRule="auto"/>
              <w:jc w:val="center"/>
              <w:rPr>
                <w:rFonts w:eastAsia="Times New Roman" w:cs="Times New Roman"/>
                <w:b/>
                <w:bCs/>
                <w:color w:val="404040"/>
                <w:szCs w:val="24"/>
                <w:lang w:eastAsia="ja-JP"/>
              </w:rPr>
            </w:pPr>
            <w:r w:rsidRPr="004C1D0F">
              <w:rPr>
                <w:rFonts w:eastAsia="Times New Roman" w:cs="Times New Roman"/>
                <w:b/>
                <w:bCs/>
                <w:color w:val="404040"/>
                <w:szCs w:val="24"/>
                <w:lang w:eastAsia="ja-JP"/>
              </w:rPr>
              <w:t>Pycnocline Depth</w:t>
            </w:r>
          </w:p>
          <w:p w14:paraId="0F95A9A5" w14:textId="77777777" w:rsidR="00D93B9F" w:rsidRPr="004C1D0F" w:rsidRDefault="00D93B9F" w:rsidP="00AD4D40">
            <w:pPr>
              <w:spacing w:after="0" w:line="240" w:lineRule="auto"/>
              <w:jc w:val="center"/>
              <w:rPr>
                <w:rFonts w:eastAsia="Times New Roman" w:cs="Times New Roman"/>
                <w:b/>
                <w:bCs/>
                <w:color w:val="404040"/>
                <w:szCs w:val="24"/>
                <w:lang w:eastAsia="ja-JP"/>
              </w:rPr>
            </w:pPr>
          </w:p>
        </w:tc>
        <w:tc>
          <w:tcPr>
            <w:tcW w:w="0" w:type="auto"/>
            <w:shd w:val="clear" w:color="auto" w:fill="E7E6E6" w:themeFill="background2"/>
            <w:noWrap/>
            <w:vAlign w:val="center"/>
            <w:hideMark/>
          </w:tcPr>
          <w:p w14:paraId="5A23E245" w14:textId="4582FCBE" w:rsidR="00D93B9F" w:rsidRPr="004C1D0F" w:rsidRDefault="00D93B9F" w:rsidP="00AD4D40">
            <w:pPr>
              <w:spacing w:after="0" w:line="240" w:lineRule="auto"/>
              <w:jc w:val="center"/>
              <w:rPr>
                <w:rFonts w:eastAsia="Times New Roman" w:cs="Times New Roman"/>
                <w:b/>
                <w:bCs/>
                <w:color w:val="404040"/>
                <w:szCs w:val="24"/>
                <w:lang w:eastAsia="ja-JP"/>
              </w:rPr>
            </w:pPr>
            <w:r>
              <w:rPr>
                <w:rFonts w:eastAsia="Times New Roman" w:cs="Times New Roman"/>
                <w:b/>
                <w:bCs/>
                <w:color w:val="404040"/>
                <w:szCs w:val="24"/>
                <w:lang w:eastAsia="ja-JP"/>
              </w:rPr>
              <w:t>Depth to draft ratio</w:t>
            </w:r>
          </w:p>
          <w:p w14:paraId="2DAC5EFD" w14:textId="77777777" w:rsidR="00D93B9F" w:rsidRPr="004C1D0F" w:rsidRDefault="00D93B9F" w:rsidP="00AD4D40">
            <w:pPr>
              <w:spacing w:after="0" w:line="240" w:lineRule="auto"/>
              <w:jc w:val="center"/>
              <w:rPr>
                <w:rFonts w:eastAsia="Times New Roman" w:cs="Times New Roman"/>
                <w:b/>
                <w:bCs/>
                <w:color w:val="404040"/>
                <w:szCs w:val="24"/>
                <w:lang w:eastAsia="ja-JP"/>
              </w:rPr>
            </w:pPr>
          </w:p>
        </w:tc>
        <w:tc>
          <w:tcPr>
            <w:tcW w:w="0" w:type="auto"/>
            <w:shd w:val="clear" w:color="auto" w:fill="E7E6E6" w:themeFill="background2"/>
            <w:noWrap/>
            <w:vAlign w:val="center"/>
            <w:hideMark/>
          </w:tcPr>
          <w:p w14:paraId="48C4D54B" w14:textId="77777777" w:rsidR="00D93B9F" w:rsidRPr="004C1D0F" w:rsidRDefault="00D93B9F" w:rsidP="00AD4D40">
            <w:pPr>
              <w:spacing w:after="0" w:line="240" w:lineRule="auto"/>
              <w:jc w:val="center"/>
              <w:rPr>
                <w:rFonts w:eastAsia="Times New Roman" w:cs="Times New Roman"/>
                <w:b/>
                <w:bCs/>
                <w:color w:val="404040"/>
                <w:szCs w:val="24"/>
                <w:lang w:eastAsia="ja-JP"/>
              </w:rPr>
            </w:pPr>
            <w:r w:rsidRPr="004C1D0F">
              <w:rPr>
                <w:rFonts w:eastAsia="Times New Roman" w:cs="Times New Roman"/>
                <w:b/>
                <w:bCs/>
                <w:color w:val="404040"/>
                <w:szCs w:val="24"/>
                <w:lang w:eastAsia="ja-JP"/>
              </w:rPr>
              <w:t>Densimetric Froude Number</w:t>
            </w:r>
          </w:p>
          <w:p w14:paraId="42377FBA" w14:textId="77777777" w:rsidR="00D93B9F" w:rsidRPr="004C1D0F" w:rsidRDefault="00D93B9F" w:rsidP="00AD4D40">
            <w:pPr>
              <w:spacing w:after="0" w:line="240" w:lineRule="auto"/>
              <w:jc w:val="center"/>
              <w:rPr>
                <w:rFonts w:eastAsia="Times New Roman" w:cs="Times New Roman"/>
                <w:b/>
                <w:bCs/>
                <w:color w:val="404040"/>
                <w:szCs w:val="24"/>
                <w:lang w:eastAsia="ja-JP"/>
              </w:rPr>
            </w:pPr>
          </w:p>
        </w:tc>
      </w:tr>
      <w:tr w:rsidR="00D93B9F" w:rsidRPr="004C1D0F" w14:paraId="021F0E23" w14:textId="77777777" w:rsidTr="00B60657">
        <w:trPr>
          <w:trHeight w:val="337"/>
          <w:jc w:val="center"/>
        </w:trPr>
        <w:tc>
          <w:tcPr>
            <w:tcW w:w="0" w:type="auto"/>
            <w:shd w:val="clear" w:color="auto" w:fill="E7E6E6" w:themeFill="background2"/>
            <w:noWrap/>
            <w:vAlign w:val="center"/>
            <w:hideMark/>
          </w:tcPr>
          <w:p w14:paraId="499DB8B6" w14:textId="4129CEB4" w:rsidR="00D93B9F" w:rsidRPr="004C1D0F" w:rsidRDefault="00D93B9F" w:rsidP="00AD4D40">
            <w:pPr>
              <w:spacing w:after="0" w:line="240" w:lineRule="auto"/>
              <w:jc w:val="center"/>
              <w:rPr>
                <w:rFonts w:eastAsia="Times New Roman" w:cs="Times New Roman"/>
                <w:b/>
                <w:bCs/>
                <w:color w:val="404040"/>
                <w:szCs w:val="24"/>
                <w:lang w:eastAsia="ja-JP"/>
              </w:rPr>
            </w:pPr>
            <m:oMath>
              <m:r>
                <m:rPr>
                  <m:sty m:val="bi"/>
                </m:rPr>
                <w:rPr>
                  <w:rFonts w:ascii="Cambria Math" w:eastAsia="Times New Roman" w:hAnsi="Cambria Math" w:cs="Times New Roman"/>
                  <w:color w:val="404040"/>
                  <w:szCs w:val="24"/>
                  <w:lang w:eastAsia="ja-JP"/>
                </w:rPr>
                <m:t>U</m:t>
              </m:r>
            </m:oMath>
            <w:r w:rsidRPr="004C1D0F">
              <w:rPr>
                <w:rFonts w:eastAsia="Times New Roman" w:cs="Times New Roman"/>
                <w:b/>
                <w:bCs/>
                <w:color w:val="404040"/>
                <w:szCs w:val="24"/>
                <w:lang w:eastAsia="ja-JP"/>
              </w:rPr>
              <w:t xml:space="preserve"> (m/s)</w:t>
            </w:r>
          </w:p>
        </w:tc>
        <w:tc>
          <w:tcPr>
            <w:tcW w:w="0" w:type="auto"/>
            <w:vMerge/>
            <w:shd w:val="clear" w:color="auto" w:fill="E7E6E6" w:themeFill="background2"/>
          </w:tcPr>
          <w:p w14:paraId="4D036592" w14:textId="77777777" w:rsidR="00D93B9F" w:rsidRDefault="00D93B9F" w:rsidP="00AD4D40">
            <w:pPr>
              <w:spacing w:after="0" w:line="240" w:lineRule="auto"/>
              <w:jc w:val="center"/>
              <w:rPr>
                <w:rFonts w:eastAsia="Calibri" w:cs="Times New Roman"/>
                <w:b/>
                <w:color w:val="404040"/>
                <w:szCs w:val="24"/>
                <w:lang w:eastAsia="ja-JP"/>
              </w:rPr>
            </w:pPr>
          </w:p>
        </w:tc>
        <w:tc>
          <w:tcPr>
            <w:tcW w:w="0" w:type="auto"/>
            <w:shd w:val="clear" w:color="auto" w:fill="E7E6E6" w:themeFill="background2"/>
            <w:noWrap/>
            <w:vAlign w:val="center"/>
            <w:hideMark/>
          </w:tcPr>
          <w:p w14:paraId="42C4024C" w14:textId="5E2BAFC8" w:rsidR="00D93B9F" w:rsidRPr="004C1D0F" w:rsidRDefault="00D93B9F" w:rsidP="00AD4D40">
            <w:pPr>
              <w:spacing w:after="0" w:line="240" w:lineRule="auto"/>
              <w:jc w:val="center"/>
              <w:rPr>
                <w:rFonts w:eastAsia="Times New Roman" w:cs="Times New Roman"/>
                <w:b/>
                <w:bCs/>
                <w:color w:val="404040"/>
                <w:szCs w:val="24"/>
                <w:lang w:eastAsia="ja-JP"/>
              </w:rPr>
            </w:pPr>
            <m:oMathPara>
              <m:oMath>
                <m:r>
                  <m:rPr>
                    <m:sty m:val="bi"/>
                  </m:rPr>
                  <w:rPr>
                    <w:rFonts w:ascii="Cambria Math" w:eastAsia="Times New Roman" w:hAnsi="Cambria Math" w:cs="Times New Roman"/>
                    <w:color w:val="404040"/>
                    <w:szCs w:val="24"/>
                    <w:lang w:eastAsia="ja-JP"/>
                  </w:rPr>
                  <m:t>Fr</m:t>
                </m:r>
              </m:oMath>
            </m:oMathPara>
          </w:p>
        </w:tc>
        <w:tc>
          <w:tcPr>
            <w:tcW w:w="0" w:type="auto"/>
            <w:shd w:val="clear" w:color="auto" w:fill="E7E6E6" w:themeFill="background2"/>
            <w:vAlign w:val="center"/>
          </w:tcPr>
          <w:p w14:paraId="7498F1D3" w14:textId="66CD2511" w:rsidR="00D93B9F" w:rsidRPr="004C1D0F" w:rsidRDefault="00D93B9F" w:rsidP="00AD4D40">
            <w:pPr>
              <w:spacing w:after="0" w:line="240" w:lineRule="auto"/>
              <w:jc w:val="center"/>
              <w:rPr>
                <w:rFonts w:eastAsia="Times New Roman" w:cs="Times New Roman"/>
                <w:b/>
                <w:bCs/>
                <w:color w:val="404040"/>
                <w:szCs w:val="24"/>
                <w:lang w:eastAsia="ja-JP"/>
              </w:rPr>
            </w:pPr>
            <m:oMathPara>
              <m:oMath>
                <m:r>
                  <m:rPr>
                    <m:sty m:val="bi"/>
                  </m:rPr>
                  <w:rPr>
                    <w:rFonts w:ascii="Cambria Math" w:eastAsia="Times New Roman" w:hAnsi="Cambria Math" w:cs="Times New Roman"/>
                    <w:color w:val="404040"/>
                    <w:szCs w:val="24"/>
                    <w:lang w:eastAsia="ja-JP"/>
                  </w:rPr>
                  <m:t>Re</m:t>
                </m:r>
              </m:oMath>
            </m:oMathPara>
          </w:p>
        </w:tc>
        <w:tc>
          <w:tcPr>
            <w:tcW w:w="0" w:type="auto"/>
            <w:shd w:val="clear" w:color="auto" w:fill="E7E6E6" w:themeFill="background2"/>
            <w:noWrap/>
            <w:vAlign w:val="center"/>
            <w:hideMark/>
          </w:tcPr>
          <w:p w14:paraId="2A823226" w14:textId="77777777" w:rsidR="00D93B9F" w:rsidRPr="004C1D0F" w:rsidRDefault="00D93B9F" w:rsidP="00AD4D40">
            <w:pPr>
              <w:spacing w:after="0" w:line="240" w:lineRule="auto"/>
              <w:jc w:val="center"/>
              <w:rPr>
                <w:rFonts w:eastAsia="Times New Roman" w:cs="Times New Roman"/>
                <w:b/>
                <w:bCs/>
                <w:color w:val="404040"/>
                <w:szCs w:val="24"/>
                <w:lang w:eastAsia="ja-JP"/>
              </w:rPr>
            </w:pPr>
            <w:r w:rsidRPr="004C1D0F">
              <w:rPr>
                <w:rFonts w:eastAsia="Times New Roman" w:cs="Times New Roman"/>
                <w:b/>
                <w:bCs/>
                <w:color w:val="404040"/>
                <w:szCs w:val="24"/>
                <w:lang w:eastAsia="ja-JP"/>
              </w:rPr>
              <w:t>h (m)</w:t>
            </w:r>
          </w:p>
        </w:tc>
        <w:tc>
          <w:tcPr>
            <w:tcW w:w="0" w:type="auto"/>
            <w:shd w:val="clear" w:color="auto" w:fill="E7E6E6" w:themeFill="background2"/>
            <w:noWrap/>
            <w:vAlign w:val="center"/>
            <w:hideMark/>
          </w:tcPr>
          <w:p w14:paraId="5FCAB771" w14:textId="628348C5" w:rsidR="00D93B9F" w:rsidRPr="004C1D0F" w:rsidRDefault="00D93B9F" w:rsidP="00AD4D40">
            <w:pPr>
              <w:spacing w:after="0" w:line="240" w:lineRule="auto"/>
              <w:jc w:val="center"/>
              <w:rPr>
                <w:rFonts w:eastAsia="Times New Roman" w:cs="Times New Roman"/>
                <w:b/>
                <w:bCs/>
                <w:color w:val="404040"/>
                <w:szCs w:val="24"/>
                <w:lang w:eastAsia="ja-JP"/>
              </w:rPr>
            </w:pPr>
            <m:oMathPara>
              <m:oMath>
                <m:r>
                  <m:rPr>
                    <m:sty m:val="bi"/>
                  </m:rPr>
                  <w:rPr>
                    <w:rFonts w:ascii="Cambria Math" w:eastAsia="Times New Roman" w:hAnsi="Cambria Math" w:cs="Times New Roman"/>
                    <w:color w:val="404040"/>
                    <w:szCs w:val="24"/>
                    <w:lang w:eastAsia="ja-JP"/>
                  </w:rPr>
                  <m:t>h/T</m:t>
                </m:r>
              </m:oMath>
            </m:oMathPara>
          </w:p>
          <w:p w14:paraId="7EEC4982" w14:textId="77777777" w:rsidR="00D93B9F" w:rsidRPr="004C1D0F" w:rsidRDefault="00D93B9F" w:rsidP="00AD4D40">
            <w:pPr>
              <w:spacing w:after="0" w:line="240" w:lineRule="auto"/>
              <w:jc w:val="center"/>
              <w:rPr>
                <w:rFonts w:eastAsia="Times New Roman" w:cs="Times New Roman"/>
                <w:b/>
                <w:bCs/>
                <w:color w:val="404040"/>
                <w:szCs w:val="24"/>
                <w:lang w:eastAsia="ja-JP"/>
              </w:rPr>
            </w:pPr>
          </w:p>
        </w:tc>
        <w:tc>
          <w:tcPr>
            <w:tcW w:w="0" w:type="auto"/>
            <w:shd w:val="clear" w:color="auto" w:fill="E7E6E6" w:themeFill="background2"/>
            <w:noWrap/>
            <w:vAlign w:val="center"/>
            <w:hideMark/>
          </w:tcPr>
          <w:p w14:paraId="553234C3" w14:textId="063D044B" w:rsidR="00D93B9F" w:rsidRPr="004C1D0F" w:rsidRDefault="00D93B9F" w:rsidP="00AD4D40">
            <w:pPr>
              <w:spacing w:after="0" w:line="240" w:lineRule="auto"/>
              <w:jc w:val="center"/>
              <w:rPr>
                <w:rFonts w:eastAsia="Times New Roman" w:cs="Times New Roman"/>
                <w:b/>
                <w:bCs/>
                <w:szCs w:val="24"/>
                <w:vertAlign w:val="subscript"/>
                <w:lang w:eastAsia="ja-JP"/>
              </w:rPr>
            </w:pPr>
            <m:oMathPara>
              <m:oMath>
                <m:r>
                  <m:rPr>
                    <m:sty m:val="bi"/>
                  </m:rPr>
                  <w:rPr>
                    <w:rFonts w:ascii="Cambria Math" w:eastAsia="Times New Roman" w:hAnsi="Cambria Math" w:cs="Times New Roman"/>
                    <w:szCs w:val="24"/>
                    <w:vertAlign w:val="subscript"/>
                    <w:lang w:eastAsia="ja-JP"/>
                  </w:rPr>
                  <m:t>F</m:t>
                </m:r>
                <m:sSub>
                  <m:sSubPr>
                    <m:ctrlPr>
                      <w:rPr>
                        <w:rFonts w:ascii="Cambria Math" w:eastAsia="Times New Roman" w:hAnsi="Cambria Math" w:cs="Times New Roman"/>
                        <w:b/>
                        <w:bCs/>
                        <w:i/>
                        <w:szCs w:val="24"/>
                        <w:vertAlign w:val="subscript"/>
                        <w:lang w:eastAsia="ja-JP"/>
                      </w:rPr>
                    </m:ctrlPr>
                  </m:sSubPr>
                  <m:e>
                    <m:r>
                      <m:rPr>
                        <m:sty m:val="bi"/>
                      </m:rPr>
                      <w:rPr>
                        <w:rFonts w:ascii="Cambria Math" w:eastAsia="Times New Roman" w:hAnsi="Cambria Math" w:cs="Times New Roman"/>
                        <w:szCs w:val="24"/>
                        <w:vertAlign w:val="subscript"/>
                        <w:lang w:eastAsia="ja-JP"/>
                      </w:rPr>
                      <m:t>r</m:t>
                    </m:r>
                  </m:e>
                  <m:sub>
                    <m:r>
                      <m:rPr>
                        <m:sty m:val="bi"/>
                      </m:rPr>
                      <w:rPr>
                        <w:rFonts w:ascii="Cambria Math" w:eastAsia="Times New Roman" w:hAnsi="Cambria Math" w:cs="Times New Roman"/>
                        <w:szCs w:val="24"/>
                        <w:vertAlign w:val="subscript"/>
                        <w:lang w:eastAsia="ja-JP"/>
                      </w:rPr>
                      <m:t>i</m:t>
                    </m:r>
                  </m:sub>
                </m:sSub>
              </m:oMath>
            </m:oMathPara>
          </w:p>
        </w:tc>
      </w:tr>
      <w:tr w:rsidR="00D93B9F" w:rsidRPr="004C1D0F" w14:paraId="6C4E6628" w14:textId="77777777" w:rsidTr="00D93B9F">
        <w:trPr>
          <w:trHeight w:val="307"/>
          <w:jc w:val="center"/>
        </w:trPr>
        <w:tc>
          <w:tcPr>
            <w:tcW w:w="0" w:type="auto"/>
            <w:vMerge w:val="restart"/>
            <w:shd w:val="clear" w:color="auto" w:fill="auto"/>
            <w:noWrap/>
            <w:vAlign w:val="center"/>
            <w:hideMark/>
          </w:tcPr>
          <w:p w14:paraId="3C1258D0"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0.366</w:t>
            </w:r>
          </w:p>
        </w:tc>
        <w:tc>
          <w:tcPr>
            <w:tcW w:w="0" w:type="auto"/>
            <w:vMerge w:val="restart"/>
            <w:vAlign w:val="center"/>
          </w:tcPr>
          <w:p w14:paraId="3BF11BD3" w14:textId="389F0683" w:rsidR="00D93B9F" w:rsidRPr="004C1D0F" w:rsidRDefault="00D93B9F" w:rsidP="00D93B9F">
            <w:pPr>
              <w:spacing w:after="0" w:line="240" w:lineRule="auto"/>
              <w:jc w:val="center"/>
              <w:rPr>
                <w:rFonts w:eastAsia="Times New Roman" w:cs="Times New Roman"/>
                <w:color w:val="404040"/>
                <w:szCs w:val="24"/>
                <w:lang w:eastAsia="ja-JP"/>
              </w:rPr>
            </w:pPr>
            <w:r>
              <w:rPr>
                <w:rFonts w:eastAsia="Times New Roman" w:cs="Times New Roman"/>
                <w:color w:val="404040"/>
                <w:szCs w:val="24"/>
                <w:lang w:eastAsia="ja-JP"/>
              </w:rPr>
              <w:t>4 kn</w:t>
            </w:r>
          </w:p>
        </w:tc>
        <w:tc>
          <w:tcPr>
            <w:tcW w:w="0" w:type="auto"/>
            <w:vMerge w:val="restart"/>
            <w:shd w:val="clear" w:color="auto" w:fill="auto"/>
            <w:noWrap/>
            <w:vAlign w:val="center"/>
            <w:hideMark/>
          </w:tcPr>
          <w:p w14:paraId="26E5ED72" w14:textId="1D82BF49"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0.043</w:t>
            </w:r>
          </w:p>
        </w:tc>
        <w:tc>
          <w:tcPr>
            <w:tcW w:w="0" w:type="auto"/>
            <w:vMerge w:val="restart"/>
            <w:vAlign w:val="center"/>
          </w:tcPr>
          <w:p w14:paraId="5DD2E5A2" w14:textId="0290D947" w:rsidR="00D93B9F" w:rsidRPr="001E5619" w:rsidRDefault="00D93B9F" w:rsidP="00AD4D40">
            <w:pPr>
              <w:spacing w:after="0" w:line="240" w:lineRule="auto"/>
              <w:jc w:val="center"/>
              <w:rPr>
                <w:color w:val="404040"/>
                <w:szCs w:val="24"/>
                <w:vertAlign w:val="superscript"/>
              </w:rPr>
            </w:pPr>
            <w:r w:rsidRPr="008D69F6">
              <w:rPr>
                <w:rFonts w:eastAsia="Times New Roman" w:cs="Times New Roman"/>
                <w:color w:val="404040"/>
                <w:szCs w:val="24"/>
              </w:rPr>
              <w:t>2.99</w:t>
            </w:r>
            <m:oMath>
              <m:r>
                <w:rPr>
                  <w:rFonts w:ascii="Cambria Math" w:hAnsi="Cambria Math"/>
                  <w:color w:val="404040"/>
                  <w:szCs w:val="24"/>
                </w:rPr>
                <m:t>×</m:t>
              </m:r>
            </m:oMath>
            <w:r>
              <w:rPr>
                <w:rFonts w:eastAsiaTheme="minorEastAsia"/>
                <w:color w:val="404040"/>
                <w:szCs w:val="24"/>
              </w:rPr>
              <w:t>10</w:t>
            </w:r>
            <w:r>
              <w:rPr>
                <w:rFonts w:eastAsiaTheme="minorEastAsia"/>
                <w:color w:val="404040"/>
                <w:szCs w:val="24"/>
                <w:vertAlign w:val="superscript"/>
              </w:rPr>
              <w:t>6</w:t>
            </w:r>
          </w:p>
        </w:tc>
        <w:tc>
          <w:tcPr>
            <w:tcW w:w="0" w:type="auto"/>
            <w:shd w:val="clear" w:color="auto" w:fill="auto"/>
            <w:noWrap/>
            <w:vAlign w:val="center"/>
            <w:hideMark/>
          </w:tcPr>
          <w:p w14:paraId="7EC07308"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0.0855</w:t>
            </w:r>
          </w:p>
        </w:tc>
        <w:tc>
          <w:tcPr>
            <w:tcW w:w="0" w:type="auto"/>
            <w:shd w:val="clear" w:color="auto" w:fill="auto"/>
            <w:noWrap/>
            <w:vAlign w:val="center"/>
            <w:hideMark/>
          </w:tcPr>
          <w:p w14:paraId="3809EB6C"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0.25</w:t>
            </w:r>
          </w:p>
        </w:tc>
        <w:tc>
          <w:tcPr>
            <w:tcW w:w="0" w:type="auto"/>
            <w:shd w:val="clear" w:color="auto" w:fill="auto"/>
            <w:noWrap/>
            <w:vAlign w:val="center"/>
            <w:hideMark/>
          </w:tcPr>
          <w:p w14:paraId="6F996F44"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2.4260</w:t>
            </w:r>
          </w:p>
        </w:tc>
      </w:tr>
      <w:tr w:rsidR="00D93B9F" w:rsidRPr="004C1D0F" w14:paraId="0AF5ADE5" w14:textId="77777777" w:rsidTr="00B60657">
        <w:trPr>
          <w:trHeight w:val="307"/>
          <w:jc w:val="center"/>
        </w:trPr>
        <w:tc>
          <w:tcPr>
            <w:tcW w:w="0" w:type="auto"/>
            <w:vMerge/>
            <w:shd w:val="clear" w:color="auto" w:fill="auto"/>
            <w:noWrap/>
            <w:vAlign w:val="center"/>
            <w:hideMark/>
          </w:tcPr>
          <w:p w14:paraId="45C7EF41"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03F57E77" w14:textId="77777777" w:rsidR="00D93B9F" w:rsidRPr="004C1D0F" w:rsidRDefault="00D93B9F" w:rsidP="00AD4D40">
            <w:pPr>
              <w:spacing w:after="0" w:line="240" w:lineRule="auto"/>
              <w:jc w:val="center"/>
              <w:rPr>
                <w:rFonts w:eastAsia="Times New Roman" w:cs="Times New Roman"/>
                <w:szCs w:val="24"/>
                <w:lang w:eastAsia="ja-JP"/>
              </w:rPr>
            </w:pPr>
          </w:p>
        </w:tc>
        <w:tc>
          <w:tcPr>
            <w:tcW w:w="0" w:type="auto"/>
            <w:vMerge/>
            <w:shd w:val="clear" w:color="auto" w:fill="auto"/>
            <w:noWrap/>
            <w:vAlign w:val="center"/>
            <w:hideMark/>
          </w:tcPr>
          <w:p w14:paraId="2232624A" w14:textId="1C65AEF4" w:rsidR="00D93B9F" w:rsidRPr="004C1D0F" w:rsidRDefault="00D93B9F" w:rsidP="00AD4D40">
            <w:pPr>
              <w:spacing w:after="0" w:line="240" w:lineRule="auto"/>
              <w:jc w:val="center"/>
              <w:rPr>
                <w:rFonts w:eastAsia="Times New Roman" w:cs="Times New Roman"/>
                <w:szCs w:val="24"/>
                <w:lang w:eastAsia="ja-JP"/>
              </w:rPr>
            </w:pPr>
          </w:p>
        </w:tc>
        <w:tc>
          <w:tcPr>
            <w:tcW w:w="0" w:type="auto"/>
            <w:vMerge/>
            <w:vAlign w:val="center"/>
          </w:tcPr>
          <w:p w14:paraId="01F163EA"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shd w:val="clear" w:color="auto" w:fill="auto"/>
            <w:noWrap/>
            <w:vAlign w:val="center"/>
            <w:hideMark/>
          </w:tcPr>
          <w:p w14:paraId="2492AFDF"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0.1709</w:t>
            </w:r>
          </w:p>
        </w:tc>
        <w:tc>
          <w:tcPr>
            <w:tcW w:w="0" w:type="auto"/>
            <w:shd w:val="clear" w:color="auto" w:fill="auto"/>
            <w:noWrap/>
            <w:vAlign w:val="center"/>
            <w:hideMark/>
          </w:tcPr>
          <w:p w14:paraId="2A71C9C5"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0.5</w:t>
            </w:r>
          </w:p>
        </w:tc>
        <w:tc>
          <w:tcPr>
            <w:tcW w:w="0" w:type="auto"/>
            <w:shd w:val="clear" w:color="auto" w:fill="auto"/>
            <w:noWrap/>
            <w:vAlign w:val="center"/>
            <w:hideMark/>
          </w:tcPr>
          <w:p w14:paraId="6A56472E"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1.7155</w:t>
            </w:r>
          </w:p>
        </w:tc>
      </w:tr>
      <w:tr w:rsidR="00D93B9F" w:rsidRPr="004C1D0F" w14:paraId="0B899A0D" w14:textId="77777777" w:rsidTr="00B60657">
        <w:trPr>
          <w:trHeight w:val="307"/>
          <w:jc w:val="center"/>
        </w:trPr>
        <w:tc>
          <w:tcPr>
            <w:tcW w:w="0" w:type="auto"/>
            <w:vMerge/>
            <w:shd w:val="clear" w:color="auto" w:fill="auto"/>
            <w:noWrap/>
            <w:vAlign w:val="center"/>
            <w:hideMark/>
          </w:tcPr>
          <w:p w14:paraId="03C4428E"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4312BE76" w14:textId="77777777" w:rsidR="00D93B9F" w:rsidRPr="004C1D0F" w:rsidRDefault="00D93B9F" w:rsidP="00AD4D40">
            <w:pPr>
              <w:spacing w:after="0" w:line="240" w:lineRule="auto"/>
              <w:jc w:val="center"/>
              <w:rPr>
                <w:rFonts w:eastAsia="Times New Roman" w:cs="Times New Roman"/>
                <w:szCs w:val="24"/>
                <w:lang w:eastAsia="ja-JP"/>
              </w:rPr>
            </w:pPr>
          </w:p>
        </w:tc>
        <w:tc>
          <w:tcPr>
            <w:tcW w:w="0" w:type="auto"/>
            <w:vMerge/>
            <w:shd w:val="clear" w:color="auto" w:fill="auto"/>
            <w:noWrap/>
            <w:vAlign w:val="center"/>
            <w:hideMark/>
          </w:tcPr>
          <w:p w14:paraId="1B3A05B3" w14:textId="7F643A05" w:rsidR="00D93B9F" w:rsidRPr="004C1D0F" w:rsidRDefault="00D93B9F" w:rsidP="00AD4D40">
            <w:pPr>
              <w:spacing w:after="0" w:line="240" w:lineRule="auto"/>
              <w:jc w:val="center"/>
              <w:rPr>
                <w:rFonts w:eastAsia="Times New Roman" w:cs="Times New Roman"/>
                <w:szCs w:val="24"/>
                <w:lang w:eastAsia="ja-JP"/>
              </w:rPr>
            </w:pPr>
          </w:p>
        </w:tc>
        <w:tc>
          <w:tcPr>
            <w:tcW w:w="0" w:type="auto"/>
            <w:vMerge/>
            <w:vAlign w:val="center"/>
          </w:tcPr>
          <w:p w14:paraId="1BF95BC7"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shd w:val="clear" w:color="auto" w:fill="auto"/>
            <w:noWrap/>
            <w:vAlign w:val="center"/>
            <w:hideMark/>
          </w:tcPr>
          <w:p w14:paraId="48429A2A"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0.3418</w:t>
            </w:r>
          </w:p>
        </w:tc>
        <w:tc>
          <w:tcPr>
            <w:tcW w:w="0" w:type="auto"/>
            <w:shd w:val="clear" w:color="auto" w:fill="auto"/>
            <w:noWrap/>
            <w:vAlign w:val="center"/>
            <w:hideMark/>
          </w:tcPr>
          <w:p w14:paraId="3E2111ED"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1</w:t>
            </w:r>
          </w:p>
        </w:tc>
        <w:tc>
          <w:tcPr>
            <w:tcW w:w="0" w:type="auto"/>
            <w:shd w:val="clear" w:color="auto" w:fill="auto"/>
            <w:noWrap/>
            <w:vAlign w:val="center"/>
            <w:hideMark/>
          </w:tcPr>
          <w:p w14:paraId="15B994AE"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1.2130</w:t>
            </w:r>
          </w:p>
        </w:tc>
      </w:tr>
      <w:tr w:rsidR="00D93B9F" w:rsidRPr="004C1D0F" w14:paraId="46294168" w14:textId="77777777" w:rsidTr="00B60657">
        <w:trPr>
          <w:trHeight w:val="307"/>
          <w:jc w:val="center"/>
        </w:trPr>
        <w:tc>
          <w:tcPr>
            <w:tcW w:w="0" w:type="auto"/>
            <w:vMerge/>
            <w:shd w:val="clear" w:color="auto" w:fill="auto"/>
            <w:noWrap/>
            <w:vAlign w:val="center"/>
            <w:hideMark/>
          </w:tcPr>
          <w:p w14:paraId="27E92CA6"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74EED4E0" w14:textId="77777777" w:rsidR="00D93B9F" w:rsidRPr="004C1D0F" w:rsidRDefault="00D93B9F" w:rsidP="00AD4D40">
            <w:pPr>
              <w:spacing w:after="0" w:line="240" w:lineRule="auto"/>
              <w:jc w:val="center"/>
              <w:rPr>
                <w:rFonts w:eastAsia="Times New Roman" w:cs="Times New Roman"/>
                <w:szCs w:val="24"/>
                <w:lang w:eastAsia="ja-JP"/>
              </w:rPr>
            </w:pPr>
          </w:p>
        </w:tc>
        <w:tc>
          <w:tcPr>
            <w:tcW w:w="0" w:type="auto"/>
            <w:vMerge/>
            <w:shd w:val="clear" w:color="auto" w:fill="auto"/>
            <w:noWrap/>
            <w:vAlign w:val="center"/>
            <w:hideMark/>
          </w:tcPr>
          <w:p w14:paraId="3762AA9B" w14:textId="2F7D4C8F" w:rsidR="00D93B9F" w:rsidRPr="004C1D0F" w:rsidRDefault="00D93B9F" w:rsidP="00AD4D40">
            <w:pPr>
              <w:spacing w:after="0" w:line="240" w:lineRule="auto"/>
              <w:jc w:val="center"/>
              <w:rPr>
                <w:rFonts w:eastAsia="Times New Roman" w:cs="Times New Roman"/>
                <w:szCs w:val="24"/>
                <w:lang w:eastAsia="ja-JP"/>
              </w:rPr>
            </w:pPr>
          </w:p>
        </w:tc>
        <w:tc>
          <w:tcPr>
            <w:tcW w:w="0" w:type="auto"/>
            <w:vMerge/>
            <w:vAlign w:val="center"/>
          </w:tcPr>
          <w:p w14:paraId="5F37CF07"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shd w:val="clear" w:color="auto" w:fill="auto"/>
            <w:noWrap/>
            <w:vAlign w:val="center"/>
            <w:hideMark/>
          </w:tcPr>
          <w:p w14:paraId="7B0E2DC2"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0.5127</w:t>
            </w:r>
          </w:p>
        </w:tc>
        <w:tc>
          <w:tcPr>
            <w:tcW w:w="0" w:type="auto"/>
            <w:shd w:val="clear" w:color="auto" w:fill="auto"/>
            <w:noWrap/>
            <w:vAlign w:val="center"/>
            <w:hideMark/>
          </w:tcPr>
          <w:p w14:paraId="69FE7318"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1.5</w:t>
            </w:r>
          </w:p>
        </w:tc>
        <w:tc>
          <w:tcPr>
            <w:tcW w:w="0" w:type="auto"/>
            <w:shd w:val="clear" w:color="auto" w:fill="auto"/>
            <w:noWrap/>
            <w:vAlign w:val="center"/>
            <w:hideMark/>
          </w:tcPr>
          <w:p w14:paraId="6192573A"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0.9904</w:t>
            </w:r>
          </w:p>
        </w:tc>
      </w:tr>
      <w:tr w:rsidR="00D93B9F" w:rsidRPr="004C1D0F" w14:paraId="1A3E8AEF" w14:textId="77777777" w:rsidTr="00B60657">
        <w:trPr>
          <w:trHeight w:val="307"/>
          <w:jc w:val="center"/>
        </w:trPr>
        <w:tc>
          <w:tcPr>
            <w:tcW w:w="0" w:type="auto"/>
            <w:vMerge/>
            <w:shd w:val="clear" w:color="auto" w:fill="auto"/>
            <w:noWrap/>
            <w:vAlign w:val="center"/>
            <w:hideMark/>
          </w:tcPr>
          <w:p w14:paraId="39E923B0"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4A818C12" w14:textId="77777777" w:rsidR="00D93B9F" w:rsidRPr="004C1D0F" w:rsidRDefault="00D93B9F" w:rsidP="00AD4D40">
            <w:pPr>
              <w:spacing w:after="0" w:line="240" w:lineRule="auto"/>
              <w:jc w:val="center"/>
              <w:rPr>
                <w:rFonts w:eastAsia="Times New Roman" w:cs="Times New Roman"/>
                <w:szCs w:val="24"/>
                <w:lang w:eastAsia="ja-JP"/>
              </w:rPr>
            </w:pPr>
          </w:p>
        </w:tc>
        <w:tc>
          <w:tcPr>
            <w:tcW w:w="0" w:type="auto"/>
            <w:vMerge/>
            <w:shd w:val="clear" w:color="auto" w:fill="auto"/>
            <w:noWrap/>
            <w:vAlign w:val="center"/>
            <w:hideMark/>
          </w:tcPr>
          <w:p w14:paraId="400AFB91" w14:textId="67FC0610" w:rsidR="00D93B9F" w:rsidRPr="004C1D0F" w:rsidRDefault="00D93B9F" w:rsidP="00AD4D40">
            <w:pPr>
              <w:spacing w:after="0" w:line="240" w:lineRule="auto"/>
              <w:jc w:val="center"/>
              <w:rPr>
                <w:rFonts w:eastAsia="Times New Roman" w:cs="Times New Roman"/>
                <w:szCs w:val="24"/>
                <w:lang w:eastAsia="ja-JP"/>
              </w:rPr>
            </w:pPr>
          </w:p>
        </w:tc>
        <w:tc>
          <w:tcPr>
            <w:tcW w:w="0" w:type="auto"/>
            <w:vMerge/>
            <w:vAlign w:val="center"/>
          </w:tcPr>
          <w:p w14:paraId="0061C159"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shd w:val="clear" w:color="auto" w:fill="auto"/>
            <w:noWrap/>
            <w:vAlign w:val="center"/>
            <w:hideMark/>
          </w:tcPr>
          <w:p w14:paraId="41431460"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0.6836</w:t>
            </w:r>
          </w:p>
        </w:tc>
        <w:tc>
          <w:tcPr>
            <w:tcW w:w="0" w:type="auto"/>
            <w:shd w:val="clear" w:color="auto" w:fill="auto"/>
            <w:noWrap/>
            <w:vAlign w:val="center"/>
            <w:hideMark/>
          </w:tcPr>
          <w:p w14:paraId="457184B0"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2</w:t>
            </w:r>
          </w:p>
        </w:tc>
        <w:tc>
          <w:tcPr>
            <w:tcW w:w="0" w:type="auto"/>
            <w:shd w:val="clear" w:color="auto" w:fill="auto"/>
            <w:noWrap/>
            <w:vAlign w:val="center"/>
            <w:hideMark/>
          </w:tcPr>
          <w:p w14:paraId="2EFC25B0"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0.8577</w:t>
            </w:r>
          </w:p>
        </w:tc>
      </w:tr>
      <w:tr w:rsidR="00D93B9F" w:rsidRPr="004C1D0F" w14:paraId="5F6EBB12" w14:textId="77777777" w:rsidTr="00B60657">
        <w:trPr>
          <w:trHeight w:val="307"/>
          <w:jc w:val="center"/>
        </w:trPr>
        <w:tc>
          <w:tcPr>
            <w:tcW w:w="0" w:type="auto"/>
            <w:vMerge/>
            <w:shd w:val="clear" w:color="auto" w:fill="auto"/>
            <w:noWrap/>
            <w:vAlign w:val="center"/>
            <w:hideMark/>
          </w:tcPr>
          <w:p w14:paraId="6FB0C296"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3A9294DA" w14:textId="77777777" w:rsidR="00D93B9F" w:rsidRPr="004C1D0F" w:rsidRDefault="00D93B9F" w:rsidP="00AD4D40">
            <w:pPr>
              <w:spacing w:after="0" w:line="240" w:lineRule="auto"/>
              <w:jc w:val="center"/>
              <w:rPr>
                <w:rFonts w:eastAsia="Times New Roman" w:cs="Times New Roman"/>
                <w:szCs w:val="24"/>
                <w:lang w:eastAsia="ja-JP"/>
              </w:rPr>
            </w:pPr>
          </w:p>
        </w:tc>
        <w:tc>
          <w:tcPr>
            <w:tcW w:w="0" w:type="auto"/>
            <w:vMerge/>
            <w:shd w:val="clear" w:color="auto" w:fill="auto"/>
            <w:noWrap/>
            <w:vAlign w:val="center"/>
            <w:hideMark/>
          </w:tcPr>
          <w:p w14:paraId="6B25E34F" w14:textId="580B0A2F" w:rsidR="00D93B9F" w:rsidRPr="004C1D0F" w:rsidRDefault="00D93B9F" w:rsidP="00AD4D40">
            <w:pPr>
              <w:spacing w:after="0" w:line="240" w:lineRule="auto"/>
              <w:jc w:val="center"/>
              <w:rPr>
                <w:rFonts w:eastAsia="Times New Roman" w:cs="Times New Roman"/>
                <w:szCs w:val="24"/>
                <w:lang w:eastAsia="ja-JP"/>
              </w:rPr>
            </w:pPr>
          </w:p>
        </w:tc>
        <w:tc>
          <w:tcPr>
            <w:tcW w:w="0" w:type="auto"/>
            <w:vMerge/>
            <w:vAlign w:val="center"/>
          </w:tcPr>
          <w:p w14:paraId="278E406B"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shd w:val="clear" w:color="auto" w:fill="auto"/>
            <w:noWrap/>
            <w:vAlign w:val="center"/>
            <w:hideMark/>
          </w:tcPr>
          <w:p w14:paraId="1749FFF2"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0.8545</w:t>
            </w:r>
          </w:p>
        </w:tc>
        <w:tc>
          <w:tcPr>
            <w:tcW w:w="0" w:type="auto"/>
            <w:shd w:val="clear" w:color="auto" w:fill="auto"/>
            <w:noWrap/>
            <w:vAlign w:val="center"/>
            <w:hideMark/>
          </w:tcPr>
          <w:p w14:paraId="0CECADCD"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2.5</w:t>
            </w:r>
          </w:p>
        </w:tc>
        <w:tc>
          <w:tcPr>
            <w:tcW w:w="0" w:type="auto"/>
            <w:shd w:val="clear" w:color="auto" w:fill="auto"/>
            <w:noWrap/>
            <w:vAlign w:val="center"/>
            <w:hideMark/>
          </w:tcPr>
          <w:p w14:paraId="6ED43E81"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0.7672</w:t>
            </w:r>
          </w:p>
        </w:tc>
      </w:tr>
      <w:tr w:rsidR="00D93B9F" w:rsidRPr="004C1D0F" w14:paraId="172F6DD1" w14:textId="77777777" w:rsidTr="00B60657">
        <w:trPr>
          <w:trHeight w:val="307"/>
          <w:jc w:val="center"/>
        </w:trPr>
        <w:tc>
          <w:tcPr>
            <w:tcW w:w="0" w:type="auto"/>
            <w:vMerge/>
            <w:shd w:val="clear" w:color="auto" w:fill="auto"/>
            <w:noWrap/>
            <w:vAlign w:val="center"/>
            <w:hideMark/>
          </w:tcPr>
          <w:p w14:paraId="72D67AE8"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7959145E" w14:textId="77777777" w:rsidR="00D93B9F" w:rsidRPr="004C1D0F" w:rsidRDefault="00D93B9F" w:rsidP="00AD4D40">
            <w:pPr>
              <w:spacing w:after="0" w:line="240" w:lineRule="auto"/>
              <w:jc w:val="center"/>
              <w:rPr>
                <w:rFonts w:eastAsia="Times New Roman" w:cs="Times New Roman"/>
                <w:szCs w:val="24"/>
                <w:lang w:eastAsia="ja-JP"/>
              </w:rPr>
            </w:pPr>
          </w:p>
        </w:tc>
        <w:tc>
          <w:tcPr>
            <w:tcW w:w="0" w:type="auto"/>
            <w:vMerge/>
            <w:shd w:val="clear" w:color="auto" w:fill="auto"/>
            <w:noWrap/>
            <w:vAlign w:val="center"/>
            <w:hideMark/>
          </w:tcPr>
          <w:p w14:paraId="2936045A" w14:textId="04C0F3E4" w:rsidR="00D93B9F" w:rsidRPr="004C1D0F" w:rsidRDefault="00D93B9F" w:rsidP="00AD4D40">
            <w:pPr>
              <w:spacing w:after="0" w:line="240" w:lineRule="auto"/>
              <w:jc w:val="center"/>
              <w:rPr>
                <w:rFonts w:eastAsia="Times New Roman" w:cs="Times New Roman"/>
                <w:szCs w:val="24"/>
                <w:lang w:eastAsia="ja-JP"/>
              </w:rPr>
            </w:pPr>
          </w:p>
        </w:tc>
        <w:tc>
          <w:tcPr>
            <w:tcW w:w="0" w:type="auto"/>
            <w:vMerge/>
            <w:vAlign w:val="center"/>
          </w:tcPr>
          <w:p w14:paraId="1851C418"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shd w:val="clear" w:color="auto" w:fill="auto"/>
            <w:noWrap/>
            <w:vAlign w:val="center"/>
            <w:hideMark/>
          </w:tcPr>
          <w:p w14:paraId="13DC8691"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1.0254</w:t>
            </w:r>
          </w:p>
        </w:tc>
        <w:tc>
          <w:tcPr>
            <w:tcW w:w="0" w:type="auto"/>
            <w:shd w:val="clear" w:color="auto" w:fill="auto"/>
            <w:noWrap/>
            <w:vAlign w:val="center"/>
            <w:hideMark/>
          </w:tcPr>
          <w:p w14:paraId="0E2324D9"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3</w:t>
            </w:r>
          </w:p>
        </w:tc>
        <w:tc>
          <w:tcPr>
            <w:tcW w:w="0" w:type="auto"/>
            <w:shd w:val="clear" w:color="auto" w:fill="auto"/>
            <w:noWrap/>
            <w:vAlign w:val="center"/>
            <w:hideMark/>
          </w:tcPr>
          <w:p w14:paraId="754946D6"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0.7003</w:t>
            </w:r>
          </w:p>
        </w:tc>
      </w:tr>
      <w:tr w:rsidR="00D93B9F" w:rsidRPr="004C1D0F" w14:paraId="068EFC7F" w14:textId="77777777" w:rsidTr="00E619C8">
        <w:trPr>
          <w:trHeight w:val="307"/>
          <w:jc w:val="center"/>
        </w:trPr>
        <w:tc>
          <w:tcPr>
            <w:tcW w:w="0" w:type="auto"/>
            <w:vMerge w:val="restart"/>
            <w:shd w:val="clear" w:color="auto" w:fill="auto"/>
            <w:noWrap/>
            <w:vAlign w:val="center"/>
          </w:tcPr>
          <w:p w14:paraId="1B493C0D" w14:textId="3EDCEA0F"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2.196</w:t>
            </w:r>
          </w:p>
        </w:tc>
        <w:tc>
          <w:tcPr>
            <w:tcW w:w="0" w:type="auto"/>
            <w:vMerge w:val="restart"/>
            <w:vAlign w:val="center"/>
          </w:tcPr>
          <w:p w14:paraId="56E00422" w14:textId="5C4227BC" w:rsidR="00D93B9F" w:rsidRPr="004C1D0F" w:rsidRDefault="00E619C8" w:rsidP="00E619C8">
            <w:pPr>
              <w:spacing w:after="0" w:line="240" w:lineRule="auto"/>
              <w:jc w:val="center"/>
              <w:rPr>
                <w:rFonts w:eastAsia="Times New Roman" w:cs="Times New Roman"/>
                <w:color w:val="404040"/>
                <w:szCs w:val="24"/>
                <w:lang w:eastAsia="ja-JP"/>
              </w:rPr>
            </w:pPr>
            <w:r>
              <w:rPr>
                <w:rFonts w:eastAsia="Times New Roman" w:cs="Times New Roman"/>
                <w:color w:val="404040"/>
                <w:szCs w:val="24"/>
                <w:lang w:eastAsia="ja-JP"/>
              </w:rPr>
              <w:t>24 kn</w:t>
            </w:r>
          </w:p>
        </w:tc>
        <w:tc>
          <w:tcPr>
            <w:tcW w:w="0" w:type="auto"/>
            <w:vMerge w:val="restart"/>
            <w:shd w:val="clear" w:color="auto" w:fill="auto"/>
            <w:noWrap/>
            <w:vAlign w:val="center"/>
          </w:tcPr>
          <w:p w14:paraId="63916F93" w14:textId="57FB184C"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w:t>
            </w:r>
            <w:r>
              <w:rPr>
                <w:rFonts w:eastAsia="Times New Roman" w:cs="Times New Roman"/>
                <w:color w:val="404040"/>
                <w:szCs w:val="24"/>
                <w:lang w:eastAsia="ja-JP"/>
              </w:rPr>
              <w:t>26</w:t>
            </w:r>
          </w:p>
        </w:tc>
        <w:tc>
          <w:tcPr>
            <w:tcW w:w="0" w:type="auto"/>
            <w:vMerge w:val="restart"/>
            <w:vAlign w:val="center"/>
          </w:tcPr>
          <w:p w14:paraId="5D7244B9" w14:textId="6508BBBD" w:rsidR="00D93B9F" w:rsidRPr="000A053E" w:rsidRDefault="00D93B9F" w:rsidP="00AD4D40">
            <w:pPr>
              <w:spacing w:after="0" w:line="240" w:lineRule="auto"/>
              <w:jc w:val="center"/>
              <w:rPr>
                <w:color w:val="404040"/>
                <w:szCs w:val="24"/>
                <w:vertAlign w:val="superscript"/>
              </w:rPr>
            </w:pPr>
            <w:r>
              <w:rPr>
                <w:color w:val="404040"/>
                <w:szCs w:val="24"/>
              </w:rPr>
              <w:t>1.795</w:t>
            </w:r>
            <m:oMath>
              <m:r>
                <w:rPr>
                  <w:rFonts w:ascii="Cambria Math" w:hAnsi="Cambria Math"/>
                  <w:color w:val="404040"/>
                  <w:szCs w:val="24"/>
                </w:rPr>
                <m:t>×</m:t>
              </m:r>
            </m:oMath>
            <w:r w:rsidR="00C86B15">
              <w:rPr>
                <w:rFonts w:eastAsiaTheme="minorEastAsia"/>
                <w:color w:val="404040"/>
                <w:szCs w:val="24"/>
              </w:rPr>
              <w:t>10</w:t>
            </w:r>
            <w:r w:rsidR="00C86B15">
              <w:rPr>
                <w:rFonts w:eastAsiaTheme="minorEastAsia"/>
                <w:color w:val="404040"/>
                <w:szCs w:val="24"/>
                <w:vertAlign w:val="superscript"/>
              </w:rPr>
              <w:t>7</w:t>
            </w:r>
          </w:p>
        </w:tc>
        <w:tc>
          <w:tcPr>
            <w:tcW w:w="0" w:type="auto"/>
            <w:shd w:val="clear" w:color="auto" w:fill="auto"/>
            <w:noWrap/>
            <w:vAlign w:val="center"/>
          </w:tcPr>
          <w:p w14:paraId="03C363BF" w14:textId="62159B15" w:rsidR="00D93B9F" w:rsidRPr="004C1D0F" w:rsidRDefault="00D93B9F" w:rsidP="00AD4D40">
            <w:pPr>
              <w:spacing w:after="0" w:line="240" w:lineRule="auto"/>
              <w:jc w:val="center"/>
              <w:rPr>
                <w:rFonts w:eastAsia="Times New Roman" w:cs="Times New Roman"/>
                <w:color w:val="404040"/>
                <w:szCs w:val="24"/>
                <w:lang w:eastAsia="ja-JP"/>
              </w:rPr>
            </w:pPr>
            <w:r>
              <w:rPr>
                <w:rFonts w:eastAsia="Times New Roman" w:cs="Times New Roman"/>
                <w:color w:val="404040"/>
                <w:szCs w:val="24"/>
                <w:lang w:eastAsia="ja-JP"/>
              </w:rPr>
              <w:t>No pycnocline</w:t>
            </w:r>
            <w:r>
              <w:rPr>
                <w:rStyle w:val="FootnoteReference"/>
                <w:rFonts w:eastAsia="Times New Roman" w:cs="Times New Roman"/>
                <w:color w:val="404040"/>
                <w:szCs w:val="24"/>
                <w:lang w:eastAsia="ja-JP"/>
              </w:rPr>
              <w:footnoteReference w:id="2"/>
            </w:r>
          </w:p>
        </w:tc>
        <w:tc>
          <w:tcPr>
            <w:tcW w:w="0" w:type="auto"/>
            <w:shd w:val="clear" w:color="auto" w:fill="auto"/>
            <w:noWrap/>
            <w:vAlign w:val="center"/>
          </w:tcPr>
          <w:p w14:paraId="79D6577F" w14:textId="0AD3EB84" w:rsidR="00D93B9F" w:rsidRPr="004C1D0F" w:rsidRDefault="00D93B9F" w:rsidP="00AD4D40">
            <w:pPr>
              <w:spacing w:after="0" w:line="240" w:lineRule="auto"/>
              <w:jc w:val="center"/>
              <w:rPr>
                <w:rFonts w:eastAsia="Times New Roman" w:cs="Times New Roman"/>
                <w:color w:val="404040"/>
                <w:szCs w:val="24"/>
                <w:lang w:eastAsia="ja-JP"/>
              </w:rPr>
            </w:pPr>
            <w:r>
              <w:rPr>
                <w:rFonts w:eastAsia="Times New Roman" w:cs="Times New Roman"/>
                <w:color w:val="404040"/>
                <w:szCs w:val="24"/>
                <w:lang w:eastAsia="ja-JP"/>
              </w:rPr>
              <w:t>-</w:t>
            </w:r>
          </w:p>
        </w:tc>
        <w:tc>
          <w:tcPr>
            <w:tcW w:w="0" w:type="auto"/>
            <w:shd w:val="clear" w:color="auto" w:fill="auto"/>
            <w:noWrap/>
            <w:vAlign w:val="center"/>
          </w:tcPr>
          <w:p w14:paraId="2EE79D6C" w14:textId="7EFED687" w:rsidR="00D93B9F" w:rsidRPr="004C1D0F" w:rsidRDefault="00D93B9F" w:rsidP="00AD4D40">
            <w:pPr>
              <w:spacing w:after="0" w:line="240" w:lineRule="auto"/>
              <w:jc w:val="center"/>
              <w:rPr>
                <w:rFonts w:eastAsia="Times New Roman" w:cs="Times New Roman"/>
                <w:color w:val="404040"/>
                <w:szCs w:val="24"/>
                <w:lang w:eastAsia="ja-JP"/>
              </w:rPr>
            </w:pPr>
            <w:r>
              <w:rPr>
                <w:rFonts w:eastAsia="Times New Roman" w:cs="Times New Roman"/>
                <w:color w:val="404040"/>
                <w:szCs w:val="24"/>
                <w:lang w:eastAsia="ja-JP"/>
              </w:rPr>
              <w:t>-</w:t>
            </w:r>
          </w:p>
        </w:tc>
      </w:tr>
      <w:tr w:rsidR="00D93B9F" w:rsidRPr="004C1D0F" w14:paraId="61AFD9E6" w14:textId="77777777" w:rsidTr="00B60657">
        <w:trPr>
          <w:trHeight w:val="307"/>
          <w:jc w:val="center"/>
        </w:trPr>
        <w:tc>
          <w:tcPr>
            <w:tcW w:w="0" w:type="auto"/>
            <w:vMerge/>
            <w:shd w:val="clear" w:color="auto" w:fill="auto"/>
            <w:noWrap/>
            <w:vAlign w:val="center"/>
            <w:hideMark/>
          </w:tcPr>
          <w:p w14:paraId="0C967237" w14:textId="74C87AEC"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6BF4BAC7"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shd w:val="clear" w:color="auto" w:fill="auto"/>
            <w:noWrap/>
            <w:vAlign w:val="center"/>
            <w:hideMark/>
          </w:tcPr>
          <w:p w14:paraId="02A86427" w14:textId="388546AA"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vAlign w:val="center"/>
          </w:tcPr>
          <w:p w14:paraId="1116DA2D" w14:textId="4A2BE78F" w:rsidR="00D93B9F" w:rsidRPr="004C1D0F" w:rsidRDefault="00D93B9F" w:rsidP="00AD4D40">
            <w:pPr>
              <w:spacing w:after="0" w:line="240" w:lineRule="auto"/>
              <w:jc w:val="center"/>
              <w:rPr>
                <w:color w:val="404040"/>
                <w:szCs w:val="24"/>
              </w:rPr>
            </w:pPr>
          </w:p>
        </w:tc>
        <w:tc>
          <w:tcPr>
            <w:tcW w:w="0" w:type="auto"/>
            <w:shd w:val="clear" w:color="auto" w:fill="auto"/>
            <w:noWrap/>
            <w:vAlign w:val="center"/>
            <w:hideMark/>
          </w:tcPr>
          <w:p w14:paraId="34BCB80F"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0.1709</w:t>
            </w:r>
          </w:p>
        </w:tc>
        <w:tc>
          <w:tcPr>
            <w:tcW w:w="0" w:type="auto"/>
            <w:shd w:val="clear" w:color="auto" w:fill="auto"/>
            <w:noWrap/>
            <w:vAlign w:val="center"/>
            <w:hideMark/>
          </w:tcPr>
          <w:p w14:paraId="46EDDB69"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0.5</w:t>
            </w:r>
          </w:p>
        </w:tc>
        <w:tc>
          <w:tcPr>
            <w:tcW w:w="0" w:type="auto"/>
            <w:shd w:val="clear" w:color="auto" w:fill="auto"/>
            <w:noWrap/>
            <w:vAlign w:val="center"/>
            <w:hideMark/>
          </w:tcPr>
          <w:p w14:paraId="2E071B52"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10.293</w:t>
            </w:r>
          </w:p>
        </w:tc>
      </w:tr>
      <w:tr w:rsidR="00D93B9F" w:rsidRPr="004C1D0F" w14:paraId="5436B913" w14:textId="77777777" w:rsidTr="00B60657">
        <w:trPr>
          <w:trHeight w:val="307"/>
          <w:jc w:val="center"/>
        </w:trPr>
        <w:tc>
          <w:tcPr>
            <w:tcW w:w="0" w:type="auto"/>
            <w:vMerge/>
            <w:shd w:val="clear" w:color="auto" w:fill="auto"/>
            <w:noWrap/>
            <w:vAlign w:val="center"/>
            <w:hideMark/>
          </w:tcPr>
          <w:p w14:paraId="73756A5D"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27C4C6EC" w14:textId="77777777" w:rsidR="00D93B9F" w:rsidRPr="004C1D0F" w:rsidRDefault="00D93B9F" w:rsidP="00AD4D40">
            <w:pPr>
              <w:spacing w:after="0" w:line="240" w:lineRule="auto"/>
              <w:jc w:val="center"/>
              <w:rPr>
                <w:rFonts w:eastAsia="Times New Roman" w:cs="Times New Roman"/>
                <w:szCs w:val="24"/>
                <w:lang w:eastAsia="ja-JP"/>
              </w:rPr>
            </w:pPr>
          </w:p>
        </w:tc>
        <w:tc>
          <w:tcPr>
            <w:tcW w:w="0" w:type="auto"/>
            <w:vMerge/>
            <w:shd w:val="clear" w:color="auto" w:fill="auto"/>
            <w:noWrap/>
            <w:vAlign w:val="center"/>
            <w:hideMark/>
          </w:tcPr>
          <w:p w14:paraId="7A7E5DD4" w14:textId="3A31E902" w:rsidR="00D93B9F" w:rsidRPr="004C1D0F" w:rsidRDefault="00D93B9F" w:rsidP="00AD4D40">
            <w:pPr>
              <w:spacing w:after="0" w:line="240" w:lineRule="auto"/>
              <w:jc w:val="center"/>
              <w:rPr>
                <w:rFonts w:eastAsia="Times New Roman" w:cs="Times New Roman"/>
                <w:szCs w:val="24"/>
                <w:lang w:eastAsia="ja-JP"/>
              </w:rPr>
            </w:pPr>
          </w:p>
        </w:tc>
        <w:tc>
          <w:tcPr>
            <w:tcW w:w="0" w:type="auto"/>
            <w:vMerge/>
            <w:vAlign w:val="center"/>
          </w:tcPr>
          <w:p w14:paraId="5CE28B85"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shd w:val="clear" w:color="auto" w:fill="auto"/>
            <w:noWrap/>
            <w:vAlign w:val="center"/>
            <w:hideMark/>
          </w:tcPr>
          <w:p w14:paraId="7A0F50BE"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0.3418</w:t>
            </w:r>
          </w:p>
        </w:tc>
        <w:tc>
          <w:tcPr>
            <w:tcW w:w="0" w:type="auto"/>
            <w:shd w:val="clear" w:color="auto" w:fill="auto"/>
            <w:noWrap/>
            <w:vAlign w:val="center"/>
            <w:hideMark/>
          </w:tcPr>
          <w:p w14:paraId="38998AA6"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1</w:t>
            </w:r>
          </w:p>
        </w:tc>
        <w:tc>
          <w:tcPr>
            <w:tcW w:w="0" w:type="auto"/>
            <w:shd w:val="clear" w:color="auto" w:fill="auto"/>
            <w:noWrap/>
            <w:vAlign w:val="center"/>
            <w:hideMark/>
          </w:tcPr>
          <w:p w14:paraId="7568E56F"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7.2781</w:t>
            </w:r>
          </w:p>
        </w:tc>
      </w:tr>
      <w:tr w:rsidR="00D93B9F" w:rsidRPr="004C1D0F" w14:paraId="07F52F8B" w14:textId="77777777" w:rsidTr="00B60657">
        <w:trPr>
          <w:trHeight w:val="307"/>
          <w:jc w:val="center"/>
        </w:trPr>
        <w:tc>
          <w:tcPr>
            <w:tcW w:w="0" w:type="auto"/>
            <w:vMerge/>
            <w:shd w:val="clear" w:color="auto" w:fill="auto"/>
            <w:noWrap/>
            <w:vAlign w:val="center"/>
            <w:hideMark/>
          </w:tcPr>
          <w:p w14:paraId="54B20935"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7D91AE32" w14:textId="77777777" w:rsidR="00D93B9F" w:rsidRPr="004C1D0F" w:rsidRDefault="00D93B9F" w:rsidP="00AD4D40">
            <w:pPr>
              <w:spacing w:after="0" w:line="240" w:lineRule="auto"/>
              <w:jc w:val="center"/>
              <w:rPr>
                <w:rFonts w:eastAsia="Times New Roman" w:cs="Times New Roman"/>
                <w:szCs w:val="24"/>
                <w:lang w:eastAsia="ja-JP"/>
              </w:rPr>
            </w:pPr>
          </w:p>
        </w:tc>
        <w:tc>
          <w:tcPr>
            <w:tcW w:w="0" w:type="auto"/>
            <w:vMerge/>
            <w:shd w:val="clear" w:color="auto" w:fill="auto"/>
            <w:noWrap/>
            <w:vAlign w:val="center"/>
            <w:hideMark/>
          </w:tcPr>
          <w:p w14:paraId="4D181171" w14:textId="241610DD" w:rsidR="00D93B9F" w:rsidRPr="004C1D0F" w:rsidRDefault="00D93B9F" w:rsidP="00AD4D40">
            <w:pPr>
              <w:spacing w:after="0" w:line="240" w:lineRule="auto"/>
              <w:jc w:val="center"/>
              <w:rPr>
                <w:rFonts w:eastAsia="Times New Roman" w:cs="Times New Roman"/>
                <w:szCs w:val="24"/>
                <w:lang w:eastAsia="ja-JP"/>
              </w:rPr>
            </w:pPr>
          </w:p>
        </w:tc>
        <w:tc>
          <w:tcPr>
            <w:tcW w:w="0" w:type="auto"/>
            <w:vMerge/>
            <w:vAlign w:val="center"/>
          </w:tcPr>
          <w:p w14:paraId="2F61F810"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shd w:val="clear" w:color="auto" w:fill="auto"/>
            <w:noWrap/>
            <w:vAlign w:val="center"/>
            <w:hideMark/>
          </w:tcPr>
          <w:p w14:paraId="5C7659C0"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0.5127</w:t>
            </w:r>
          </w:p>
        </w:tc>
        <w:tc>
          <w:tcPr>
            <w:tcW w:w="0" w:type="auto"/>
            <w:shd w:val="clear" w:color="auto" w:fill="auto"/>
            <w:noWrap/>
            <w:vAlign w:val="center"/>
            <w:hideMark/>
          </w:tcPr>
          <w:p w14:paraId="435DEFB8"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1.5</w:t>
            </w:r>
          </w:p>
        </w:tc>
        <w:tc>
          <w:tcPr>
            <w:tcW w:w="0" w:type="auto"/>
            <w:shd w:val="clear" w:color="auto" w:fill="auto"/>
            <w:noWrap/>
            <w:vAlign w:val="center"/>
            <w:hideMark/>
          </w:tcPr>
          <w:p w14:paraId="05C23EF0"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5.9426</w:t>
            </w:r>
          </w:p>
        </w:tc>
      </w:tr>
      <w:tr w:rsidR="00D93B9F" w:rsidRPr="004C1D0F" w14:paraId="63F6585E" w14:textId="77777777" w:rsidTr="00B60657">
        <w:trPr>
          <w:trHeight w:val="307"/>
          <w:jc w:val="center"/>
        </w:trPr>
        <w:tc>
          <w:tcPr>
            <w:tcW w:w="0" w:type="auto"/>
            <w:vMerge/>
            <w:shd w:val="clear" w:color="auto" w:fill="auto"/>
            <w:noWrap/>
            <w:vAlign w:val="center"/>
            <w:hideMark/>
          </w:tcPr>
          <w:p w14:paraId="44FB0FFE"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6A7A7B4C" w14:textId="77777777" w:rsidR="00D93B9F" w:rsidRPr="004C1D0F" w:rsidRDefault="00D93B9F" w:rsidP="00AD4D40">
            <w:pPr>
              <w:spacing w:after="0" w:line="240" w:lineRule="auto"/>
              <w:jc w:val="center"/>
              <w:rPr>
                <w:rFonts w:eastAsia="Times New Roman" w:cs="Times New Roman"/>
                <w:szCs w:val="24"/>
                <w:lang w:eastAsia="ja-JP"/>
              </w:rPr>
            </w:pPr>
          </w:p>
        </w:tc>
        <w:tc>
          <w:tcPr>
            <w:tcW w:w="0" w:type="auto"/>
            <w:vMerge/>
            <w:shd w:val="clear" w:color="auto" w:fill="auto"/>
            <w:noWrap/>
            <w:vAlign w:val="center"/>
            <w:hideMark/>
          </w:tcPr>
          <w:p w14:paraId="6EA14BE0" w14:textId="2B9ABE12" w:rsidR="00D93B9F" w:rsidRPr="004C1D0F" w:rsidRDefault="00D93B9F" w:rsidP="00AD4D40">
            <w:pPr>
              <w:spacing w:after="0" w:line="240" w:lineRule="auto"/>
              <w:jc w:val="center"/>
              <w:rPr>
                <w:rFonts w:eastAsia="Times New Roman" w:cs="Times New Roman"/>
                <w:szCs w:val="24"/>
                <w:lang w:eastAsia="ja-JP"/>
              </w:rPr>
            </w:pPr>
          </w:p>
        </w:tc>
        <w:tc>
          <w:tcPr>
            <w:tcW w:w="0" w:type="auto"/>
            <w:vMerge/>
            <w:vAlign w:val="center"/>
          </w:tcPr>
          <w:p w14:paraId="3CE8D0F4"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shd w:val="clear" w:color="auto" w:fill="auto"/>
            <w:noWrap/>
            <w:vAlign w:val="center"/>
            <w:hideMark/>
          </w:tcPr>
          <w:p w14:paraId="4AA4EECA"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0.6836</w:t>
            </w:r>
          </w:p>
        </w:tc>
        <w:tc>
          <w:tcPr>
            <w:tcW w:w="0" w:type="auto"/>
            <w:shd w:val="clear" w:color="auto" w:fill="auto"/>
            <w:noWrap/>
            <w:vAlign w:val="center"/>
            <w:hideMark/>
          </w:tcPr>
          <w:p w14:paraId="3469A688"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2</w:t>
            </w:r>
          </w:p>
        </w:tc>
        <w:tc>
          <w:tcPr>
            <w:tcW w:w="0" w:type="auto"/>
            <w:shd w:val="clear" w:color="auto" w:fill="auto"/>
            <w:noWrap/>
            <w:vAlign w:val="center"/>
            <w:hideMark/>
          </w:tcPr>
          <w:p w14:paraId="54267F81"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5.1464</w:t>
            </w:r>
          </w:p>
        </w:tc>
      </w:tr>
      <w:tr w:rsidR="00D93B9F" w:rsidRPr="004C1D0F" w14:paraId="643147D0" w14:textId="77777777" w:rsidTr="00B60657">
        <w:trPr>
          <w:trHeight w:val="307"/>
          <w:jc w:val="center"/>
        </w:trPr>
        <w:tc>
          <w:tcPr>
            <w:tcW w:w="0" w:type="auto"/>
            <w:vMerge/>
            <w:shd w:val="clear" w:color="auto" w:fill="auto"/>
            <w:noWrap/>
            <w:vAlign w:val="center"/>
            <w:hideMark/>
          </w:tcPr>
          <w:p w14:paraId="7C536778"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7A6A991B" w14:textId="77777777" w:rsidR="00D93B9F" w:rsidRPr="004C1D0F" w:rsidRDefault="00D93B9F" w:rsidP="00AD4D40">
            <w:pPr>
              <w:spacing w:after="0" w:line="240" w:lineRule="auto"/>
              <w:jc w:val="center"/>
              <w:rPr>
                <w:rFonts w:eastAsia="Times New Roman" w:cs="Times New Roman"/>
                <w:szCs w:val="24"/>
                <w:lang w:eastAsia="ja-JP"/>
              </w:rPr>
            </w:pPr>
          </w:p>
        </w:tc>
        <w:tc>
          <w:tcPr>
            <w:tcW w:w="0" w:type="auto"/>
            <w:vMerge/>
            <w:shd w:val="clear" w:color="auto" w:fill="auto"/>
            <w:noWrap/>
            <w:vAlign w:val="center"/>
            <w:hideMark/>
          </w:tcPr>
          <w:p w14:paraId="26B55650" w14:textId="6710611E" w:rsidR="00D93B9F" w:rsidRPr="004C1D0F" w:rsidRDefault="00D93B9F" w:rsidP="00AD4D40">
            <w:pPr>
              <w:spacing w:after="0" w:line="240" w:lineRule="auto"/>
              <w:jc w:val="center"/>
              <w:rPr>
                <w:rFonts w:eastAsia="Times New Roman" w:cs="Times New Roman"/>
                <w:szCs w:val="24"/>
                <w:lang w:eastAsia="ja-JP"/>
              </w:rPr>
            </w:pPr>
          </w:p>
        </w:tc>
        <w:tc>
          <w:tcPr>
            <w:tcW w:w="0" w:type="auto"/>
            <w:vMerge/>
            <w:vAlign w:val="center"/>
          </w:tcPr>
          <w:p w14:paraId="15BD0E50"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shd w:val="clear" w:color="auto" w:fill="auto"/>
            <w:noWrap/>
            <w:vAlign w:val="center"/>
            <w:hideMark/>
          </w:tcPr>
          <w:p w14:paraId="10DABEF9"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0.8545</w:t>
            </w:r>
          </w:p>
        </w:tc>
        <w:tc>
          <w:tcPr>
            <w:tcW w:w="0" w:type="auto"/>
            <w:shd w:val="clear" w:color="auto" w:fill="auto"/>
            <w:noWrap/>
            <w:vAlign w:val="center"/>
            <w:hideMark/>
          </w:tcPr>
          <w:p w14:paraId="32DD1ADE"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2.5</w:t>
            </w:r>
          </w:p>
        </w:tc>
        <w:tc>
          <w:tcPr>
            <w:tcW w:w="0" w:type="auto"/>
            <w:shd w:val="clear" w:color="auto" w:fill="auto"/>
            <w:noWrap/>
            <w:vAlign w:val="center"/>
            <w:hideMark/>
          </w:tcPr>
          <w:p w14:paraId="675C8A44"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4.6031</w:t>
            </w:r>
          </w:p>
        </w:tc>
      </w:tr>
      <w:tr w:rsidR="00D93B9F" w:rsidRPr="004C1D0F" w14:paraId="65AE9A77" w14:textId="77777777" w:rsidTr="00B60657">
        <w:trPr>
          <w:trHeight w:val="307"/>
          <w:jc w:val="center"/>
        </w:trPr>
        <w:tc>
          <w:tcPr>
            <w:tcW w:w="0" w:type="auto"/>
            <w:vMerge/>
            <w:shd w:val="clear" w:color="auto" w:fill="auto"/>
            <w:noWrap/>
            <w:vAlign w:val="center"/>
            <w:hideMark/>
          </w:tcPr>
          <w:p w14:paraId="0D26B537"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5A43DEA5" w14:textId="77777777" w:rsidR="00D93B9F" w:rsidRPr="004C1D0F" w:rsidRDefault="00D93B9F" w:rsidP="00AD4D40">
            <w:pPr>
              <w:spacing w:after="0" w:line="240" w:lineRule="auto"/>
              <w:jc w:val="center"/>
              <w:rPr>
                <w:rFonts w:eastAsia="Times New Roman" w:cs="Times New Roman"/>
                <w:szCs w:val="24"/>
                <w:lang w:eastAsia="ja-JP"/>
              </w:rPr>
            </w:pPr>
          </w:p>
        </w:tc>
        <w:tc>
          <w:tcPr>
            <w:tcW w:w="0" w:type="auto"/>
            <w:vMerge/>
            <w:shd w:val="clear" w:color="auto" w:fill="auto"/>
            <w:noWrap/>
            <w:vAlign w:val="center"/>
            <w:hideMark/>
          </w:tcPr>
          <w:p w14:paraId="2102BC20" w14:textId="5A71C949" w:rsidR="00D93B9F" w:rsidRPr="004C1D0F" w:rsidRDefault="00D93B9F" w:rsidP="00AD4D40">
            <w:pPr>
              <w:spacing w:after="0" w:line="240" w:lineRule="auto"/>
              <w:jc w:val="center"/>
              <w:rPr>
                <w:rFonts w:eastAsia="Times New Roman" w:cs="Times New Roman"/>
                <w:szCs w:val="24"/>
                <w:lang w:eastAsia="ja-JP"/>
              </w:rPr>
            </w:pPr>
          </w:p>
        </w:tc>
        <w:tc>
          <w:tcPr>
            <w:tcW w:w="0" w:type="auto"/>
            <w:vMerge/>
            <w:vAlign w:val="center"/>
          </w:tcPr>
          <w:p w14:paraId="00F7D37F"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shd w:val="clear" w:color="auto" w:fill="auto"/>
            <w:noWrap/>
            <w:vAlign w:val="center"/>
            <w:hideMark/>
          </w:tcPr>
          <w:p w14:paraId="3E7967A2"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1.0254</w:t>
            </w:r>
          </w:p>
        </w:tc>
        <w:tc>
          <w:tcPr>
            <w:tcW w:w="0" w:type="auto"/>
            <w:shd w:val="clear" w:color="auto" w:fill="auto"/>
            <w:noWrap/>
            <w:vAlign w:val="center"/>
            <w:hideMark/>
          </w:tcPr>
          <w:p w14:paraId="52898A0B"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3</w:t>
            </w:r>
          </w:p>
        </w:tc>
        <w:tc>
          <w:tcPr>
            <w:tcW w:w="0" w:type="auto"/>
            <w:shd w:val="clear" w:color="auto" w:fill="auto"/>
            <w:noWrap/>
            <w:vAlign w:val="center"/>
            <w:hideMark/>
          </w:tcPr>
          <w:p w14:paraId="0181A549"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4.2020</w:t>
            </w:r>
          </w:p>
        </w:tc>
      </w:tr>
      <w:tr w:rsidR="00D93B9F" w:rsidRPr="004C1D0F" w14:paraId="2D17E2FB" w14:textId="77777777" w:rsidTr="00B60657">
        <w:trPr>
          <w:trHeight w:val="307"/>
          <w:jc w:val="center"/>
        </w:trPr>
        <w:tc>
          <w:tcPr>
            <w:tcW w:w="0" w:type="auto"/>
            <w:vMerge/>
            <w:shd w:val="clear" w:color="auto" w:fill="auto"/>
            <w:noWrap/>
            <w:vAlign w:val="center"/>
            <w:hideMark/>
          </w:tcPr>
          <w:p w14:paraId="273D0993"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1BCD1BF5" w14:textId="77777777" w:rsidR="00D93B9F" w:rsidRPr="004C1D0F" w:rsidRDefault="00D93B9F" w:rsidP="00AD4D40">
            <w:pPr>
              <w:spacing w:after="0" w:line="240" w:lineRule="auto"/>
              <w:jc w:val="center"/>
              <w:rPr>
                <w:rFonts w:eastAsia="Times New Roman" w:cs="Times New Roman"/>
                <w:szCs w:val="24"/>
                <w:lang w:eastAsia="ja-JP"/>
              </w:rPr>
            </w:pPr>
          </w:p>
        </w:tc>
        <w:tc>
          <w:tcPr>
            <w:tcW w:w="0" w:type="auto"/>
            <w:vMerge/>
            <w:shd w:val="clear" w:color="auto" w:fill="auto"/>
            <w:noWrap/>
            <w:vAlign w:val="center"/>
            <w:hideMark/>
          </w:tcPr>
          <w:p w14:paraId="6BA507AB" w14:textId="6D2411D5" w:rsidR="00D93B9F" w:rsidRPr="004C1D0F" w:rsidRDefault="00D93B9F" w:rsidP="00AD4D40">
            <w:pPr>
              <w:spacing w:after="0" w:line="240" w:lineRule="auto"/>
              <w:jc w:val="center"/>
              <w:rPr>
                <w:rFonts w:eastAsia="Times New Roman" w:cs="Times New Roman"/>
                <w:szCs w:val="24"/>
                <w:lang w:eastAsia="ja-JP"/>
              </w:rPr>
            </w:pPr>
          </w:p>
        </w:tc>
        <w:tc>
          <w:tcPr>
            <w:tcW w:w="0" w:type="auto"/>
            <w:vMerge/>
            <w:vAlign w:val="center"/>
          </w:tcPr>
          <w:p w14:paraId="35241EF6"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shd w:val="clear" w:color="auto" w:fill="auto"/>
            <w:noWrap/>
            <w:vAlign w:val="center"/>
            <w:hideMark/>
          </w:tcPr>
          <w:p w14:paraId="45C49650"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1.5381</w:t>
            </w:r>
          </w:p>
        </w:tc>
        <w:tc>
          <w:tcPr>
            <w:tcW w:w="0" w:type="auto"/>
            <w:shd w:val="clear" w:color="auto" w:fill="auto"/>
            <w:noWrap/>
            <w:vAlign w:val="center"/>
            <w:hideMark/>
          </w:tcPr>
          <w:p w14:paraId="21C757D3"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4.5</w:t>
            </w:r>
          </w:p>
        </w:tc>
        <w:tc>
          <w:tcPr>
            <w:tcW w:w="0" w:type="auto"/>
            <w:shd w:val="clear" w:color="auto" w:fill="auto"/>
            <w:noWrap/>
            <w:vAlign w:val="center"/>
            <w:hideMark/>
          </w:tcPr>
          <w:p w14:paraId="77810E8B"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3.4310</w:t>
            </w:r>
          </w:p>
        </w:tc>
      </w:tr>
      <w:tr w:rsidR="00D93B9F" w:rsidRPr="004C1D0F" w14:paraId="6FF6F1D2" w14:textId="77777777" w:rsidTr="00B60657">
        <w:trPr>
          <w:trHeight w:val="307"/>
          <w:jc w:val="center"/>
        </w:trPr>
        <w:tc>
          <w:tcPr>
            <w:tcW w:w="0" w:type="auto"/>
            <w:vMerge/>
            <w:shd w:val="clear" w:color="auto" w:fill="auto"/>
            <w:noWrap/>
            <w:vAlign w:val="center"/>
            <w:hideMark/>
          </w:tcPr>
          <w:p w14:paraId="221A5FAE"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570F2EF2" w14:textId="77777777" w:rsidR="00D93B9F" w:rsidRPr="004C1D0F" w:rsidRDefault="00D93B9F" w:rsidP="00AD4D40">
            <w:pPr>
              <w:spacing w:after="0" w:line="240" w:lineRule="auto"/>
              <w:jc w:val="center"/>
              <w:rPr>
                <w:rFonts w:eastAsia="Times New Roman" w:cs="Times New Roman"/>
                <w:szCs w:val="24"/>
                <w:lang w:eastAsia="ja-JP"/>
              </w:rPr>
            </w:pPr>
          </w:p>
        </w:tc>
        <w:tc>
          <w:tcPr>
            <w:tcW w:w="0" w:type="auto"/>
            <w:vMerge/>
            <w:shd w:val="clear" w:color="auto" w:fill="auto"/>
            <w:noWrap/>
            <w:vAlign w:val="center"/>
            <w:hideMark/>
          </w:tcPr>
          <w:p w14:paraId="68D56436" w14:textId="6F9C37A2" w:rsidR="00D93B9F" w:rsidRPr="004C1D0F" w:rsidRDefault="00D93B9F" w:rsidP="00AD4D40">
            <w:pPr>
              <w:spacing w:after="0" w:line="240" w:lineRule="auto"/>
              <w:jc w:val="center"/>
              <w:rPr>
                <w:rFonts w:eastAsia="Times New Roman" w:cs="Times New Roman"/>
                <w:szCs w:val="24"/>
                <w:lang w:eastAsia="ja-JP"/>
              </w:rPr>
            </w:pPr>
          </w:p>
        </w:tc>
        <w:tc>
          <w:tcPr>
            <w:tcW w:w="0" w:type="auto"/>
            <w:vMerge/>
            <w:vAlign w:val="center"/>
          </w:tcPr>
          <w:p w14:paraId="5D7248D4"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shd w:val="clear" w:color="auto" w:fill="auto"/>
            <w:noWrap/>
            <w:vAlign w:val="center"/>
            <w:hideMark/>
          </w:tcPr>
          <w:p w14:paraId="0460C55C"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2.0508</w:t>
            </w:r>
          </w:p>
        </w:tc>
        <w:tc>
          <w:tcPr>
            <w:tcW w:w="0" w:type="auto"/>
            <w:shd w:val="clear" w:color="auto" w:fill="auto"/>
            <w:noWrap/>
            <w:vAlign w:val="center"/>
            <w:hideMark/>
          </w:tcPr>
          <w:p w14:paraId="0F8013D2"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6</w:t>
            </w:r>
          </w:p>
        </w:tc>
        <w:tc>
          <w:tcPr>
            <w:tcW w:w="0" w:type="auto"/>
            <w:shd w:val="clear" w:color="auto" w:fill="auto"/>
            <w:noWrap/>
            <w:vAlign w:val="center"/>
            <w:hideMark/>
          </w:tcPr>
          <w:p w14:paraId="3F851803"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2.9713</w:t>
            </w:r>
          </w:p>
        </w:tc>
      </w:tr>
      <w:tr w:rsidR="00D93B9F" w:rsidRPr="004C1D0F" w14:paraId="52D66B33" w14:textId="77777777" w:rsidTr="00B60657">
        <w:trPr>
          <w:trHeight w:val="307"/>
          <w:jc w:val="center"/>
        </w:trPr>
        <w:tc>
          <w:tcPr>
            <w:tcW w:w="0" w:type="auto"/>
            <w:vMerge/>
            <w:shd w:val="clear" w:color="auto" w:fill="auto"/>
            <w:noWrap/>
            <w:vAlign w:val="center"/>
            <w:hideMark/>
          </w:tcPr>
          <w:p w14:paraId="18D9A7B3"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55EC16C6" w14:textId="77777777" w:rsidR="00D93B9F" w:rsidRPr="004C1D0F" w:rsidRDefault="00D93B9F" w:rsidP="00AD4D40">
            <w:pPr>
              <w:spacing w:after="0" w:line="240" w:lineRule="auto"/>
              <w:jc w:val="center"/>
              <w:rPr>
                <w:rFonts w:eastAsia="Times New Roman" w:cs="Times New Roman"/>
                <w:szCs w:val="24"/>
                <w:lang w:eastAsia="ja-JP"/>
              </w:rPr>
            </w:pPr>
          </w:p>
        </w:tc>
        <w:tc>
          <w:tcPr>
            <w:tcW w:w="0" w:type="auto"/>
            <w:vMerge/>
            <w:shd w:val="clear" w:color="auto" w:fill="auto"/>
            <w:noWrap/>
            <w:vAlign w:val="center"/>
            <w:hideMark/>
          </w:tcPr>
          <w:p w14:paraId="7103407C" w14:textId="459A9251" w:rsidR="00D93B9F" w:rsidRPr="004C1D0F" w:rsidRDefault="00D93B9F" w:rsidP="00AD4D40">
            <w:pPr>
              <w:spacing w:after="0" w:line="240" w:lineRule="auto"/>
              <w:jc w:val="center"/>
              <w:rPr>
                <w:rFonts w:eastAsia="Times New Roman" w:cs="Times New Roman"/>
                <w:szCs w:val="24"/>
                <w:lang w:eastAsia="ja-JP"/>
              </w:rPr>
            </w:pPr>
          </w:p>
        </w:tc>
        <w:tc>
          <w:tcPr>
            <w:tcW w:w="0" w:type="auto"/>
            <w:vMerge/>
            <w:vAlign w:val="center"/>
          </w:tcPr>
          <w:p w14:paraId="24CDD9AC"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shd w:val="clear" w:color="auto" w:fill="auto"/>
            <w:noWrap/>
            <w:vAlign w:val="center"/>
            <w:hideMark/>
          </w:tcPr>
          <w:p w14:paraId="08246272"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2.5635</w:t>
            </w:r>
          </w:p>
        </w:tc>
        <w:tc>
          <w:tcPr>
            <w:tcW w:w="0" w:type="auto"/>
            <w:shd w:val="clear" w:color="auto" w:fill="auto"/>
            <w:noWrap/>
            <w:vAlign w:val="center"/>
            <w:hideMark/>
          </w:tcPr>
          <w:p w14:paraId="76E16369"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7.5</w:t>
            </w:r>
          </w:p>
        </w:tc>
        <w:tc>
          <w:tcPr>
            <w:tcW w:w="0" w:type="auto"/>
            <w:shd w:val="clear" w:color="auto" w:fill="auto"/>
            <w:noWrap/>
            <w:vAlign w:val="center"/>
            <w:hideMark/>
          </w:tcPr>
          <w:p w14:paraId="3FAFB598"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2.6576</w:t>
            </w:r>
          </w:p>
        </w:tc>
      </w:tr>
      <w:tr w:rsidR="00D93B9F" w:rsidRPr="004C1D0F" w14:paraId="6E1A7B10" w14:textId="77777777" w:rsidTr="00B60657">
        <w:trPr>
          <w:trHeight w:val="307"/>
          <w:jc w:val="center"/>
        </w:trPr>
        <w:tc>
          <w:tcPr>
            <w:tcW w:w="0" w:type="auto"/>
            <w:vMerge/>
            <w:shd w:val="clear" w:color="auto" w:fill="auto"/>
            <w:noWrap/>
            <w:vAlign w:val="center"/>
            <w:hideMark/>
          </w:tcPr>
          <w:p w14:paraId="284C1450"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0380BEAD" w14:textId="77777777" w:rsidR="00D93B9F" w:rsidRPr="004C1D0F" w:rsidRDefault="00D93B9F" w:rsidP="00AD4D40">
            <w:pPr>
              <w:spacing w:after="0" w:line="240" w:lineRule="auto"/>
              <w:jc w:val="center"/>
              <w:rPr>
                <w:rFonts w:eastAsia="Times New Roman" w:cs="Times New Roman"/>
                <w:szCs w:val="24"/>
                <w:lang w:eastAsia="ja-JP"/>
              </w:rPr>
            </w:pPr>
          </w:p>
        </w:tc>
        <w:tc>
          <w:tcPr>
            <w:tcW w:w="0" w:type="auto"/>
            <w:vMerge/>
            <w:shd w:val="clear" w:color="auto" w:fill="auto"/>
            <w:noWrap/>
            <w:vAlign w:val="center"/>
            <w:hideMark/>
          </w:tcPr>
          <w:p w14:paraId="09B416A2" w14:textId="413759E7" w:rsidR="00D93B9F" w:rsidRPr="004C1D0F" w:rsidRDefault="00D93B9F" w:rsidP="00AD4D40">
            <w:pPr>
              <w:spacing w:after="0" w:line="240" w:lineRule="auto"/>
              <w:jc w:val="center"/>
              <w:rPr>
                <w:rFonts w:eastAsia="Times New Roman" w:cs="Times New Roman"/>
                <w:szCs w:val="24"/>
                <w:lang w:eastAsia="ja-JP"/>
              </w:rPr>
            </w:pPr>
          </w:p>
        </w:tc>
        <w:tc>
          <w:tcPr>
            <w:tcW w:w="0" w:type="auto"/>
            <w:vMerge/>
            <w:vAlign w:val="center"/>
          </w:tcPr>
          <w:p w14:paraId="5CD508F6"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shd w:val="clear" w:color="auto" w:fill="auto"/>
            <w:noWrap/>
            <w:vAlign w:val="center"/>
            <w:hideMark/>
          </w:tcPr>
          <w:p w14:paraId="73C5A379"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3.0762</w:t>
            </w:r>
          </w:p>
        </w:tc>
        <w:tc>
          <w:tcPr>
            <w:tcW w:w="0" w:type="auto"/>
            <w:shd w:val="clear" w:color="auto" w:fill="auto"/>
            <w:noWrap/>
            <w:vAlign w:val="center"/>
            <w:hideMark/>
          </w:tcPr>
          <w:p w14:paraId="001D5E8F"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9</w:t>
            </w:r>
          </w:p>
        </w:tc>
        <w:tc>
          <w:tcPr>
            <w:tcW w:w="0" w:type="auto"/>
            <w:shd w:val="clear" w:color="auto" w:fill="auto"/>
            <w:noWrap/>
            <w:vAlign w:val="center"/>
            <w:hideMark/>
          </w:tcPr>
          <w:p w14:paraId="01C14255"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2.4260</w:t>
            </w:r>
          </w:p>
        </w:tc>
      </w:tr>
      <w:tr w:rsidR="00D93B9F" w:rsidRPr="004C1D0F" w14:paraId="7BB44FC2" w14:textId="77777777" w:rsidTr="00B60657">
        <w:trPr>
          <w:trHeight w:val="307"/>
          <w:jc w:val="center"/>
        </w:trPr>
        <w:tc>
          <w:tcPr>
            <w:tcW w:w="0" w:type="auto"/>
            <w:vMerge/>
            <w:shd w:val="clear" w:color="auto" w:fill="auto"/>
            <w:noWrap/>
            <w:vAlign w:val="center"/>
            <w:hideMark/>
          </w:tcPr>
          <w:p w14:paraId="7B79EF3E"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vMerge/>
          </w:tcPr>
          <w:p w14:paraId="1A023D95" w14:textId="77777777" w:rsidR="00D93B9F" w:rsidRPr="004C1D0F" w:rsidRDefault="00D93B9F" w:rsidP="00AD4D40">
            <w:pPr>
              <w:spacing w:after="0" w:line="240" w:lineRule="auto"/>
              <w:jc w:val="center"/>
              <w:rPr>
                <w:rFonts w:eastAsia="Times New Roman" w:cs="Times New Roman"/>
                <w:szCs w:val="24"/>
                <w:lang w:eastAsia="ja-JP"/>
              </w:rPr>
            </w:pPr>
          </w:p>
        </w:tc>
        <w:tc>
          <w:tcPr>
            <w:tcW w:w="0" w:type="auto"/>
            <w:vMerge/>
            <w:shd w:val="clear" w:color="auto" w:fill="auto"/>
            <w:noWrap/>
            <w:vAlign w:val="center"/>
            <w:hideMark/>
          </w:tcPr>
          <w:p w14:paraId="0FDC15DD" w14:textId="7783E557" w:rsidR="00D93B9F" w:rsidRPr="004C1D0F" w:rsidRDefault="00D93B9F" w:rsidP="00AD4D40">
            <w:pPr>
              <w:spacing w:after="0" w:line="240" w:lineRule="auto"/>
              <w:jc w:val="center"/>
              <w:rPr>
                <w:rFonts w:eastAsia="Times New Roman" w:cs="Times New Roman"/>
                <w:szCs w:val="24"/>
                <w:lang w:eastAsia="ja-JP"/>
              </w:rPr>
            </w:pPr>
          </w:p>
        </w:tc>
        <w:tc>
          <w:tcPr>
            <w:tcW w:w="0" w:type="auto"/>
            <w:vMerge/>
            <w:vAlign w:val="center"/>
          </w:tcPr>
          <w:p w14:paraId="093F67FA" w14:textId="77777777" w:rsidR="00D93B9F" w:rsidRPr="004C1D0F" w:rsidRDefault="00D93B9F" w:rsidP="00AD4D40">
            <w:pPr>
              <w:spacing w:after="0" w:line="240" w:lineRule="auto"/>
              <w:jc w:val="center"/>
              <w:rPr>
                <w:rFonts w:eastAsia="Times New Roman" w:cs="Times New Roman"/>
                <w:color w:val="404040"/>
                <w:szCs w:val="24"/>
                <w:lang w:eastAsia="ja-JP"/>
              </w:rPr>
            </w:pPr>
          </w:p>
        </w:tc>
        <w:tc>
          <w:tcPr>
            <w:tcW w:w="0" w:type="auto"/>
            <w:shd w:val="clear" w:color="auto" w:fill="auto"/>
            <w:noWrap/>
            <w:vAlign w:val="center"/>
            <w:hideMark/>
          </w:tcPr>
          <w:p w14:paraId="60848722"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3.5889</w:t>
            </w:r>
          </w:p>
        </w:tc>
        <w:tc>
          <w:tcPr>
            <w:tcW w:w="0" w:type="auto"/>
            <w:shd w:val="clear" w:color="auto" w:fill="auto"/>
            <w:noWrap/>
            <w:vAlign w:val="center"/>
            <w:hideMark/>
          </w:tcPr>
          <w:p w14:paraId="57410EB9"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10.5</w:t>
            </w:r>
          </w:p>
        </w:tc>
        <w:tc>
          <w:tcPr>
            <w:tcW w:w="0" w:type="auto"/>
            <w:shd w:val="clear" w:color="auto" w:fill="auto"/>
            <w:noWrap/>
            <w:vAlign w:val="center"/>
            <w:hideMark/>
          </w:tcPr>
          <w:p w14:paraId="75DEB435" w14:textId="77777777" w:rsidR="00D93B9F" w:rsidRPr="004C1D0F" w:rsidRDefault="00D93B9F" w:rsidP="00AD4D40">
            <w:pPr>
              <w:spacing w:after="0" w:line="240" w:lineRule="auto"/>
              <w:jc w:val="center"/>
              <w:rPr>
                <w:rFonts w:eastAsia="Times New Roman" w:cs="Times New Roman"/>
                <w:color w:val="404040"/>
                <w:szCs w:val="24"/>
                <w:lang w:eastAsia="ja-JP"/>
              </w:rPr>
            </w:pPr>
            <w:r w:rsidRPr="004C1D0F">
              <w:rPr>
                <w:rFonts w:eastAsia="Times New Roman" w:cs="Times New Roman"/>
                <w:color w:val="404040"/>
                <w:szCs w:val="24"/>
                <w:lang w:eastAsia="ja-JP"/>
              </w:rPr>
              <w:t>2.2461</w:t>
            </w:r>
          </w:p>
        </w:tc>
      </w:tr>
    </w:tbl>
    <w:p w14:paraId="46FCEEFB" w14:textId="77777777" w:rsidR="003C6E9B" w:rsidRDefault="003C6E9B" w:rsidP="00DA363D">
      <w:pPr>
        <w:sectPr w:rsidR="003C6E9B" w:rsidSect="00D5563D">
          <w:pgSz w:w="16838" w:h="11906" w:orient="landscape"/>
          <w:pgMar w:top="720" w:right="720" w:bottom="720" w:left="720" w:header="708" w:footer="708" w:gutter="0"/>
          <w:cols w:space="708"/>
          <w:docGrid w:linePitch="360"/>
        </w:sectPr>
      </w:pPr>
    </w:p>
    <w:p w14:paraId="174967AB" w14:textId="12F393B0" w:rsidR="003C6E9B" w:rsidRDefault="000E157A" w:rsidP="00A67380">
      <w:pPr>
        <w:jc w:val="center"/>
      </w:pPr>
      <w:r>
        <w:rPr>
          <w:noProof/>
        </w:rPr>
        <w:lastRenderedPageBreak/>
        <w:drawing>
          <wp:inline distT="0" distB="0" distL="0" distR="0" wp14:anchorId="368551AD" wp14:editId="6536971F">
            <wp:extent cx="5731510" cy="2759075"/>
            <wp:effectExtent l="0" t="0" r="2540" b="317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759075"/>
                    </a:xfrm>
                    <a:prstGeom prst="rect">
                      <a:avLst/>
                    </a:prstGeom>
                    <a:noFill/>
                    <a:ln>
                      <a:noFill/>
                    </a:ln>
                  </pic:spPr>
                </pic:pic>
              </a:graphicData>
            </a:graphic>
          </wp:inline>
        </w:drawing>
      </w:r>
    </w:p>
    <w:p w14:paraId="66E73A44" w14:textId="4F714FB9" w:rsidR="00A67380" w:rsidRDefault="00A67380" w:rsidP="00A67380">
      <w:pPr>
        <w:pStyle w:val="Caption"/>
      </w:pPr>
      <w:bookmarkStart w:id="3" w:name="_Ref107928261"/>
      <w:r>
        <w:t xml:space="preserve">Figure </w:t>
      </w:r>
      <w:r>
        <w:fldChar w:fldCharType="begin"/>
      </w:r>
      <w:r>
        <w:instrText>SEQ Figure \* ARABIC</w:instrText>
      </w:r>
      <w:r>
        <w:fldChar w:fldCharType="separate"/>
      </w:r>
      <w:r w:rsidR="00363A7B">
        <w:rPr>
          <w:noProof/>
        </w:rPr>
        <w:t>2</w:t>
      </w:r>
      <w:r>
        <w:fldChar w:fldCharType="end"/>
      </w:r>
      <w:bookmarkEnd w:id="3"/>
      <w:r>
        <w:t>. Diagram of the set up used.</w:t>
      </w:r>
    </w:p>
    <w:p w14:paraId="06B9EF0C" w14:textId="29FC86DA" w:rsidR="00D8014E" w:rsidRDefault="00815EE4" w:rsidP="00815EE4">
      <w:pPr>
        <w:pStyle w:val="Heading1"/>
      </w:pPr>
      <w:r>
        <w:t>Numerical set up</w:t>
      </w:r>
    </w:p>
    <w:p w14:paraId="1C91518E" w14:textId="612203C5" w:rsidR="00815EE4" w:rsidRPr="00815EE4" w:rsidRDefault="004367C3" w:rsidP="00C035C8">
      <w:pPr>
        <w:jc w:val="both"/>
      </w:pPr>
      <w:r>
        <w:t xml:space="preserve">The commercially available Reynolds Averaged Navier-Stokes solver, Star-CCM+ was used to conduct all numerical modelling. The solver </w:t>
      </w:r>
      <w:r w:rsidR="008D319D">
        <w:t>uses</w:t>
      </w:r>
      <w:r w:rsidR="008D319D" w:rsidRPr="008D319D">
        <w:t xml:space="preserve"> the finite volume method</w:t>
      </w:r>
      <w:r w:rsidR="008D319D">
        <w:t xml:space="preserve"> </w:t>
      </w:r>
      <w:r w:rsidR="008D319D" w:rsidRPr="008D319D">
        <w:t xml:space="preserve">to discretise </w:t>
      </w:r>
      <w:r w:rsidR="008D319D">
        <w:t xml:space="preserve">the governing </w:t>
      </w:r>
      <w:r w:rsidR="008D319D" w:rsidRPr="008D319D">
        <w:t>equation</w:t>
      </w:r>
      <w:r w:rsidR="008D319D">
        <w:t xml:space="preserve">s </w:t>
      </w:r>
      <w:r w:rsidR="00C035C8">
        <w:t xml:space="preserve">into a finite number of adjoining control volumes. </w:t>
      </w:r>
    </w:p>
    <w:p w14:paraId="76419BD3" w14:textId="2557ADDD" w:rsidR="00D8014E" w:rsidRDefault="00426B67" w:rsidP="00426B67">
      <w:pPr>
        <w:pStyle w:val="Heading2"/>
      </w:pPr>
      <w:r>
        <w:t>Physics modelling</w:t>
      </w:r>
    </w:p>
    <w:p w14:paraId="3D906CF1" w14:textId="27B6DD4C" w:rsidR="00893699" w:rsidRDefault="00893699" w:rsidP="00396212">
      <w:pPr>
        <w:jc w:val="both"/>
      </w:pPr>
      <w:r w:rsidRPr="00893699">
        <w:t xml:space="preserve">The turbulence model selected for the simulation was the standard </w:t>
      </w:r>
      <w:r w:rsidRPr="00893699">
        <w:rPr>
          <w:i/>
          <w:iCs/>
        </w:rPr>
        <w:t>k-</w:t>
      </w:r>
      <w:r>
        <w:rPr>
          <w:i/>
          <w:iCs/>
          <w:lang w:val="el-GR"/>
        </w:rPr>
        <w:t>ω</w:t>
      </w:r>
      <w:r w:rsidRPr="00893699">
        <w:rPr>
          <w:i/>
          <w:iCs/>
        </w:rPr>
        <w:t xml:space="preserve"> </w:t>
      </w:r>
      <w:r w:rsidRPr="00893699">
        <w:t>model</w:t>
      </w:r>
      <w:r w:rsidR="00396212">
        <w:t xml:space="preserve"> </w:t>
      </w:r>
      <w:r>
        <w:fldChar w:fldCharType="begin" w:fldLock="1"/>
      </w:r>
      <w:r w:rsidR="00B630D0">
        <w:instrText>ADDIN CSL_CITATION {"citationItems":[{"id":"ITEM-1","itemData":{"DOI":"10.2514/1.36541","ISSN":"0001-1452","abstract":"This paper presents a reformulated version of the author’s k-!model of turbulence. Revisions include the addition of just one new closure coefficient and an adjustment to the dependence of eddy viscosity on turbulence properties. The result is a significantly improved model that applies to both boundary layers and free shear flows and that has very little sensitivity to finite freestream boundary conditions on turbulence properties. The improvements to the k-! model facilitate a significant expansion of its range of applicability. The new model, like preceding versions, provides accurate solutions for mildly separated flows and simple geometries such as that of a backward-facing step. The model’s improvement over earlier versions lies in its accuracy for even more complicated separated flows. This paper demonstrates the enhanced capability for supersonic flow into compression corners and a hypersonic shock-wave/ boundary-layer interaction. The excellent agreement is achieved without introducing any compressibility modifications to the turbulence model.","author":[{"dropping-particle":"","family":"Wilcox","given":"D. C.","non-dropping-particle":"","parse-names":false,"suffix":""}],"container-title":"AIAA Journal","id":"ITEM-1","issue":"11","issued":{"date-parts":[["2008"]]},"page":"2823-2838","title":"Formulation of the k-w Turbulence Model Revisited","type":"article-journal","volume":"46"},"uris":["http://www.mendeley.com/documents/?uuid=730a05f9-1c28-47d3-b6a4-2e6df0b173ef"]}],"mendeley":{"formattedCitation":"(Wilcox, 2008)","plainTextFormattedCitation":"(Wilcox, 2008)","previouslyFormattedCitation":"(Wilcox, 2008)"},"properties":{"noteIndex":0},"schema":"https://github.com/citation-style-language/schema/raw/master/csl-citation.json"}</w:instrText>
      </w:r>
      <w:r>
        <w:fldChar w:fldCharType="separate"/>
      </w:r>
      <w:r w:rsidRPr="00893699">
        <w:rPr>
          <w:noProof/>
        </w:rPr>
        <w:t>(Wilcox, 2008)</w:t>
      </w:r>
      <w:r>
        <w:fldChar w:fldCharType="end"/>
      </w:r>
      <w:r w:rsidRPr="00893699">
        <w:t xml:space="preserve">. This was selected for its accuracy for low </w:t>
      </w:r>
      <w:r w:rsidR="00B630D0">
        <w:t xml:space="preserve">as well as </w:t>
      </w:r>
      <w:r w:rsidR="00F36AFF">
        <w:t xml:space="preserve">high </w:t>
      </w:r>
      <w:r w:rsidRPr="00893699">
        <w:t xml:space="preserve">Reynold number flows </w:t>
      </w:r>
      <w:r w:rsidR="00B630D0">
        <w:t xml:space="preserve">and its relative computational economy. </w:t>
      </w:r>
      <w:r w:rsidR="00B630D0">
        <w:fldChar w:fldCharType="begin" w:fldLock="1"/>
      </w:r>
      <w:r w:rsidR="00536FE4">
        <w:instrText>ADDIN CSL_CITATION {"citationItems":[{"id":"ITEM-1","itemData":{"DOI":"10.1080/17445302.2019.1661625","ISSN":"1744-5302","author":[{"dropping-particle":"","family":"Terziev","given":"M.","non-dropping-particle":"","parse-names":false,"suffix":""},{"dropping-particle":"","family":"Tezdogan","given":"T.","non-dropping-particle":"","parse-names":false,"suffix":""},{"dropping-particle":"","family":"Incecik","given":"A.","non-dropping-particle":"","parse-names":false,"suffix":""}],"container-title":"Ships and Offshore Structures","id":"ITEM-1","issued":{"date-parts":[["2019","8","31"]]},"page":"1-24","title":"Application of eddy-viscosity turbulence models to problems in ship hydrodynamics","type":"article-journal"},"uris":["http://www.mendeley.com/documents/?uuid=0aebb9e6-cb12-4e75-9fce-ee461e75b24a"]}],"mendeley":{"formattedCitation":"(Terziev et al., 2019a)","manualFormatting":"Terziev et al. (2019)","plainTextFormattedCitation":"(Terziev et al., 2019a)","previouslyFormattedCitation":"(Terziev et al., 2019a)"},"properties":{"noteIndex":0},"schema":"https://github.com/citation-style-language/schema/raw/master/csl-citation.json"}</w:instrText>
      </w:r>
      <w:r w:rsidR="00B630D0">
        <w:fldChar w:fldCharType="separate"/>
      </w:r>
      <w:r w:rsidR="00B630D0" w:rsidRPr="00B630D0">
        <w:rPr>
          <w:noProof/>
        </w:rPr>
        <w:t xml:space="preserve">Terziev et al. </w:t>
      </w:r>
      <w:r w:rsidR="00B630D0">
        <w:rPr>
          <w:noProof/>
        </w:rPr>
        <w:t>(</w:t>
      </w:r>
      <w:r w:rsidR="00B630D0" w:rsidRPr="00B630D0">
        <w:rPr>
          <w:noProof/>
        </w:rPr>
        <w:t>2019)</w:t>
      </w:r>
      <w:r w:rsidR="00B630D0">
        <w:fldChar w:fldCharType="end"/>
      </w:r>
      <w:r w:rsidR="0012689D">
        <w:t xml:space="preserve"> found the </w:t>
      </w:r>
      <w:r w:rsidR="0012689D" w:rsidRPr="00893699">
        <w:rPr>
          <w:i/>
          <w:iCs/>
        </w:rPr>
        <w:t>k-</w:t>
      </w:r>
      <w:r w:rsidR="0012689D">
        <w:rPr>
          <w:i/>
          <w:iCs/>
          <w:lang w:val="el-GR"/>
        </w:rPr>
        <w:t>ω</w:t>
      </w:r>
      <w:r w:rsidR="0012689D" w:rsidRPr="00893699">
        <w:rPr>
          <w:i/>
          <w:iCs/>
        </w:rPr>
        <w:t xml:space="preserve"> </w:t>
      </w:r>
      <w:r w:rsidR="0012689D" w:rsidRPr="00893699">
        <w:t>model</w:t>
      </w:r>
      <w:r w:rsidR="0012689D">
        <w:t xml:space="preserve"> </w:t>
      </w:r>
      <w:r w:rsidR="000A3463">
        <w:t>requires</w:t>
      </w:r>
      <w:r w:rsidR="0012689D">
        <w:t xml:space="preserve"> the least time per iteration of any two-equation eddy-viscosity turbulence model, making it a suitable choice for the present investigation.</w:t>
      </w:r>
    </w:p>
    <w:p w14:paraId="31099DC8" w14:textId="0986D26B" w:rsidR="00B31C73" w:rsidRDefault="00B31C73" w:rsidP="00396212">
      <w:pPr>
        <w:jc w:val="both"/>
      </w:pPr>
      <w:r>
        <w:t xml:space="preserve">As mentioned in the previous section, the VoF model was used to model the air-water interface and pycnocline. </w:t>
      </w:r>
      <w:r w:rsidR="00E256A5" w:rsidRPr="00E256A5">
        <w:t>For the VOF method to be accurately applied the grid must be fine enough to capture the interface between fluids and the fluids must take up a large portion of the domain relative to their contact area</w:t>
      </w:r>
      <w:r w:rsidR="00E256A5">
        <w:t xml:space="preserve"> </w:t>
      </w:r>
      <w:r w:rsidR="00E256A5">
        <w:fldChar w:fldCharType="begin" w:fldLock="1"/>
      </w:r>
      <w:r w:rsidR="00AA13EB">
        <w:instrText>ADDIN CSL_CITATION {"citationItems":[{"id":"ITEM-1","itemData":{"author":[{"dropping-particle":"","family":"Siemens","given":"","non-dropping-particle":"","parse-names":false,"suffix":""}],"id":"ITEM-1","issued":{"date-parts":[["2018"]]},"title":"Star-CCM+ User Guide version 13.04","type":"article"},"uris":["http://www.mendeley.com/documents/?uuid=1632eece-69d0-4c3f-9ab8-c8843f49c20e"]}],"mendeley":{"formattedCitation":"(Siemens, 2018)","plainTextFormattedCitation":"(Siemens, 2018)","previouslyFormattedCitation":"(Siemens, 2018)"},"properties":{"noteIndex":0},"schema":"https://github.com/citation-style-language/schema/raw/master/csl-citation.json"}</w:instrText>
      </w:r>
      <w:r w:rsidR="00E256A5">
        <w:fldChar w:fldCharType="separate"/>
      </w:r>
      <w:r w:rsidR="00E256A5" w:rsidRPr="00E256A5">
        <w:rPr>
          <w:noProof/>
        </w:rPr>
        <w:t>(Siemens, 2018)</w:t>
      </w:r>
      <w:r w:rsidR="00E256A5">
        <w:fldChar w:fldCharType="end"/>
      </w:r>
      <w:r w:rsidR="00E256A5">
        <w:t>.</w:t>
      </w:r>
      <w:r w:rsidR="007E106B" w:rsidRPr="007E106B">
        <w:t xml:space="preserve"> In addition, the VOF method assumes that the applied governing equations are valid for all present fluids and that all fluids have the same velocity, pressure and temperature</w:t>
      </w:r>
      <w:r w:rsidR="007E106B">
        <w:t xml:space="preserve">. </w:t>
      </w:r>
      <w:r w:rsidR="008A4544" w:rsidRPr="008A4544">
        <w:t xml:space="preserve">The result of this is that the governing equations can be solved for multiple fluids as though they were one, with distinctions between the fluids being accounted for by the differences in their volume fractions and phases. </w:t>
      </w:r>
    </w:p>
    <w:p w14:paraId="73992962" w14:textId="77777777" w:rsidR="00217CD3" w:rsidRDefault="00AA13EB" w:rsidP="00AC1278">
      <w:pPr>
        <w:jc w:val="both"/>
      </w:pPr>
      <w:r w:rsidRPr="00AA13EB">
        <w:t xml:space="preserve">The </w:t>
      </w:r>
      <w:r w:rsidR="009A7B7F">
        <w:t>convective</w:t>
      </w:r>
      <w:r w:rsidRPr="00AA13EB">
        <w:t xml:space="preserve"> term in the Navier-Stokes equations </w:t>
      </w:r>
      <w:r w:rsidR="005B2DFE">
        <w:t>was</w:t>
      </w:r>
      <w:r w:rsidRPr="00AA13EB">
        <w:t xml:space="preserve"> </w:t>
      </w:r>
      <w:r w:rsidR="00437EF0" w:rsidRPr="00AA13EB">
        <w:t>discreti</w:t>
      </w:r>
      <w:r w:rsidR="00437EF0">
        <w:t>s</w:t>
      </w:r>
      <w:r w:rsidR="00437EF0" w:rsidRPr="00AA13EB">
        <w:t xml:space="preserve">ed </w:t>
      </w:r>
      <w:r w:rsidRPr="00AA13EB">
        <w:t>using a second order scheme. This removes the risk of the free surface ’smearing’, which can occur for lower order schemes</w:t>
      </w:r>
      <w:r>
        <w:t xml:space="preserve"> </w:t>
      </w:r>
      <w:r>
        <w:fldChar w:fldCharType="begin" w:fldLock="1"/>
      </w:r>
      <w:r w:rsidR="00E44CF0">
        <w:instrText>ADDIN CSL_CITATION {"citationItems":[{"id":"ITEM-1","itemData":{"DOI":"10.1177/1475090218812956","ISBN":"1475090218","ISSN":"20413084","abstract":"The equations discretization errors are often overlooked compared to the spatial discretization errors. This article presents the results of the influence of various equations discretization schemes in computational fluid dynamics on the prediction of the ship resistance and wave elevation on the hull. For the analysis, steady flow around a model of the Wigley hull is numerically predicted by employing a finite-volume method solver based on Reynolds-averaged Navier?Stokes equations and the volume-of-fluid method. Six momentum discretization schemes, three multi-fluid discretization schemes and three gradient schemes, are used in the analysis. The results show that the choice of discretization schemes has a significant influence on the results of wave elevation and resistance force in the case of the flow around the Wigley hull. In conclusion, second-order discretization schemes should be used for the resistance evaluation, in order to properly capture the non-linear effects.","author":[{"dropping-particle":"","family":"Andrun","given":"Martina","non-dropping-particle":"","parse-names":false,"suffix":""},{"dropping-particle":"","family":"Blagojević","given":"Branko","non-dropping-particle":"","parse-names":false,"suffix":""},{"dropping-particle":"","family":"Bašić","given":"Josip","non-dropping-particle":"","parse-names":false,"suffix":""}],"container-title":"Proceedings of the Institution of Mechanical Engineers Part M: Journal of Engineering for the Maritime Environment","id":"ITEM-1","issued":{"date-parts":[["2018"]]},"title":"The influence of numerical parameters in the finite-volume method on the Wigley hull resistance","type":"article-journal"},"uris":["http://www.mendeley.com/documents/?uuid=00ce6ea5-a266-4898-bedb-4319ded2051e"]}],"mendeley":{"formattedCitation":"(Andrun et al., 2018)","plainTextFormattedCitation":"(Andrun et al., 2018)","previouslyFormattedCitation":"(Andrun et al., 2018)"},"properties":{"noteIndex":0},"schema":"https://github.com/citation-style-language/schema/raw/master/csl-citation.json"}</w:instrText>
      </w:r>
      <w:r>
        <w:fldChar w:fldCharType="separate"/>
      </w:r>
      <w:r w:rsidRPr="00AA13EB">
        <w:rPr>
          <w:noProof/>
        </w:rPr>
        <w:t>(Andrun et al., 2018)</w:t>
      </w:r>
      <w:r>
        <w:fldChar w:fldCharType="end"/>
      </w:r>
      <w:r>
        <w:t xml:space="preserve">. </w:t>
      </w:r>
      <w:r w:rsidR="00AC1278" w:rsidRPr="00AC1278">
        <w:t>In addition, the segregated flow model</w:t>
      </w:r>
    </w:p>
    <w:p w14:paraId="58B4CC43" w14:textId="657FD19C" w:rsidR="004B48F9" w:rsidRPr="00AC1278" w:rsidRDefault="00AC1278" w:rsidP="00AC1278">
      <w:pPr>
        <w:jc w:val="both"/>
      </w:pPr>
      <w:r w:rsidRPr="00AC1278">
        <w:lastRenderedPageBreak/>
        <w:t xml:space="preserve"> was applied in the RANS solver for all simulations</w:t>
      </w:r>
      <w:r w:rsidR="00FF4183">
        <w:t>, solving</w:t>
      </w:r>
      <w:r w:rsidRPr="00AC1278">
        <w:t xml:space="preserve"> the flow in an uncoupled manner. The Semi-Implicit Method for Pressure Linked Equations (SIMPLE) algorithm was then </w:t>
      </w:r>
      <w:r w:rsidR="00437EF0" w:rsidRPr="00AC1278">
        <w:t>utili</w:t>
      </w:r>
      <w:r w:rsidR="00437EF0">
        <w:t>s</w:t>
      </w:r>
      <w:r w:rsidR="00437EF0" w:rsidRPr="00AC1278">
        <w:t xml:space="preserve">ed </w:t>
      </w:r>
      <w:r w:rsidRPr="00AC1278">
        <w:t xml:space="preserve">to find the overall solution procedure. </w:t>
      </w:r>
      <w:r w:rsidR="004B48F9">
        <w:t xml:space="preserve">To replicate the experimental results of </w:t>
      </w:r>
      <w:r w:rsidR="004B48F9">
        <w:fldChar w:fldCharType="begin" w:fldLock="1"/>
      </w:r>
      <w:r w:rsidR="00996311">
        <w:instrText>ADDIN CSL_CITATION {"citationItems":[{"id":"ITEM-1","itemData":{"DOI":"10.1007/s003480100332","ISBN":"07234864 (ISSN)","ISSN":"07234864","abstract":"To document the details of flow characteristics around modern commercial ships, global force, wave pattern, and local mean velocity components were measured in the towing tank. Three modern commercial hull models of a container ship (KRISO container ship = KCS) and of two very large crude-oil carriers (VLCCs) with the same forebody and slightly different afterbody (KVLCC and KVLCC2) having bow and stern bulbs were selected for the test. Uncertainty analysis was performed for the measured data using the procedure recommended by the ITTC. Obtained experimental data will provide a good opportunity to explore integrated flow phenomena around practical hull forms of today. Those can be also used as the validation data for the computational fluid dynamics (CFD) code of both inviscid and viscous flow calculations.","author":[{"dropping-particle":"","family":"Kim","given":"W. J.","non-dropping-particle":"","parse-names":false,"suffix":""},{"dropping-particle":"","family":"Van","given":"S. H.","non-dropping-particle":"","parse-names":false,"suffix":""},{"dropping-particle":"","family":"Kim","given":"D. H.","non-dropping-particle":"","parse-names":false,"suffix":""}],"container-title":"Experiments in Fluids","id":"ITEM-1","issue":"5","issued":{"date-parts":[["2001"]]},"page":"567-578","title":"Measurement of flows around modern commercial ship models","type":"article-journal","volume":"31"},"uris":["http://www.mendeley.com/documents/?uuid=0dc3607f-3866-42b2-ae07-fb6b76eb9001"]}],"mendeley":{"formattedCitation":"(Kim et al., 2001)","manualFormatting":"Kim et al. (2001)","plainTextFormattedCitation":"(Kim et al., 2001)","previouslyFormattedCitation":"(Kim et al., 2001)"},"properties":{"noteIndex":0},"schema":"https://github.com/citation-style-language/schema/raw/master/csl-citation.json"}</w:instrText>
      </w:r>
      <w:r w:rsidR="004B48F9">
        <w:fldChar w:fldCharType="separate"/>
      </w:r>
      <w:r w:rsidR="004B48F9" w:rsidRPr="004B48F9">
        <w:rPr>
          <w:noProof/>
        </w:rPr>
        <w:t xml:space="preserve">Kim et al. </w:t>
      </w:r>
      <w:r w:rsidR="004B48F9">
        <w:rPr>
          <w:noProof/>
        </w:rPr>
        <w:t>(</w:t>
      </w:r>
      <w:r w:rsidR="004B48F9" w:rsidRPr="004B48F9">
        <w:rPr>
          <w:noProof/>
        </w:rPr>
        <w:t>2001)</w:t>
      </w:r>
      <w:r w:rsidR="004B48F9">
        <w:fldChar w:fldCharType="end"/>
      </w:r>
      <w:r w:rsidR="00FE5C89">
        <w:t xml:space="preserve">, the ship </w:t>
      </w:r>
      <w:r w:rsidR="00437EF0">
        <w:t xml:space="preserve">was </w:t>
      </w:r>
      <w:r w:rsidR="00FE5C89">
        <w:t>fixed</w:t>
      </w:r>
      <w:r w:rsidR="002A72A6">
        <w:t>,</w:t>
      </w:r>
      <w:r w:rsidR="00621CBD">
        <w:t xml:space="preserve"> </w:t>
      </w:r>
      <w:r w:rsidR="002A72A6">
        <w:t>i</w:t>
      </w:r>
      <w:r w:rsidR="00621CBD">
        <w:t xml:space="preserve">n other words, </w:t>
      </w:r>
      <w:r w:rsidR="00F23EB1">
        <w:t xml:space="preserve">running sinkage and trim </w:t>
      </w:r>
      <w:r w:rsidR="00437EF0">
        <w:t xml:space="preserve">were </w:t>
      </w:r>
      <w:r w:rsidR="00F23EB1">
        <w:t>not accounted for.</w:t>
      </w:r>
    </w:p>
    <w:p w14:paraId="02DA234D" w14:textId="36EF0D63" w:rsidR="00AA13EB" w:rsidRDefault="000A7E6F" w:rsidP="000A7E6F">
      <w:pPr>
        <w:pStyle w:val="Heading2"/>
      </w:pPr>
      <w:r>
        <w:t>Time step selection</w:t>
      </w:r>
    </w:p>
    <w:p w14:paraId="5EC11810" w14:textId="08A022EB" w:rsidR="000A7E6F" w:rsidRPr="000A7E6F" w:rsidRDefault="00E44CF0" w:rsidP="00E934A6">
      <w:pPr>
        <w:jc w:val="both"/>
      </w:pPr>
      <w:r>
        <w:t xml:space="preserve">The selected time step value follows </w:t>
      </w:r>
      <w:r w:rsidR="00010ECE">
        <w:t xml:space="preserve">previously conducted research by the authors. Specifically, the recommendation of </w:t>
      </w:r>
      <w:r w:rsidR="00010ECE">
        <w:fldChar w:fldCharType="begin" w:fldLock="1"/>
      </w:r>
      <w:r w:rsidR="009E47E2">
        <w:instrText>ADDIN CSL_CITATION {"citationItems":[{"id":"ITEM-1","itemData":{"DOI":"10.1007/s00773-015-0334-1","ISBN":"9788894055719","ISSN":"09484280","abstract":"© 2015, JASNAOE.As a ship approaches shallow water, a number of changes arise owing to the hydrodynamic interaction between the bottom of the ship’s hull and the seafloor. The flow velocity between the bottom of the hull and the seafloor increases, which leads to an increase in sinkage, trim and resistance. As the ship travels forward, squat of the ship may occur, stemming from this increase in sinkage and trim. Knowledge of a ship’s squat is necessary when navigating vessels through shallow water regions, such as rivers, channels and harbours. Accurate prediction of a ship’s squat is therefore essential, to minimize the risk of grounding for ships. Similarly, predicting a ship’s resistance in shallow water is equally important, to be able to calculate its power requirements. The key objective of this study was to perform fully nonlinear unsteady RANS simulations to predict the squat and resistance of a model-scale Duisburg Test Case container ship advancing in a canal. The analyses were carried out in different ship drafts at various speeds, utilizing a commercial CFD software package. The squat results obtained by CFD were then compared with available experimental data.","author":[{"dropping-particle":"","family":"Tezdogan","given":"T.","non-dropping-particle":"","parse-names":false,"suffix":""},{"dropping-particle":"","family":"Incecik","given":"A.","non-dropping-particle":"","parse-names":false,"suffix":""},{"dropping-particle":"","family":"Turan","given":"Osman","non-dropping-particle":"","parse-names":false,"suffix":""}],"container-title":"Journal of Marine Science and Technology (Japan)","id":"ITEM-1","issue":"1","issued":{"date-parts":[["2016"]]},"page":"86-101","publisher":"Springer Japan","title":"A numerical investigation of the squat and resistance of ships advancing through a canal using CFD","type":"article-journal","volume":"21"},"uris":["http://www.mendeley.com/documents/?uuid=6bdea8f4-0654-488a-b71c-6a67d53350d6"]}],"mendeley":{"formattedCitation":"(Tezdogan et al., 2016)","manualFormatting":"Tezdogan et al. (2016)","plainTextFormattedCitation":"(Tezdogan et al., 2016)","previouslyFormattedCitation":"(Tezdogan et al., 2016)"},"properties":{"noteIndex":0},"schema":"https://github.com/citation-style-language/schema/raw/master/csl-citation.json"}</w:instrText>
      </w:r>
      <w:r w:rsidR="00010ECE">
        <w:fldChar w:fldCharType="separate"/>
      </w:r>
      <w:r w:rsidR="00010ECE" w:rsidRPr="00010ECE">
        <w:rPr>
          <w:noProof/>
        </w:rPr>
        <w:t xml:space="preserve">Tezdogan et al. </w:t>
      </w:r>
      <w:r w:rsidR="00010ECE">
        <w:rPr>
          <w:noProof/>
        </w:rPr>
        <w:t>(</w:t>
      </w:r>
      <w:r w:rsidR="00010ECE" w:rsidRPr="00010ECE">
        <w:rPr>
          <w:noProof/>
        </w:rPr>
        <w:t>2016)</w:t>
      </w:r>
      <w:r w:rsidR="00010ECE">
        <w:fldChar w:fldCharType="end"/>
      </w:r>
      <w:r>
        <w:t xml:space="preserve"> </w:t>
      </w:r>
      <w:r w:rsidR="00010ECE">
        <w:t xml:space="preserve">who set the time step as </w:t>
      </w:r>
      <m:oMath>
        <m:r>
          <m:rPr>
            <m:sty m:val="p"/>
          </m:rPr>
          <w:rPr>
            <w:rFonts w:ascii="Cambria Math" w:hAnsi="Cambria Math"/>
          </w:rPr>
          <m:t>Δ</m:t>
        </m:r>
        <m:r>
          <w:rPr>
            <w:rFonts w:ascii="Cambria Math" w:hAnsi="Cambria Math"/>
          </w:rPr>
          <m:t>t=0.0035L/U</m:t>
        </m:r>
      </m:oMath>
      <w:r w:rsidR="00010ECE">
        <w:rPr>
          <w:rFonts w:eastAsiaTheme="minorEastAsia"/>
        </w:rPr>
        <w:t xml:space="preserve"> was used. That recommendation was further </w:t>
      </w:r>
      <w:r w:rsidR="009E47E2">
        <w:rPr>
          <w:rFonts w:eastAsiaTheme="minorEastAsia"/>
        </w:rPr>
        <w:t xml:space="preserve">tested in a variety of conditions and has been shown to deliver sufficiently accurate results </w:t>
      </w:r>
      <w:r w:rsidR="009E47E2">
        <w:rPr>
          <w:rFonts w:eastAsiaTheme="minorEastAsia"/>
        </w:rPr>
        <w:fldChar w:fldCharType="begin" w:fldLock="1"/>
      </w:r>
      <w:r w:rsidR="00A305CF">
        <w:rPr>
          <w:rFonts w:eastAsiaTheme="minorEastAsia"/>
        </w:rPr>
        <w:instrText>ADDIN CSL_CITATION {"citationItems":[{"id":"ITEM-1","itemData":{"DOI":"10.1016/j.apor.2019.101930","author":[{"dropping-particle":"","family":"Terziev","given":"M.","non-dropping-particle":"","parse-names":false,"suffix":""},{"dropping-particle":"","family":"Tezdogan","given":"T.","non-dropping-particle":"","parse-names":false,"suffix":""},{"dropping-particle":"","family":"Incecik","given":"A.","non-dropping-particle":"","parse-names":false,"suffix":""}],"container-title":"Applied Ocean Research","id":"ITEM-1","issue":"March","issued":{"date-parts":[["2019"]]},"title":"A geosim analysis of ship resistance decomposition and scale effects with the aid of CFD","type":"article-journal","volume":"92"},"uris":["http://www.mendeley.com/documents/?uuid=767eedf9-2331-4b05-82c1-eb07c250aa94"]},{"id":"ITEM-2","itemData":{"DOI":"10.1080/17445302.2019.1661625","ISSN":"1744-5302","author":[{"dropping-particle":"","family":"Terziev","given":"M.","non-dropping-particle":"","parse-names":false,"suffix":""},{"dropping-particle":"","family":"Tezdogan","given":"T.","non-dropping-particle":"","parse-names":false,"suffix":""},{"dropping-particle":"","family":"Incecik","given":"A.","non-dropping-particle":"","parse-names":false,"suffix":""}],"container-title":"Ships and Offshore Structures","id":"ITEM-2","issued":{"date-parts":[["2019","8","31"]]},"page":"1-24","title":"Application of eddy-viscosity turbulence models to problems in ship hydrodynamics","type":"article-journal"},"uris":["http://www.mendeley.com/documents/?uuid=0aebb9e6-cb12-4e75-9fce-ee461e75b24a"]},{"id":"ITEM-3","itemData":{"DOI":"10.1016/j.oceaneng.2019.106696","ISSN":"00298018","abstract":"© 2019 Elsevier Ltd In international shipping, there are several waterways that are widely viewed as bottlenecks. Among these is the Suez Canal, where recent expansions have taken place. Although the Suez Canal has a high importance in international shipping, little research has been carried out in maximising the number of ships capable of traversing for a set period of time. The present study aims to examine hydrodynamic phenomena of ships advancing through the Suez Canal in the allowed speed range to determine the relative effects of the canal depth and/or width restrictions on the overall ship sailing performance. A rectangular canal is also included as a reference to gauge the effects of varying canal cross-section. The present study combines experimental, numerical, analytical and empirical methods for a holistic approach in calm water. As a case-study, the KCS hullform is adopted, and analysed experimentally, via Computational Fluid Dynamics, using the slender body theory, and empirical formulae. The results reveal strong coupling between the canal's cross section and all examined parameters.","author":[{"dropping-particle":"","family":"Elsherbiny","given":"K.","non-dropping-particle":"","parse-names":false,"suffix":""},{"dropping-particle":"","family":"Terziev","given":"M.","non-dropping-particle":"","parse-names":false,"suffix":""},{"dropping-particle":"","family":"Tezdogan","given":"T.","non-dropping-particle":"","parse-names":false,"suffix":""},{"dropping-particle":"","family":"Incecik","given":"A.","non-dropping-particle":"","parse-names":false,"suffix":""},{"dropping-particle":"","family":"Kotb","given":"M.","non-dropping-particle":"","parse-names":false,"suffix":""}],"container-title":"Ocean Engineering","id":"ITEM-3","issue":"106696","issued":{"date-parts":[["2020"]]},"title":"Numerical and experimental study on hydrodynamic performance of ships advancing through different canals","type":"article-journal","volume":"195"},"uris":["http://www.mendeley.com/documents/?uuid=ec7964b4-87ae-3f53-ad21-985e52d143b3"]},{"id":"ITEM-4","itemData":{"DOI":"10.1115/OMAE2019-95445","ISBN":"9780791858844","abstract":"Copyright © 2019 ASME. Although there is a significant body of research devoted to the shallow water hydrodynamic aspects of ships, several unexamined topics remain. Among these is that of critical outer flow in a dredged channel and its influence on parameters of interest. While empirical methods can be used with ease to resolve this, they can provide results with reliability sufficient only for an early design stage. On the other hand, more sophisticated potential flow theories are either inapplicable or do not perform well at the critical limit. However, RANS (Reynolds Averaged Navier-Stokes) – based tools can accurately capture all underlying phenomena without relying on limiting assumptions. This paper presents an attempt at comparing some results obtained via a CFD-based RANS solver and the slender body theory for critical outer flow in a dredged channel.","author":[{"dropping-particle":"","family":"Terziev","given":"M.","non-dropping-particle":"","parse-names":false,"suffix":""},{"dropping-particle":"","family":"Tezdogan","given":"T.","non-dropping-particle":"","parse-names":false,"suffix":""},{"dropping-particle":"","family":"Incecik","given":"A.","non-dropping-particle":"","parse-names":false,"suffix":""}],"container-title":"Proceedings of the International Conference on Offshore Mechanics and Arctic Engineering - OMAE","id":"ITEM-4","issued":{"date-parts":[["2019"]]},"title":"Influence of mixed flows on ship hydrodynamics in dredged channels","type":"paper-conference","volume":"7A-2019"},"uris":["http://www.mendeley.com/documents/?uuid=8d5acc16-adf5-3f1c-aadb-4a609b59f67c"]},{"id":"ITEM-5","itemData":{"DOI":"10.1016/j.oceaneng.2021.108972","ISSN":"00298018","abstract":"Restricted waters present several challenges for ship builders and operators. The proximity of the seabed and river or canal banks cause viscous effects to be more pronounced than in unrestricted waters. These effects do not follow a linear scaling law, which is typically assumed in terms of sinkage and trim. Moreover, the resistance of the ship is increased in a complex fashion, which has largely eluded researchers. The present study will aim to elucidate scale effects in shallow water performance predictions. Particular attention is placed on the form factor, wave resistance, and frictional resistance. Scale effects are confirmed in the two former parameters. Justification for the obtained results is sought in terms of flow properties. Specifically, the flow velocity and boundary layer thickness are examined in detail. The selected case-study reflects recent experimental work on the KCS hull form in restricted waters.","author":[{"dropping-particle":"","family":"Terziev","given":"M.","non-dropping-particle":"","parse-names":false,"suffix":""},{"dropping-particle":"","family":"Tezdogan","given":"Tahsin","non-dropping-particle":"","parse-names":false,"suffix":""},{"dropping-particle":"","family":"Incecik","given":"Atilla","non-dropping-particle":"","parse-names":false,"suffix":""}],"container-title":"Ocean Engineering","id":"ITEM-5","issue":"April","issued":{"date-parts":[["2021"]]},"page":"108972","publisher":"Elsevier Ltd","title":"A numerical assessment of the scale effects of a ship advancing through restricted waters","type":"article-journal","volume":"229"},"uris":["http://www.mendeley.com/documents/?uuid=e9e7585d-d4f8-4d8a-be71-54db6743fa49"]},{"id":"ITEM-6","itemData":{"DOI":"10.1080/17445302.2020.1816731","ISSN":"17445302","abstract":"Shallow water studies of ship hydrodynamics typically examine a single, constant underwater canal cross-section at a time. In practice, the underwater cross-sectional area and shape of the waterway is rarely maintained constant over long distances. This study presents an attempt to quantify the effects of an abruptly varying water depth by numerically modelling such a condition using CFD. The results show that waves propagate and refract in the numerical towing tank in a physically consistent manner showing less than 0.1% error in the dissipation of a solitary wave when compared to analytical relations. A strong boundary layer is formed on the canal bottom almost as soon as the ship enters the shallower region. The resistance increase, resulting from the depth change is up to approximately 226% of the initial value near critical speeds.","author":[{"dropping-particle":"","family":"Terziev","given":"M.","non-dropping-particle":"","parse-names":false,"suffix":""},{"dropping-particle":"","family":"Tezdogan","given":"Tahsin","non-dropping-particle":"","parse-names":false,"suffix":""},{"dropping-particle":"","family":"Incecik","given":"Atilla","non-dropping-particle":"","parse-names":false,"suffix":""}],"container-title":"Ships and Offshore Structures","id":"ITEM-6","issued":{"date-parts":[["2020"]]},"publisher":"Taylor &amp; Francis","title":"Modelling the hydrodynamic effect of abrupt water depth changes on a ship travelling in restricted waters using CFD","type":"article-journal"},"uris":["http://www.mendeley.com/documents/?uuid=94f7c82c-32c3-4bb9-9147-b0d7eecb5c9a"]}],"mendeley":{"formattedCitation":"(Elsherbiny et al., 2020; Terziev et al., 2021b, 2020, 2019b, 2019a, 2019c)","plainTextFormattedCitation":"(Elsherbiny et al., 2020; Terziev et al., 2021b, 2020, 2019b, 2019a, 2019c)","previouslyFormattedCitation":"(Elsherbiny et al., 2020; Terziev et al., 2021b, 2020, 2019b, 2019a, 2019c)"},"properties":{"noteIndex":0},"schema":"https://github.com/citation-style-language/schema/raw/master/csl-citation.json"}</w:instrText>
      </w:r>
      <w:r w:rsidR="009E47E2">
        <w:rPr>
          <w:rFonts w:eastAsiaTheme="minorEastAsia"/>
        </w:rPr>
        <w:fldChar w:fldCharType="separate"/>
      </w:r>
      <w:r w:rsidR="00274B69" w:rsidRPr="00274B69">
        <w:rPr>
          <w:rFonts w:eastAsiaTheme="minorEastAsia"/>
          <w:noProof/>
        </w:rPr>
        <w:t>(Elsherbiny et al., 2020; Terziev et al., 2021b, 2020, 2019b, 2019a, 2019c)</w:t>
      </w:r>
      <w:r w:rsidR="009E47E2">
        <w:rPr>
          <w:rFonts w:eastAsiaTheme="minorEastAsia"/>
        </w:rPr>
        <w:fldChar w:fldCharType="end"/>
      </w:r>
      <w:r w:rsidR="009E47E2">
        <w:rPr>
          <w:rFonts w:eastAsiaTheme="minorEastAsia"/>
        </w:rPr>
        <w:t>.</w:t>
      </w:r>
    </w:p>
    <w:p w14:paraId="4A4E9966" w14:textId="5A969B4F" w:rsidR="00036E44" w:rsidRDefault="001B5FD4" w:rsidP="001B5FD4">
      <w:pPr>
        <w:pStyle w:val="Heading2"/>
      </w:pPr>
      <w:r>
        <w:t>Computational domain</w:t>
      </w:r>
    </w:p>
    <w:p w14:paraId="14EAABA9" w14:textId="5415D39B" w:rsidR="001B5FD4" w:rsidRPr="00E80CAA" w:rsidRDefault="001B5FD4" w:rsidP="00E934A6">
      <w:pPr>
        <w:jc w:val="both"/>
      </w:pPr>
      <w:r>
        <w:t xml:space="preserve">The computational domain dimensions and boundary conditions </w:t>
      </w:r>
      <w:r w:rsidR="003B4339">
        <w:t>were</w:t>
      </w:r>
      <w:r>
        <w:t xml:space="preserve"> sele</w:t>
      </w:r>
      <w:r w:rsidR="006E3D80">
        <w:t xml:space="preserve">cted based on recommendations of the </w:t>
      </w:r>
      <w:r w:rsidR="006E3D80">
        <w:fldChar w:fldCharType="begin" w:fldLock="1"/>
      </w:r>
      <w:r w:rsidR="00C868C4">
        <w:instrText>ADDIN CSL_CITATION {"citationItems":[{"id":"ITEM-1","itemData":{"abstract":"These guidelines are written assuming the use of surface capturing methods, the method found in most commercial and academic CFD packages. It also assumes that the solver is grid-based, as opposed to mesh-free methods. We divide the CFD process into pre-processing, computation, and post-processing steps. The pre-processing step involves proper definition of the problem, grid generation and input setup to enable running of the computa-tional code. The computation requires preparing the computer to run the problem, and running. The processing of the results of the computation to provide useful numbers and plots is called post-processing.","author":[{"dropping-particle":"","family":"ITTC","given":"","non-dropping-particle":"","parse-names":false,"suffix":""}],"container-title":"26th International Towing Tank Conference","id":"ITEM-1","issued":{"date-parts":[["2011"]]},"note":"NULL","title":"Recommended Procedures and Guidelines: Practical Guidelines for Ship CFD","type":"article-journal"},"uris":["http://www.mendeley.com/documents/?uuid=7a588800-1b90-40ff-915f-c9e1fc9a928f"]}],"mendeley":{"formattedCitation":"(ITTC, 2011)","plainTextFormattedCitation":"(ITTC, 2011)","previouslyFormattedCitation":"(ITTC, 2011)"},"properties":{"noteIndex":0},"schema":"https://github.com/citation-style-language/schema/raw/master/csl-citation.json"}</w:instrText>
      </w:r>
      <w:r w:rsidR="006E3D80">
        <w:fldChar w:fldCharType="separate"/>
      </w:r>
      <w:r w:rsidR="006E3D80" w:rsidRPr="006E3D80">
        <w:rPr>
          <w:noProof/>
        </w:rPr>
        <w:t>(ITTC, 2011)</w:t>
      </w:r>
      <w:r w:rsidR="006E3D80">
        <w:fldChar w:fldCharType="end"/>
      </w:r>
      <w:r w:rsidR="00363215">
        <w:t xml:space="preserve">. Specifically, the domain inlet is placed </w:t>
      </w:r>
      <w:r w:rsidR="00EE0EBC">
        <w:t xml:space="preserve">1.5 ship lengths upstream of the forward perpendicular, where a velocity inlet boundary condition introduces the three fluids, separated at the predefined </w:t>
      </w:r>
      <w:r w:rsidR="00524607">
        <w:t>location</w:t>
      </w:r>
      <w:r w:rsidR="005D0DF9">
        <w:t xml:space="preserve">s and with a speed equal but opposite that of the </w:t>
      </w:r>
      <w:r w:rsidR="00C2249A">
        <w:t>target ship spee</w:t>
      </w:r>
      <w:r w:rsidR="006A4149">
        <w:t xml:space="preserve">d as shown in </w:t>
      </w:r>
      <w:r w:rsidR="006A4149">
        <w:fldChar w:fldCharType="begin"/>
      </w:r>
      <w:r w:rsidR="006A4149">
        <w:instrText xml:space="preserve"> REF _Ref107927333 \h </w:instrText>
      </w:r>
      <w:r w:rsidR="006A4149">
        <w:fldChar w:fldCharType="separate"/>
      </w:r>
      <w:r w:rsidR="00363A7B">
        <w:t xml:space="preserve">Table </w:t>
      </w:r>
      <w:r w:rsidR="00363A7B">
        <w:rPr>
          <w:noProof/>
        </w:rPr>
        <w:t>2</w:t>
      </w:r>
      <w:r w:rsidR="006A4149">
        <w:fldChar w:fldCharType="end"/>
      </w:r>
      <w:r w:rsidR="006A4149">
        <w:t xml:space="preserve">. Air </w:t>
      </w:r>
      <w:r w:rsidR="003B4339">
        <w:t>was</w:t>
      </w:r>
      <w:r w:rsidR="006A4149">
        <w:t xml:space="preserve"> introduced </w:t>
      </w:r>
      <w:r w:rsidR="00CF4810">
        <w:t xml:space="preserve">between </w:t>
      </w:r>
      <m:oMath>
        <m:r>
          <w:rPr>
            <w:rFonts w:ascii="Cambria Math" w:hAnsi="Cambria Math"/>
          </w:rPr>
          <m:t>z=0</m:t>
        </m:r>
      </m:oMath>
      <w:r w:rsidR="00E80CAA">
        <w:rPr>
          <w:rFonts w:eastAsiaTheme="minorEastAsia"/>
        </w:rPr>
        <w:t xml:space="preserve"> where the air-water interface is located, and the domain top.</w:t>
      </w:r>
      <w:r w:rsidR="00F1455B">
        <w:rPr>
          <w:rFonts w:eastAsiaTheme="minorEastAsia"/>
        </w:rPr>
        <w:t xml:space="preserve"> Fresh water </w:t>
      </w:r>
      <w:r w:rsidR="003B4339">
        <w:rPr>
          <w:rFonts w:eastAsiaTheme="minorEastAsia"/>
        </w:rPr>
        <w:t>was</w:t>
      </w:r>
      <w:r w:rsidR="00F1455B">
        <w:rPr>
          <w:rFonts w:eastAsiaTheme="minorEastAsia"/>
        </w:rPr>
        <w:t xml:space="preserve"> introduced between </w:t>
      </w:r>
      <m:oMath>
        <m:r>
          <w:rPr>
            <w:rFonts w:ascii="Cambria Math" w:eastAsiaTheme="minorEastAsia" w:hAnsi="Cambria Math"/>
          </w:rPr>
          <m:t>z=0</m:t>
        </m:r>
      </m:oMath>
      <w:r w:rsidR="00F1455B">
        <w:rPr>
          <w:rFonts w:eastAsiaTheme="minorEastAsia"/>
        </w:rPr>
        <w:t xml:space="preserve"> and </w:t>
      </w:r>
      <m:oMath>
        <m:r>
          <w:rPr>
            <w:rFonts w:ascii="Cambria Math" w:eastAsiaTheme="minorEastAsia" w:hAnsi="Cambria Math"/>
          </w:rPr>
          <m:t>z=-h</m:t>
        </m:r>
      </m:oMath>
      <w:r w:rsidR="00F1455B">
        <w:rPr>
          <w:rFonts w:eastAsiaTheme="minorEastAsia"/>
        </w:rPr>
        <w:t xml:space="preserve">, while </w:t>
      </w:r>
      <w:r w:rsidR="00075998">
        <w:rPr>
          <w:rFonts w:eastAsiaTheme="minorEastAsia"/>
        </w:rPr>
        <w:t xml:space="preserve">the space </w:t>
      </w:r>
      <w:r w:rsidR="00F1455B">
        <w:rPr>
          <w:rFonts w:eastAsiaTheme="minorEastAsia"/>
        </w:rPr>
        <w:t xml:space="preserve">below </w:t>
      </w:r>
      <m:oMath>
        <m:r>
          <w:rPr>
            <w:rFonts w:ascii="Cambria Math" w:eastAsiaTheme="minorEastAsia" w:hAnsi="Cambria Math"/>
          </w:rPr>
          <m:t>z=-h</m:t>
        </m:r>
      </m:oMath>
      <w:r w:rsidR="00585F31">
        <w:rPr>
          <w:rFonts w:eastAsiaTheme="minorEastAsia"/>
        </w:rPr>
        <w:t xml:space="preserve"> </w:t>
      </w:r>
      <w:r w:rsidR="003B4339">
        <w:rPr>
          <w:rFonts w:eastAsiaTheme="minorEastAsia"/>
        </w:rPr>
        <w:t>was</w:t>
      </w:r>
      <w:r w:rsidR="00585F31">
        <w:rPr>
          <w:rFonts w:eastAsiaTheme="minorEastAsia"/>
        </w:rPr>
        <w:t xml:space="preserve"> occupied by</w:t>
      </w:r>
      <w:r w:rsidR="00F1455B">
        <w:rPr>
          <w:rFonts w:eastAsiaTheme="minorEastAsia"/>
        </w:rPr>
        <w:t xml:space="preserve"> salt water</w:t>
      </w:r>
      <w:r w:rsidR="00406AF7">
        <w:rPr>
          <w:rFonts w:eastAsiaTheme="minorEastAsia"/>
        </w:rPr>
        <w:t xml:space="preserve">. The domain top </w:t>
      </w:r>
      <w:r w:rsidR="003B4339">
        <w:rPr>
          <w:rFonts w:eastAsiaTheme="minorEastAsia"/>
        </w:rPr>
        <w:t>was</w:t>
      </w:r>
      <w:r w:rsidR="00406AF7">
        <w:rPr>
          <w:rFonts w:eastAsiaTheme="minorEastAsia"/>
        </w:rPr>
        <w:t xml:space="preserve"> placed approximately 1.25 ship lengths from the </w:t>
      </w:r>
      <w:r w:rsidR="0087470F">
        <w:rPr>
          <w:rFonts w:eastAsiaTheme="minorEastAsia"/>
        </w:rPr>
        <w:t>undisturbed</w:t>
      </w:r>
      <w:r w:rsidR="00406AF7">
        <w:rPr>
          <w:rFonts w:eastAsiaTheme="minorEastAsia"/>
        </w:rPr>
        <w:t xml:space="preserve"> water surface, </w:t>
      </w:r>
      <w:r w:rsidR="009D737A">
        <w:rPr>
          <w:rFonts w:eastAsiaTheme="minorEastAsia"/>
        </w:rPr>
        <w:t xml:space="preserve">while </w:t>
      </w:r>
      <w:r w:rsidR="00A6315C">
        <w:rPr>
          <w:rFonts w:eastAsiaTheme="minorEastAsia"/>
        </w:rPr>
        <w:t xml:space="preserve">the domain bottom </w:t>
      </w:r>
      <w:r w:rsidR="009D737A">
        <w:rPr>
          <w:rFonts w:eastAsiaTheme="minorEastAsia"/>
        </w:rPr>
        <w:t xml:space="preserve">and side </w:t>
      </w:r>
      <w:r w:rsidR="003B4339">
        <w:rPr>
          <w:rFonts w:eastAsiaTheme="minorEastAsia"/>
        </w:rPr>
        <w:t>we</w:t>
      </w:r>
      <w:r w:rsidR="009D737A">
        <w:rPr>
          <w:rFonts w:eastAsiaTheme="minorEastAsia"/>
        </w:rPr>
        <w:t xml:space="preserve">re placed </w:t>
      </w:r>
      <w:r w:rsidR="00A6315C">
        <w:rPr>
          <w:rFonts w:eastAsiaTheme="minorEastAsia"/>
        </w:rPr>
        <w:t>2.5 ship lengths from the undisturbed water surface</w:t>
      </w:r>
      <w:r w:rsidR="0087470F">
        <w:rPr>
          <w:rFonts w:eastAsiaTheme="minorEastAsia"/>
        </w:rPr>
        <w:t xml:space="preserve"> and centreline, respectively. The ship and domain centreline </w:t>
      </w:r>
      <w:r w:rsidR="00712944">
        <w:rPr>
          <w:rFonts w:eastAsiaTheme="minorEastAsia"/>
        </w:rPr>
        <w:t>coincide</w:t>
      </w:r>
      <w:r w:rsidR="00C743FB">
        <w:rPr>
          <w:rFonts w:eastAsiaTheme="minorEastAsia"/>
        </w:rPr>
        <w:t xml:space="preserve">, where a symmetry boundary condition </w:t>
      </w:r>
      <w:r w:rsidR="003B4339">
        <w:rPr>
          <w:rFonts w:eastAsiaTheme="minorEastAsia"/>
        </w:rPr>
        <w:t>was</w:t>
      </w:r>
      <w:r w:rsidR="00C743FB">
        <w:rPr>
          <w:rFonts w:eastAsiaTheme="minorEastAsia"/>
        </w:rPr>
        <w:t xml:space="preserve"> used to half the cell numbers and enable faster simulation run time. </w:t>
      </w:r>
      <w:r w:rsidR="000B7063">
        <w:rPr>
          <w:rFonts w:eastAsiaTheme="minorEastAsia"/>
        </w:rPr>
        <w:t xml:space="preserve">Finally, the pressure outlet </w:t>
      </w:r>
      <w:r w:rsidR="003B4339">
        <w:rPr>
          <w:rFonts w:eastAsiaTheme="minorEastAsia"/>
        </w:rPr>
        <w:t>was</w:t>
      </w:r>
      <w:r w:rsidR="000B7063">
        <w:rPr>
          <w:rFonts w:eastAsiaTheme="minorEastAsia"/>
        </w:rPr>
        <w:t xml:space="preserve"> located 2.5 ship lengths downstream of the aft perpendicular, wh</w:t>
      </w:r>
      <w:r w:rsidR="00534FAC">
        <w:rPr>
          <w:rFonts w:eastAsiaTheme="minorEastAsia"/>
        </w:rPr>
        <w:t xml:space="preserve">ere the hydrostatic pressure </w:t>
      </w:r>
      <w:r w:rsidR="003B4339">
        <w:rPr>
          <w:rFonts w:eastAsiaTheme="minorEastAsia"/>
        </w:rPr>
        <w:t>was</w:t>
      </w:r>
      <w:r w:rsidR="00534FAC">
        <w:rPr>
          <w:rFonts w:eastAsiaTheme="minorEastAsia"/>
        </w:rPr>
        <w:t xml:space="preserve"> maintained. The domain and boundary conditions are depicted in </w:t>
      </w:r>
      <w:r w:rsidR="00534FAC">
        <w:rPr>
          <w:rFonts w:eastAsiaTheme="minorEastAsia"/>
        </w:rPr>
        <w:fldChar w:fldCharType="begin"/>
      </w:r>
      <w:r w:rsidR="00534FAC">
        <w:rPr>
          <w:rFonts w:eastAsiaTheme="minorEastAsia"/>
        </w:rPr>
        <w:instrText xml:space="preserve"> REF _Ref108012339 \h </w:instrText>
      </w:r>
      <w:r w:rsidR="00534FAC">
        <w:rPr>
          <w:rFonts w:eastAsiaTheme="minorEastAsia"/>
        </w:rPr>
      </w:r>
      <w:r w:rsidR="00534FAC">
        <w:rPr>
          <w:rFonts w:eastAsiaTheme="minorEastAsia"/>
        </w:rPr>
        <w:fldChar w:fldCharType="separate"/>
      </w:r>
      <w:r w:rsidR="00363A7B">
        <w:t xml:space="preserve">Figure </w:t>
      </w:r>
      <w:r w:rsidR="00363A7B">
        <w:rPr>
          <w:noProof/>
        </w:rPr>
        <w:t>3</w:t>
      </w:r>
      <w:r w:rsidR="00534FAC">
        <w:rPr>
          <w:rFonts w:eastAsiaTheme="minorEastAsia"/>
        </w:rPr>
        <w:fldChar w:fldCharType="end"/>
      </w:r>
      <w:r w:rsidR="00534FAC">
        <w:rPr>
          <w:rFonts w:eastAsiaTheme="minorEastAsia"/>
        </w:rPr>
        <w:t>.</w:t>
      </w:r>
    </w:p>
    <w:p w14:paraId="41952D68" w14:textId="7121A697" w:rsidR="00F23EB1" w:rsidRDefault="00EE0EBC" w:rsidP="005975D0">
      <w:pPr>
        <w:jc w:val="center"/>
      </w:pPr>
      <w:r>
        <w:rPr>
          <w:noProof/>
        </w:rPr>
        <w:lastRenderedPageBreak/>
        <w:drawing>
          <wp:inline distT="0" distB="0" distL="0" distR="0" wp14:anchorId="1D588D3F" wp14:editId="7EB38212">
            <wp:extent cx="4842662" cy="6099911"/>
            <wp:effectExtent l="0" t="0" r="0" b="0"/>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13" r="1582" b="6495"/>
                    <a:stretch/>
                  </pic:blipFill>
                  <pic:spPr bwMode="auto">
                    <a:xfrm>
                      <a:off x="0" y="0"/>
                      <a:ext cx="4843429" cy="6100877"/>
                    </a:xfrm>
                    <a:prstGeom prst="rect">
                      <a:avLst/>
                    </a:prstGeom>
                    <a:noFill/>
                    <a:ln>
                      <a:noFill/>
                    </a:ln>
                    <a:extLst>
                      <a:ext uri="{53640926-AAD7-44D8-BBD7-CCE9431645EC}">
                        <a14:shadowObscured xmlns:a14="http://schemas.microsoft.com/office/drawing/2010/main"/>
                      </a:ext>
                    </a:extLst>
                  </pic:spPr>
                </pic:pic>
              </a:graphicData>
            </a:graphic>
          </wp:inline>
        </w:drawing>
      </w:r>
    </w:p>
    <w:p w14:paraId="45B0E504" w14:textId="5E905869" w:rsidR="00123963" w:rsidRDefault="00123963" w:rsidP="00123963">
      <w:pPr>
        <w:pStyle w:val="Caption"/>
      </w:pPr>
      <w:bookmarkStart w:id="4" w:name="_Ref108012339"/>
      <w:r>
        <w:t xml:space="preserve">Figure </w:t>
      </w:r>
      <w:r w:rsidR="00922706">
        <w:fldChar w:fldCharType="begin"/>
      </w:r>
      <w:r w:rsidR="00922706">
        <w:instrText xml:space="preserve"> SEQ Figure \* ARABIC </w:instrText>
      </w:r>
      <w:r w:rsidR="00922706">
        <w:fldChar w:fldCharType="separate"/>
      </w:r>
      <w:r w:rsidR="00363A7B">
        <w:rPr>
          <w:noProof/>
        </w:rPr>
        <w:t>3</w:t>
      </w:r>
      <w:r w:rsidR="00922706">
        <w:rPr>
          <w:noProof/>
        </w:rPr>
        <w:fldChar w:fldCharType="end"/>
      </w:r>
      <w:bookmarkEnd w:id="4"/>
      <w:r>
        <w:t>. Computational domain dimensions and boundary conditions.</w:t>
      </w:r>
    </w:p>
    <w:p w14:paraId="534C1E0C" w14:textId="6EE8DF56" w:rsidR="00073379" w:rsidRDefault="00073379" w:rsidP="00073379">
      <w:pPr>
        <w:pStyle w:val="Heading2"/>
      </w:pPr>
      <w:r>
        <w:t>Mesh generation</w:t>
      </w:r>
    </w:p>
    <w:p w14:paraId="2D55794D" w14:textId="531E573A" w:rsidR="00073379" w:rsidRDefault="00C868C4" w:rsidP="00B46152">
      <w:pPr>
        <w:jc w:val="both"/>
      </w:pPr>
      <w:r w:rsidRPr="00C868C4">
        <w:t xml:space="preserve">The mesh was created using the automated meshing tool within STAR-CCM+. This utilises the cartesian cut-cell method and resulted in a mesh of </w:t>
      </w:r>
      <w:r w:rsidR="00B82C8C">
        <w:t>approximately</w:t>
      </w:r>
      <w:r w:rsidRPr="00C868C4">
        <w:t xml:space="preserve"> 2.9 million cells. The resulting mesh was primarily made up of unstructured hexahedral cells. There were also several areas of refinement within the mesh to ensure that the mesh was fine enough the accurately model complex flow features. </w:t>
      </w:r>
      <w:r w:rsidR="001925DA">
        <w:t>Specifically, the areas</w:t>
      </w:r>
      <w:r w:rsidRPr="00C868C4">
        <w:t xml:space="preserve"> immediately around the hull, in the wake pattern behind the hull, in the free surface and also around the pycnocline. This was done using </w:t>
      </w:r>
      <w:r w:rsidR="006B4078">
        <w:t>local mesh refinements</w:t>
      </w:r>
      <w:r w:rsidRPr="00C868C4">
        <w:t xml:space="preserve">. The mesh </w:t>
      </w:r>
      <w:r w:rsidR="000708A1">
        <w:t>at and around</w:t>
      </w:r>
      <w:r w:rsidRPr="00C868C4">
        <w:t xml:space="preserve"> the hull is shown below in </w:t>
      </w:r>
      <w:r w:rsidR="000708A1">
        <w:fldChar w:fldCharType="begin"/>
      </w:r>
      <w:r w:rsidR="000708A1">
        <w:instrText xml:space="preserve"> REF _Ref107996339 \h </w:instrText>
      </w:r>
      <w:r w:rsidR="000708A1">
        <w:fldChar w:fldCharType="separate"/>
      </w:r>
      <w:r w:rsidR="00363A7B">
        <w:t xml:space="preserve">Figure </w:t>
      </w:r>
      <w:r w:rsidR="00363A7B">
        <w:rPr>
          <w:noProof/>
        </w:rPr>
        <w:t>4</w:t>
      </w:r>
      <w:r w:rsidR="000708A1">
        <w:fldChar w:fldCharType="end"/>
      </w:r>
      <w:r w:rsidR="000708A1">
        <w:t xml:space="preserve">, </w:t>
      </w:r>
      <w:r w:rsidR="000708A1">
        <w:fldChar w:fldCharType="begin"/>
      </w:r>
      <w:r w:rsidR="000708A1">
        <w:instrText xml:space="preserve"> REF _Ref107996345 \h </w:instrText>
      </w:r>
      <w:r w:rsidR="000708A1">
        <w:fldChar w:fldCharType="separate"/>
      </w:r>
      <w:r w:rsidR="00363A7B">
        <w:t xml:space="preserve">Figure </w:t>
      </w:r>
      <w:r w:rsidR="00363A7B">
        <w:rPr>
          <w:noProof/>
        </w:rPr>
        <w:t>5</w:t>
      </w:r>
      <w:r w:rsidR="000708A1">
        <w:fldChar w:fldCharType="end"/>
      </w:r>
      <w:r w:rsidR="000708A1">
        <w:t xml:space="preserve">, and </w:t>
      </w:r>
      <w:r w:rsidR="000708A1">
        <w:fldChar w:fldCharType="begin"/>
      </w:r>
      <w:r w:rsidR="000708A1">
        <w:instrText xml:space="preserve"> REF _Ref107996349 \h </w:instrText>
      </w:r>
      <w:r w:rsidR="000708A1">
        <w:fldChar w:fldCharType="separate"/>
      </w:r>
      <w:r w:rsidR="00363A7B">
        <w:t xml:space="preserve">Figure </w:t>
      </w:r>
      <w:r w:rsidR="00363A7B">
        <w:rPr>
          <w:noProof/>
        </w:rPr>
        <w:t>6</w:t>
      </w:r>
      <w:r w:rsidR="000708A1">
        <w:fldChar w:fldCharType="end"/>
      </w:r>
      <w:r w:rsidR="000708A1">
        <w:t>.</w:t>
      </w:r>
      <w:r w:rsidR="00751957">
        <w:t xml:space="preserve"> </w:t>
      </w:r>
      <w:r w:rsidR="00484433">
        <w:lastRenderedPageBreak/>
        <w:t xml:space="preserve">The meshing strategy differs from a conventional </w:t>
      </w:r>
      <w:r w:rsidR="000805EF">
        <w:t xml:space="preserve">ship resistance </w:t>
      </w:r>
      <w:r w:rsidR="00484433">
        <w:t>simulation by the fact that vertical</w:t>
      </w:r>
      <w:r w:rsidR="00D302EC">
        <w:t xml:space="preserve"> gradients in the pycnocline must be resolved. Therefore, the free surface refinement is extended vertically to encompass the pycnocline at all </w:t>
      </w:r>
      <m:oMath>
        <m:r>
          <w:rPr>
            <w:rFonts w:ascii="Cambria Math" w:hAnsi="Cambria Math"/>
          </w:rPr>
          <m:t>h/T</m:t>
        </m:r>
      </m:oMath>
      <w:r w:rsidR="00D302EC">
        <w:rPr>
          <w:rFonts w:eastAsiaTheme="minorEastAsia"/>
        </w:rPr>
        <w:t xml:space="preserve"> ratios</w:t>
      </w:r>
      <w:r w:rsidR="000805EF">
        <w:rPr>
          <w:rFonts w:eastAsiaTheme="minorEastAsia"/>
        </w:rPr>
        <w:t xml:space="preserve"> as shown in </w:t>
      </w:r>
      <w:r w:rsidR="00382469">
        <w:rPr>
          <w:rFonts w:eastAsiaTheme="minorEastAsia"/>
        </w:rPr>
        <w:fldChar w:fldCharType="begin"/>
      </w:r>
      <w:r w:rsidR="00382469">
        <w:rPr>
          <w:rFonts w:eastAsiaTheme="minorEastAsia"/>
        </w:rPr>
        <w:instrText xml:space="preserve"> REF _Ref107996349 \h </w:instrText>
      </w:r>
      <w:r w:rsidR="00382469">
        <w:rPr>
          <w:rFonts w:eastAsiaTheme="minorEastAsia"/>
        </w:rPr>
      </w:r>
      <w:r w:rsidR="00382469">
        <w:rPr>
          <w:rFonts w:eastAsiaTheme="minorEastAsia"/>
        </w:rPr>
        <w:fldChar w:fldCharType="separate"/>
      </w:r>
      <w:r w:rsidR="00363A7B">
        <w:t xml:space="preserve">Figure </w:t>
      </w:r>
      <w:r w:rsidR="00363A7B">
        <w:rPr>
          <w:noProof/>
        </w:rPr>
        <w:t>6</w:t>
      </w:r>
      <w:r w:rsidR="00382469">
        <w:rPr>
          <w:rFonts w:eastAsiaTheme="minorEastAsia"/>
        </w:rPr>
        <w:fldChar w:fldCharType="end"/>
      </w:r>
      <w:r w:rsidR="00D302EC">
        <w:rPr>
          <w:rFonts w:eastAsiaTheme="minorEastAsia"/>
        </w:rPr>
        <w:t>.</w:t>
      </w:r>
    </w:p>
    <w:p w14:paraId="5652F9EE" w14:textId="24069679" w:rsidR="00AD3398" w:rsidRDefault="009D3CE7" w:rsidP="00A45F26">
      <w:pPr>
        <w:spacing w:after="0"/>
        <w:jc w:val="center"/>
      </w:pPr>
      <w:r>
        <w:rPr>
          <w:noProof/>
        </w:rPr>
        <w:drawing>
          <wp:inline distT="0" distB="0" distL="0" distR="0" wp14:anchorId="32D5DE8A" wp14:editId="11C3EA77">
            <wp:extent cx="5727700" cy="3065145"/>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3065145"/>
                    </a:xfrm>
                    <a:prstGeom prst="rect">
                      <a:avLst/>
                    </a:prstGeom>
                    <a:noFill/>
                    <a:ln>
                      <a:noFill/>
                    </a:ln>
                  </pic:spPr>
                </pic:pic>
              </a:graphicData>
            </a:graphic>
          </wp:inline>
        </w:drawing>
      </w:r>
    </w:p>
    <w:p w14:paraId="40FD81BB" w14:textId="217CFAA1" w:rsidR="00A74DFB" w:rsidRDefault="00A74DFB" w:rsidP="00A74DFB">
      <w:pPr>
        <w:pStyle w:val="Caption"/>
      </w:pPr>
      <w:bookmarkStart w:id="5" w:name="_Ref107996339"/>
      <w:r>
        <w:t xml:space="preserve">Figure </w:t>
      </w:r>
      <w:r w:rsidR="00922706">
        <w:fldChar w:fldCharType="begin"/>
      </w:r>
      <w:r w:rsidR="00922706">
        <w:instrText xml:space="preserve"> SEQ Figure \* ARABIC </w:instrText>
      </w:r>
      <w:r w:rsidR="00922706">
        <w:fldChar w:fldCharType="separate"/>
      </w:r>
      <w:r w:rsidR="00363A7B">
        <w:rPr>
          <w:noProof/>
        </w:rPr>
        <w:t>4</w:t>
      </w:r>
      <w:r w:rsidR="00922706">
        <w:rPr>
          <w:noProof/>
        </w:rPr>
        <w:fldChar w:fldCharType="end"/>
      </w:r>
      <w:bookmarkEnd w:id="5"/>
      <w:r>
        <w:t>. Mesh on the surface of the KCS</w:t>
      </w:r>
      <w:r w:rsidR="000E36F7">
        <w:t>, used in all numerical simulations.</w:t>
      </w:r>
      <w:r>
        <w:t xml:space="preserve"> </w:t>
      </w:r>
    </w:p>
    <w:p w14:paraId="0E620562" w14:textId="59928691" w:rsidR="00D65AD5" w:rsidRDefault="00D65AD5" w:rsidP="00A45F26">
      <w:pPr>
        <w:spacing w:after="0"/>
        <w:jc w:val="center"/>
      </w:pPr>
      <w:r>
        <w:rPr>
          <w:noProof/>
        </w:rPr>
        <w:drawing>
          <wp:inline distT="0" distB="0" distL="0" distR="0" wp14:anchorId="654145CF" wp14:editId="00226160">
            <wp:extent cx="5090795" cy="2924175"/>
            <wp:effectExtent l="0" t="0" r="0" b="9525"/>
            <wp:docPr id="5" name="Picture 5" descr="A picture containing shoji, building,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oji, building, cage&#10;&#10;Description automatically generated"/>
                    <pic:cNvPicPr>
                      <a:picLocks noChangeAspect="1"/>
                    </pic:cNvPicPr>
                  </pic:nvPicPr>
                  <pic:blipFill rotWithShape="1">
                    <a:blip r:embed="rId17"/>
                    <a:srcRect r="1415" b="8055"/>
                    <a:stretch/>
                  </pic:blipFill>
                  <pic:spPr bwMode="auto">
                    <a:xfrm>
                      <a:off x="0" y="0"/>
                      <a:ext cx="5091379" cy="2924510"/>
                    </a:xfrm>
                    <a:prstGeom prst="rect">
                      <a:avLst/>
                    </a:prstGeom>
                    <a:ln>
                      <a:noFill/>
                    </a:ln>
                    <a:extLst>
                      <a:ext uri="{53640926-AAD7-44D8-BBD7-CCE9431645EC}">
                        <a14:shadowObscured xmlns:a14="http://schemas.microsoft.com/office/drawing/2010/main"/>
                      </a:ext>
                    </a:extLst>
                  </pic:spPr>
                </pic:pic>
              </a:graphicData>
            </a:graphic>
          </wp:inline>
        </w:drawing>
      </w:r>
    </w:p>
    <w:p w14:paraId="39474574" w14:textId="04AE7F95" w:rsidR="00A45F26" w:rsidRDefault="00A45F26" w:rsidP="00A45F26">
      <w:pPr>
        <w:pStyle w:val="Caption"/>
      </w:pPr>
      <w:bookmarkStart w:id="6" w:name="_Ref107996345"/>
      <w:r>
        <w:t xml:space="preserve">Figure </w:t>
      </w:r>
      <w:r w:rsidR="00922706">
        <w:fldChar w:fldCharType="begin"/>
      </w:r>
      <w:r w:rsidR="00922706">
        <w:instrText xml:space="preserve"> SEQ Figure \* ARABIC </w:instrText>
      </w:r>
      <w:r w:rsidR="00922706">
        <w:fldChar w:fldCharType="separate"/>
      </w:r>
      <w:r w:rsidR="00363A7B">
        <w:rPr>
          <w:noProof/>
        </w:rPr>
        <w:t>5</w:t>
      </w:r>
      <w:r w:rsidR="00922706">
        <w:rPr>
          <w:noProof/>
        </w:rPr>
        <w:fldChar w:fldCharType="end"/>
      </w:r>
      <w:bookmarkEnd w:id="6"/>
      <w:r>
        <w:t>. Mesh on the air-water interface</w:t>
      </w:r>
      <w:r w:rsidR="000E36F7">
        <w:t>, used for all numerical simulations.</w:t>
      </w:r>
      <w:r w:rsidR="005879E6" w:rsidRPr="005879E6">
        <w:t xml:space="preserve"> </w:t>
      </w:r>
      <w:r w:rsidR="005879E6">
        <w:t>The mesh is mirrored about the central symmetry plane for visualisation purposes.</w:t>
      </w:r>
    </w:p>
    <w:p w14:paraId="7C0C7BFB" w14:textId="0743A913" w:rsidR="00A45F26" w:rsidRDefault="00A45F26" w:rsidP="000708A1">
      <w:pPr>
        <w:jc w:val="center"/>
      </w:pPr>
      <w:r>
        <w:rPr>
          <w:noProof/>
        </w:rPr>
        <w:lastRenderedPageBreak/>
        <w:drawing>
          <wp:inline distT="0" distB="0" distL="0" distR="0" wp14:anchorId="49B9E324" wp14:editId="46B926C6">
            <wp:extent cx="5731510" cy="2643505"/>
            <wp:effectExtent l="0" t="0" r="2540" b="4445"/>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low confidenc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510" cy="2643505"/>
                    </a:xfrm>
                    <a:prstGeom prst="rect">
                      <a:avLst/>
                    </a:prstGeom>
                  </pic:spPr>
                </pic:pic>
              </a:graphicData>
            </a:graphic>
          </wp:inline>
        </w:drawing>
      </w:r>
    </w:p>
    <w:p w14:paraId="7D281D93" w14:textId="41AED8C3" w:rsidR="000708A1" w:rsidRDefault="000708A1" w:rsidP="000708A1">
      <w:pPr>
        <w:pStyle w:val="Caption"/>
      </w:pPr>
      <w:bookmarkStart w:id="7" w:name="_Ref107996349"/>
      <w:r>
        <w:t xml:space="preserve">Figure </w:t>
      </w:r>
      <w:r w:rsidR="00922706">
        <w:fldChar w:fldCharType="begin"/>
      </w:r>
      <w:r w:rsidR="00922706">
        <w:instrText xml:space="preserve"> SEQ Figure \* ARABIC </w:instrText>
      </w:r>
      <w:r w:rsidR="00922706">
        <w:fldChar w:fldCharType="separate"/>
      </w:r>
      <w:r w:rsidR="00363A7B">
        <w:rPr>
          <w:noProof/>
        </w:rPr>
        <w:t>6</w:t>
      </w:r>
      <w:r w:rsidR="00922706">
        <w:rPr>
          <w:noProof/>
        </w:rPr>
        <w:fldChar w:fldCharType="end"/>
      </w:r>
      <w:bookmarkEnd w:id="7"/>
      <w:r>
        <w:t>. Front view of the mesh, showing the mesh refinement used to resolve the fresh-salt water interface and air-water interface.</w:t>
      </w:r>
      <w:r w:rsidR="005879E6">
        <w:t xml:space="preserve"> The mesh is mirrored about the central symmetry plane for visualisation purposes.</w:t>
      </w:r>
    </w:p>
    <w:p w14:paraId="45F52C5E" w14:textId="4390E98B" w:rsidR="000708A1" w:rsidRDefault="00AD711F" w:rsidP="00AD711F">
      <w:pPr>
        <w:pStyle w:val="Heading1"/>
      </w:pPr>
      <w:r>
        <w:t>Results and discussion</w:t>
      </w:r>
    </w:p>
    <w:p w14:paraId="754A5AF7" w14:textId="747B871F" w:rsidR="009467FF" w:rsidRDefault="00437EF0" w:rsidP="00900A2C">
      <w:pPr>
        <w:jc w:val="both"/>
      </w:pPr>
      <w:r>
        <w:t>As mentioned in the above sections, t</w:t>
      </w:r>
      <w:r w:rsidR="00A37F69">
        <w:t xml:space="preserve">he main aim of this </w:t>
      </w:r>
      <w:r>
        <w:t xml:space="preserve">study </w:t>
      </w:r>
      <w:r w:rsidR="00A37F69">
        <w:t xml:space="preserve">is to investigate resistance changes as a result of flow stratification. </w:t>
      </w:r>
      <w:r w:rsidR="005920D8">
        <w:t xml:space="preserve">Ship resistance </w:t>
      </w:r>
      <w:r w:rsidR="0059781D">
        <w:t>coefficients are</w:t>
      </w:r>
      <w:r w:rsidR="009467FF">
        <w:t xml:space="preserve"> defined as</w:t>
      </w:r>
      <w:r w:rsidR="0059781D">
        <w:t>:</w:t>
      </w:r>
    </w:p>
    <w:p w14:paraId="4090BE06" w14:textId="1EE450CD" w:rsidR="009467FF" w:rsidRDefault="00922706" w:rsidP="009467FF">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m:t>
            </m:r>
            <m:r>
              <w:rPr>
                <w:rFonts w:ascii="Cambria Math" w:eastAsiaTheme="minorEastAsia" w:hAnsi="Cambria Math"/>
              </w:rPr>
              <m:t>,</m:t>
            </m:r>
            <m:r>
              <w:rPr>
                <w:rFonts w:ascii="Cambria Math" w:eastAsiaTheme="minorEastAsia" w:hAnsi="Cambria Math"/>
              </w:rPr>
              <m:t>F</m:t>
            </m:r>
            <m:r>
              <w:rPr>
                <w:rFonts w:ascii="Cambria Math" w:eastAsiaTheme="minorEastAsia" w:hAnsi="Cambria Math"/>
              </w:rPr>
              <m:t>,</m:t>
            </m:r>
            <m:r>
              <w:rPr>
                <w:rFonts w:ascii="Cambria Math" w:eastAsiaTheme="minorEastAsia" w:hAnsi="Cambria Math"/>
              </w:rPr>
              <m:t>P</m:t>
            </m:r>
          </m:sub>
        </m:sSub>
        <m:r>
          <w:rPr>
            <w:rFonts w:ascii="Cambria Math" w:eastAsiaTheme="minorEastAsia" w:hAnsi="Cambria Math"/>
          </w:rPr>
          <m:t>=</m:t>
        </m:r>
        <m:f>
          <m:fPr>
            <m:type m:val="lin"/>
            <m:ctrlPr>
              <w:rPr>
                <w:rFonts w:ascii="Cambria Math" w:hAnsi="Cambria Math" w:cs="Times New Roman"/>
                <w:i/>
              </w:rPr>
            </m:ctrlPr>
          </m:fPr>
          <m:num>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T</m:t>
                </m:r>
                <m:r>
                  <w:rPr>
                    <w:rFonts w:ascii="Cambria Math" w:hAnsi="Cambria Math"/>
                  </w:rPr>
                  <m:t>,</m:t>
                </m:r>
                <m:r>
                  <w:rPr>
                    <w:rFonts w:ascii="Cambria Math" w:hAnsi="Cambria Math"/>
                  </w:rPr>
                  <m:t>F</m:t>
                </m:r>
                <m:r>
                  <w:rPr>
                    <w:rFonts w:ascii="Cambria Math" w:hAnsi="Cambria Math"/>
                  </w:rPr>
                  <m:t>,</m:t>
                </m:r>
                <m:r>
                  <w:rPr>
                    <w:rFonts w:ascii="Cambria Math" w:hAnsi="Cambria Math"/>
                  </w:rPr>
                  <m:t>P</m:t>
                </m:r>
              </m:sub>
            </m:sSub>
            <m:ctrlPr>
              <w:rPr>
                <w:rFonts w:ascii="Cambria Math" w:hAnsi="Cambria Math"/>
                <w:i/>
              </w:rPr>
            </m:ctrlPr>
          </m:num>
          <m:den>
            <m:r>
              <w:rPr>
                <w:rFonts w:ascii="Cambria Math" w:hAnsi="Cambria Math"/>
              </w:rPr>
              <m:t>(</m:t>
            </m:r>
            <m:sSub>
              <m:sSubPr>
                <m:ctrlPr>
                  <w:rPr>
                    <w:rFonts w:ascii="Cambria Math" w:hAnsi="Cambria Math"/>
                    <w:i/>
                  </w:rPr>
                </m:ctrlPr>
              </m:sSubPr>
              <m:e>
                <m:r>
                  <w:rPr>
                    <w:rFonts w:ascii="Cambria Math" w:hAnsi="Cambria Math" w:cs="Palatino Linotype"/>
                  </w:rPr>
                  <m:t>ρ</m:t>
                </m:r>
                <m:ctrlPr>
                  <w:rPr>
                    <w:rFonts w:ascii="Cambria Math" w:hAnsi="Cambria Math" w:cs="Times New Roman"/>
                    <w:i/>
                  </w:rPr>
                </m:ctrlPr>
              </m:e>
              <m:sub>
                <m:r>
                  <w:rPr>
                    <w:rFonts w:ascii="Cambria Math" w:hAnsi="Cambria Math"/>
                  </w:rPr>
                  <m:t>0</m:t>
                </m:r>
              </m:sub>
            </m:sSub>
          </m:den>
        </m:f>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 xml:space="preserve"> </m:t>
        </m:r>
        <m:r>
          <w:rPr>
            <w:rFonts w:ascii="Cambria Math" w:hAnsi="Cambria Math"/>
          </w:rPr>
          <m:t>S</m:t>
        </m:r>
        <m:r>
          <w:rPr>
            <w:rFonts w:ascii="Cambria Math" w:hAnsi="Cambria Math"/>
          </w:rPr>
          <m:t>)</m:t>
        </m:r>
      </m:oMath>
      <w:r w:rsidR="009467FF">
        <w:tab/>
      </w:r>
      <w:r w:rsidR="009467FF">
        <w:tab/>
      </w:r>
      <w:r w:rsidR="009467FF">
        <w:tab/>
      </w:r>
      <w:r w:rsidR="009467FF">
        <w:tab/>
      </w:r>
      <w:r w:rsidR="009467FF">
        <w:tab/>
      </w:r>
      <w:r w:rsidR="009467FF">
        <w:tab/>
      </w:r>
      <w:r w:rsidR="009467FF">
        <w:tab/>
      </w:r>
      <w:r w:rsidR="009467FF">
        <w:tab/>
      </w:r>
      <w:r w:rsidR="009467FF">
        <w:tab/>
        <w:t>(4)</w:t>
      </w:r>
    </w:p>
    <w:p w14:paraId="5FF140A4" w14:textId="313180F5" w:rsidR="009467FF" w:rsidRDefault="0059781D" w:rsidP="005004F3">
      <w:pPr>
        <w:jc w:val="both"/>
      </w:pPr>
      <w:r>
        <w:t xml:space="preserve">where </w:t>
      </w:r>
      <m:oMath>
        <m:sSub>
          <m:sSubPr>
            <m:ctrlPr>
              <w:rPr>
                <w:rFonts w:ascii="Cambria Math" w:hAnsi="Cambria Math"/>
                <w:i/>
              </w:rPr>
            </m:ctrlPr>
          </m:sSubPr>
          <m:e>
            <m:r>
              <w:rPr>
                <w:rFonts w:ascii="Cambria Math" w:hAnsi="Cambria Math"/>
              </w:rPr>
              <m:t>C</m:t>
            </m:r>
          </m:e>
          <m:sub>
            <m:r>
              <w:rPr>
                <w:rFonts w:ascii="Cambria Math" w:hAnsi="Cambria Math"/>
              </w:rPr>
              <m:t>T,F,P</m:t>
            </m:r>
          </m:sub>
        </m:sSub>
      </m:oMath>
      <w:r>
        <w:rPr>
          <w:rFonts w:eastAsiaTheme="minorEastAsia"/>
        </w:rPr>
        <w:t xml:space="preserve"> and </w:t>
      </w:r>
      <m:oMath>
        <m:sSub>
          <m:sSubPr>
            <m:ctrlPr>
              <w:rPr>
                <w:rFonts w:ascii="Cambria Math" w:hAnsi="Cambria Math"/>
                <w:i/>
              </w:rPr>
            </m:ctrlPr>
          </m:sSubPr>
          <m:e>
            <m:r>
              <w:rPr>
                <w:rFonts w:ascii="Cambria Math" w:hAnsi="Cambria Math"/>
              </w:rPr>
              <m:t>R</m:t>
            </m:r>
          </m:e>
          <m:sub>
            <m:r>
              <w:rPr>
                <w:rFonts w:ascii="Cambria Math" w:hAnsi="Cambria Math"/>
              </w:rPr>
              <m:t>T,F,P</m:t>
            </m:r>
          </m:sub>
        </m:sSub>
      </m:oMath>
      <w:r w:rsidR="00A42A11">
        <w:rPr>
          <w:rFonts w:eastAsiaTheme="minorEastAsia"/>
        </w:rPr>
        <w:t xml:space="preserve"> are the total (</w:t>
      </w:r>
      <m:oMath>
        <m:r>
          <w:rPr>
            <w:rFonts w:ascii="Cambria Math" w:eastAsiaTheme="minorEastAsia" w:hAnsi="Cambria Math"/>
          </w:rPr>
          <m:t>T</m:t>
        </m:r>
      </m:oMath>
      <w:r w:rsidR="00A42A11">
        <w:rPr>
          <w:rFonts w:eastAsiaTheme="minorEastAsia"/>
        </w:rPr>
        <w:t>), frictional (</w:t>
      </w:r>
      <m:oMath>
        <m:r>
          <w:rPr>
            <w:rFonts w:ascii="Cambria Math" w:eastAsiaTheme="minorEastAsia" w:hAnsi="Cambria Math"/>
          </w:rPr>
          <m:t>F</m:t>
        </m:r>
      </m:oMath>
      <w:r w:rsidR="00A42A11">
        <w:rPr>
          <w:rFonts w:eastAsiaTheme="minorEastAsia"/>
        </w:rPr>
        <w:t>), and pressure (</w:t>
      </w:r>
      <m:oMath>
        <m:r>
          <w:rPr>
            <w:rFonts w:ascii="Cambria Math" w:eastAsiaTheme="minorEastAsia" w:hAnsi="Cambria Math"/>
          </w:rPr>
          <m:t>P</m:t>
        </m:r>
      </m:oMath>
      <w:r w:rsidR="00A42A11">
        <w:rPr>
          <w:rFonts w:eastAsiaTheme="minorEastAsia"/>
        </w:rPr>
        <w:t>) resistance coefficient and force in Newtons, respectively.</w:t>
      </w:r>
      <w:r w:rsidR="006E1832">
        <w:rPr>
          <w:rFonts w:eastAsiaTheme="minorEastAsia"/>
        </w:rPr>
        <w:t xml:space="preserve"> </w:t>
      </w:r>
      <w:r w:rsidR="009467FF">
        <w:t xml:space="preserve">The resistance coefficient at </w:t>
      </w:r>
      <m:oMath>
        <m:r>
          <w:rPr>
            <w:rFonts w:ascii="Cambria Math" w:hAnsi="Cambria Math"/>
          </w:rPr>
          <m:t>Fr=0.26</m:t>
        </m:r>
      </m:oMath>
      <w:r w:rsidR="009467FF">
        <w:t xml:space="preserve"> </w:t>
      </w:r>
      <w:r w:rsidR="00951446">
        <w:t>(the design speed)</w:t>
      </w:r>
      <w:r w:rsidR="00CC6378">
        <w:t xml:space="preserve"> obtained by </w:t>
      </w:r>
      <w:r w:rsidR="00B85C65">
        <w:fldChar w:fldCharType="begin" w:fldLock="1"/>
      </w:r>
      <w:r w:rsidR="00126522">
        <w:instrText>ADDIN CSL_CITATION {"citationItems":[{"id":"ITEM-1","itemData":{"DOI":"10.1007/s003480100332","ISBN":"07234864 (ISSN)","ISSN":"07234864","abstract":"To document the details of flow characteristics around modern commercial ships, global force, wave pattern, and local mean velocity components were measured in the towing tank. Three modern commercial hull models of a container ship (KRISO container ship = KCS) and of two very large crude-oil carriers (VLCCs) with the same forebody and slightly different afterbody (KVLCC and KVLCC2) having bow and stern bulbs were selected for the test. Uncertainty analysis was performed for the measured data using the procedure recommended by the ITTC. Obtained experimental data will provide a good opportunity to explore integrated flow phenomena around practical hull forms of today. Those can be also used as the validation data for the computational fluid dynamics (CFD) code of both inviscid and viscous flow calculations.","author":[{"dropping-particle":"","family":"Kim","given":"W. J.","non-dropping-particle":"","parse-names":false,"suffix":""},{"dropping-particle":"","family":"Van","given":"S. H.","non-dropping-particle":"","parse-names":false,"suffix":""},{"dropping-particle":"","family":"Kim","given":"D. H.","non-dropping-particle":"","parse-names":false,"suffix":""}],"container-title":"Experiments in Fluids","id":"ITEM-1","issue":"5","issued":{"date-parts":[["2001"]]},"page":"567-578","title":"Measurement of flows around modern commercial ship models","type":"article-journal","volume":"31"},"uris":["http://www.mendeley.com/documents/?uuid=0dc3607f-3866-42b2-ae07-fb6b76eb9001"]}],"mendeley":{"formattedCitation":"(Kim et al., 2001)","manualFormatting":"Kim et al. (2001)","plainTextFormattedCitation":"(Kim et al., 2001)","previouslyFormattedCitation":"(Kim et al., 2001)"},"properties":{"noteIndex":0},"schema":"https://github.com/citation-style-language/schema/raw/master/csl-citation.json"}</w:instrText>
      </w:r>
      <w:r w:rsidR="00B85C65">
        <w:fldChar w:fldCharType="separate"/>
      </w:r>
      <w:r w:rsidR="00B85C65" w:rsidRPr="00B85C65">
        <w:rPr>
          <w:noProof/>
        </w:rPr>
        <w:t xml:space="preserve">Kim et al. </w:t>
      </w:r>
      <w:r w:rsidR="00B85C65">
        <w:rPr>
          <w:noProof/>
        </w:rPr>
        <w:t>(</w:t>
      </w:r>
      <w:r w:rsidR="00B85C65" w:rsidRPr="00B85C65">
        <w:rPr>
          <w:noProof/>
        </w:rPr>
        <w:t>2001)</w:t>
      </w:r>
      <w:r w:rsidR="00B85C65">
        <w:fldChar w:fldCharType="end"/>
      </w:r>
      <w:r w:rsidR="009467FF">
        <w:t xml:space="preserve"> </w:t>
      </w:r>
      <m:oMath>
        <m:sSub>
          <m:sSubPr>
            <m:ctrlPr>
              <w:rPr>
                <w:rFonts w:ascii="Cambria Math" w:hAnsi="Cambria Math"/>
                <w:i/>
              </w:rPr>
            </m:ctrlPr>
          </m:sSubPr>
          <m:e>
            <m:r>
              <w:rPr>
                <w:rFonts w:ascii="Cambria Math" w:hAnsi="Cambria Math"/>
              </w:rPr>
              <m:t>C</m:t>
            </m:r>
          </m:e>
          <m:sub>
            <m:r>
              <w:rPr>
                <w:rFonts w:ascii="Cambria Math" w:hAnsi="Cambria Math"/>
              </w:rPr>
              <m:t>T,experiment</m:t>
            </m:r>
          </m:sub>
        </m:sSub>
        <m:r>
          <w:rPr>
            <w:rFonts w:ascii="Cambria Math" w:eastAsiaTheme="minorEastAsia" w:hAnsi="Cambria Math"/>
          </w:rPr>
          <m:t>=</m:t>
        </m:r>
      </m:oMath>
      <w:r w:rsidR="009467FF">
        <w:t xml:space="preserve"> 0.003557 </w:t>
      </w:r>
      <w:r w:rsidR="00D53556">
        <w:t xml:space="preserve">compares well with the numerically obtained value of </w:t>
      </w:r>
      <w:r w:rsidR="003570B3" w:rsidRPr="003570B3">
        <w:t>0.00350</w:t>
      </w:r>
      <w:r w:rsidR="003570B3">
        <w:t>, with an absolute error of 0.544%</w:t>
      </w:r>
      <w:r w:rsidR="009467FF">
        <w:t xml:space="preserve">. </w:t>
      </w:r>
      <w:r w:rsidR="00FA46BD">
        <w:t>T</w:t>
      </w:r>
      <w:r w:rsidR="009467FF">
        <w:t xml:space="preserve">he resistance was </w:t>
      </w:r>
      <w:r w:rsidR="00437EF0">
        <w:t>very slightly</w:t>
      </w:r>
      <w:r w:rsidR="009467FF">
        <w:t xml:space="preserve"> over predicted</w:t>
      </w:r>
      <w:r w:rsidR="00FA46BD">
        <w:t>; the relative agreement between the experiment and the CFD model discussed in previous sections is deemed sufficient</w:t>
      </w:r>
      <w:r w:rsidR="009467FF">
        <w:t xml:space="preserve">. Unfortunately, no experimental results exist for the slower speed example so a comparison could not be made. </w:t>
      </w:r>
      <w:r w:rsidR="006940CD">
        <w:t xml:space="preserve"> </w:t>
      </w:r>
    </w:p>
    <w:p w14:paraId="73C1EC38" w14:textId="2FC95879" w:rsidR="00CC6B23" w:rsidRDefault="00CC6B23" w:rsidP="00CC6B23">
      <w:pPr>
        <w:pStyle w:val="Heading2"/>
      </w:pPr>
      <w:r>
        <w:t>Resistance in a stratified fluid</w:t>
      </w:r>
    </w:p>
    <w:p w14:paraId="5F278886" w14:textId="4DF91728" w:rsidR="00CC6B23" w:rsidRDefault="00EC7DA6" w:rsidP="00EC7DA6">
      <w:pPr>
        <w:jc w:val="both"/>
      </w:pPr>
      <w:r>
        <w:t>Numerical s</w:t>
      </w:r>
      <w:r w:rsidRPr="00EC7DA6">
        <w:t xml:space="preserve">imulations were performed at </w:t>
      </w:r>
      <m:oMath>
        <m:r>
          <w:rPr>
            <w:rFonts w:ascii="Cambria Math" w:hAnsi="Cambria Math"/>
          </w:rPr>
          <m:t>U=0.366 m/s</m:t>
        </m:r>
      </m:oMath>
      <w:r w:rsidRPr="00EC7DA6">
        <w:t xml:space="preserve"> for pycnocline depths ranging from 0.25 ≤ </w:t>
      </w:r>
      <m:oMath>
        <m:r>
          <w:rPr>
            <w:rFonts w:ascii="Cambria Math" w:hAnsi="Cambria Math"/>
          </w:rPr>
          <m:t>h/T</m:t>
        </m:r>
      </m:oMath>
      <w:r w:rsidRPr="00EC7DA6">
        <w:t xml:space="preserve"> ≤ 3, resulting in densimetric Froude numbers of the range 0.7 ≤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i</m:t>
            </m:r>
          </m:sub>
        </m:sSub>
      </m:oMath>
      <w:r w:rsidRPr="00EC7DA6">
        <w:t xml:space="preserve"> ≤ 2.426; and also at </w:t>
      </w:r>
      <m:oMath>
        <m:r>
          <w:rPr>
            <w:rFonts w:ascii="Cambria Math" w:hAnsi="Cambria Math"/>
          </w:rPr>
          <m:t>U=2.196 m/s</m:t>
        </m:r>
      </m:oMath>
      <w:r w:rsidRPr="00EC7DA6">
        <w:t xml:space="preserve"> for pycnocline depth ranging from 0.5≤ h/T ≤ 10.5, resulting in densimetric Froude numbers of the range 2.2</w:t>
      </w:r>
      <w:r w:rsidR="00CA0F14">
        <w:t>5</w:t>
      </w:r>
      <w:r w:rsidRPr="00EC7DA6">
        <w:t xml:space="preserve"> ≤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i</m:t>
            </m:r>
          </m:sub>
        </m:sSub>
      </m:oMath>
      <w:r w:rsidRPr="00EC7DA6">
        <w:t xml:space="preserve"> ≤ 10.29. The resistance coefficients for both speeds are shown in </w:t>
      </w:r>
      <w:r w:rsidR="001D00DC">
        <w:t xml:space="preserve">Figure 7 </w:t>
      </w:r>
      <w:r w:rsidRPr="00EC7DA6">
        <w:t xml:space="preserve">along with the resistance coefficient of the homogeneous fluid at </w:t>
      </w:r>
      <m:oMath>
        <m:r>
          <w:rPr>
            <w:rFonts w:ascii="Cambria Math" w:hAnsi="Cambria Math"/>
          </w:rPr>
          <m:t>U=2.196 m/s</m:t>
        </m:r>
      </m:oMath>
      <w:r w:rsidRPr="00EC7DA6">
        <w:t xml:space="preserve"> to act as a baseline.</w:t>
      </w:r>
    </w:p>
    <w:p w14:paraId="245F0B87" w14:textId="77777777" w:rsidR="00EC7DA6" w:rsidRDefault="00EC7DA6" w:rsidP="00EC7DA6">
      <w:pPr>
        <w:jc w:val="both"/>
      </w:pPr>
    </w:p>
    <w:p w14:paraId="294078D8" w14:textId="6022D634" w:rsidR="00A01B09" w:rsidRDefault="00AC4AE5" w:rsidP="00AC4AE5">
      <w:pPr>
        <w:jc w:val="center"/>
      </w:pPr>
      <w:bookmarkStart w:id="8" w:name="_Ref108436966"/>
      <w:r>
        <w:rPr>
          <w:noProof/>
        </w:rPr>
        <w:lastRenderedPageBreak/>
        <w:drawing>
          <wp:inline distT="0" distB="0" distL="0" distR="0" wp14:anchorId="33808114" wp14:editId="10AFF7B7">
            <wp:extent cx="5331460" cy="3998890"/>
            <wp:effectExtent l="0" t="0" r="2540" b="190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345179" cy="4009180"/>
                    </a:xfrm>
                    <a:prstGeom prst="rect">
                      <a:avLst/>
                    </a:prstGeom>
                  </pic:spPr>
                </pic:pic>
              </a:graphicData>
            </a:graphic>
          </wp:inline>
        </w:drawing>
      </w:r>
    </w:p>
    <w:p w14:paraId="485AB6CA" w14:textId="19396692" w:rsidR="00EC7DA6" w:rsidRDefault="00EC7DA6" w:rsidP="00EC7DA6">
      <w:pPr>
        <w:pStyle w:val="Caption"/>
      </w:pPr>
      <w:bookmarkStart w:id="9" w:name="_Ref108526646"/>
      <w:r>
        <w:t xml:space="preserve">Figure </w:t>
      </w:r>
      <w:r w:rsidR="00922706">
        <w:fldChar w:fldCharType="begin"/>
      </w:r>
      <w:r w:rsidR="00922706">
        <w:instrText xml:space="preserve"> SEQ Figure \* ARABIC </w:instrText>
      </w:r>
      <w:r w:rsidR="00922706">
        <w:fldChar w:fldCharType="separate"/>
      </w:r>
      <w:r w:rsidR="00363A7B">
        <w:rPr>
          <w:noProof/>
        </w:rPr>
        <w:t>7</w:t>
      </w:r>
      <w:r w:rsidR="00922706">
        <w:rPr>
          <w:noProof/>
        </w:rPr>
        <w:fldChar w:fldCharType="end"/>
      </w:r>
      <w:bookmarkEnd w:id="8"/>
      <w:bookmarkEnd w:id="9"/>
      <w:r w:rsidR="00C21BFE">
        <w:t xml:space="preserve">. Total resistance coefficient against densimetric Froude number. Data is colour coded according to the dimensionless depth of the pycnocline. </w:t>
      </w:r>
    </w:p>
    <w:p w14:paraId="1EFB6698" w14:textId="3312D466" w:rsidR="00ED360D" w:rsidRDefault="001D00DC" w:rsidP="004E7A8E">
      <w:pPr>
        <w:jc w:val="both"/>
      </w:pPr>
      <w:r>
        <w:t xml:space="preserve">Figure 7 </w:t>
      </w:r>
      <w:r w:rsidR="004E7A8E" w:rsidRPr="004E7A8E">
        <w:t xml:space="preserve">shows that the </w:t>
      </w:r>
      <w:r w:rsidR="005C3A20">
        <w:t xml:space="preserve">total </w:t>
      </w:r>
      <w:r w:rsidR="004E7A8E" w:rsidRPr="004E7A8E">
        <w:t xml:space="preserve">resistance coefficient peaks between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i</m:t>
            </m:r>
          </m:sub>
        </m:sSub>
      </m:oMath>
      <w:r w:rsidR="004E7A8E" w:rsidRPr="004E7A8E">
        <w:t xml:space="preserve"> = 0.858 and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oMath>
      <w:r w:rsidR="004E7A8E" w:rsidRPr="004E7A8E">
        <w:t>=0.99. This is consistent with the results found by</w:t>
      </w:r>
      <w:r w:rsidR="00126522">
        <w:t xml:space="preserve"> </w:t>
      </w:r>
      <w:r w:rsidR="00126522">
        <w:fldChar w:fldCharType="begin" w:fldLock="1"/>
      </w:r>
      <w:r w:rsidR="00126522">
        <w:instrText>ADDIN CSL_CITATION {"citationItems":[{"id":"ITEM-1","itemData":{"abstract":"A linearized theory is presented for the dead-water phenomena. A two-layer fluid model of finite depth is assumed and the solutions for both wave resistance as well as the interface and free-surface disturbances are obtained in terms of Green's function. Numerical solutions are given for the case of a semi-submersible slender-body (prolate spheroid) moving steadily on the free-surface. (Authors)","author":[{"dropping-particle":"","family":"Miloh","given":"T.","non-dropping-particle":"","parse-names":false,"suffix":""},{"dropping-particle":"","family":"Tulin","given":"M. P.","non-dropping-particle":"","parse-names":false,"suffix":""},{"dropping-particle":"","family":"Zilman","given":"G.","non-dropping-particle":"","parse-names":false,"suffix":""}],"id":"ITEM-1","issue":"May 1993","issued":{"date-parts":[["1992"]]},"title":"Dead-water effects of a ship moving in stratified seas","type":"article-journal"},"uris":["http://www.mendeley.com/documents/?uuid=28cfd964-983c-4282-8d07-28356eb58b69"]}],"mendeley":{"formattedCitation":"(Miloh et al., 1992)","manualFormatting":"Miloh et al. (1992)","plainTextFormattedCitation":"(Miloh et al., 1992)","previouslyFormattedCitation":"(Miloh et al., 1992)"},"properties":{"noteIndex":0},"schema":"https://github.com/citation-style-language/schema/raw/master/csl-citation.json"}</w:instrText>
      </w:r>
      <w:r w:rsidR="00126522">
        <w:fldChar w:fldCharType="separate"/>
      </w:r>
      <w:r w:rsidR="00126522" w:rsidRPr="00126522">
        <w:rPr>
          <w:noProof/>
        </w:rPr>
        <w:t xml:space="preserve">Miloh et al. </w:t>
      </w:r>
      <w:r w:rsidR="00126522">
        <w:rPr>
          <w:noProof/>
        </w:rPr>
        <w:t>(</w:t>
      </w:r>
      <w:r w:rsidR="00126522" w:rsidRPr="00126522">
        <w:rPr>
          <w:noProof/>
        </w:rPr>
        <w:t>1992)</w:t>
      </w:r>
      <w:r w:rsidR="00126522">
        <w:fldChar w:fldCharType="end"/>
      </w:r>
      <w:r w:rsidR="004E7A8E" w:rsidRPr="004E7A8E">
        <w:t xml:space="preserve">, </w:t>
      </w:r>
      <w:r w:rsidR="00535468">
        <w:t>who</w:t>
      </w:r>
      <w:r w:rsidR="004E7A8E" w:rsidRPr="004E7A8E">
        <w:t xml:space="preserve"> found </w:t>
      </w:r>
      <w:r w:rsidR="000A5AAD">
        <w:t xml:space="preserve">that </w:t>
      </w:r>
      <w:r w:rsidR="005C3A20">
        <w:t xml:space="preserve">total </w:t>
      </w:r>
      <w:r w:rsidR="000A5AAD">
        <w:t xml:space="preserve">resistance </w:t>
      </w:r>
      <w:r w:rsidR="004E7A8E" w:rsidRPr="004E7A8E">
        <w:t>peak</w:t>
      </w:r>
      <w:r w:rsidR="000A5AAD">
        <w:t>s</w:t>
      </w:r>
      <w:r w:rsidR="004E7A8E" w:rsidRPr="004E7A8E">
        <w:t xml:space="preserve"> at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oMath>
      <w:r w:rsidR="004E7A8E" w:rsidRPr="004E7A8E">
        <w:t>= 0.88 using potential flow theory</w:t>
      </w:r>
      <w:r w:rsidR="005C3A20">
        <w:t>.</w:t>
      </w:r>
      <w:r w:rsidR="000A5AAD">
        <w:t xml:space="preserve"> Similarly, </w:t>
      </w:r>
      <w:r>
        <w:t xml:space="preserve">Figure 7 </w:t>
      </w:r>
      <w:r w:rsidR="000A5AAD">
        <w:t>confirms the</w:t>
      </w:r>
      <w:r w:rsidR="004E7A8E" w:rsidRPr="004E7A8E">
        <w:t xml:space="preserve"> results </w:t>
      </w:r>
      <w:r w:rsidR="000A5AAD">
        <w:t xml:space="preserve">of </w:t>
      </w:r>
      <w:r w:rsidR="00126522">
        <w:fldChar w:fldCharType="begin" w:fldLock="1"/>
      </w:r>
      <w:r w:rsidR="00BC6DC0">
        <w:instrText>ADDIN CSL_CITATION {"citationItems":[{"id":"ITEM-1","itemData":{"DOI":"10.1115/1.4037693","ISSN":"1528901X","abstract":"The dead water problem, in which under certain conditions a vessel advancing in a stratified fluid experiences a considerable increase in resistance respect to the equivalent case without stratification, was studied using computational fluid dynamics (CFD). The advance of a vessel in presence of a density interface (pycnocline) results in the generation of an internal wave that in the most adverse conditions can increase the total resistance coefficient by almost an order of magnitude. This paper analyses the effects of stratification on total and friction resistance, the near field wake, internal and free surface waves, and resistance dynamics. Some of these effects are reported for the first time, as limitations of previous efforts using potential flow are overcome by the use of a viscous, free surface CFD solver. A range of densimetric Froude numbers from subcritical to supercritical are evaluated changing both the ship speed and pycnocline depth, using as platform the research vessel athena. It was found that the presence of the internal wave causes a favorable pressure gradient, acceleration of the flow in the downstream of the hull, resulting in thinning of the boundary layer and increases of the friction resistance coefficient of up to 30%. The total resistance presents an unstable region that results in a hysteretic behavior, though the characteristic time to establish the speed-resistance curve, dominated by the formation of the internal waves, is very long and unlikely to cause problems in modern ship speed controllers.","author":[{"dropping-particle":"","family":"Esmaeilpour","given":"Mehdi","non-dropping-particle":"","parse-names":false,"suffix":""},{"dropping-particle":"","family":"Ezequiel Martin","given":"J.","non-dropping-particle":"","parse-names":false,"suffix":""},{"dropping-particle":"","family":"Carrica","given":"Pablo M.","non-dropping-particle":"","parse-names":false,"suffix":""}],"container-title":"Journal of Fluids Engineering, Transactions of the ASME","id":"ITEM-1","issue":"3","issued":{"date-parts":[["2018"]]},"page":"1-8","title":"Computational Fluid Dynamics Study of the Dead Water Problem","type":"article-journal","volume":"140"},"uris":["http://www.mendeley.com/documents/?uuid=c04ca327-52a7-4a49-9e43-c47a585b12d9"]}],"mendeley":{"formattedCitation":"(Esmaeilpour et al., 2018)","manualFormatting":"Esmaeilpour et al. (2018)","plainTextFormattedCitation":"(Esmaeilpour et al., 2018)","previouslyFormattedCitation":"(Esmaeilpour et al., 2018)"},"properties":{"noteIndex":0},"schema":"https://github.com/citation-style-language/schema/raw/master/csl-citation.json"}</w:instrText>
      </w:r>
      <w:r w:rsidR="00126522">
        <w:fldChar w:fldCharType="separate"/>
      </w:r>
      <w:r w:rsidR="00126522" w:rsidRPr="00126522">
        <w:rPr>
          <w:noProof/>
        </w:rPr>
        <w:t xml:space="preserve">Esmaeilpour et al. </w:t>
      </w:r>
      <w:r w:rsidR="00126522">
        <w:rPr>
          <w:noProof/>
        </w:rPr>
        <w:t>(</w:t>
      </w:r>
      <w:r w:rsidR="00126522" w:rsidRPr="00126522">
        <w:rPr>
          <w:noProof/>
        </w:rPr>
        <w:t>2018)</w:t>
      </w:r>
      <w:r w:rsidR="00126522">
        <w:fldChar w:fldCharType="end"/>
      </w:r>
      <w:r w:rsidR="004E7A8E" w:rsidRPr="004E7A8E">
        <w:t xml:space="preserve">, </w:t>
      </w:r>
      <w:r w:rsidR="000A5AAD">
        <w:t>who</w:t>
      </w:r>
      <w:r w:rsidR="004E7A8E" w:rsidRPr="004E7A8E">
        <w:t xml:space="preserve"> found the peak </w:t>
      </w:r>
      <w:r w:rsidR="000A5AAD">
        <w:t xml:space="preserve">of </w:t>
      </w:r>
      <w:r w:rsidR="004E7A8E" w:rsidRPr="004E7A8E">
        <w:t xml:space="preserve">resistance between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oMath>
      <w:r w:rsidR="004E7A8E" w:rsidRPr="004E7A8E">
        <w:t xml:space="preserve">= 0.83 and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oMath>
      <w:r w:rsidR="004E7A8E" w:rsidRPr="004E7A8E">
        <w:t xml:space="preserve">=0.91 using CFD. The latter also </w:t>
      </w:r>
      <w:r w:rsidR="000A5AAD">
        <w:t>reported</w:t>
      </w:r>
      <w:r w:rsidR="004E7A8E" w:rsidRPr="004E7A8E">
        <w:t xml:space="preserve"> </w:t>
      </w:r>
      <w:r w:rsidR="000A5AAD">
        <w:t>the</w:t>
      </w:r>
      <w:r w:rsidR="004E7A8E" w:rsidRPr="004E7A8E">
        <w:t xml:space="preserve"> increase in resistance coefficient to be around 6 times higher than the resistance coefficient of the homogeneous case</w:t>
      </w:r>
      <w:r w:rsidR="000A5AAD">
        <w:t xml:space="preserve">. This is </w:t>
      </w:r>
      <w:r w:rsidR="004E7A8E" w:rsidRPr="004E7A8E">
        <w:t xml:space="preserve">consistent with </w:t>
      </w:r>
      <w:r w:rsidR="000A5AAD">
        <w:t>our</w:t>
      </w:r>
      <w:r w:rsidR="004E7A8E" w:rsidRPr="004E7A8E">
        <w:t xml:space="preserve"> findings</w:t>
      </w:r>
      <w:r w:rsidR="000A5AAD">
        <w:t>:</w:t>
      </w:r>
      <w:r w:rsidR="004E7A8E" w:rsidRPr="004E7A8E">
        <w:t xml:space="preserve"> the resistance coefficient at </w:t>
      </w:r>
      <m:oMath>
        <m:r>
          <w:rPr>
            <w:rFonts w:ascii="Cambria Math" w:hAnsi="Cambria Math"/>
          </w:rPr>
          <m:t>U=3.66</m:t>
        </m:r>
      </m:oMath>
      <w:r w:rsidR="00126522">
        <w:rPr>
          <w:rFonts w:eastAsiaTheme="minorEastAsia"/>
        </w:rPr>
        <w:t xml:space="preserve"> m/s</w:t>
      </w:r>
      <w:r w:rsidR="004E7A8E" w:rsidRPr="004E7A8E">
        <w:t xml:space="preserve"> </w:t>
      </w:r>
      <w:r w:rsidR="000A5AAD">
        <w:t>is predicted as</w:t>
      </w:r>
      <w:r w:rsidR="004E7A8E" w:rsidRPr="004E7A8E">
        <w:t xml:space="preserve"> 0.00454 for the homogeneous case compared to 0.02629</w:t>
      </w:r>
      <w:r w:rsidR="005C3A20">
        <w:t xml:space="preserve">; </w:t>
      </w:r>
      <w:r w:rsidR="005C3A20" w:rsidRPr="004E7A8E">
        <w:t>an</w:t>
      </w:r>
      <w:r w:rsidR="004E7A8E" w:rsidRPr="004E7A8E">
        <w:t xml:space="preserve"> increase of </w:t>
      </w:r>
      <w:r w:rsidR="00680329">
        <w:t>approximately</w:t>
      </w:r>
      <w:r w:rsidR="004E7A8E" w:rsidRPr="004E7A8E">
        <w:t xml:space="preserve"> 58</w:t>
      </w:r>
      <w:r w:rsidR="00126522">
        <w:t>0%</w:t>
      </w:r>
      <w:r w:rsidR="004E7A8E" w:rsidRPr="004E7A8E">
        <w:t xml:space="preserve">.  </w:t>
      </w:r>
    </w:p>
    <w:p w14:paraId="1C52F490" w14:textId="2EA61399" w:rsidR="006F0AA4" w:rsidRDefault="00AC4AE5" w:rsidP="008F4194">
      <w:pPr>
        <w:jc w:val="center"/>
      </w:pPr>
      <w:r>
        <w:rPr>
          <w:noProof/>
        </w:rPr>
        <w:lastRenderedPageBreak/>
        <w:drawing>
          <wp:inline distT="0" distB="0" distL="0" distR="0" wp14:anchorId="344A9073" wp14:editId="25A9A546">
            <wp:extent cx="5731510" cy="4298950"/>
            <wp:effectExtent l="0" t="0" r="2540" b="635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731510" cy="4298950"/>
                    </a:xfrm>
                    <a:prstGeom prst="rect">
                      <a:avLst/>
                    </a:prstGeom>
                  </pic:spPr>
                </pic:pic>
              </a:graphicData>
            </a:graphic>
          </wp:inline>
        </w:drawing>
      </w:r>
    </w:p>
    <w:p w14:paraId="49309E47" w14:textId="7CF95922" w:rsidR="00DC4DDA" w:rsidRDefault="00DC4DDA" w:rsidP="00DC4DDA">
      <w:pPr>
        <w:pStyle w:val="Caption"/>
      </w:pPr>
      <w:bookmarkStart w:id="10" w:name="_Ref108526471"/>
      <w:r>
        <w:t xml:space="preserve">Figure </w:t>
      </w:r>
      <w:r w:rsidR="00922706">
        <w:fldChar w:fldCharType="begin"/>
      </w:r>
      <w:r w:rsidR="00922706">
        <w:instrText xml:space="preserve"> SEQ Figure \* ARABIC </w:instrText>
      </w:r>
      <w:r w:rsidR="00922706">
        <w:fldChar w:fldCharType="separate"/>
      </w:r>
      <w:r w:rsidR="00363A7B">
        <w:rPr>
          <w:noProof/>
        </w:rPr>
        <w:t>8</w:t>
      </w:r>
      <w:r w:rsidR="00922706">
        <w:rPr>
          <w:noProof/>
        </w:rPr>
        <w:fldChar w:fldCharType="end"/>
      </w:r>
      <w:bookmarkEnd w:id="10"/>
      <w:r>
        <w:t xml:space="preserve">. </w:t>
      </w:r>
      <w:r w:rsidR="005A4AA3">
        <w:t xml:space="preserve">Total resistance coefficients as a function of </w:t>
      </w:r>
      <w:r w:rsidR="005C3A20">
        <w:t>the pycnocline</w:t>
      </w:r>
      <w:r w:rsidR="000B310F">
        <w:t xml:space="preserve"> </w:t>
      </w:r>
      <w:r w:rsidR="005A4AA3">
        <w:t>depth-to-draft ratio.</w:t>
      </w:r>
    </w:p>
    <w:p w14:paraId="771F9365" w14:textId="05D129FC" w:rsidR="00680329" w:rsidRDefault="009C4F4E" w:rsidP="004E7A8E">
      <w:pPr>
        <w:jc w:val="both"/>
      </w:pPr>
      <w:r>
        <w:fldChar w:fldCharType="begin"/>
      </w:r>
      <w:r>
        <w:instrText xml:space="preserve"> REF _Ref108526471 \h </w:instrText>
      </w:r>
      <w:r>
        <w:fldChar w:fldCharType="separate"/>
      </w:r>
      <w:r w:rsidR="00363A7B">
        <w:t xml:space="preserve">Figure </w:t>
      </w:r>
      <w:r w:rsidR="00363A7B">
        <w:rPr>
          <w:noProof/>
        </w:rPr>
        <w:t>8</w:t>
      </w:r>
      <w:r>
        <w:fldChar w:fldCharType="end"/>
      </w:r>
      <w:r>
        <w:t xml:space="preserve"> </w:t>
      </w:r>
      <w:r w:rsidRPr="009C4F4E">
        <w:t>shows the</w:t>
      </w:r>
      <w:r>
        <w:t xml:space="preserve"> numerically predicted</w:t>
      </w:r>
      <w:r w:rsidRPr="009C4F4E">
        <w:t xml:space="preserve"> </w:t>
      </w:r>
      <w:r>
        <w:t xml:space="preserve">total </w:t>
      </w:r>
      <w:r w:rsidRPr="009C4F4E">
        <w:t>resistance coefficient</w:t>
      </w:r>
      <w:r>
        <w:t>s</w:t>
      </w:r>
      <w:r w:rsidRPr="009C4F4E">
        <w:t xml:space="preserve"> as a function of pycnocline depth. </w:t>
      </w:r>
      <w:r>
        <w:t>The figure</w:t>
      </w:r>
      <w:r w:rsidRPr="009C4F4E">
        <w:t xml:space="preserve"> demonstrates that for the range of realistic pycnocline depths there is almost no increase in resistance for a hull travelling at service speed. This is consistent with the findings of </w:t>
      </w:r>
      <w:r w:rsidR="00BC6DC0">
        <w:fldChar w:fldCharType="begin" w:fldLock="1"/>
      </w:r>
      <w:r w:rsidR="00CB1FCB">
        <w:instrText>ADDIN CSL_CITATION {"citationItems":[{"id":"ITEM-1","itemData":{"DOI":"10.1115/1.4037693","ISSN":"1528901X","abstract":"The dead water problem, in which under certain conditions a vessel advancing in a stratified fluid experiences a considerable increase in resistance respect to the equivalent case without stratification, was studied using computational fluid dynamics (CFD). The advance of a vessel in presence of a density interface (pycnocline) results in the generation of an internal wave that in the most adverse conditions can increase the total resistance coefficient by almost an order of magnitude. This paper analyses the effects of stratification on total and friction resistance, the near field wake, internal and free surface waves, and resistance dynamics. Some of these effects are reported for the first time, as limitations of previous efforts using potential flow are overcome by the use of a viscous, free surface CFD solver. A range of densimetric Froude numbers from subcritical to supercritical are evaluated changing both the ship speed and pycnocline depth, using as platform the research vessel athena. It was found that the presence of the internal wave causes a favorable pressure gradient, acceleration of the flow in the downstream of the hull, resulting in thinning of the boundary layer and increases of the friction resistance coefficient of up to 30%. The total resistance presents an unstable region that results in a hysteretic behavior, though the characteristic time to establish the speed-resistance curve, dominated by the formation of the internal waves, is very long and unlikely to cause problems in modern ship speed controllers.","author":[{"dropping-particle":"","family":"Esmaeilpour","given":"Mehdi","non-dropping-particle":"","parse-names":false,"suffix":""},{"dropping-particle":"","family":"Ezequiel Martin","given":"J.","non-dropping-particle":"","parse-names":false,"suffix":""},{"dropping-particle":"","family":"Carrica","given":"Pablo M.","non-dropping-particle":"","parse-names":false,"suffix":""}],"container-title":"Journal of Fluids Engineering, Transactions of the ASME","id":"ITEM-1","issue":"3","issued":{"date-parts":[["2018"]]},"page":"1-8","title":"Computational Fluid Dynamics Study of the Dead Water Problem","type":"article-journal","volume":"140"},"uris":["http://www.mendeley.com/documents/?uuid=c04ca327-52a7-4a49-9e43-c47a585b12d9"]}],"mendeley":{"formattedCitation":"(Esmaeilpour et al., 2018)","manualFormatting":"Esmaeilpour et al. (2018)","plainTextFormattedCitation":"(Esmaeilpour et al., 2018)","previouslyFormattedCitation":"(Esmaeilpour et al., 2018)"},"properties":{"noteIndex":0},"schema":"https://github.com/citation-style-language/schema/raw/master/csl-citation.json"}</w:instrText>
      </w:r>
      <w:r w:rsidR="00BC6DC0">
        <w:fldChar w:fldCharType="separate"/>
      </w:r>
      <w:r w:rsidR="00BC6DC0" w:rsidRPr="00BC6DC0">
        <w:rPr>
          <w:noProof/>
        </w:rPr>
        <w:t xml:space="preserve">Esmaeilpour et al. </w:t>
      </w:r>
      <w:r w:rsidR="00BC6DC0">
        <w:rPr>
          <w:noProof/>
        </w:rPr>
        <w:t>(</w:t>
      </w:r>
      <w:r w:rsidR="00BC6DC0" w:rsidRPr="00BC6DC0">
        <w:rPr>
          <w:noProof/>
        </w:rPr>
        <w:t>2018)</w:t>
      </w:r>
      <w:r w:rsidR="00BC6DC0">
        <w:fldChar w:fldCharType="end"/>
      </w:r>
      <w:r w:rsidRPr="009C4F4E">
        <w:t xml:space="preserve"> which saw little to no increase in resistance for experiments with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i</m:t>
            </m:r>
          </m:sub>
        </m:sSub>
      </m:oMath>
      <w:r w:rsidRPr="009C4F4E">
        <w:t xml:space="preserve"> &gt; 2.</w:t>
      </w:r>
      <w:r w:rsidR="002275FE">
        <w:t xml:space="preserve"> Such results are analogous to those obtained for shallow water where the </w:t>
      </w:r>
      <w:r w:rsidR="005B450E">
        <w:t xml:space="preserve">densimetric </w:t>
      </w:r>
      <w:r w:rsidR="002275FE">
        <w:t>Froude number is replaced by the depth Froude number</w:t>
      </w:r>
      <w:r w:rsidR="00CB1FCB">
        <w:t xml:space="preserve"> </w:t>
      </w:r>
      <w:r w:rsidR="00CB1FCB">
        <w:fldChar w:fldCharType="begin" w:fldLock="1"/>
      </w:r>
      <w:r w:rsidR="00A305CF">
        <w:instrText>ADDIN CSL_CITATION {"citationItems":[{"id":"ITEM-1","itemData":{"DOI":"10.1098/rspa.1933.0074","ISSN":"1364-5021","author":[{"dropping-particle":"","family":"Havelock","given":"T","non-dropping-particle":"","parse-names":false,"suffix":""}],"container-title":"Proceedings of the Royal Society of London. Series A, Containing Papers of a Mathematical and Physical Character,","id":"ITEM-1","issue":"549","issued":{"date-parts":[["1908"]]},"page":"389-430","title":"The Propagation of Groups of Waves in Dispersive Media, with Aplication to Waves on Water produced by a Travelling Disturbance","type":"article-journal","volume":"81"},"uris":["http://www.mendeley.com/documents/?uuid=f1d021d3-6733-4b9c-9843-c9b3140c3767"]}],"mendeley":{"formattedCitation":"(Havelock, 1908)","plainTextFormattedCitation":"(Havelock, 1908)","previouslyFormattedCitation":"(Havelock, 1908)"},"properties":{"noteIndex":0},"schema":"https://github.com/citation-style-language/schema/raw/master/csl-citation.json"}</w:instrText>
      </w:r>
      <w:r w:rsidR="00CB1FCB">
        <w:fldChar w:fldCharType="separate"/>
      </w:r>
      <w:r w:rsidR="00CB1FCB" w:rsidRPr="00CB1FCB">
        <w:rPr>
          <w:noProof/>
        </w:rPr>
        <w:t>(Havelock, 1908)</w:t>
      </w:r>
      <w:r w:rsidR="00CB1FCB">
        <w:fldChar w:fldCharType="end"/>
      </w:r>
      <w:r w:rsidR="002275FE">
        <w:t>. The latter expresses the ratio of the wave celerity and ship speed, and as is the case in internal wavemaking, shallow water wavemaking peaks when the depth Froude number is approximately 1</w:t>
      </w:r>
      <w:r w:rsidR="009E3944">
        <w:t xml:space="preserve"> </w:t>
      </w:r>
      <w:r w:rsidR="009E3944">
        <w:fldChar w:fldCharType="begin" w:fldLock="1"/>
      </w:r>
      <w:r w:rsidR="004934AB">
        <w:instrText>ADDIN CSL_CITATION {"citationItems":[{"id":"ITEM-1","itemData":{"DOI":"10.1080/17445302.2020.1816731","ISSN":"17445302","abstract":"Shallow water studies of ship hydrodynamics typically examine a single, constant underwater canal cross-section at a time. In practice, the underwater cross-sectional area and shape of the waterway is rarely maintained constant over long distances. This study presents an attempt to quantify the effects of an abruptly varying water depth by numerically modelling such a condition using CFD. The results show that waves propagate and refract in the numerical towing tank in a physically consistent manner showing less than 0.1% error in the dissipation of a solitary wave when compared to analytical relations. A strong boundary layer is formed on the canal bottom almost as soon as the ship enters the shallower region. The resistance increase, resulting from the depth change is up to approximately 226% of the initial value near critical speeds.","author":[{"dropping-particle":"","family":"Terziev","given":"M.","non-dropping-particle":"","parse-names":false,"suffix":""},{"dropping-particle":"","family":"Tezdogan","given":"Tahsin","non-dropping-particle":"","parse-names":false,"suffix":""},{"dropping-particle":"","family":"Incecik","given":"Atilla","non-dropping-particle":"","parse-names":false,"suffix":""}],"container-title":"Ships and Offshore Structures","id":"ITEM-1","issued":{"date-parts":[["2020"]]},"publisher":"Taylor &amp; Francis","title":"Modelling the hydrodynamic effect of abrupt water depth changes on a ship travelling in restricted waters using CFD","type":"article-journal"},"uris":["http://www.mendeley.com/documents/?uuid=94f7c82c-32c3-4bb9-9147-b0d7eecb5c9a"]},{"id":"ITEM-2","itemData":{"DOI":"10.1103/physrevfluids.5.064803","ISSN":"0031-899X","abstract":"During motion from deep to shallow water, multiple equilibria may emerge, each with identical drag. In this study, we show experimentally that the same drag force may be experienced at several different speeds of body motion in shallow water, and that this can be explained by a localised amplification of the wave drag near the shallow wave speed. Whilst wave drag in shallow water has been predicted with varying degrees of accuracy by several inviscid models, the bifurcation properties have not yet been discussed. Here, we address the nonlinear dynamics by considering the quasi-steady motion of a body between deep and shallow water, where the depth is slowly varying. In particular, we illustrate possible hysteresis routes between coexisting equilibrium states that have significantly different velocities, presenting interesting implications for naval and racing applications.","author":[{"dropping-particle":"","family":"Benham","given":"Graham P.","non-dropping-particle":"","parse-names":false,"suffix":""},{"dropping-particle":"","family":"Bendimerad","given":"R.","non-dropping-particle":"","parse-names":false,"suffix":""},{"dropping-particle":"","family":"Benzaquen","given":"Michael","non-dropping-particle":"","parse-names":false,"suffix":""},{"dropping-particle":"","family":"Clanet","given":"Christophe","non-dropping-particle":"","parse-names":false,"suffix":""}],"container-title":"Physical Review Fluids","id":"ITEM-2","issue":"6","issued":{"date-parts":[["2020"]]},"page":"64803","publisher":"American Physical Society","title":"Hysteretic wave drag in shallow water","type":"article-journal","volume":"5"},"uris":["http://www.mendeley.com/documents/?uuid=f16cf046-8362-4125-ab21-2e021df918a6"]}],"mendeley":{"formattedCitation":"(Benham et al., 2020; Terziev et al., 2020)","plainTextFormattedCitation":"(Benham et al., 2020; Terziev et al., 2020)","previouslyFormattedCitation":"(Benham et al., 2020; Terziev et al., 2020)"},"properties":{"noteIndex":0},"schema":"https://github.com/citation-style-language/schema/raw/master/csl-citation.json"}</w:instrText>
      </w:r>
      <w:r w:rsidR="009E3944">
        <w:fldChar w:fldCharType="separate"/>
      </w:r>
      <w:r w:rsidR="009E3944" w:rsidRPr="009E3944">
        <w:rPr>
          <w:noProof/>
        </w:rPr>
        <w:t>(Benham et al., 2020; Terziev et al., 2020)</w:t>
      </w:r>
      <w:r w:rsidR="009E3944">
        <w:fldChar w:fldCharType="end"/>
      </w:r>
      <w:r w:rsidR="00CB1FCB">
        <w:t xml:space="preserve">, as shown in </w:t>
      </w:r>
      <w:r w:rsidR="00CB1FCB">
        <w:fldChar w:fldCharType="begin"/>
      </w:r>
      <w:r w:rsidR="00CB1FCB">
        <w:instrText xml:space="preserve"> REF _Ref108526646 \h </w:instrText>
      </w:r>
      <w:r w:rsidR="00CB1FCB">
        <w:fldChar w:fldCharType="separate"/>
      </w:r>
      <w:r w:rsidR="00363A7B">
        <w:t xml:space="preserve">Figure </w:t>
      </w:r>
      <w:r w:rsidR="00363A7B">
        <w:rPr>
          <w:noProof/>
        </w:rPr>
        <w:t>7</w:t>
      </w:r>
      <w:r w:rsidR="00CB1FCB">
        <w:fldChar w:fldCharType="end"/>
      </w:r>
      <w:r w:rsidR="00CB1FCB">
        <w:t xml:space="preserve"> and </w:t>
      </w:r>
      <w:r w:rsidR="00CB1FCB">
        <w:fldChar w:fldCharType="begin"/>
      </w:r>
      <w:r w:rsidR="00CB1FCB">
        <w:instrText xml:space="preserve"> REF _Ref108526471 \h </w:instrText>
      </w:r>
      <w:r w:rsidR="00CB1FCB">
        <w:fldChar w:fldCharType="separate"/>
      </w:r>
      <w:r w:rsidR="00363A7B">
        <w:t xml:space="preserve">Figure </w:t>
      </w:r>
      <w:r w:rsidR="00363A7B">
        <w:rPr>
          <w:noProof/>
        </w:rPr>
        <w:t>8</w:t>
      </w:r>
      <w:r w:rsidR="00CB1FCB">
        <w:fldChar w:fldCharType="end"/>
      </w:r>
      <w:r w:rsidR="00CB1FCB">
        <w:t xml:space="preserve"> in the case of dead water.</w:t>
      </w:r>
    </w:p>
    <w:p w14:paraId="02E2EF3D" w14:textId="2E2732EB" w:rsidR="009E3944" w:rsidRDefault="009E3944" w:rsidP="009E3944">
      <w:pPr>
        <w:pStyle w:val="Heading2"/>
      </w:pPr>
      <w:r>
        <w:t>Resistance decomposition</w:t>
      </w:r>
    </w:p>
    <w:p w14:paraId="17F2619A" w14:textId="66B3DED8" w:rsidR="009E3944" w:rsidRDefault="009E3944" w:rsidP="009C62EC">
      <w:pPr>
        <w:jc w:val="both"/>
      </w:pPr>
      <w:r>
        <w:t xml:space="preserve">The total resistance coefficient is composed of </w:t>
      </w:r>
      <w:r w:rsidR="009C62EC">
        <w:t xml:space="preserve">frictional resistance and pressure resistance. The latter contains viscous pressure drag and wave drag </w:t>
      </w:r>
      <w:r w:rsidR="009C62EC">
        <w:fldChar w:fldCharType="begin" w:fldLock="1"/>
      </w:r>
      <w:r w:rsidR="00B77721">
        <w:instrText>ADDIN CSL_CITATION {"citationItems":[{"id":"ITEM-1","itemData":{"DOI":"10.1017/9781316494196.005","author":[{"dropping-particle":"","family":"Molland","given":"A.F.","non-dropping-particle":"","parse-names":false,"suffix":""},{"dropping-particle":"","family":"Turnock","given":"S. R.","non-dropping-particle":"","parse-names":false,"suffix":""},{"dropping-particle":"","family":"Hudson","given":"D. A.","non-dropping-particle":"","parse-names":false,"suffix":""}],"container-title":"Ship Resistance and Propulsion: Practical Estimation of Ship Propulsive Power","edition":"2nd","id":"ITEM-1","issued":{"date-parts":[["2017"]]},"page":"12-69","publisher":"Cambridge University Press","publisher-place":"Cambridge","title":"Components of Hull Resistance","type":"chapter"},"uris":["http://www.mendeley.com/documents/?uuid=2a8be0ac-29b6-3563-b7b2-3f19580d841d"]}],"mendeley":{"formattedCitation":"(Molland et al., 2017)","plainTextFormattedCitation":"(Molland et al., 2017)","previouslyFormattedCitation":"(Molland et al., 2017)"},"properties":{"noteIndex":0},"schema":"https://github.com/citation-style-language/schema/raw/master/csl-citation.json"}</w:instrText>
      </w:r>
      <w:r w:rsidR="009C62EC">
        <w:fldChar w:fldCharType="separate"/>
      </w:r>
      <w:r w:rsidR="009C62EC" w:rsidRPr="009C62EC">
        <w:rPr>
          <w:noProof/>
        </w:rPr>
        <w:t>(Molland et al., 2017)</w:t>
      </w:r>
      <w:r w:rsidR="009C62EC">
        <w:fldChar w:fldCharType="end"/>
      </w:r>
      <w:r w:rsidR="009C62EC">
        <w:t xml:space="preserve">. </w:t>
      </w:r>
      <w:r w:rsidR="00CD2BB7">
        <w:t xml:space="preserve">As shown previously, the total resistance </w:t>
      </w:r>
      <w:r w:rsidR="008E56D6">
        <w:t xml:space="preserve">can vary considerably under certain conditions, but </w:t>
      </w:r>
      <w:r w:rsidR="00861706">
        <w:t xml:space="preserve">it is also important to show the reasons behind this increase. </w:t>
      </w:r>
      <w:r w:rsidR="00B77721">
        <w:t xml:space="preserve">In other </w:t>
      </w:r>
      <w:r w:rsidR="00B77721">
        <w:lastRenderedPageBreak/>
        <w:t xml:space="preserve">words, </w:t>
      </w:r>
      <w:r w:rsidR="00B24E3E">
        <w:t>the distribution of frictional and pressure resistance coefficients is examined within this subsection.</w:t>
      </w:r>
    </w:p>
    <w:p w14:paraId="3EC615FC" w14:textId="0C107A65" w:rsidR="00861706" w:rsidRDefault="004934AB" w:rsidP="009C62EC">
      <w:pPr>
        <w:jc w:val="both"/>
      </w:pPr>
      <w:r>
        <w:fldChar w:fldCharType="begin"/>
      </w:r>
      <w:r>
        <w:instrText xml:space="preserve"> REF _Ref109896191 \h </w:instrText>
      </w:r>
      <w:r>
        <w:fldChar w:fldCharType="separate"/>
      </w:r>
      <w:r w:rsidR="00363A7B">
        <w:t xml:space="preserve">Figure </w:t>
      </w:r>
      <w:r w:rsidR="00363A7B">
        <w:rPr>
          <w:noProof/>
        </w:rPr>
        <w:t>9</w:t>
      </w:r>
      <w:r>
        <w:fldChar w:fldCharType="end"/>
      </w:r>
      <w:r>
        <w:t xml:space="preserve"> </w:t>
      </w:r>
      <w:r w:rsidR="00175CDC" w:rsidRPr="00175CDC">
        <w:t>shows the breakdown of the resistance coefficient into its shear resistance and pressure resistance components. It demonstrates that for example with little increase in total resistance (i.e. examples with a total resistance coefficient close to 0.005) shear effects are dominant, which is to be expected at such a low speed</w:t>
      </w:r>
      <w:r w:rsidR="00B77721">
        <w:t xml:space="preserve"> </w:t>
      </w:r>
      <w:r w:rsidR="00B77721">
        <w:fldChar w:fldCharType="begin" w:fldLock="1"/>
      </w:r>
      <w:r w:rsidR="00A305CF">
        <w:instrText>ADDIN CSL_CITATION {"citationItems":[{"id":"ITEM-1","itemData":{"DOI":"10.1016/j.oceaneng.2019.01.056","ISSN":"00298018","abstract":"To reduce the fuel consumption and green-house gas emissions of ships, it is necessary to understand the ship resistance. In this context, understanding the effect of surface roughness on the frictional resistance is of particular importance since the skin friction, which often takes a large portion in ship drag, increases with surface roughness. Although a large number of studies have been carried out since the age of William Froude, understanding the roughness effect is yet challenging due to its unique feature in scaling. In this study, a Computational Fluid Dynamics (CFD) based unsteady Reynolds Averaged Navier-Stokes (RANS) resistance simulation model was developed to predict the effect of barnacle fouling mainly on the resistance and hull wake characteristics of the full-scale KRISO container ship (KCS) hull. Initially, a roughness function model was employed in the wall-function of the CFD software to represent the surface conditions of barnacle fouling. A validation study was carried out involving the model-scale flat plate simulation, and then the same approach was applied in full-scale flat plate simulation and full-scale 3D KCS hull simulation for predicting the effect of barnacle fouling. The increase in frictional resistance due to the different fouling conditions were predicted and compared with the results obtained using the boundary layer similarity law analysis of Granville. Also, a further investigation of the roughness effect on the residuary resistance, viscous pressure resistance and wave making resistance was carried out. Finally, the roughness effect on the wave profile, pressure distribution along the hull, velocity distribution around the hull and wake flows were examined.","author":[{"dropping-particle":"","family":"Song","given":"Soonseok","non-dropping-particle":"","parse-names":false,"suffix":""},{"dropping-particle":"","family":"Demirel","given":"Yigit Kemal","non-dropping-particle":"","parse-names":false,"suffix":""},{"dropping-particle":"","family":"Atlar","given":"Mehmet","non-dropping-particle":"","parse-names":false,"suffix":""}],"container-title":"Ocean Engineering","id":"ITEM-1","issue":"January","issued":{"date-parts":[["2019"]]},"page":"122-137","publisher":"Elsevier Ltd","title":"An investigation into the effect of biofouling on the ship hydrodynamic characteristics using CFD","type":"article-journal","volume":"175"},"uris":["http://www.mendeley.com/documents/?uuid=1e1e32e5-0b55-4bae-ac9b-aeda42c13a33"]},{"id":"ITEM-2","itemData":{"DOI":"10.1016/j.ijnaoe.2020.12.002","ISSN":"20926790","abstract":"The problem of predicting a ship's form factor and associated scale effects has been subject to many investigations in recent years. In this study, an attempt is made to investigate whether the form factor is influenced by a change in the ship's speed by numerically modelling a geosim series of the KCS hull form by means of a RANS solver. The turbulence dependence of the problem is also studied by altering the closure model among three widely used approaches (the k-ω, k-ω SST, and k-ε models). The results show that at very low speeds (Froude numbers in the range of 0.02–0.06) the numerical model predicts changes in the form factor of a ship between 10% and 20%, depending on the turbulence model and scale factor choices. As the speed is increased further, the form factor exhibits little change, usually in the range of 1% or less. Simulations where the Reynolds number is changed by approximately two orders of magnitude, achieved by altering the value of viscosity, confirmed that the form factor can be considered Froude-dependent only for low speeds, predicting essentially identical values when high speed cases are considered.","author":[{"dropping-particle":"","family":"Terziev","given":"M.","non-dropping-particle":"","parse-names":false,"suffix":""},{"dropping-particle":"","family":"Tezdogan","given":"Tahsin","non-dropping-particle":"","parse-names":false,"suffix":""},{"dropping-particle":"","family":"Demirel","given":"Yigit Kemal","non-dropping-particle":"","parse-names":false,"suffix":""},{"dropping-particle":"","family":"Villa","given":"Diego","non-dropping-particle":"","parse-names":false,"suffix":""},{"dropping-particle":"","family":"Mizzi","given":"Simon","non-dropping-particle":"","parse-names":false,"suffix":""},{"dropping-particle":"","family":"Incecik","given":"Atilla","non-dropping-particle":"","parse-names":false,"suffix":""}],"container-title":"International Journal of Naval Architecture and Ocean Engineering","id":"ITEM-2","issued":{"date-parts":[["2021"]]},"page":"147-162","title":"Exploring the effects of speed and scale on a ship's form factor using CFD","type":"article-journal","volume":"13"},"uris":["http://www.mendeley.com/documents/?uuid=d6c9a7d6-68a6-4f1a-82fc-ad931acf0659"]}],"mendeley":{"formattedCitation":"(Song et al., 2019; Terziev et al., 2021a)","plainTextFormattedCitation":"(Song et al., 2019; Terziev et al., 2021a)","previouslyFormattedCitation":"(Song et al., 2019; Terziev et al., 2021a)"},"properties":{"noteIndex":0},"schema":"https://github.com/citation-style-language/schema/raw/master/csl-citation.json"}</w:instrText>
      </w:r>
      <w:r w:rsidR="00B77721">
        <w:fldChar w:fldCharType="separate"/>
      </w:r>
      <w:r w:rsidR="00170A0C" w:rsidRPr="00170A0C">
        <w:rPr>
          <w:noProof/>
        </w:rPr>
        <w:t>(Song et al., 2019; Terziev et al., 2021a)</w:t>
      </w:r>
      <w:r w:rsidR="00B77721">
        <w:fldChar w:fldCharType="end"/>
      </w:r>
      <w:r w:rsidR="00175CDC" w:rsidRPr="00175CDC">
        <w:t>. However for example with a large increase in resistance the pressure resistance is dominant. This is because the generation of internal waves, like conventional wave-making resistance, is a pressure effect</w:t>
      </w:r>
      <w:r w:rsidR="00B24E3E">
        <w:t>.</w:t>
      </w:r>
      <w:r w:rsidR="001F108F">
        <w:t xml:space="preserve"> The relative make-up of the total resistance coefficient is further analysed in </w:t>
      </w:r>
      <w:r w:rsidR="00F151B5">
        <w:fldChar w:fldCharType="begin"/>
      </w:r>
      <w:r w:rsidR="00F151B5">
        <w:instrText xml:space="preserve"> REF _Ref108527647 \h </w:instrText>
      </w:r>
      <w:r w:rsidR="00F151B5">
        <w:fldChar w:fldCharType="separate"/>
      </w:r>
      <w:r w:rsidR="00363A7B">
        <w:t xml:space="preserve">Figure </w:t>
      </w:r>
      <w:r w:rsidR="00363A7B">
        <w:rPr>
          <w:noProof/>
        </w:rPr>
        <w:t>10</w:t>
      </w:r>
      <w:r w:rsidR="00F151B5">
        <w:fldChar w:fldCharType="end"/>
      </w:r>
      <w:r w:rsidR="00F151B5">
        <w:t>.</w:t>
      </w:r>
    </w:p>
    <w:p w14:paraId="75FF0861" w14:textId="19356D99" w:rsidR="00B24E3E" w:rsidRDefault="00F43113" w:rsidP="001F108F">
      <w:pPr>
        <w:jc w:val="center"/>
      </w:pPr>
      <w:r>
        <w:rPr>
          <w:noProof/>
        </w:rPr>
        <w:drawing>
          <wp:inline distT="0" distB="0" distL="0" distR="0" wp14:anchorId="31BA4E97" wp14:editId="7040410C">
            <wp:extent cx="5731510" cy="3385185"/>
            <wp:effectExtent l="0" t="0" r="2540" b="571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731510" cy="3385185"/>
                    </a:xfrm>
                    <a:prstGeom prst="rect">
                      <a:avLst/>
                    </a:prstGeom>
                  </pic:spPr>
                </pic:pic>
              </a:graphicData>
            </a:graphic>
          </wp:inline>
        </w:drawing>
      </w:r>
    </w:p>
    <w:p w14:paraId="715A6534" w14:textId="55F96B7A" w:rsidR="00B24E3E" w:rsidRDefault="0083149F" w:rsidP="0083149F">
      <w:pPr>
        <w:pStyle w:val="Caption"/>
        <w:rPr>
          <w:rFonts w:eastAsiaTheme="minorEastAsia"/>
        </w:rPr>
      </w:pPr>
      <w:bookmarkStart w:id="11" w:name="_Ref109896191"/>
      <w:r>
        <w:t xml:space="preserve">Figure </w:t>
      </w:r>
      <w:r w:rsidR="00922706">
        <w:fldChar w:fldCharType="begin"/>
      </w:r>
      <w:r w:rsidR="00922706">
        <w:instrText xml:space="preserve"> SEQ Figure \* ARABIC </w:instrText>
      </w:r>
      <w:r w:rsidR="00922706">
        <w:fldChar w:fldCharType="separate"/>
      </w:r>
      <w:r w:rsidR="00363A7B">
        <w:rPr>
          <w:noProof/>
        </w:rPr>
        <w:t>9</w:t>
      </w:r>
      <w:r w:rsidR="00922706">
        <w:rPr>
          <w:noProof/>
        </w:rPr>
        <w:fldChar w:fldCharType="end"/>
      </w:r>
      <w:bookmarkEnd w:id="11"/>
      <w:r>
        <w:t>. Pressure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Pr>
          <w:rFonts w:eastAsiaTheme="minorEastAsia"/>
        </w:rPr>
        <w:t>) and frictional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m:t>
            </m:r>
          </m:sub>
        </m:sSub>
      </m:oMath>
      <w:r>
        <w:rPr>
          <w:rFonts w:eastAsiaTheme="minorEastAsia"/>
        </w:rPr>
        <w:t>) resistance coefficients obtained using CFD for all case studies.</w:t>
      </w:r>
    </w:p>
    <w:p w14:paraId="59FCBB81" w14:textId="438DD7F6" w:rsidR="001F108F" w:rsidRDefault="002D0D90" w:rsidP="00792F64">
      <w:pPr>
        <w:spacing w:after="0"/>
        <w:jc w:val="center"/>
        <w:rPr>
          <w:rFonts w:eastAsiaTheme="minorEastAsia"/>
        </w:rPr>
      </w:pPr>
      <w:r>
        <w:rPr>
          <w:noProof/>
        </w:rPr>
        <w:lastRenderedPageBreak/>
        <w:drawing>
          <wp:inline distT="0" distB="0" distL="0" distR="0" wp14:anchorId="4C909028" wp14:editId="486119C5">
            <wp:extent cx="5731510" cy="7130415"/>
            <wp:effectExtent l="0" t="0" r="254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731510" cy="7130415"/>
                    </a:xfrm>
                    <a:prstGeom prst="rect">
                      <a:avLst/>
                    </a:prstGeom>
                  </pic:spPr>
                </pic:pic>
              </a:graphicData>
            </a:graphic>
          </wp:inline>
        </w:drawing>
      </w:r>
      <w:bookmarkStart w:id="12" w:name="_Ref108527647"/>
      <w:r w:rsidR="001F108F">
        <w:t xml:space="preserve">Figure </w:t>
      </w:r>
      <w:r w:rsidR="00922706">
        <w:fldChar w:fldCharType="begin"/>
      </w:r>
      <w:r w:rsidR="00922706">
        <w:instrText xml:space="preserve"> SEQ Figure \* ARABIC </w:instrText>
      </w:r>
      <w:r w:rsidR="00922706">
        <w:fldChar w:fldCharType="separate"/>
      </w:r>
      <w:r w:rsidR="00363A7B">
        <w:rPr>
          <w:noProof/>
        </w:rPr>
        <w:t>10</w:t>
      </w:r>
      <w:r w:rsidR="00922706">
        <w:rPr>
          <w:noProof/>
        </w:rPr>
        <w:fldChar w:fldCharType="end"/>
      </w:r>
      <w:bookmarkEnd w:id="12"/>
      <w:r w:rsidR="00EA162F">
        <w:t xml:space="preserve">. </w:t>
      </w:r>
      <w:r w:rsidR="004548FB">
        <w:t>Relative m</w:t>
      </w:r>
      <w:r w:rsidR="00EA162F">
        <w:t>ake-up of the total resistance coefficient</w:t>
      </w:r>
      <w:r w:rsidR="004548FB">
        <w:t>.</w:t>
      </w:r>
      <w:r w:rsidR="00A16AA0">
        <w:t xml:space="preserve"> Darker colours show the 24kn cases.</w:t>
      </w:r>
      <w:r w:rsidR="001B7804">
        <w:t xml:space="preserve"> Note that all 24 knot cases are grouped above the 4 knot cases</w:t>
      </w:r>
      <w:r w:rsidR="00B12837">
        <w:t xml:space="preserve"> and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=2.25</m:t>
        </m:r>
      </m:oMath>
      <w:r w:rsidR="00B12837">
        <w:rPr>
          <w:rFonts w:eastAsiaTheme="minorEastAsia"/>
        </w:rPr>
        <w:t xml:space="preserve"> corresponds to the 24 knot case shown in </w:t>
      </w:r>
      <w:r w:rsidR="00B12837">
        <w:rPr>
          <w:rFonts w:eastAsiaTheme="minorEastAsia"/>
        </w:rPr>
        <w:fldChar w:fldCharType="begin"/>
      </w:r>
      <w:r w:rsidR="00B12837">
        <w:rPr>
          <w:rFonts w:eastAsiaTheme="minorEastAsia"/>
        </w:rPr>
        <w:instrText xml:space="preserve"> REF _Ref107927333 \h </w:instrText>
      </w:r>
      <w:r w:rsidR="00B12837">
        <w:rPr>
          <w:rFonts w:eastAsiaTheme="minorEastAsia"/>
        </w:rPr>
      </w:r>
      <w:r w:rsidR="00B12837">
        <w:rPr>
          <w:rFonts w:eastAsiaTheme="minorEastAsia"/>
        </w:rPr>
        <w:fldChar w:fldCharType="separate"/>
      </w:r>
      <w:r w:rsidR="00363A7B">
        <w:t xml:space="preserve">Table </w:t>
      </w:r>
      <w:r w:rsidR="00363A7B">
        <w:rPr>
          <w:noProof/>
        </w:rPr>
        <w:t>2</w:t>
      </w:r>
      <w:r w:rsidR="00B12837">
        <w:rPr>
          <w:rFonts w:eastAsiaTheme="minorEastAsia"/>
        </w:rPr>
        <w:fldChar w:fldCharType="end"/>
      </w:r>
      <w:r w:rsidR="00B12837">
        <w:rPr>
          <w:rFonts w:eastAsiaTheme="minorEastAsia"/>
        </w:rPr>
        <w:t>.</w:t>
      </w:r>
    </w:p>
    <w:p w14:paraId="4980D4BF" w14:textId="77777777" w:rsidR="00F151B5" w:rsidRDefault="00F151B5" w:rsidP="00F151B5">
      <w:pPr>
        <w:spacing w:after="0"/>
      </w:pPr>
    </w:p>
    <w:p w14:paraId="6610B9B9" w14:textId="444455BB" w:rsidR="004548FB" w:rsidRDefault="004548FB" w:rsidP="004548FB">
      <w:pPr>
        <w:jc w:val="both"/>
        <w:rPr>
          <w:rFonts w:eastAsiaTheme="minorEastAsia"/>
        </w:rPr>
      </w:pPr>
      <w:r>
        <w:fldChar w:fldCharType="begin"/>
      </w:r>
      <w:r>
        <w:instrText xml:space="preserve"> REF _Ref108527647 \h </w:instrText>
      </w:r>
      <w:r>
        <w:fldChar w:fldCharType="separate"/>
      </w:r>
      <w:r w:rsidR="00363A7B">
        <w:t xml:space="preserve">Figure </w:t>
      </w:r>
      <w:r w:rsidR="00363A7B">
        <w:rPr>
          <w:noProof/>
        </w:rPr>
        <w:t>10</w:t>
      </w:r>
      <w:r>
        <w:fldChar w:fldCharType="end"/>
      </w:r>
      <w:r>
        <w:t xml:space="preserve"> shows the relative make-up of the total resistance coefficient. In other words, it shows the relative importance of the frictional and pressure components under all conditions examined in this paper. </w:t>
      </w:r>
      <w:r w:rsidR="00A16AA0">
        <w:t xml:space="preserve">Such an assessment is useful because it </w:t>
      </w:r>
      <w:r w:rsidR="00B66AE5">
        <w:t xml:space="preserve">offers an </w:t>
      </w:r>
      <w:r w:rsidR="00B66AE5">
        <w:lastRenderedPageBreak/>
        <w:t xml:space="preserve">intuitive </w:t>
      </w:r>
      <w:r w:rsidR="00957A5A">
        <w:t xml:space="preserve">framework for understanding the importance of each resistance component. </w:t>
      </w:r>
      <w:r w:rsidR="00957A5A">
        <w:fldChar w:fldCharType="begin"/>
      </w:r>
      <w:r w:rsidR="00957A5A">
        <w:instrText xml:space="preserve"> REF _Ref108527647 \h </w:instrText>
      </w:r>
      <w:r w:rsidR="00957A5A">
        <w:fldChar w:fldCharType="separate"/>
      </w:r>
      <w:r w:rsidR="00363A7B">
        <w:t xml:space="preserve">Figure </w:t>
      </w:r>
      <w:r w:rsidR="00363A7B">
        <w:rPr>
          <w:noProof/>
        </w:rPr>
        <w:t>10</w:t>
      </w:r>
      <w:r w:rsidR="00957A5A">
        <w:fldChar w:fldCharType="end"/>
      </w:r>
      <w:r w:rsidR="00957A5A">
        <w:t xml:space="preserve"> demonstrates </w:t>
      </w:r>
      <w:r w:rsidR="00A16AA0">
        <w:t xml:space="preserve">that under conditions where </w:t>
      </w: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i</m:t>
            </m:r>
          </m:sub>
        </m:sSub>
      </m:oMath>
      <w:r w:rsidR="00B66AE5">
        <w:rPr>
          <w:rFonts w:eastAsiaTheme="minorEastAsia"/>
        </w:rPr>
        <w:t xml:space="preserve"> is near unity, the balance of friction and pressure </w:t>
      </w:r>
      <w:r w:rsidR="00957A5A">
        <w:rPr>
          <w:rFonts w:eastAsiaTheme="minorEastAsia"/>
        </w:rPr>
        <w:t>alters</w:t>
      </w:r>
      <w:r w:rsidR="00B66AE5">
        <w:rPr>
          <w:rFonts w:eastAsiaTheme="minorEastAsia"/>
        </w:rPr>
        <w:t xml:space="preserve"> significantly</w:t>
      </w:r>
      <w:r w:rsidR="00957A5A">
        <w:rPr>
          <w:rFonts w:eastAsiaTheme="minorEastAsia"/>
        </w:rPr>
        <w:t xml:space="preserve">. </w:t>
      </w:r>
      <w:r w:rsidR="0087756D">
        <w:rPr>
          <w:rFonts w:eastAsiaTheme="minorEastAsia"/>
        </w:rPr>
        <w:t xml:space="preserve">The frictional component takes approximately 90% for the </w:t>
      </w:r>
      <w:r w:rsidR="00F36AA8">
        <w:rPr>
          <w:rFonts w:eastAsiaTheme="minorEastAsia"/>
        </w:rPr>
        <w:t>low-speed</w:t>
      </w:r>
      <w:r w:rsidR="0087756D">
        <w:rPr>
          <w:rFonts w:eastAsiaTheme="minorEastAsia"/>
        </w:rPr>
        <w:t xml:space="preserve"> case of 4knots when the desimentric Froude number is far from 1. However, </w:t>
      </w:r>
      <w:r w:rsidR="001C1430">
        <w:rPr>
          <w:rFonts w:eastAsiaTheme="minorEastAsia"/>
        </w:rPr>
        <w:t xml:space="preserve">this allocation is revered, with pressure resistance accounting for up to 80% of the total at </w:t>
      </w:r>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=0.99</m:t>
        </m:r>
      </m:oMath>
      <w:r w:rsidR="001C1430">
        <w:rPr>
          <w:rFonts w:eastAsiaTheme="minorEastAsia"/>
        </w:rPr>
        <w:t>.</w:t>
      </w:r>
      <w:r w:rsidR="0087756D">
        <w:rPr>
          <w:rFonts w:eastAsiaTheme="minorEastAsia"/>
        </w:rPr>
        <w:t xml:space="preserve"> </w:t>
      </w:r>
      <w:r w:rsidR="00965B0A">
        <w:rPr>
          <w:rFonts w:eastAsiaTheme="minorEastAsia"/>
        </w:rPr>
        <w:t xml:space="preserve">This shows the importance of considering all environmental phenomena and attempting to forecast any changes in the conditions a vessel will operate in. If </w:t>
      </w:r>
      <w:r w:rsidR="00445B79">
        <w:rPr>
          <w:rFonts w:eastAsiaTheme="minorEastAsia"/>
        </w:rPr>
        <w:t>an area is prone to flow stratification, the possibility of dead water must be considered during the design stage.</w:t>
      </w:r>
      <w:r w:rsidR="00FB7EFA">
        <w:rPr>
          <w:rFonts w:eastAsiaTheme="minorEastAsia"/>
        </w:rPr>
        <w:t xml:space="preserve"> For example, a relatively small reduction in speed or change in pycnocline depth</w:t>
      </w:r>
      <w:r w:rsidR="00950BA5">
        <w:rPr>
          <w:rFonts w:eastAsiaTheme="minorEastAsia"/>
        </w:rPr>
        <w:t xml:space="preserve">, bringing the </w:t>
      </w:r>
      <w:r w:rsidR="005B450E">
        <w:rPr>
          <w:rFonts w:eastAsiaTheme="minorEastAsia"/>
        </w:rPr>
        <w:t xml:space="preserve">densimetric </w:t>
      </w:r>
      <w:r w:rsidR="00950BA5">
        <w:rPr>
          <w:rFonts w:eastAsiaTheme="minorEastAsia"/>
        </w:rPr>
        <w:t xml:space="preserve">Froude number to 0.7 can reverse the majority of the increase in resistance. </w:t>
      </w:r>
    </w:p>
    <w:p w14:paraId="1E360078" w14:textId="7ED07CC4" w:rsidR="00CF0AC8" w:rsidRDefault="00CF0AC8" w:rsidP="004548FB">
      <w:pPr>
        <w:jc w:val="both"/>
        <w:rPr>
          <w:rFonts w:eastAsiaTheme="minorEastAsia"/>
        </w:rPr>
      </w:pPr>
      <w:r>
        <w:rPr>
          <w:rFonts w:eastAsiaTheme="minorEastAsia"/>
        </w:rPr>
        <w:t xml:space="preserve">It should be noted that in the </w:t>
      </w:r>
      <w:r w:rsidR="00B004E7">
        <w:rPr>
          <w:rFonts w:eastAsiaTheme="minorEastAsia"/>
        </w:rPr>
        <w:t>high-speed</w:t>
      </w:r>
      <w:r>
        <w:rPr>
          <w:rFonts w:eastAsiaTheme="minorEastAsia"/>
        </w:rPr>
        <w:t xml:space="preserve"> case, the pressure resistance component grows in importance by approximately 5% </w:t>
      </w:r>
      <w:r w:rsidR="00C50357">
        <w:rPr>
          <w:rFonts w:eastAsiaTheme="minorEastAsia"/>
        </w:rPr>
        <w:t xml:space="preserve">from the cases when </w:t>
      </w:r>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=2.25</m:t>
        </m:r>
      </m:oMath>
      <w:r w:rsidR="00C50357">
        <w:rPr>
          <w:rFonts w:eastAsiaTheme="minorEastAsia"/>
        </w:rPr>
        <w:t xml:space="preserve"> to </w:t>
      </w:r>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=10.3</m:t>
        </m:r>
      </m:oMath>
      <w:r w:rsidR="00C50357">
        <w:rPr>
          <w:rFonts w:eastAsiaTheme="minorEastAsia"/>
        </w:rPr>
        <w:t xml:space="preserve">. </w:t>
      </w:r>
      <w:r w:rsidR="00A14644">
        <w:rPr>
          <w:rFonts w:eastAsiaTheme="minorEastAsia"/>
        </w:rPr>
        <w:t>T</w:t>
      </w:r>
      <w:r w:rsidR="00F32238">
        <w:rPr>
          <w:rFonts w:eastAsiaTheme="minorEastAsia"/>
        </w:rPr>
        <w:t xml:space="preserve">he change in </w:t>
      </w:r>
      <w:r w:rsidR="005B450E">
        <w:rPr>
          <w:rFonts w:eastAsiaTheme="minorEastAsia"/>
        </w:rPr>
        <w:t xml:space="preserve">densimetric </w:t>
      </w:r>
      <w:r w:rsidR="00F32238">
        <w:rPr>
          <w:rFonts w:eastAsiaTheme="minorEastAsia"/>
        </w:rPr>
        <w:t>Froude number is driven by a vertical change of the pycnocline depth</w:t>
      </w:r>
      <w:r w:rsidR="00A14644">
        <w:rPr>
          <w:rFonts w:eastAsiaTheme="minorEastAsia"/>
        </w:rPr>
        <w:t xml:space="preserve">. Therefore, as shown in </w:t>
      </w:r>
      <w:r w:rsidR="00A14644">
        <w:rPr>
          <w:rFonts w:eastAsiaTheme="minorEastAsia"/>
        </w:rPr>
        <w:fldChar w:fldCharType="begin"/>
      </w:r>
      <w:r w:rsidR="00A14644">
        <w:rPr>
          <w:rFonts w:eastAsiaTheme="minorEastAsia"/>
        </w:rPr>
        <w:instrText xml:space="preserve"> REF _Ref107927333 \h </w:instrText>
      </w:r>
      <w:r w:rsidR="00A14644">
        <w:rPr>
          <w:rFonts w:eastAsiaTheme="minorEastAsia"/>
        </w:rPr>
      </w:r>
      <w:r w:rsidR="00A14644">
        <w:rPr>
          <w:rFonts w:eastAsiaTheme="minorEastAsia"/>
        </w:rPr>
        <w:fldChar w:fldCharType="separate"/>
      </w:r>
      <w:r w:rsidR="00363A7B">
        <w:t xml:space="preserve">Table </w:t>
      </w:r>
      <w:r w:rsidR="00363A7B">
        <w:rPr>
          <w:noProof/>
        </w:rPr>
        <w:t>2</w:t>
      </w:r>
      <w:r w:rsidR="00A14644">
        <w:rPr>
          <w:rFonts w:eastAsiaTheme="minorEastAsia"/>
        </w:rPr>
        <w:fldChar w:fldCharType="end"/>
      </w:r>
      <w:r w:rsidR="00A14644">
        <w:rPr>
          <w:rFonts w:eastAsiaTheme="minorEastAsia"/>
        </w:rPr>
        <w:t xml:space="preserve">, the depth to pycnocline draft ratio </w:t>
      </w:r>
      <w:r w:rsidR="0043519B">
        <w:rPr>
          <w:rFonts w:eastAsiaTheme="minorEastAsia"/>
        </w:rPr>
        <w:t xml:space="preserve">increases from 0.5 to 10.5. Although the relative increase in resistance coefficient is small, it cannot be neglected. </w:t>
      </w:r>
      <w:r w:rsidR="00962A1B">
        <w:rPr>
          <w:rFonts w:eastAsiaTheme="minorEastAsia"/>
        </w:rPr>
        <w:t xml:space="preserve">In the aforementioned </w:t>
      </w:r>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oMath>
      <w:r w:rsidR="00962A1B">
        <w:rPr>
          <w:rFonts w:eastAsiaTheme="minorEastAsia"/>
        </w:rPr>
        <w:t xml:space="preserve"> range, the total resistance coefficient grows by 6.31%</w:t>
      </w:r>
      <w:r w:rsidR="000172BF">
        <w:rPr>
          <w:rFonts w:eastAsiaTheme="minorEastAsia"/>
        </w:rPr>
        <w:t>. To put that value into context, recent work on energy saving pre-swirl ducts showed less than 5% efficiency improvements</w:t>
      </w:r>
      <w:r w:rsidR="00274B69">
        <w:rPr>
          <w:rFonts w:eastAsiaTheme="minorEastAsia"/>
        </w:rPr>
        <w:t xml:space="preserve"> </w:t>
      </w:r>
      <w:r w:rsidR="00274B69">
        <w:rPr>
          <w:rFonts w:eastAsiaTheme="minorEastAsia"/>
        </w:rPr>
        <w:fldChar w:fldCharType="begin" w:fldLock="1"/>
      </w:r>
      <w:r w:rsidR="00A305CF">
        <w:rPr>
          <w:rFonts w:eastAsiaTheme="minorEastAsia"/>
        </w:rPr>
        <w:instrText>ADDIN CSL_CITATION {"citationItems":[{"id":"ITEM-1","itemData":{"DOI":"10.1016/j.apor.2022.103134","ISSN":"01411187","abstract":"Installing an energy saving device such as a pre-swirl duct (PSD) is a major investment for a ship owner and prior to an order a reliable prediction of the energy savings is required. Currently there is no standard for how such a prediction is to be carried out, possible alternatives are both model-scale tests in towing tanks with associated scaling procedures, as well as methods based on computational fluid dynamics (CFD). This paper summarizes a CFD benchmark study comparing industrial state-of-the-art ship-scale CFD predictions of the power reduction through installation of a PSD, where the objective was to both obtain an indication on the reliability in this kind of prediction and to gain insight into how the computational procedure affects the results. It is a blind study, the KVLCC2, which the PSD is mounted on, has never been built and hence there is no ship-scale data available. The 10 participants conducted in total 22 different predictions of the power reduction with respect to a baseline case without PSD. The predicted power reductions are both positive and negative, on average 0.4%, with a standard deviation of 1.6%-units, when not considering two predictions based on model-scale CFD and two outliers associated with large uncertainties in the results. Among the variations present in computational procedure, two were found to significantly influence the predictions. First, a geometrically resolved propeller model applying sliding mesh interfaces is in average predicting a higher power reduction with the PSD compared to simplified propeller models. The second factor with notable influence on the power reduction prediction is the wake field prediction, which, besides numerical configuration, is affected by how hull roughness is considered.","author":[{"dropping-particle":"","family":"Andersson","given":"Jennie","non-dropping-particle":"","parse-names":false,"suffix":""},{"dropping-particle":"","family":"Shiri","given":"Alex Abolfazl","non-dropping-particle":"","parse-names":false,"suffix":""},{"dropping-particle":"","family":"Bensow","given":"Rickard E.","non-dropping-particle":"","parse-names":false,"suffix":""},{"dropping-particle":"","family":"Yixing","given":"Jin","non-dropping-particle":"","parse-names":false,"suffix":""},{"dropping-particle":"","family":"Chengsheng","given":"Wu","non-dropping-particle":"","parse-names":false,"suffix":""},{"dropping-particle":"","family":"Gengyao","given":"Qiu","non-dropping-particle":"","parse-names":false,"suffix":""},{"dropping-particle":"","family":"Deng","given":"Ganbo","non-dropping-particle":"","parse-names":false,"suffix":""},{"dropping-particle":"","family":"Queutey","given":"Patrick","non-dropping-particle":"","parse-names":false,"suffix":""},{"dropping-particle":"","family":"Xing-Kaeding","given":"Yan","non-dropping-particle":"","parse-names":false,"suffix":""},{"dropping-particle":"","family":"Horn","given":"Peter","non-dropping-particle":"","parse-names":false,"suffix":""},{"dropping-particle":"","family":"Lücke","given":"Thomas","non-dropping-particle":"","parse-names":false,"suffix":""},{"dropping-particle":"","family":"Kobayashi","given":"Hiroshi","non-dropping-particle":"","parse-names":false,"suffix":""},{"dropping-particle":"","family":"Ohashi","given":"Kunihide","non-dropping-particle":"","parse-names":false,"suffix":""},{"dropping-particle":"","family":"Sakamoto","given":"Nobuaki","non-dropping-particle":"","parse-names":false,"suffix":""},{"dropping-particle":"","family":"Yang","given":"Fan","non-dropping-particle":"","parse-names":false,"suffix":""},{"dropping-particle":"","family":"Gao","given":"Yuling","non-dropping-particle":"","parse-names":false,"suffix":""},{"dropping-particle":"","family":"Windén","given":"Björn","non-dropping-particle":"","parse-names":false,"suffix":""},{"dropping-particle":"","family":"Meyerson","given":"Max G.","non-dropping-particle":"","parse-names":false,"suffix":""},{"dropping-particle":"","family":"Maki","given":"Kevin J.","non-dropping-particle":"","parse-names":false,"suffix":""},{"dropping-particle":"","family":"Turnock","given":"Stephen","non-dropping-particle":"","parse-names":false,"suffix":""},{"dropping-particle":"","family":"Hudson","given":"Dominic","non-dropping-particle":"","parse-names":false,"suffix":""},{"dropping-particle":"","family":"Banks","given":"Joseph","non-dropping-particle":"","parse-names":false,"suffix":""},{"dropping-particle":"","family":"Terziev","given":"M.","non-dropping-particle":"","parse-names":false,"suffix":""},{"dropping-particle":"","family":"Tezdogan","given":"Tahsin","non-dropping-particle":"","parse-names":false,"suffix":""},{"dropping-particle":"","family":"Vesting","given":"Florian","non-dropping-particle":"","parse-names":false,"suffix":""},{"dropping-particle":"","family":"Hino","given":"Takanori","non-dropping-particle":"","parse-names":false,"suffix":""},{"dropping-particle":"","family":"Werner","given":"Sofia","non-dropping-particle":"","parse-names":false,"suffix":""}],"container-title":"Applied Ocean Research","id":"ITEM-1","issue":"March","issued":{"date-parts":[["2022"]]},"page":"103134","publisher":"Elsevier Ltd","title":"Ship-scale CFD benchmark study of a pre-swirl duct on KVLCC2","type":"article-journal","volume":"123"},"uris":["http://www.mendeley.com/documents/?uuid=79218ce0-4f91-417b-8b71-01ecfeeaae8f"]}],"mendeley":{"formattedCitation":"(Andersson et al., 2022)","plainTextFormattedCitation":"(Andersson et al., 2022)","previouslyFormattedCitation":"(Andersson et al., 2022)"},"properties":{"noteIndex":0},"schema":"https://github.com/citation-style-language/schema/raw/master/csl-citation.json"}</w:instrText>
      </w:r>
      <w:r w:rsidR="00274B69">
        <w:rPr>
          <w:rFonts w:eastAsiaTheme="minorEastAsia"/>
        </w:rPr>
        <w:fldChar w:fldCharType="separate"/>
      </w:r>
      <w:r w:rsidR="00274B69" w:rsidRPr="00274B69">
        <w:rPr>
          <w:rFonts w:eastAsiaTheme="minorEastAsia"/>
          <w:noProof/>
        </w:rPr>
        <w:t>(Andersson et al., 2022)</w:t>
      </w:r>
      <w:r w:rsidR="00274B69">
        <w:rPr>
          <w:rFonts w:eastAsiaTheme="minorEastAsia"/>
        </w:rPr>
        <w:fldChar w:fldCharType="end"/>
      </w:r>
      <w:r w:rsidR="000172BF">
        <w:rPr>
          <w:rFonts w:eastAsiaTheme="minorEastAsia"/>
        </w:rPr>
        <w:t xml:space="preserve">. </w:t>
      </w:r>
      <w:r w:rsidR="00274B69">
        <w:rPr>
          <w:rFonts w:eastAsiaTheme="minorEastAsia"/>
        </w:rPr>
        <w:t xml:space="preserve">Therefore, dead water effects must be considered regardless of whether the </w:t>
      </w:r>
      <w:r w:rsidR="005B450E">
        <w:rPr>
          <w:rFonts w:eastAsiaTheme="minorEastAsia"/>
        </w:rPr>
        <w:t xml:space="preserve">densimetric </w:t>
      </w:r>
      <w:r w:rsidR="00274B69">
        <w:rPr>
          <w:rFonts w:eastAsiaTheme="minorEastAsia"/>
        </w:rPr>
        <w:t xml:space="preserve">Froude number is near 1 </w:t>
      </w:r>
      <w:r w:rsidR="0088600F">
        <w:rPr>
          <w:rFonts w:eastAsiaTheme="minorEastAsia"/>
        </w:rPr>
        <w:t xml:space="preserve">because the resistance of the vessel is higher even if a hull operates far from </w:t>
      </w:r>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=1</m:t>
        </m:r>
      </m:oMath>
      <w:r w:rsidR="0088600F">
        <w:rPr>
          <w:rFonts w:eastAsiaTheme="minorEastAsia"/>
        </w:rPr>
        <w:t xml:space="preserve">. The cause for such an increase is the acceleration of flow in the </w:t>
      </w:r>
      <w:r w:rsidR="00975FF6">
        <w:rPr>
          <w:rFonts w:eastAsiaTheme="minorEastAsia"/>
        </w:rPr>
        <w:t xml:space="preserve">top layer as a result of the limited available space between the hull and the salt-water interface. As </w:t>
      </w:r>
      <w:r w:rsidR="00956F12">
        <w:rPr>
          <w:rFonts w:eastAsiaTheme="minorEastAsia"/>
        </w:rPr>
        <w:t xml:space="preserve">discussed above, the restoring force of the internal wave system is much smaller than that of the air-water interface, but this restoring force is sufficiently strong to </w:t>
      </w:r>
      <w:r w:rsidR="00D74552">
        <w:rPr>
          <w:rFonts w:eastAsiaTheme="minorEastAsia"/>
        </w:rPr>
        <w:t xml:space="preserve">cause a measurable increase in resistance under any operational conditions. </w:t>
      </w:r>
    </w:p>
    <w:p w14:paraId="5640E488" w14:textId="5B5C035D" w:rsidR="00950BA5" w:rsidRDefault="004D0705" w:rsidP="004D0705">
      <w:pPr>
        <w:pStyle w:val="Heading2"/>
      </w:pPr>
      <w:r>
        <w:t>Wa</w:t>
      </w:r>
      <w:r w:rsidR="00792F64">
        <w:t>v</w:t>
      </w:r>
      <w:r>
        <w:t>e field</w:t>
      </w:r>
    </w:p>
    <w:p w14:paraId="19AEEBCA" w14:textId="6BFE6EF1" w:rsidR="004D0705" w:rsidRDefault="004D0705" w:rsidP="004D0705">
      <w:pPr>
        <w:jc w:val="both"/>
      </w:pPr>
      <w:r>
        <w:t xml:space="preserve">As discussed in previous sections, the presence of a fresh water-salt water interface modifies wave making considerably. The purpose of this subsection is to provide some visual aids in explaining the phenomenology of increase in resistance discussed previously. </w:t>
      </w:r>
      <w:r w:rsidR="00E924D0">
        <w:t xml:space="preserve">The first step is to compare the experimental wavecut data provided by </w:t>
      </w:r>
      <w:r w:rsidR="00E924D0">
        <w:fldChar w:fldCharType="begin" w:fldLock="1"/>
      </w:r>
      <w:r w:rsidR="00274B69">
        <w:instrText>ADDIN CSL_CITATION {"citationItems":[{"id":"ITEM-1","itemData":{"DOI":"10.1007/s003480100332","ISBN":"07234864 (ISSN)","ISSN":"07234864","abstract":"To document the details of flow characteristics around modern commercial ships, global force, wave pattern, and local mean velocity components were measured in the towing tank. Three modern commercial hull models of a container ship (KRISO container ship = KCS) and of two very large crude-oil carriers (VLCCs) with the same forebody and slightly different afterbody (KVLCC and KVLCC2) having bow and stern bulbs were selected for the test. Uncertainty analysis was performed for the measured data using the procedure recommended by the ITTC. Obtained experimental data will provide a good opportunity to explore integrated flow phenomena around practical hull forms of today. Those can be also used as the validation data for the computational fluid dynamics (CFD) code of both inviscid and viscous flow calculations.","author":[{"dropping-particle":"","family":"Kim","given":"W. J.","non-dropping-particle":"","parse-names":false,"suffix":""},{"dropping-particle":"","family":"Van","given":"S. H.","non-dropping-particle":"","parse-names":false,"suffix":""},{"dropping-particle":"","family":"Kim","given":"D. H.","non-dropping-particle":"","parse-names":false,"suffix":""}],"container-title":"Experiments in Fluids","id":"ITEM-1","issue":"5","issued":{"date-parts":[["2001"]]},"page":"567-578","title":"Measurement of flows around modern commercial ship models","type":"article-journal","volume":"31"},"uris":["http://www.mendeley.com/documents/?uuid=0dc3607f-3866-42b2-ae07-fb6b76eb9001"]}],"mendeley":{"formattedCitation":"(Kim et al., 2001)","manualFormatting":"Kim et al. (2001)","plainTextFormattedCitation":"(Kim et al., 2001)","previouslyFormattedCitation":"(Kim et al., 2001)"},"properties":{"noteIndex":0},"schema":"https://github.com/citation-style-language/schema/raw/master/csl-citation.json"}</w:instrText>
      </w:r>
      <w:r w:rsidR="00E924D0">
        <w:fldChar w:fldCharType="separate"/>
      </w:r>
      <w:r w:rsidR="00E924D0" w:rsidRPr="00E924D0">
        <w:rPr>
          <w:noProof/>
        </w:rPr>
        <w:t xml:space="preserve">Kim et al. </w:t>
      </w:r>
      <w:r w:rsidR="00E924D0">
        <w:rPr>
          <w:noProof/>
        </w:rPr>
        <w:t>(</w:t>
      </w:r>
      <w:r w:rsidR="00E924D0" w:rsidRPr="00E924D0">
        <w:rPr>
          <w:noProof/>
        </w:rPr>
        <w:t>2001)</w:t>
      </w:r>
      <w:r w:rsidR="00E924D0">
        <w:fldChar w:fldCharType="end"/>
      </w:r>
      <w:r w:rsidR="00E924D0">
        <w:t xml:space="preserve"> with the numerical model used for this study to ensure accuracy of the wavefield. The comparison is shown in </w:t>
      </w:r>
      <w:r w:rsidR="00D95643">
        <w:fldChar w:fldCharType="begin"/>
      </w:r>
      <w:r w:rsidR="00D95643">
        <w:instrText xml:space="preserve"> REF _Ref108531155 \h </w:instrText>
      </w:r>
      <w:r w:rsidR="00D95643">
        <w:fldChar w:fldCharType="separate"/>
      </w:r>
      <w:r w:rsidR="00363A7B">
        <w:t xml:space="preserve">Figure </w:t>
      </w:r>
      <w:r w:rsidR="00363A7B">
        <w:rPr>
          <w:noProof/>
        </w:rPr>
        <w:t>11</w:t>
      </w:r>
      <w:r w:rsidR="00D95643">
        <w:fldChar w:fldCharType="end"/>
      </w:r>
      <w:r w:rsidR="00D95643">
        <w:t>, which shows excellent agreement</w:t>
      </w:r>
      <w:r w:rsidR="00844A8F">
        <w:t xml:space="preserve"> between this study (labelled CFD) and the experiment (labelled EFD). The agreement deteriorates and breaks down at x/L = -1, where the mesh shown in </w:t>
      </w:r>
      <w:r w:rsidR="00844A8F">
        <w:fldChar w:fldCharType="begin"/>
      </w:r>
      <w:r w:rsidR="00844A8F">
        <w:instrText xml:space="preserve"> REF _Ref107996345 \h </w:instrText>
      </w:r>
      <w:r w:rsidR="00844A8F">
        <w:fldChar w:fldCharType="separate"/>
      </w:r>
      <w:r w:rsidR="00363A7B">
        <w:t xml:space="preserve">Figure </w:t>
      </w:r>
      <w:r w:rsidR="00363A7B">
        <w:rPr>
          <w:noProof/>
        </w:rPr>
        <w:t>5</w:t>
      </w:r>
      <w:r w:rsidR="00844A8F">
        <w:fldChar w:fldCharType="end"/>
      </w:r>
      <w:r w:rsidR="00844A8F">
        <w:t xml:space="preserve"> coarsens</w:t>
      </w:r>
      <w:r w:rsidR="002F3900">
        <w:t xml:space="preserve">. This has the dual purpose of reducing the cell count and eliminating waves </w:t>
      </w:r>
      <w:r w:rsidR="002F3900">
        <w:lastRenderedPageBreak/>
        <w:t xml:space="preserve">before they reach the outlet, and as such, the divergence of results at this point is expected. </w:t>
      </w:r>
    </w:p>
    <w:p w14:paraId="69CB09A6" w14:textId="424B0AC6" w:rsidR="00482C68" w:rsidRDefault="002D0D90" w:rsidP="00482C68">
      <w:pPr>
        <w:jc w:val="center"/>
      </w:pPr>
      <w:r>
        <w:rPr>
          <w:noProof/>
        </w:rPr>
        <w:drawing>
          <wp:inline distT="0" distB="0" distL="0" distR="0" wp14:anchorId="53E919FB" wp14:editId="44A3DBAE">
            <wp:extent cx="5818310" cy="1217682"/>
            <wp:effectExtent l="0" t="0" r="0" b="190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839801" cy="1222180"/>
                    </a:xfrm>
                    <a:prstGeom prst="rect">
                      <a:avLst/>
                    </a:prstGeom>
                  </pic:spPr>
                </pic:pic>
              </a:graphicData>
            </a:graphic>
          </wp:inline>
        </w:drawing>
      </w:r>
    </w:p>
    <w:p w14:paraId="37D4A026" w14:textId="7B328630" w:rsidR="004356D6" w:rsidRDefault="006E4F6A" w:rsidP="00482C68">
      <w:pPr>
        <w:jc w:val="center"/>
      </w:pPr>
      <w:r w:rsidRPr="006E4F6A">
        <w:rPr>
          <w:noProof/>
        </w:rPr>
        <w:drawing>
          <wp:inline distT="0" distB="0" distL="0" distR="0" wp14:anchorId="54CC77D0" wp14:editId="73F3E366">
            <wp:extent cx="4959350" cy="1142859"/>
            <wp:effectExtent l="0" t="0" r="0" b="635"/>
            <wp:docPr id="430432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6492" cy="1149114"/>
                    </a:xfrm>
                    <a:prstGeom prst="rect">
                      <a:avLst/>
                    </a:prstGeom>
                    <a:noFill/>
                    <a:ln>
                      <a:noFill/>
                    </a:ln>
                  </pic:spPr>
                </pic:pic>
              </a:graphicData>
            </a:graphic>
          </wp:inline>
        </w:drawing>
      </w:r>
    </w:p>
    <w:p w14:paraId="011D8DCF" w14:textId="6B4B9384" w:rsidR="00694529" w:rsidRDefault="00E924D0" w:rsidP="00CA68E4">
      <w:pPr>
        <w:pStyle w:val="Caption"/>
      </w:pPr>
      <w:bookmarkStart w:id="13" w:name="_Ref108531155"/>
      <w:r>
        <w:t xml:space="preserve">Figure </w:t>
      </w:r>
      <w:r w:rsidR="00922706">
        <w:fldChar w:fldCharType="begin"/>
      </w:r>
      <w:r w:rsidR="00922706">
        <w:instrText xml:space="preserve"> SEQ Figure \* ARABIC </w:instrText>
      </w:r>
      <w:r w:rsidR="00922706">
        <w:fldChar w:fldCharType="separate"/>
      </w:r>
      <w:r w:rsidR="00363A7B">
        <w:rPr>
          <w:noProof/>
        </w:rPr>
        <w:t>11</w:t>
      </w:r>
      <w:r w:rsidR="00922706">
        <w:rPr>
          <w:noProof/>
        </w:rPr>
        <w:fldChar w:fldCharType="end"/>
      </w:r>
      <w:bookmarkEnd w:id="13"/>
      <w:r w:rsidR="00482C68">
        <w:t xml:space="preserve">. Comparison of experimental (EFD) and numerical (CFD) wavecut data for </w:t>
      </w:r>
      <w:r w:rsidR="00D95643">
        <w:t>y/L = 0.1509</w:t>
      </w:r>
      <w:r w:rsidR="00CA68E4">
        <w:t xml:space="preserve"> </w:t>
      </w:r>
      <w:r w:rsidR="004356D6">
        <w:t xml:space="preserve">(top) and on wave elevation on the ship hull (bottom) </w:t>
      </w:r>
      <w:r w:rsidR="00CA68E4">
        <w:t>at the design speed of 24 knots</w:t>
      </w:r>
      <w:r w:rsidR="00D95643">
        <w:t>.</w:t>
      </w:r>
      <w:r w:rsidR="00D61312">
        <w:t xml:space="preserve"> The ship is located between 0 &lt; x/L &lt; 1.</w:t>
      </w:r>
      <w:r w:rsidR="00694529" w:rsidRPr="00694529">
        <w:t xml:space="preserve"> </w:t>
      </w:r>
    </w:p>
    <w:p w14:paraId="687B4CDD" w14:textId="57E0288E" w:rsidR="00694529" w:rsidRDefault="00694529" w:rsidP="00694529">
      <w:pPr>
        <w:jc w:val="both"/>
        <w:rPr>
          <w:rFonts w:eastAsiaTheme="minorEastAsia"/>
        </w:rPr>
      </w:pPr>
      <w:r>
        <w:fldChar w:fldCharType="begin"/>
      </w:r>
      <w:r>
        <w:instrText xml:space="preserve"> REF _Ref108529428 \h </w:instrText>
      </w:r>
      <w:r>
        <w:fldChar w:fldCharType="separate"/>
      </w:r>
      <w:r w:rsidR="00363A7B">
        <w:t xml:space="preserve">Figure </w:t>
      </w:r>
      <w:r w:rsidR="00363A7B">
        <w:rPr>
          <w:noProof/>
        </w:rPr>
        <w:t>12</w:t>
      </w:r>
      <w:r>
        <w:fldChar w:fldCharType="end"/>
      </w:r>
      <w:r>
        <w:t xml:space="preserve"> shows the internal wave making at </w:t>
      </w:r>
      <m:oMath>
        <m:r>
          <w:rPr>
            <w:rFonts w:ascii="Cambria Math" w:hAnsi="Cambria Math"/>
          </w:rPr>
          <m:t>h/T=1.5</m:t>
        </m:r>
      </m:oMath>
      <w:r>
        <w:rPr>
          <w:rFonts w:eastAsiaTheme="minorEastAsia"/>
        </w:rPr>
        <w:t xml:space="preserve"> for the 24 knot case (</w:t>
      </w:r>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=5.94</m:t>
        </m:r>
      </m:oMath>
      <w:r>
        <w:rPr>
          <w:rFonts w:eastAsiaTheme="minorEastAsia"/>
        </w:rPr>
        <w:t>) and the 4 knot case (</w:t>
      </w:r>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=0.99</m:t>
        </m:r>
      </m:oMath>
      <w:r>
        <w:rPr>
          <w:rFonts w:eastAsiaTheme="minorEastAsia"/>
        </w:rPr>
        <w:t>). It is apparent that as the densimetric Froude number is approximately 1, the internal wave system resembles the wave front generated when a ship advances at the critical speed in shallow water. This phenomenon is produced only when the ship’s speed is approximately equal to the celerity of waves. The internal wave system mirrors the air-water interface: wave crests at the bow become wave troughs when the speed is low. However, at the design speed, the depression observed at the parallel midbody is replicated in both free surfaces. In essence, the near-fie</w:t>
      </w:r>
      <w:r w:rsidR="00F21DCE">
        <w:rPr>
          <w:rFonts w:eastAsiaTheme="minorEastAsia"/>
        </w:rPr>
        <w:t>l</w:t>
      </w:r>
      <w:r>
        <w:rPr>
          <w:rFonts w:eastAsiaTheme="minorEastAsia"/>
        </w:rPr>
        <w:t xml:space="preserve">d disturbance produced by the hull is sufficiently strong to force fresh water between the vessel and the free surface, depressing the internal interface. </w:t>
      </w:r>
    </w:p>
    <w:p w14:paraId="33AD7731" w14:textId="5D40A5A8" w:rsidR="00E924D0" w:rsidRDefault="00E924D0" w:rsidP="00E924D0">
      <w:pPr>
        <w:pStyle w:val="Caption"/>
      </w:pPr>
    </w:p>
    <w:p w14:paraId="30CD276C" w14:textId="52DAD516" w:rsidR="00575FE9" w:rsidRDefault="006E168F" w:rsidP="004D0705">
      <w:pPr>
        <w:jc w:val="both"/>
      </w:pPr>
      <w:r>
        <w:rPr>
          <w:noProof/>
        </w:rPr>
        <w:lastRenderedPageBreak/>
        <w:drawing>
          <wp:inline distT="0" distB="0" distL="0" distR="0" wp14:anchorId="2B23503E" wp14:editId="4C32C5CB">
            <wp:extent cx="5731510" cy="2395220"/>
            <wp:effectExtent l="0" t="0" r="2540" b="508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395220"/>
                    </a:xfrm>
                    <a:prstGeom prst="rect">
                      <a:avLst/>
                    </a:prstGeom>
                    <a:noFill/>
                    <a:ln>
                      <a:noFill/>
                    </a:ln>
                  </pic:spPr>
                </pic:pic>
              </a:graphicData>
            </a:graphic>
          </wp:inline>
        </w:drawing>
      </w:r>
      <w:r>
        <w:rPr>
          <w:noProof/>
        </w:rPr>
        <w:drawing>
          <wp:inline distT="0" distB="0" distL="0" distR="0" wp14:anchorId="04CA23A8" wp14:editId="55C5B69C">
            <wp:extent cx="5731510" cy="239522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395220"/>
                    </a:xfrm>
                    <a:prstGeom prst="rect">
                      <a:avLst/>
                    </a:prstGeom>
                    <a:noFill/>
                    <a:ln>
                      <a:noFill/>
                    </a:ln>
                  </pic:spPr>
                </pic:pic>
              </a:graphicData>
            </a:graphic>
          </wp:inline>
        </w:drawing>
      </w:r>
    </w:p>
    <w:p w14:paraId="7DC9B19C" w14:textId="37AB97A4" w:rsidR="00674960" w:rsidRDefault="00674960" w:rsidP="00674960">
      <w:pPr>
        <w:pStyle w:val="Caption"/>
        <w:rPr>
          <w:rFonts w:eastAsiaTheme="minorEastAsia"/>
        </w:rPr>
      </w:pPr>
      <w:bookmarkStart w:id="14" w:name="_Ref108529428"/>
      <w:r>
        <w:t xml:space="preserve">Figure </w:t>
      </w:r>
      <w:r w:rsidR="00922706">
        <w:fldChar w:fldCharType="begin"/>
      </w:r>
      <w:r w:rsidR="00922706">
        <w:instrText xml:space="preserve"> SEQ Figure \* ARABIC </w:instrText>
      </w:r>
      <w:r w:rsidR="00922706">
        <w:fldChar w:fldCharType="separate"/>
      </w:r>
      <w:r w:rsidR="00363A7B">
        <w:rPr>
          <w:noProof/>
        </w:rPr>
        <w:t>12</w:t>
      </w:r>
      <w:r w:rsidR="00922706">
        <w:rPr>
          <w:noProof/>
        </w:rPr>
        <w:fldChar w:fldCharType="end"/>
      </w:r>
      <w:bookmarkEnd w:id="14"/>
      <w:r>
        <w:t>. Wave-making and boundary layer shed by the ship at 24 knots (top) and 4 knots (bottom)</w:t>
      </w:r>
      <w:r w:rsidR="00BF4197">
        <w:t xml:space="preserve">. In both cases, </w:t>
      </w:r>
      <m:oMath>
        <m:r>
          <w:rPr>
            <w:rFonts w:ascii="Cambria Math" w:hAnsi="Cambria Math"/>
          </w:rPr>
          <m:t>h/T=1.5</m:t>
        </m:r>
      </m:oMath>
      <w:r w:rsidR="00F154EB">
        <w:rPr>
          <w:rFonts w:eastAsiaTheme="minorEastAsia"/>
        </w:rPr>
        <w:t xml:space="preserve">, but </w:t>
      </w:r>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=5.94</m:t>
        </m:r>
      </m:oMath>
      <w:r w:rsidR="00F154EB">
        <w:rPr>
          <w:rFonts w:eastAsiaTheme="minorEastAsia"/>
        </w:rPr>
        <w:t xml:space="preserve"> in the top figure and </w:t>
      </w:r>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=0.99</m:t>
        </m:r>
      </m:oMath>
      <w:r w:rsidR="00957937">
        <w:rPr>
          <w:rFonts w:eastAsiaTheme="minorEastAsia"/>
        </w:rPr>
        <w:t xml:space="preserve"> in the bottom figure. The lefthand side shows the air-water interface, while the righthand side depicts the mirrored internal free surface. </w:t>
      </w:r>
      <w:r w:rsidR="00E34D22">
        <w:rPr>
          <w:rFonts w:eastAsiaTheme="minorEastAsia"/>
        </w:rPr>
        <w:t>The b</w:t>
      </w:r>
      <w:r w:rsidR="006A3F7C">
        <w:rPr>
          <w:rFonts w:eastAsiaTheme="minorEastAsia"/>
        </w:rPr>
        <w:t>oundary layer velocity distributions are depicted in dimensionless form.</w:t>
      </w:r>
    </w:p>
    <w:p w14:paraId="56299996" w14:textId="1962FBD6" w:rsidR="00AD711F" w:rsidRDefault="00BA1226" w:rsidP="00BA1226">
      <w:pPr>
        <w:pStyle w:val="Heading1"/>
      </w:pPr>
      <w:bookmarkStart w:id="15" w:name="_Ref108008420"/>
      <w:r>
        <w:t>Validation and verification</w:t>
      </w:r>
      <w:bookmarkEnd w:id="15"/>
    </w:p>
    <w:p w14:paraId="6782CFAB" w14:textId="1C47994C" w:rsidR="00BA1226" w:rsidRDefault="00BF257D" w:rsidP="001F701C">
      <w:pPr>
        <w:jc w:val="both"/>
      </w:pPr>
      <w:r>
        <w:t xml:space="preserve">A validation and verification study </w:t>
      </w:r>
      <w:r w:rsidR="00420F4E">
        <w:t xml:space="preserve">was </w:t>
      </w:r>
      <w:r>
        <w:t xml:space="preserve">undertaken to build confidence in the accuracy and robustness of the numerical model employed. This procedure is carried out for the case where experimental data is available, since that is a </w:t>
      </w:r>
      <w:r w:rsidR="001F701C">
        <w:t xml:space="preserve">requirement in validating a solution </w:t>
      </w:r>
      <w:r w:rsidR="001F701C">
        <w:fldChar w:fldCharType="begin" w:fldLock="1"/>
      </w:r>
      <w:r w:rsidR="007104BC">
        <w:instrText>ADDIN CSL_CITATION {"citationItems":[{"id":"ITEM-1","itemData":{"DOI":"10.1115/1.1412236","ISSN":"1528901X","abstract":"Part 2 of this two-part paper provides an example case study following the recently developed comprehensive verification and validation approach presented in Part 1. The case study is for a RANS simulation of an established benchmark for ship hydrodynamics using a ship hydrodynamics CFD code. Verification of the resistance (integral variable) and wave profile (point variable) indicates iterative uncertainties much less than grid uncertainties and simulation numerical uncertainties of about 2%S1(S1is the simulation value for the finest grid). Validation of the resistance and wave profile shows modeling errors of about 8%D (D is the measured resistance) and 6%ζmax(ζmaxis the maximum wave elevation), which should be addressed for possible validation at the 3%D and 4%ζmaxlevels. Reducing the level of validation primarily requires reduction in experimental uncertainties. The reduction of both modeling errors and experimental uncertainties will produce verified and validated solutions at low levels for this application using the present CFD code. Although there are many issues for practical applications, the methodology and procedures are shown to be successful for assessing levels of verification and validation and identifying modeling errors in some cases. For practical applications, solutions are far from the asymptotic range; therefore, analysis and interpretation of the results are shown to be important in assessing variability for order of accuracy, levels of verification, and strategies for reducing numerical and modeling errors and uncertainties. © 2001 by ASME.","author":[{"dropping-particle":"V.","family":"Wilson","given":"Robert","non-dropping-particle":"","parse-names":false,"suffix":""},{"dropping-particle":"","family":"Stern","given":"Fred","non-dropping-particle":"","parse-names":false,"suffix":""},{"dropping-particle":"","family":"Coleman","given":"Hugh W.","non-dropping-particle":"","parse-names":false,"suffix":""},{"dropping-particle":"","family":"Paterson","given":"Eric G.","non-dropping-particle":"","parse-names":false,"suffix":""}],"container-title":"Journal of Fluids Engineering, Transactions of the ASME","id":"ITEM-1","issue":"4","issued":{"date-parts":[["2001"]]},"page":"803-810","title":"Comprehensive approach to verification and validation of CFD simulations—Part 2: Application for rans simulation of a cargo/container ship","type":"article-journal","volume":"123"},"uris":["http://www.mendeley.com/documents/?uuid=54e63b8a-dec6-4f36-acf9-dd7acb8995bc"]},{"id":"ITEM-2","itemData":{"DOI":"10.1115/1.3077134","ISSN":"00982202","abstract":"Ambiguities, inconsistencies, and recommended interpretations of the commonly cited definition of validation for computational fluid dynamics codes/models are examined. It is shown that the definition-deduction approach is prone to misinterpretation, and that bottom-up descriptions rather than top-down legalistic definitions are to be preferred for science-based engineering and journal policies, though legalistic definitions are necessary for contracts. [DOI: 10.1115/1.3077134]","author":[{"dropping-particle":"","family":"Roache","given":"P. J.","non-dropping-particle":"","parse-names":false,"suffix":""}],"container-title":"Journal of Fluids Engineering","id":"ITEM-2","issue":"3","issued":{"date-parts":[["2009"]]},"page":"034503","title":"Perspective: Validation—What Does It Mean?","type":"article-journal","volume":"131"},"uris":["http://www.mendeley.com/documents/?uuid=5b97db08-e8af-4f2b-a26a-a282e0e55dce"]}],"mendeley":{"formattedCitation":"(Roache, 2009; Wilson et al., 2001)","plainTextFormattedCitation":"(Roache, 2009; Wilson et al., 2001)","previouslyFormattedCitation":"(Roache, 2009; Wilson et al., 2001)"},"properties":{"noteIndex":0},"schema":"https://github.com/citation-style-language/schema/raw/master/csl-citation.json"}</w:instrText>
      </w:r>
      <w:r w:rsidR="001F701C">
        <w:fldChar w:fldCharType="separate"/>
      </w:r>
      <w:r w:rsidR="00610BF2" w:rsidRPr="00610BF2">
        <w:rPr>
          <w:noProof/>
        </w:rPr>
        <w:t>(Roache, 2009; Wilson et al., 2001)</w:t>
      </w:r>
      <w:r w:rsidR="001F701C">
        <w:fldChar w:fldCharType="end"/>
      </w:r>
      <w:r w:rsidR="001F701C">
        <w:t xml:space="preserve">. </w:t>
      </w:r>
      <w:r w:rsidR="000C6913">
        <w:t xml:space="preserve">Experimental data is taken from </w:t>
      </w:r>
      <w:r w:rsidR="000C6913">
        <w:fldChar w:fldCharType="begin" w:fldLock="1"/>
      </w:r>
      <w:r w:rsidR="000D01E8">
        <w:instrText>ADDIN CSL_CITATION {"citationItems":[{"id":"ITEM-1","itemData":{"DOI":"10.1007/s003480100332","ISBN":"07234864 (ISSN)","ISSN":"07234864","abstract":"To document the details of flow characteristics around modern commercial ships, global force, wave pattern, and local mean velocity components were measured in the towing tank. Three modern commercial hull models of a container ship (KRISO container ship = KCS) and of two very large crude-oil carriers (VLCCs) with the same forebody and slightly different afterbody (KVLCC and KVLCC2) having bow and stern bulbs were selected for the test. Uncertainty analysis was performed for the measured data using the procedure recommended by the ITTC. Obtained experimental data will provide a good opportunity to explore integrated flow phenomena around practical hull forms of today. Those can be also used as the validation data for the computational fluid dynamics (CFD) code of both inviscid and viscous flow calculations.","author":[{"dropping-particle":"","family":"Kim","given":"W. J.","non-dropping-particle":"","parse-names":false,"suffix":""},{"dropping-particle":"","family":"Van","given":"S. H.","non-dropping-particle":"","parse-names":false,"suffix":""},{"dropping-particle":"","family":"Kim","given":"D. H.","non-dropping-particle":"","parse-names":false,"suffix":""}],"container-title":"Experiments in Fluids","id":"ITEM-1","issue":"5","issued":{"date-parts":[["2001"]]},"page":"567-578","title":"Measurement of flows around modern commercial ship models","type":"article-journal","volume":"31"},"uris":["http://www.mendeley.com/documents/?uuid=0dc3607f-3866-42b2-ae07-fb6b76eb9001"]}],"mendeley":{"formattedCitation":"(Kim et al., 2001)","manualFormatting":"Kim et al. (2001)","plainTextFormattedCitation":"(Kim et al., 2001)","previouslyFormattedCitation":"(Kim et al., 2001)"},"properties":{"noteIndex":0},"schema":"https://github.com/citation-style-language/schema/raw/master/csl-citation.json"}</w:instrText>
      </w:r>
      <w:r w:rsidR="000C6913">
        <w:fldChar w:fldCharType="separate"/>
      </w:r>
      <w:r w:rsidR="000C6913" w:rsidRPr="000C6913">
        <w:rPr>
          <w:noProof/>
        </w:rPr>
        <w:t xml:space="preserve">Kim et al. </w:t>
      </w:r>
      <w:r w:rsidR="000C6913">
        <w:rPr>
          <w:noProof/>
        </w:rPr>
        <w:t>(</w:t>
      </w:r>
      <w:r w:rsidR="000C6913" w:rsidRPr="000C6913">
        <w:rPr>
          <w:noProof/>
        </w:rPr>
        <w:t>2001)</w:t>
      </w:r>
      <w:r w:rsidR="000C6913">
        <w:fldChar w:fldCharType="end"/>
      </w:r>
      <w:r w:rsidR="000C6913">
        <w:t xml:space="preserve"> for the deep water condition without a pycnocline. </w:t>
      </w:r>
    </w:p>
    <w:p w14:paraId="6A2C1FD1" w14:textId="5CF16873" w:rsidR="00DD43E6" w:rsidRDefault="009376AF" w:rsidP="001F701C">
      <w:pPr>
        <w:jc w:val="both"/>
        <w:rPr>
          <w:rFonts w:eastAsiaTheme="minorEastAsia"/>
        </w:rPr>
      </w:pPr>
      <w:r>
        <w:t xml:space="preserve">Before validation can be </w:t>
      </w:r>
      <w:r w:rsidR="00357833">
        <w:t xml:space="preserve">attempted, the numerical uncertainty must be determined. </w:t>
      </w:r>
      <w:r w:rsidR="00636EA7">
        <w:t>In this study, the Grid Convergence Index</w:t>
      </w:r>
      <w:r w:rsidR="00350342">
        <w:t xml:space="preserve">, which </w:t>
      </w:r>
      <w:r w:rsidR="000D01E8">
        <w:t xml:space="preserve">relies on Richardson Extrapolation is used </w:t>
      </w:r>
      <w:r w:rsidR="000D01E8">
        <w:fldChar w:fldCharType="begin" w:fldLock="1"/>
      </w:r>
      <w:r w:rsidR="00FF489D">
        <w:instrText>ADDIN CSL_CITATION {"citationItems":[{"id":"ITEM-1","itemData":{"DOI":"10.1115/1.2960953","ISBN":"0098-2202","ISSN":"00982202","PMID":"283117","abstract":"Since 1990, the Fluids Engineering Division of ASME has pursued activities concerning the detection, estimation and control of numerical uncertainty and/or error in computational fluid dynamics (CFD) studies. The first quality-control measures in this area were issued in 1986 (1986, “Editorial Policy Statement on Control of Numerical Accuracy ,” ASME J. Fluids Eng., 108, p. 2) and revised in 1993 (1993, “Journal of Fluids Engineering Editorial Policy Statement on the Control of Numerical Accuracy ,” ASME J. Fluids Eng., 115, pp. 339–340). Given the continued increase in CFD related publications, and the many significant advancements in computational techniques and computer technology, it has become necessary to revisit the issue and formulate a more detailed policy to further improve the quality of publications in this area. This brief note provides specific guidelines for prospective authors for calculation and reporting of discretization error estimates in CFD simulations where experimental data may or may not be available for comparison. The underlying perspective is that CFD-related studies will eventually aim to predict the outcome of a physical event for which experimental data is not available. It should be emphasized that the requirements outlined in this note do not preclude those already published in the previous two policy statements. It is also important to keep in mind that the procedure recommended in this note cannot possibly encompass all possible scenarios or applications.","author":[{"dropping-particle":"","family":"Celik","given":"I. B.","non-dropping-particle":"","parse-names":false,"suffix":""},{"dropping-particle":"","family":"Ghia","given":"U.","non-dropping-particle":"","parse-names":false,"suffix":""},{"dropping-particle":"","family":"Roache","given":"P. J.","non-dropping-particle":"","parse-names":false,"suffix":""},{"dropping-particle":"","family":"Freitas","given":"C.J","non-dropping-particle":"","parse-names":false,"suffix":""}],"container-title":"Journal of Fluids Engineering","id":"ITEM-1","issue":"7","issued":{"date-parts":[["2008"]]},"page":"078001","title":"Procedure for Estimation and Reporting of Uncertainty Due to Discretization in CFD Applications","type":"article-journal","volume":"130"},"uris":["http://www.mendeley.com/documents/?uuid=43d54626-99be-4145-92cc-758cabe47190"]}],"mendeley":{"formattedCitation":"(Celik et al., 2008)","plainTextFormattedCitation":"(Celik et al., 2008)","previouslyFormattedCitation":"(Celik et al., 2008)"},"properties":{"noteIndex":0},"schema":"https://github.com/citation-style-language/schema/raw/master/csl-citation.json"}</w:instrText>
      </w:r>
      <w:r w:rsidR="000D01E8">
        <w:fldChar w:fldCharType="separate"/>
      </w:r>
      <w:r w:rsidR="000D01E8" w:rsidRPr="000D01E8">
        <w:rPr>
          <w:noProof/>
        </w:rPr>
        <w:t>(Celik et al., 2008)</w:t>
      </w:r>
      <w:r w:rsidR="000D01E8">
        <w:fldChar w:fldCharType="end"/>
      </w:r>
      <w:r w:rsidR="000D01E8">
        <w:t>. The first step</w:t>
      </w:r>
      <w:r w:rsidR="0004696B">
        <w:t xml:space="preserve"> in the procedure</w:t>
      </w:r>
      <w:r w:rsidR="000D01E8">
        <w:t xml:space="preserve"> is to </w:t>
      </w:r>
      <w:r w:rsidR="00E65043">
        <w:t>create the so-called grid triplet</w:t>
      </w:r>
      <w:r w:rsidR="00FF489D">
        <w:t xml:space="preserve">, comprising the fine, medium, and coarse solution. Following recommendations of </w:t>
      </w:r>
      <w:r w:rsidR="00FF489D">
        <w:fldChar w:fldCharType="begin" w:fldLock="1"/>
      </w:r>
      <w:r w:rsidR="00DD43E6">
        <w:instrText>ADDIN CSL_CITATION {"citationItems":[{"id":"ITEM-1","itemData":{"DOI":"10.1016/j.oceaneng.2020.107237","ISSN":"00298018","abstract":"The credibility in the results needs to be demonstrated in order to be able to use computational fluid dynamics (CFD) as an engineering tool. This may be obtained by sufficient verification and validation studies involving error and uncertainty quantification. This study investigates how to perform credible CFD simulations of floating offshore wind turbines (FOWTs). Three methods to estimate discretisation errors were compared for three different problems related to FOWTs: wave propagation in 2D, wave loads on a circular cylinder, and surge decay of a semi-submersible FOWT. The three discretisation error estimation methods are a least-squares formulation using the observed order of convergence in combination with a data quality measure for different spatial and temporal refinement, another least-squares fit method using the theoretical order of convergence for constant Courant number grid refinement studies, and the factor of safety method applying a ratio between observed and theoretical order of convergence. We compared the final results to an analytical solution of the 2D wave signal, and to experimental data for the wave loads and surge decay motions, for validation purposes. The results of this work show the advantages and disadvantages of the three error estimation methods. The uncertainty bars for the discretisation uncertainty of the numerical simulations were mostly larger than the comparison error with the model test data and analytical solution.","author":[{"dropping-particle":"","family":"Burmester","given":"Simon","non-dropping-particle":"","parse-names":false,"suffix":""},{"dropping-particle":"","family":"Vaz","given":"Guilherme","non-dropping-particle":"","parse-names":false,"suffix":""},{"dropping-particle":"","family":"Moctar","given":"Ould","non-dropping-particle":"el","parse-names":false,"suffix":""}],"container-title":"Ocean Engineering","id":"ITEM-1","issue":"April 2019","issued":{"date-parts":[["2020"]]},"page":"107237","publisher":"Elsevier Ltd","title":"Towards credible CFD simulations for floating offshore wind turbines","type":"article-journal","volume":"209"},"uris":["http://www.mendeley.com/documents/?uuid=37afede2-7ae2-4d41-a205-e9816c1d109e"]}],"mendeley":{"formattedCitation":"(Burmester et al., 2020)","manualFormatting":"Burmester et al. (2020)","plainTextFormattedCitation":"(Burmester et al., 2020)","previouslyFormattedCitation":"(Burmester et al., 2020)"},"properties":{"noteIndex":0},"schema":"https://github.com/citation-style-language/schema/raw/master/csl-citation.json"}</w:instrText>
      </w:r>
      <w:r w:rsidR="00FF489D">
        <w:fldChar w:fldCharType="separate"/>
      </w:r>
      <w:r w:rsidR="00FF489D" w:rsidRPr="00FF489D">
        <w:rPr>
          <w:noProof/>
        </w:rPr>
        <w:t xml:space="preserve">Burmester et al. </w:t>
      </w:r>
      <w:r w:rsidR="00FF489D">
        <w:rPr>
          <w:noProof/>
        </w:rPr>
        <w:t>(</w:t>
      </w:r>
      <w:r w:rsidR="00FF489D" w:rsidRPr="00FF489D">
        <w:rPr>
          <w:noProof/>
        </w:rPr>
        <w:t>2020)</w:t>
      </w:r>
      <w:r w:rsidR="00FF489D">
        <w:fldChar w:fldCharType="end"/>
      </w:r>
      <w:r w:rsidR="00FF489D">
        <w:t xml:space="preserve">, the grid and time step are magnified by </w:t>
      </w:r>
      <w:r w:rsidR="00FF489D">
        <w:lastRenderedPageBreak/>
        <w:t>the same constant factor</w:t>
      </w:r>
      <w:r w:rsidR="00B0191C">
        <w:t>, known as the refinement factor</w:t>
      </w:r>
      <w:r w:rsidR="00462C6C">
        <w:t xml:space="preserve"> (</w:t>
      </w:r>
      <w:r w:rsidR="00462C6C">
        <w:rPr>
          <w:i/>
          <w:iCs/>
        </w:rPr>
        <w:t>r</w:t>
      </w:r>
      <w:r w:rsidR="00462C6C">
        <w:t>)</w:t>
      </w:r>
      <w:r w:rsidR="003630B9">
        <w:t>,</w:t>
      </w:r>
      <w:r w:rsidR="00462C6C">
        <w:t xml:space="preserve"> </w:t>
      </w:r>
      <w:r w:rsidR="00B31F8F">
        <w:t xml:space="preserve">to ensure the Courant number is the same across all three solutions. </w:t>
      </w:r>
      <w:r w:rsidR="00DD43E6">
        <w:t xml:space="preserve">As recommended by </w:t>
      </w:r>
      <w:r w:rsidR="00DD43E6">
        <w:fldChar w:fldCharType="begin" w:fldLock="1"/>
      </w:r>
      <w:r w:rsidR="00DD43E6">
        <w:instrText>ADDIN CSL_CITATION {"citationItems":[{"id":"ITEM-1","itemData":{"author":[{"dropping-particle":"","family":"ASME (American Society of Mechanical Engineers)","given":"","non-dropping-particle":"","parse-names":false,"suffix":""}],"container-title":"ASME International","id":"ITEM-1","issued":{"date-parts":[["2009"]]},"title":"Standard for Verification and Validation in Computational Fluid Dynamics and Heat Transfer - ASME V&amp;V 20-2009","type":"report"},"uris":["http://www.mendeley.com/documents/?uuid=9623fbba-9c02-4183-a00f-9b2a98591e77"]}],"mendeley":{"formattedCitation":"(ASME (American Society of Mechanical Engineers), 2009)","manualFormatting":"ASME (American Society of Mechanical Engineers, 2009)","plainTextFormattedCitation":"(ASME (American Society of Mechanical Engineers), 2009)","previouslyFormattedCitation":"(ASME (American Society of Mechanical Engineers), 2009)"},"properties":{"noteIndex":0},"schema":"https://github.com/citation-style-language/schema/raw/master/csl-citation.json"}</w:instrText>
      </w:r>
      <w:r w:rsidR="00DD43E6">
        <w:fldChar w:fldCharType="separate"/>
      </w:r>
      <w:r w:rsidR="00DD43E6" w:rsidRPr="00DD43E6">
        <w:rPr>
          <w:noProof/>
        </w:rPr>
        <w:t>ASME (American Society of Mechanical Engineers, 2009)</w:t>
      </w:r>
      <w:r w:rsidR="00DD43E6">
        <w:fldChar w:fldCharType="end"/>
      </w:r>
      <w:r w:rsidR="00DD43E6">
        <w:t xml:space="preserve"> and </w:t>
      </w:r>
      <w:r w:rsidR="00DD43E6">
        <w:fldChar w:fldCharType="begin" w:fldLock="1"/>
      </w:r>
      <w:r w:rsidR="000533DC">
        <w:instrText>ADDIN CSL_CITATION {"citationItems":[{"id":"ITEM-1","itemData":{"abstract":"Provide methodology and procedures for estimating the uncertainty in a simulation result.","author":[{"dropping-particle":"","family":"ITTC","given":"","non-dropping-particle":"","parse-names":false,"suffix":""}],"container-title":"25th ITTC 2008, Resistance committee","id":"ITEM-1","issued":{"date-parts":[["2008"]]},"page":"12","title":"Uncertainty Analysis in CFD Verification and Validation Methodology and Procedures","type":"article-journal"},"uris":["http://www.mendeley.com/documents/?uuid=8b2301d6-6a81-464e-b50b-fdb3a278ab3a"]}],"mendeley":{"formattedCitation":"(ITTC, 2008)","manualFormatting":"ITTC (2008)","plainTextFormattedCitation":"(ITTC, 2008)","previouslyFormattedCitation":"(ITTC, 2008)"},"properties":{"noteIndex":0},"schema":"https://github.com/citation-style-language/schema/raw/master/csl-citation.json"}</w:instrText>
      </w:r>
      <w:r w:rsidR="00DD43E6">
        <w:fldChar w:fldCharType="separate"/>
      </w:r>
      <w:r w:rsidR="00DD43E6" w:rsidRPr="00DD43E6">
        <w:rPr>
          <w:noProof/>
        </w:rPr>
        <w:t xml:space="preserve">ITTC </w:t>
      </w:r>
      <w:r w:rsidR="00DD43E6">
        <w:rPr>
          <w:noProof/>
        </w:rPr>
        <w:t>(</w:t>
      </w:r>
      <w:r w:rsidR="00DD43E6" w:rsidRPr="00DD43E6">
        <w:rPr>
          <w:noProof/>
        </w:rPr>
        <w:t>2008)</w:t>
      </w:r>
      <w:r w:rsidR="00DD43E6">
        <w:fldChar w:fldCharType="end"/>
      </w:r>
      <w:r w:rsidR="00DD43E6">
        <w:t xml:space="preserve">, </w:t>
      </w:r>
      <m:oMath>
        <m:r>
          <w:rPr>
            <w:rFonts w:ascii="Cambria Math" w:hAnsi="Cambria Math"/>
          </w:rPr>
          <m:t>r=</m:t>
        </m:r>
        <m:rad>
          <m:radPr>
            <m:degHide m:val="1"/>
            <m:ctrlPr>
              <w:rPr>
                <w:rFonts w:ascii="Cambria Math" w:hAnsi="Cambria Math"/>
                <w:i/>
              </w:rPr>
            </m:ctrlPr>
          </m:radPr>
          <m:deg/>
          <m:e>
            <m:r>
              <w:rPr>
                <w:rFonts w:ascii="Cambria Math" w:hAnsi="Cambria Math"/>
              </w:rPr>
              <m:t>2</m:t>
            </m:r>
          </m:e>
        </m:rad>
      </m:oMath>
      <w:r w:rsidR="00DD43E6">
        <w:rPr>
          <w:rFonts w:eastAsiaTheme="minorEastAsia"/>
        </w:rPr>
        <w:t xml:space="preserve"> is </w:t>
      </w:r>
      <w:r w:rsidR="003630B9">
        <w:rPr>
          <w:rFonts w:eastAsiaTheme="minorEastAsia"/>
        </w:rPr>
        <w:t>used</w:t>
      </w:r>
      <w:r w:rsidR="00DD43E6">
        <w:rPr>
          <w:rFonts w:eastAsiaTheme="minorEastAsia"/>
        </w:rPr>
        <w:t xml:space="preserve">. </w:t>
      </w:r>
      <w:r w:rsidR="00873D0A">
        <w:rPr>
          <w:rFonts w:eastAsiaTheme="minorEastAsia"/>
        </w:rPr>
        <w:t xml:space="preserve">The resulting mesh numbers are given in </w:t>
      </w:r>
      <w:r w:rsidR="00873D0A">
        <w:rPr>
          <w:rFonts w:eastAsiaTheme="minorEastAsia"/>
        </w:rPr>
        <w:fldChar w:fldCharType="begin"/>
      </w:r>
      <w:r w:rsidR="00873D0A">
        <w:rPr>
          <w:rFonts w:eastAsiaTheme="minorEastAsia"/>
        </w:rPr>
        <w:instrText xml:space="preserve"> REF _Ref108008761 \h </w:instrText>
      </w:r>
      <w:r w:rsidR="00873D0A">
        <w:rPr>
          <w:rFonts w:eastAsiaTheme="minorEastAsia"/>
        </w:rPr>
      </w:r>
      <w:r w:rsidR="00873D0A">
        <w:rPr>
          <w:rFonts w:eastAsiaTheme="minorEastAsia"/>
        </w:rPr>
        <w:fldChar w:fldCharType="separate"/>
      </w:r>
      <w:r w:rsidR="00363A7B">
        <w:t xml:space="preserve">Table </w:t>
      </w:r>
      <w:r w:rsidR="00363A7B">
        <w:rPr>
          <w:noProof/>
        </w:rPr>
        <w:t>3</w:t>
      </w:r>
      <w:r w:rsidR="00873D0A">
        <w:rPr>
          <w:rFonts w:eastAsiaTheme="minorEastAsia"/>
        </w:rPr>
        <w:fldChar w:fldCharType="end"/>
      </w:r>
      <w:r w:rsidR="00873D0A">
        <w:rPr>
          <w:rFonts w:eastAsiaTheme="minorEastAsia"/>
        </w:rPr>
        <w:t>.</w:t>
      </w:r>
      <w:r w:rsidR="00671DD3">
        <w:rPr>
          <w:rFonts w:eastAsiaTheme="minorEastAsia"/>
        </w:rPr>
        <w:t xml:space="preserve"> As mentioned previously, the time step of the fine simulation, </w:t>
      </w:r>
      <m:oMath>
        <m:r>
          <m:rPr>
            <m:sty m:val="p"/>
          </m:rPr>
          <w:rPr>
            <w:rFonts w:ascii="Cambria Math" w:eastAsiaTheme="minorEastAsia" w:hAnsi="Cambria Math"/>
          </w:rPr>
          <m:t>Δ</m:t>
        </m:r>
        <m:r>
          <w:rPr>
            <w:rFonts w:ascii="Cambria Math" w:eastAsiaTheme="minorEastAsia" w:hAnsi="Cambria Math"/>
          </w:rPr>
          <m:t>t=0.0035L/U</m:t>
        </m:r>
      </m:oMath>
      <w:r w:rsidR="00671DD3">
        <w:rPr>
          <w:rFonts w:eastAsiaTheme="minorEastAsia"/>
        </w:rPr>
        <w:t xml:space="preserve"> is also multiplied by the same refinement factor</w:t>
      </w:r>
      <w:r w:rsidR="004B6D9D">
        <w:rPr>
          <w:rFonts w:eastAsiaTheme="minorEastAsia"/>
        </w:rPr>
        <w:t>.</w:t>
      </w:r>
    </w:p>
    <w:p w14:paraId="267CF4E4" w14:textId="69129301" w:rsidR="00873D0A" w:rsidRDefault="00873D0A" w:rsidP="007231D4">
      <w:pPr>
        <w:pStyle w:val="Caption"/>
        <w:spacing w:after="0"/>
        <w:jc w:val="left"/>
      </w:pPr>
      <w:bookmarkStart w:id="16" w:name="_Ref108008761"/>
      <w:r>
        <w:t xml:space="preserve">Table </w:t>
      </w:r>
      <w:r w:rsidR="00922706">
        <w:fldChar w:fldCharType="begin"/>
      </w:r>
      <w:r w:rsidR="00922706">
        <w:instrText xml:space="preserve"> SEQ Table \* ARABIC </w:instrText>
      </w:r>
      <w:r w:rsidR="00922706">
        <w:fldChar w:fldCharType="separate"/>
      </w:r>
      <w:r w:rsidR="00363A7B">
        <w:rPr>
          <w:noProof/>
        </w:rPr>
        <w:t>3</w:t>
      </w:r>
      <w:r w:rsidR="00922706">
        <w:rPr>
          <w:noProof/>
        </w:rPr>
        <w:fldChar w:fldCharType="end"/>
      </w:r>
      <w:bookmarkEnd w:id="16"/>
      <w:r>
        <w:t xml:space="preserve">. Mesh numbers used for the fine, medium and coarse simulations. </w:t>
      </w:r>
    </w:p>
    <w:tbl>
      <w:tblPr>
        <w:tblW w:w="0" w:type="auto"/>
        <w:tblLook w:val="04A0" w:firstRow="1" w:lastRow="0" w:firstColumn="1" w:lastColumn="0" w:noHBand="0" w:noVBand="1"/>
      </w:tblPr>
      <w:tblGrid>
        <w:gridCol w:w="1131"/>
        <w:gridCol w:w="1784"/>
      </w:tblGrid>
      <w:tr w:rsidR="007231D4" w:rsidRPr="007231D4" w14:paraId="779EFB04" w14:textId="77777777" w:rsidTr="007231D4">
        <w:trPr>
          <w:trHeight w:val="300"/>
        </w:trPr>
        <w:tc>
          <w:tcPr>
            <w:tcW w:w="0" w:type="auto"/>
            <w:tcBorders>
              <w:top w:val="single" w:sz="8" w:space="0" w:color="auto"/>
              <w:left w:val="single" w:sz="8" w:space="0" w:color="auto"/>
              <w:bottom w:val="single" w:sz="8" w:space="0" w:color="auto"/>
              <w:right w:val="single" w:sz="8" w:space="0" w:color="auto"/>
            </w:tcBorders>
            <w:shd w:val="clear" w:color="auto" w:fill="D9D9D9"/>
            <w:noWrap/>
            <w:vAlign w:val="bottom"/>
            <w:hideMark/>
          </w:tcPr>
          <w:p w14:paraId="5D41AD0F" w14:textId="77777777" w:rsidR="007231D4" w:rsidRPr="007231D4" w:rsidRDefault="007231D4">
            <w:pPr>
              <w:spacing w:after="0" w:line="240" w:lineRule="auto"/>
              <w:rPr>
                <w:rFonts w:eastAsia="Times New Roman" w:cs="Calibri"/>
                <w:color w:val="000000"/>
                <w:sz w:val="22"/>
                <w:lang w:eastAsia="ja-JP"/>
              </w:rPr>
            </w:pPr>
            <w:r w:rsidRPr="007231D4">
              <w:rPr>
                <w:rFonts w:eastAsia="Times New Roman" w:cs="Calibri"/>
                <w:color w:val="000000"/>
                <w:lang w:eastAsia="ja-JP"/>
              </w:rPr>
              <w:t>Mesh</w:t>
            </w:r>
          </w:p>
        </w:tc>
        <w:tc>
          <w:tcPr>
            <w:tcW w:w="0" w:type="auto"/>
            <w:tcBorders>
              <w:top w:val="single" w:sz="8" w:space="0" w:color="auto"/>
              <w:left w:val="nil"/>
              <w:bottom w:val="single" w:sz="8" w:space="0" w:color="auto"/>
              <w:right w:val="single" w:sz="4" w:space="0" w:color="auto"/>
            </w:tcBorders>
            <w:shd w:val="clear" w:color="auto" w:fill="D9D9D9"/>
            <w:noWrap/>
            <w:vAlign w:val="bottom"/>
            <w:hideMark/>
          </w:tcPr>
          <w:p w14:paraId="3B98FFED" w14:textId="77777777" w:rsidR="007231D4" w:rsidRPr="007231D4" w:rsidRDefault="007231D4">
            <w:pPr>
              <w:spacing w:after="0" w:line="240" w:lineRule="auto"/>
              <w:rPr>
                <w:rFonts w:eastAsia="Times New Roman" w:cs="Calibri"/>
                <w:color w:val="000000"/>
                <w:lang w:eastAsia="ja-JP"/>
              </w:rPr>
            </w:pPr>
            <w:r w:rsidRPr="007231D4">
              <w:rPr>
                <w:rFonts w:eastAsia="Times New Roman" w:cs="Calibri"/>
                <w:color w:val="000000"/>
                <w:lang w:eastAsia="ja-JP"/>
              </w:rPr>
              <w:t>Cell Count (N)</w:t>
            </w:r>
          </w:p>
        </w:tc>
      </w:tr>
      <w:tr w:rsidR="007231D4" w:rsidRPr="007231D4" w14:paraId="6649E023" w14:textId="77777777" w:rsidTr="007231D4">
        <w:trPr>
          <w:trHeight w:val="290"/>
        </w:trPr>
        <w:tc>
          <w:tcPr>
            <w:tcW w:w="0" w:type="auto"/>
            <w:tcBorders>
              <w:top w:val="nil"/>
              <w:left w:val="single" w:sz="8" w:space="0" w:color="auto"/>
              <w:bottom w:val="single" w:sz="4" w:space="0" w:color="auto"/>
              <w:right w:val="single" w:sz="8" w:space="0" w:color="auto"/>
            </w:tcBorders>
            <w:noWrap/>
            <w:vAlign w:val="bottom"/>
            <w:hideMark/>
          </w:tcPr>
          <w:p w14:paraId="2910B314" w14:textId="77777777" w:rsidR="007231D4" w:rsidRPr="007231D4" w:rsidRDefault="007231D4">
            <w:pPr>
              <w:spacing w:after="0" w:line="240" w:lineRule="auto"/>
              <w:rPr>
                <w:rFonts w:eastAsia="Times New Roman" w:cs="Calibri"/>
                <w:color w:val="000000"/>
                <w:lang w:eastAsia="ja-JP"/>
              </w:rPr>
            </w:pPr>
            <w:r w:rsidRPr="007231D4">
              <w:rPr>
                <w:rFonts w:eastAsia="Times New Roman" w:cs="Calibri"/>
                <w:color w:val="000000"/>
                <w:lang w:eastAsia="ja-JP"/>
              </w:rPr>
              <w:t>Fine</w:t>
            </w:r>
          </w:p>
        </w:tc>
        <w:tc>
          <w:tcPr>
            <w:tcW w:w="0" w:type="auto"/>
            <w:tcBorders>
              <w:top w:val="nil"/>
              <w:left w:val="nil"/>
              <w:bottom w:val="single" w:sz="4" w:space="0" w:color="auto"/>
              <w:right w:val="single" w:sz="4" w:space="0" w:color="auto"/>
            </w:tcBorders>
            <w:noWrap/>
            <w:vAlign w:val="bottom"/>
            <w:hideMark/>
          </w:tcPr>
          <w:p w14:paraId="00B2CC07" w14:textId="77777777" w:rsidR="007231D4" w:rsidRPr="007231D4" w:rsidRDefault="007231D4">
            <w:pPr>
              <w:spacing w:after="0" w:line="240" w:lineRule="auto"/>
              <w:jc w:val="right"/>
              <w:rPr>
                <w:rFonts w:eastAsia="Times New Roman" w:cs="Calibri"/>
                <w:color w:val="000000"/>
                <w:lang w:eastAsia="ja-JP"/>
              </w:rPr>
            </w:pPr>
            <w:r w:rsidRPr="007231D4">
              <w:rPr>
                <w:rFonts w:eastAsia="Times New Roman" w:cs="Calibri"/>
                <w:color w:val="000000"/>
                <w:lang w:eastAsia="ja-JP"/>
              </w:rPr>
              <w:t>2907830</w:t>
            </w:r>
          </w:p>
        </w:tc>
      </w:tr>
      <w:tr w:rsidR="007231D4" w:rsidRPr="007231D4" w14:paraId="54BE7710" w14:textId="77777777" w:rsidTr="007231D4">
        <w:trPr>
          <w:trHeight w:val="290"/>
        </w:trPr>
        <w:tc>
          <w:tcPr>
            <w:tcW w:w="0" w:type="auto"/>
            <w:tcBorders>
              <w:top w:val="nil"/>
              <w:left w:val="single" w:sz="8" w:space="0" w:color="auto"/>
              <w:bottom w:val="single" w:sz="4" w:space="0" w:color="auto"/>
              <w:right w:val="single" w:sz="8" w:space="0" w:color="auto"/>
            </w:tcBorders>
            <w:noWrap/>
            <w:vAlign w:val="bottom"/>
            <w:hideMark/>
          </w:tcPr>
          <w:p w14:paraId="3B289661" w14:textId="77777777" w:rsidR="007231D4" w:rsidRPr="007231D4" w:rsidRDefault="007231D4">
            <w:pPr>
              <w:spacing w:after="0" w:line="240" w:lineRule="auto"/>
              <w:rPr>
                <w:rFonts w:eastAsia="Times New Roman" w:cs="Calibri"/>
                <w:color w:val="000000"/>
                <w:lang w:eastAsia="ja-JP"/>
              </w:rPr>
            </w:pPr>
            <w:r w:rsidRPr="007231D4">
              <w:rPr>
                <w:rFonts w:eastAsia="Times New Roman" w:cs="Calibri"/>
                <w:color w:val="000000"/>
                <w:lang w:eastAsia="ja-JP"/>
              </w:rPr>
              <w:t>Medium</w:t>
            </w:r>
          </w:p>
        </w:tc>
        <w:tc>
          <w:tcPr>
            <w:tcW w:w="0" w:type="auto"/>
            <w:tcBorders>
              <w:top w:val="nil"/>
              <w:left w:val="nil"/>
              <w:bottom w:val="single" w:sz="4" w:space="0" w:color="auto"/>
              <w:right w:val="single" w:sz="4" w:space="0" w:color="auto"/>
            </w:tcBorders>
            <w:noWrap/>
            <w:vAlign w:val="bottom"/>
            <w:hideMark/>
          </w:tcPr>
          <w:p w14:paraId="1F1DC941" w14:textId="77777777" w:rsidR="007231D4" w:rsidRPr="007231D4" w:rsidRDefault="007231D4">
            <w:pPr>
              <w:spacing w:after="0" w:line="240" w:lineRule="auto"/>
              <w:jc w:val="right"/>
              <w:rPr>
                <w:rFonts w:eastAsia="Times New Roman" w:cs="Calibri"/>
                <w:color w:val="000000"/>
                <w:lang w:eastAsia="ja-JP"/>
              </w:rPr>
            </w:pPr>
            <w:r w:rsidRPr="007231D4">
              <w:rPr>
                <w:rFonts w:eastAsia="Times New Roman" w:cs="Calibri"/>
                <w:color w:val="000000"/>
                <w:lang w:eastAsia="ja-JP"/>
              </w:rPr>
              <w:t>1493854</w:t>
            </w:r>
          </w:p>
        </w:tc>
      </w:tr>
      <w:tr w:rsidR="007231D4" w:rsidRPr="007231D4" w14:paraId="5DFC94AF" w14:textId="77777777" w:rsidTr="007231D4">
        <w:trPr>
          <w:trHeight w:val="300"/>
        </w:trPr>
        <w:tc>
          <w:tcPr>
            <w:tcW w:w="0" w:type="auto"/>
            <w:tcBorders>
              <w:top w:val="nil"/>
              <w:left w:val="single" w:sz="8" w:space="0" w:color="auto"/>
              <w:bottom w:val="single" w:sz="8" w:space="0" w:color="auto"/>
              <w:right w:val="single" w:sz="8" w:space="0" w:color="auto"/>
            </w:tcBorders>
            <w:noWrap/>
            <w:vAlign w:val="bottom"/>
            <w:hideMark/>
          </w:tcPr>
          <w:p w14:paraId="29EA8059" w14:textId="77777777" w:rsidR="007231D4" w:rsidRPr="007231D4" w:rsidRDefault="007231D4">
            <w:pPr>
              <w:spacing w:after="0" w:line="240" w:lineRule="auto"/>
              <w:rPr>
                <w:rFonts w:eastAsia="Times New Roman" w:cs="Calibri"/>
                <w:color w:val="000000"/>
                <w:lang w:eastAsia="ja-JP"/>
              </w:rPr>
            </w:pPr>
            <w:r w:rsidRPr="007231D4">
              <w:rPr>
                <w:rFonts w:eastAsia="Times New Roman" w:cs="Calibri"/>
                <w:color w:val="000000"/>
                <w:lang w:eastAsia="ja-JP"/>
              </w:rPr>
              <w:t>Coarse</w:t>
            </w:r>
          </w:p>
        </w:tc>
        <w:tc>
          <w:tcPr>
            <w:tcW w:w="0" w:type="auto"/>
            <w:tcBorders>
              <w:top w:val="nil"/>
              <w:left w:val="nil"/>
              <w:bottom w:val="single" w:sz="8" w:space="0" w:color="auto"/>
              <w:right w:val="single" w:sz="4" w:space="0" w:color="auto"/>
            </w:tcBorders>
            <w:noWrap/>
            <w:vAlign w:val="bottom"/>
            <w:hideMark/>
          </w:tcPr>
          <w:p w14:paraId="244AA083" w14:textId="77777777" w:rsidR="007231D4" w:rsidRPr="007231D4" w:rsidRDefault="007231D4">
            <w:pPr>
              <w:spacing w:after="0" w:line="240" w:lineRule="auto"/>
              <w:jc w:val="right"/>
              <w:rPr>
                <w:rFonts w:eastAsia="Times New Roman" w:cs="Calibri"/>
                <w:color w:val="000000"/>
                <w:lang w:eastAsia="ja-JP"/>
              </w:rPr>
            </w:pPr>
            <w:r w:rsidRPr="007231D4">
              <w:rPr>
                <w:rFonts w:eastAsia="Times New Roman" w:cs="Calibri"/>
                <w:color w:val="000000"/>
                <w:lang w:eastAsia="ja-JP"/>
              </w:rPr>
              <w:t>726107</w:t>
            </w:r>
          </w:p>
        </w:tc>
      </w:tr>
    </w:tbl>
    <w:p w14:paraId="417CC689" w14:textId="017E9E91" w:rsidR="007231D4" w:rsidRDefault="001859FE" w:rsidP="001859FE">
      <w:pPr>
        <w:spacing w:before="240"/>
      </w:pPr>
      <w:r>
        <w:t>Once the fine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Pr>
          <w:rFonts w:eastAsiaTheme="minorEastAsia"/>
        </w:rPr>
        <w:t>)</w:t>
      </w:r>
      <w:r>
        <w:t>, medium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Pr>
          <w:rFonts w:eastAsiaTheme="minorEastAsia"/>
        </w:rPr>
        <w:t xml:space="preserve">), </w:t>
      </w:r>
      <w:r>
        <w:t>and coarse (</w:t>
      </w:r>
      <m:oMath>
        <m:sSub>
          <m:sSubPr>
            <m:ctrlPr>
              <w:rPr>
                <w:rFonts w:ascii="Cambria Math" w:hAnsi="Cambria Math"/>
                <w:i/>
              </w:rPr>
            </m:ctrlPr>
          </m:sSubPr>
          <m:e>
            <m:r>
              <w:rPr>
                <w:rFonts w:ascii="Cambria Math" w:hAnsi="Cambria Math"/>
              </w:rPr>
              <m:t>f</m:t>
            </m:r>
          </m:e>
          <m:sub>
            <m:r>
              <w:rPr>
                <w:rFonts w:ascii="Cambria Math" w:hAnsi="Cambria Math"/>
              </w:rPr>
              <m:t>3</m:t>
            </m:r>
          </m:sub>
        </m:sSub>
      </m:oMath>
      <w:r>
        <w:rPr>
          <w:rFonts w:eastAsiaTheme="minorEastAsia"/>
        </w:rPr>
        <w:t xml:space="preserve">) </w:t>
      </w:r>
      <w:r>
        <w:t xml:space="preserve">solutions are produced, </w:t>
      </w:r>
      <w:r w:rsidR="008A0945">
        <w:t>the numerical error may be estimated as shown in Eq. (3):</w:t>
      </w:r>
    </w:p>
    <w:p w14:paraId="1A6BFFB1" w14:textId="7D545F07" w:rsidR="008A0945" w:rsidRDefault="008A0945" w:rsidP="001859FE">
      <w:pPr>
        <w:spacing w:before="240"/>
        <w:rPr>
          <w:rFonts w:eastAsiaTheme="minorEastAsia"/>
          <w:iCs/>
        </w:rPr>
      </w:pPr>
      <m:oMath>
        <m:r>
          <w:rPr>
            <w:rFonts w:ascii="Cambria Math" w:hAnsi="Cambria Math"/>
          </w:rPr>
          <m:t>δ=</m:t>
        </m:r>
        <m:sSub>
          <m:sSubPr>
            <m:ctrlPr>
              <w:rPr>
                <w:rFonts w:ascii="Cambria Math" w:hAnsi="Cambria Math"/>
                <w:i/>
                <w:lang w:val="bg-BG"/>
              </w:rPr>
            </m:ctrlPr>
          </m:sSubPr>
          <m:e>
            <m:r>
              <w:rPr>
                <w:rFonts w:ascii="Cambria Math" w:hAnsi="Cambria Math"/>
                <w:lang w:val="el-GR"/>
              </w:rPr>
              <m:t>ε</m:t>
            </m:r>
            <m:ctrlPr>
              <w:rPr>
                <w:rFonts w:ascii="Cambria Math" w:hAnsi="Cambria Math"/>
                <w:i/>
                <w:lang w:val="el-GR"/>
              </w:rPr>
            </m:ctrlPr>
          </m:e>
          <m:sub>
            <m:r>
              <w:rPr>
                <w:rFonts w:ascii="Cambria Math" w:hAnsi="Cambria Math"/>
                <w:lang w:val="bg-BG"/>
              </w:rPr>
              <m:t>21</m:t>
            </m:r>
          </m:sub>
        </m:sSub>
        <m:r>
          <w:rPr>
            <w:rFonts w:ascii="Cambria Math" w:hAnsi="Cambria Math"/>
            <w:lang w:val="bg-BG"/>
          </w:rPr>
          <m:t>/(</m:t>
        </m:r>
        <m:sSup>
          <m:sSupPr>
            <m:ctrlPr>
              <w:rPr>
                <w:rFonts w:ascii="Cambria Math" w:hAnsi="Cambria Math"/>
                <w:i/>
              </w:rPr>
            </m:ctrlPr>
          </m:sSupPr>
          <m:e>
            <m:r>
              <w:rPr>
                <w:rFonts w:ascii="Cambria Math" w:hAnsi="Cambria Math"/>
              </w:rPr>
              <m:t>r</m:t>
            </m:r>
            <m:ctrlPr>
              <w:rPr>
                <w:rFonts w:ascii="Cambria Math" w:hAnsi="Cambria Math"/>
                <w:i/>
                <w:lang w:val="bg-BG"/>
              </w:rPr>
            </m:ctrlPr>
          </m:e>
          <m:sup>
            <m:r>
              <w:rPr>
                <w:rFonts w:ascii="Cambria Math" w:hAnsi="Cambria Math"/>
              </w:rPr>
              <m:t>p</m:t>
            </m:r>
          </m:sup>
        </m:sSup>
        <m:r>
          <w:rPr>
            <w:rFonts w:ascii="Cambria Math" w:hAnsi="Cambria Math"/>
          </w:rPr>
          <m:t>-1)</m:t>
        </m:r>
      </m:oMath>
      <w:r w:rsidR="00E5448A">
        <w:rPr>
          <w:rFonts w:eastAsiaTheme="minorEastAsia"/>
          <w:i/>
        </w:rPr>
        <w:tab/>
      </w:r>
      <w:r w:rsidR="00E5448A">
        <w:rPr>
          <w:rFonts w:eastAsiaTheme="minorEastAsia"/>
          <w:i/>
        </w:rPr>
        <w:tab/>
      </w:r>
      <w:r w:rsidR="00E5448A">
        <w:rPr>
          <w:rFonts w:eastAsiaTheme="minorEastAsia"/>
          <w:i/>
        </w:rPr>
        <w:tab/>
      </w:r>
      <w:r w:rsidR="00E5448A">
        <w:rPr>
          <w:rFonts w:eastAsiaTheme="minorEastAsia"/>
          <w:i/>
        </w:rPr>
        <w:tab/>
      </w:r>
      <w:r w:rsidR="00E5448A">
        <w:rPr>
          <w:rFonts w:eastAsiaTheme="minorEastAsia"/>
          <w:i/>
        </w:rPr>
        <w:tab/>
      </w:r>
      <w:r w:rsidR="00E5448A">
        <w:rPr>
          <w:rFonts w:eastAsiaTheme="minorEastAsia"/>
          <w:i/>
        </w:rPr>
        <w:tab/>
      </w:r>
      <w:r w:rsidR="00E5448A">
        <w:rPr>
          <w:rFonts w:eastAsiaTheme="minorEastAsia"/>
          <w:i/>
        </w:rPr>
        <w:tab/>
      </w:r>
      <w:r w:rsidR="00E5448A">
        <w:rPr>
          <w:rFonts w:eastAsiaTheme="minorEastAsia"/>
          <w:i/>
        </w:rPr>
        <w:tab/>
      </w:r>
      <w:r w:rsidR="00E5448A">
        <w:rPr>
          <w:rFonts w:eastAsiaTheme="minorEastAsia"/>
          <w:i/>
        </w:rPr>
        <w:tab/>
      </w:r>
      <w:r w:rsidR="00E5448A">
        <w:rPr>
          <w:rFonts w:eastAsiaTheme="minorEastAsia"/>
          <w:i/>
        </w:rPr>
        <w:tab/>
      </w:r>
      <w:r w:rsidR="00E5448A">
        <w:rPr>
          <w:rFonts w:eastAsiaTheme="minorEastAsia"/>
          <w:iCs/>
        </w:rPr>
        <w:t>(3)</w:t>
      </w:r>
    </w:p>
    <w:p w14:paraId="185359CA" w14:textId="4D0734F6" w:rsidR="00E5448A" w:rsidRDefault="00E5448A" w:rsidP="001859FE">
      <w:pPr>
        <w:spacing w:before="240"/>
        <w:rPr>
          <w:rFonts w:eastAsiaTheme="minorEastAsia"/>
          <w:iCs/>
        </w:rPr>
      </w:pPr>
      <w:r>
        <w:rPr>
          <w:rFonts w:eastAsiaTheme="minorEastAsia"/>
          <w:iCs/>
        </w:rPr>
        <w:t xml:space="preserve">where </w:t>
      </w:r>
      <m:oMath>
        <m:sSub>
          <m:sSubPr>
            <m:ctrlPr>
              <w:rPr>
                <w:rFonts w:ascii="Cambria Math" w:eastAsiaTheme="minorEastAsia" w:hAnsi="Cambria Math"/>
                <w:i/>
                <w:iCs/>
              </w:rPr>
            </m:ctrlPr>
          </m:sSubPr>
          <m:e>
            <m:r>
              <w:rPr>
                <w:rFonts w:ascii="Cambria Math" w:eastAsiaTheme="minorEastAsia" w:hAnsi="Cambria Math"/>
              </w:rPr>
              <m:t>ε</m:t>
            </m:r>
          </m:e>
          <m:sub>
            <m:r>
              <w:rPr>
                <w:rFonts w:ascii="Cambria Math" w:eastAsiaTheme="minorEastAsia" w:hAnsi="Cambria Math"/>
              </w:rPr>
              <m:t>21</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f</m:t>
            </m:r>
          </m:e>
          <m:sub>
            <m:r>
              <w:rPr>
                <w:rFonts w:ascii="Cambria Math" w:eastAsiaTheme="minorEastAsia" w:hAnsi="Cambria Math"/>
              </w:rPr>
              <m:t>1</m:t>
            </m:r>
          </m:sub>
        </m:sSub>
      </m:oMath>
      <w:r>
        <w:rPr>
          <w:rFonts w:eastAsiaTheme="minorEastAsia"/>
          <w:iCs/>
        </w:rPr>
        <w:t>,</w:t>
      </w:r>
      <w:r w:rsidR="002C7876">
        <w:rPr>
          <w:rFonts w:eastAsiaTheme="minorEastAsia"/>
          <w:iCs/>
        </w:rPr>
        <w:t xml:space="preserve"> and </w:t>
      </w:r>
      <m:oMath>
        <m:r>
          <w:rPr>
            <w:rFonts w:ascii="Cambria Math" w:eastAsiaTheme="minorEastAsia" w:hAnsi="Cambria Math"/>
          </w:rPr>
          <m:t>p</m:t>
        </m:r>
      </m:oMath>
      <w:r w:rsidR="002C7876">
        <w:rPr>
          <w:rFonts w:eastAsiaTheme="minorEastAsia"/>
          <w:iCs/>
        </w:rPr>
        <w:t xml:space="preserve"> is the observed order of accuracy, defined as shown in Eq. (4)</w:t>
      </w:r>
      <w:r w:rsidR="000533DC">
        <w:rPr>
          <w:rFonts w:eastAsiaTheme="minorEastAsia"/>
          <w:iCs/>
        </w:rPr>
        <w:t xml:space="preserve"> </w:t>
      </w:r>
      <w:r w:rsidR="000533DC">
        <w:rPr>
          <w:rFonts w:eastAsiaTheme="minorEastAsia"/>
          <w:iCs/>
        </w:rPr>
        <w:fldChar w:fldCharType="begin" w:fldLock="1"/>
      </w:r>
      <w:r w:rsidR="00610BF2">
        <w:rPr>
          <w:rFonts w:eastAsiaTheme="minorEastAsia"/>
          <w:iCs/>
        </w:rPr>
        <w:instrText>ADDIN CSL_CITATION {"citationItems":[{"id":"ITEM-1","itemData":{"DOI":"10.1146/annurev.fluid.29.1.123","ISSN":"0066-4189","abstract":"This review coversVerification,Validation, Confirmation and related subjects for computational fluid dynamics (CFD), including error taxonomies, error estima- tion and banding, convergence rates, surrogate estimators, nonlinear dynamics, and error estimation for grid adaptation vs Quantification of Uncertainty.","author":[{"dropping-particle":"","family":"Roache","given":"P. J.","non-dropping-particle":"","parse-names":false,"suffix":""}],"container-title":"Annual Review of Fluid Mechanics","id":"ITEM-1","issue":"1","issued":{"date-parts":[["1997"]]},"page":"123-160","title":"Quantification of Uncertainty in Computational Fluid Dynamics","type":"article-journal","volume":"29"},"uris":["http://www.mendeley.com/documents/?uuid=2e399437-47f8-4f19-ab5d-02737d9b715e"]}],"mendeley":{"formattedCitation":"(Roache, 1997)","plainTextFormattedCitation":"(Roache, 1997)","previouslyFormattedCitation":"(Roache, 1997)"},"properties":{"noteIndex":0},"schema":"https://github.com/citation-style-language/schema/raw/master/csl-citation.json"}</w:instrText>
      </w:r>
      <w:r w:rsidR="000533DC">
        <w:rPr>
          <w:rFonts w:eastAsiaTheme="minorEastAsia"/>
          <w:iCs/>
        </w:rPr>
        <w:fldChar w:fldCharType="separate"/>
      </w:r>
      <w:r w:rsidR="000533DC" w:rsidRPr="000533DC">
        <w:rPr>
          <w:rFonts w:eastAsiaTheme="minorEastAsia"/>
          <w:iCs/>
          <w:noProof/>
        </w:rPr>
        <w:t>(Roache, 1997)</w:t>
      </w:r>
      <w:r w:rsidR="000533DC">
        <w:rPr>
          <w:rFonts w:eastAsiaTheme="minorEastAsia"/>
          <w:iCs/>
        </w:rPr>
        <w:fldChar w:fldCharType="end"/>
      </w:r>
      <w:r w:rsidR="002C7876">
        <w:rPr>
          <w:rFonts w:eastAsiaTheme="minorEastAsia"/>
          <w:iCs/>
        </w:rPr>
        <w:t>:</w:t>
      </w:r>
    </w:p>
    <w:p w14:paraId="45F52D1B" w14:textId="3F35F486" w:rsidR="002C7876" w:rsidRDefault="002C7876" w:rsidP="001859FE">
      <w:pPr>
        <w:spacing w:before="240"/>
        <w:rPr>
          <w:rFonts w:eastAsiaTheme="minorEastAsia"/>
        </w:rPr>
      </w:pPr>
      <m:oMath>
        <m:r>
          <w:rPr>
            <w:rFonts w:ascii="Cambria Math" w:hAnsi="Cambria Math"/>
          </w:rPr>
          <m:t>p=</m:t>
        </m:r>
        <m:r>
          <m:rPr>
            <m:sty m:val="p"/>
          </m:rPr>
          <w:rPr>
            <w:rFonts w:ascii="Cambria Math" w:hAnsi="Cambria Math"/>
          </w:rPr>
          <m:t>ln⁡</m:t>
        </m:r>
        <m:r>
          <w:rPr>
            <w:rFonts w:ascii="Cambria Math" w:hAnsi="Cambria Math"/>
          </w:rPr>
          <m:t>(|</m:t>
        </m:r>
        <m:sSub>
          <m:sSubPr>
            <m:ctrlPr>
              <w:rPr>
                <w:rFonts w:ascii="Cambria Math" w:hAnsi="Cambria Math"/>
                <w:i/>
                <w:iCs/>
                <w:lang w:val="el-GR"/>
              </w:rPr>
            </m:ctrlPr>
          </m:sSubPr>
          <m:e>
            <m:r>
              <w:rPr>
                <w:rFonts w:ascii="Cambria Math" w:hAnsi="Cambria Math"/>
                <w:lang w:val="el-GR"/>
              </w:rPr>
              <m:t>ε</m:t>
            </m:r>
            <m:ctrlPr>
              <w:rPr>
                <w:rFonts w:ascii="Cambria Math" w:hAnsi="Cambria Math"/>
                <w:i/>
                <w:iCs/>
              </w:rPr>
            </m:ctrlPr>
          </m:e>
          <m:sub>
            <m:r>
              <w:rPr>
                <w:rFonts w:ascii="Cambria Math" w:hAnsi="Cambria Math"/>
              </w:rPr>
              <m:t>21</m:t>
            </m:r>
          </m:sub>
        </m:sSub>
        <m:r>
          <w:rPr>
            <w:rFonts w:ascii="Cambria Math" w:hAnsi="Cambria Math"/>
          </w:rPr>
          <m:t>/</m:t>
        </m:r>
        <m:sSub>
          <m:sSubPr>
            <m:ctrlPr>
              <w:rPr>
                <w:rFonts w:ascii="Cambria Math" w:hAnsi="Cambria Math"/>
                <w:i/>
                <w:iCs/>
                <w:lang w:val="bg-BG"/>
              </w:rPr>
            </m:ctrlPr>
          </m:sSubPr>
          <m:e>
            <m:r>
              <w:rPr>
                <w:rFonts w:ascii="Cambria Math" w:hAnsi="Cambria Math"/>
                <w:lang w:val="el-GR"/>
              </w:rPr>
              <m:t>ε</m:t>
            </m:r>
            <m:ctrlPr>
              <w:rPr>
                <w:rFonts w:ascii="Cambria Math" w:hAnsi="Cambria Math"/>
                <w:i/>
                <w:iCs/>
              </w:rPr>
            </m:ctrlPr>
          </m:e>
          <m:sub>
            <m:r>
              <w:rPr>
                <w:rFonts w:ascii="Cambria Math" w:hAnsi="Cambria Math"/>
                <w:lang w:val="bg-BG"/>
              </w:rPr>
              <m:t>32</m:t>
            </m:r>
          </m:sub>
        </m:sSub>
        <m:r>
          <w:rPr>
            <w:rFonts w:ascii="Cambria Math" w:hAnsi="Cambria Math"/>
          </w:rPr>
          <m:t>|)/</m:t>
        </m:r>
        <m:func>
          <m:funcPr>
            <m:ctrlPr>
              <w:rPr>
                <w:rFonts w:ascii="Cambria Math" w:hAnsi="Cambria Math"/>
                <w:i/>
                <w:iCs/>
              </w:rPr>
            </m:ctrlPr>
          </m:funcPr>
          <m:fName>
            <m:r>
              <m:rPr>
                <m:sty m:val="p"/>
              </m:rPr>
              <w:rPr>
                <w:rFonts w:ascii="Cambria Math" w:hAnsi="Cambria Math"/>
              </w:rPr>
              <m:t>ln</m:t>
            </m:r>
          </m:fName>
          <m:e>
            <m:r>
              <w:rPr>
                <w:rFonts w:ascii="Cambria Math" w:hAnsi="Cambria Math"/>
              </w:rPr>
              <m:t>(r)</m:t>
            </m:r>
          </m:e>
        </m:func>
      </m:oMath>
      <w:r w:rsidR="000533DC">
        <w:rPr>
          <w:rFonts w:eastAsiaTheme="minorEastAsia"/>
          <w:i/>
          <w:iCs/>
        </w:rPr>
        <w:tab/>
      </w:r>
      <w:r w:rsidR="000533DC">
        <w:rPr>
          <w:rFonts w:eastAsiaTheme="minorEastAsia"/>
          <w:i/>
          <w:iCs/>
        </w:rPr>
        <w:tab/>
      </w:r>
      <w:r w:rsidR="000533DC">
        <w:rPr>
          <w:rFonts w:eastAsiaTheme="minorEastAsia"/>
          <w:i/>
          <w:iCs/>
        </w:rPr>
        <w:tab/>
      </w:r>
      <w:r w:rsidR="000533DC">
        <w:rPr>
          <w:rFonts w:eastAsiaTheme="minorEastAsia"/>
          <w:i/>
          <w:iCs/>
        </w:rPr>
        <w:tab/>
      </w:r>
      <w:r w:rsidR="000533DC">
        <w:rPr>
          <w:rFonts w:eastAsiaTheme="minorEastAsia"/>
          <w:i/>
          <w:iCs/>
        </w:rPr>
        <w:tab/>
      </w:r>
      <w:r w:rsidR="000533DC">
        <w:rPr>
          <w:rFonts w:eastAsiaTheme="minorEastAsia"/>
          <w:i/>
          <w:iCs/>
        </w:rPr>
        <w:tab/>
      </w:r>
      <w:r w:rsidR="000533DC">
        <w:rPr>
          <w:rFonts w:eastAsiaTheme="minorEastAsia"/>
          <w:i/>
          <w:iCs/>
        </w:rPr>
        <w:tab/>
      </w:r>
      <w:r w:rsidR="000533DC">
        <w:rPr>
          <w:rFonts w:eastAsiaTheme="minorEastAsia"/>
          <w:i/>
          <w:iCs/>
        </w:rPr>
        <w:tab/>
      </w:r>
      <w:r w:rsidR="000533DC">
        <w:rPr>
          <w:rFonts w:eastAsiaTheme="minorEastAsia"/>
          <w:i/>
          <w:iCs/>
        </w:rPr>
        <w:tab/>
      </w:r>
      <w:r w:rsidR="000533DC">
        <w:rPr>
          <w:rFonts w:eastAsiaTheme="minorEastAsia"/>
        </w:rPr>
        <w:t>(4)</w:t>
      </w:r>
    </w:p>
    <w:p w14:paraId="50932E84" w14:textId="784D7925" w:rsidR="00610BF2" w:rsidRDefault="00610BF2" w:rsidP="001859FE">
      <w:pPr>
        <w:spacing w:before="240"/>
        <w:rPr>
          <w:rFonts w:eastAsiaTheme="minorEastAsia"/>
        </w:rPr>
      </w:pPr>
      <w:r>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32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oMath>
      <w:r w:rsidR="003D03AB">
        <w:rPr>
          <w:rFonts w:eastAsiaTheme="minorEastAsia"/>
        </w:rPr>
        <w:t>. Once these parameter are known, the numerical uncertainty may be predicted using:</w:t>
      </w:r>
    </w:p>
    <w:p w14:paraId="207CD6A0" w14:textId="14FB9A1C" w:rsidR="008B515F" w:rsidRDefault="008B515F" w:rsidP="001859FE">
      <w:pPr>
        <w:spacing w:before="240"/>
        <w:rPr>
          <w:rFonts w:eastAsiaTheme="minorEastAsia"/>
          <w:iCs/>
        </w:rPr>
      </w:pPr>
      <m:oMath>
        <m:r>
          <w:rPr>
            <w:rFonts w:ascii="Cambria Math" w:hAnsi="Cambria Math"/>
          </w:rPr>
          <m:t>GCI=100(FS|δ/</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oMath>
      <w:r>
        <w:rPr>
          <w:rFonts w:eastAsiaTheme="minorEastAsia"/>
          <w:iCs/>
        </w:rPr>
        <w:tab/>
      </w:r>
      <w:r>
        <w:rPr>
          <w:rFonts w:eastAsiaTheme="minorEastAsia"/>
          <w:iCs/>
        </w:rPr>
        <w:tab/>
      </w:r>
      <w:r>
        <w:rPr>
          <w:rFonts w:eastAsiaTheme="minorEastAsia"/>
          <w:iCs/>
        </w:rPr>
        <w:tab/>
      </w:r>
      <w:r>
        <w:rPr>
          <w:rFonts w:eastAsiaTheme="minorEastAsia"/>
          <w:iCs/>
        </w:rPr>
        <w:tab/>
      </w:r>
      <w:r>
        <w:rPr>
          <w:rFonts w:eastAsiaTheme="minorEastAsia"/>
          <w:iCs/>
        </w:rPr>
        <w:tab/>
      </w:r>
      <w:r>
        <w:rPr>
          <w:rFonts w:eastAsiaTheme="minorEastAsia"/>
          <w:iCs/>
        </w:rPr>
        <w:tab/>
      </w:r>
      <w:r>
        <w:rPr>
          <w:rFonts w:eastAsiaTheme="minorEastAsia"/>
          <w:iCs/>
        </w:rPr>
        <w:tab/>
      </w:r>
      <w:r>
        <w:rPr>
          <w:rFonts w:eastAsiaTheme="minorEastAsia"/>
          <w:iCs/>
        </w:rPr>
        <w:tab/>
        <w:t xml:space="preserve">             (5)</w:t>
      </w:r>
    </w:p>
    <w:p w14:paraId="1BC1D8E6" w14:textId="4A597C9A" w:rsidR="003D03AB" w:rsidRDefault="00320186" w:rsidP="001859FE">
      <w:pPr>
        <w:spacing w:before="240"/>
        <w:rPr>
          <w:rFonts w:eastAsiaTheme="minorEastAsia"/>
          <w:iCs/>
        </w:rPr>
      </w:pPr>
      <w:r>
        <w:rPr>
          <w:rFonts w:eastAsiaTheme="minorEastAsia"/>
          <w:iCs/>
        </w:rPr>
        <w:t xml:space="preserve">where </w:t>
      </w:r>
      <m:oMath>
        <m:r>
          <w:rPr>
            <w:rFonts w:ascii="Cambria Math" w:eastAsiaTheme="minorEastAsia" w:hAnsi="Cambria Math"/>
          </w:rPr>
          <m:t>FS=1.25</m:t>
        </m:r>
      </m:oMath>
      <w:r w:rsidR="00462559">
        <w:rPr>
          <w:rFonts w:eastAsiaTheme="minorEastAsia"/>
        </w:rPr>
        <w:t xml:space="preserve"> is the Factor of Safety</w:t>
      </w:r>
      <w:r w:rsidR="00BF212A">
        <w:rPr>
          <w:rFonts w:eastAsiaTheme="minorEastAsia"/>
          <w:iCs/>
        </w:rPr>
        <w:t xml:space="preserve">. </w:t>
      </w:r>
      <w:r w:rsidR="008B515F">
        <w:rPr>
          <w:rFonts w:eastAsiaTheme="minorEastAsia"/>
          <w:iCs/>
        </w:rPr>
        <w:t xml:space="preserve">The numerical uncertainty, </w:t>
      </w:r>
      <m:oMath>
        <m:r>
          <w:rPr>
            <w:rFonts w:ascii="Cambria Math" w:eastAsiaTheme="minorEastAsia" w:hAnsi="Cambria Math"/>
          </w:rPr>
          <m:t>GCI</m:t>
        </m:r>
      </m:oMath>
      <w:r w:rsidR="001E6E8C">
        <w:rPr>
          <w:rFonts w:eastAsiaTheme="minorEastAsia"/>
        </w:rPr>
        <w:t>,</w:t>
      </w:r>
      <w:r w:rsidR="008B515F">
        <w:rPr>
          <w:rFonts w:eastAsiaTheme="minorEastAsia"/>
          <w:iCs/>
        </w:rPr>
        <w:t xml:space="preserve"> </w:t>
      </w:r>
      <w:r w:rsidR="00FF03A6">
        <w:rPr>
          <w:rFonts w:eastAsiaTheme="minorEastAsia"/>
          <w:iCs/>
        </w:rPr>
        <w:t xml:space="preserve">and the experimental uncertainty, </w:t>
      </w:r>
      <m:oMath>
        <m:sSub>
          <m:sSubPr>
            <m:ctrlPr>
              <w:rPr>
                <w:rFonts w:ascii="Cambria Math" w:eastAsiaTheme="minorEastAsia" w:hAnsi="Cambria Math"/>
                <w:i/>
                <w:iCs/>
              </w:rPr>
            </m:ctrlPr>
          </m:sSubPr>
          <m:e>
            <m:r>
              <w:rPr>
                <w:rFonts w:ascii="Cambria Math" w:eastAsiaTheme="minorEastAsia" w:hAnsi="Cambria Math"/>
              </w:rPr>
              <m:t>U</m:t>
            </m:r>
          </m:e>
          <m:sub>
            <m:r>
              <w:rPr>
                <w:rFonts w:ascii="Cambria Math" w:eastAsiaTheme="minorEastAsia" w:hAnsi="Cambria Math"/>
              </w:rPr>
              <m:t>E</m:t>
            </m:r>
          </m:sub>
        </m:sSub>
      </m:oMath>
      <w:r w:rsidR="001E6E8C">
        <w:rPr>
          <w:rFonts w:eastAsiaTheme="minorEastAsia"/>
          <w:iCs/>
        </w:rPr>
        <w:t>,</w:t>
      </w:r>
      <w:r w:rsidR="00FF03A6">
        <w:rPr>
          <w:rFonts w:eastAsiaTheme="minorEastAsia"/>
          <w:iCs/>
        </w:rPr>
        <w:t xml:space="preserve"> are used to predict the validation uncertainty</w:t>
      </w:r>
      <w:r w:rsidR="00AF794C">
        <w:rPr>
          <w:rFonts w:eastAsiaTheme="minorEastAsia"/>
          <w:iCs/>
        </w:rPr>
        <w:t>:</w:t>
      </w:r>
    </w:p>
    <w:p w14:paraId="6C6A51E8" w14:textId="486EB15D" w:rsidR="00AF794C" w:rsidRDefault="00922706" w:rsidP="001859FE">
      <w:pPr>
        <w:spacing w:before="240"/>
        <w:rPr>
          <w:rFonts w:eastAsiaTheme="minorEastAsia"/>
          <w:iCs/>
        </w:rPr>
      </w:pPr>
      <m:oMath>
        <m:sSub>
          <m:sSubPr>
            <m:ctrlPr>
              <w:rPr>
                <w:rFonts w:ascii="Cambria Math" w:eastAsiaTheme="minorEastAsia" w:hAnsi="Cambria Math"/>
                <w:i/>
                <w:iCs/>
              </w:rPr>
            </m:ctrlPr>
          </m:sSubPr>
          <m:e>
            <m:r>
              <w:rPr>
                <w:rFonts w:ascii="Cambria Math" w:eastAsiaTheme="minorEastAsia" w:hAnsi="Cambria Math"/>
              </w:rPr>
              <m:t>U</m:t>
            </m:r>
          </m:e>
          <m:sub>
            <m:r>
              <w:rPr>
                <w:rFonts w:ascii="Cambria Math" w:eastAsiaTheme="minorEastAsia" w:hAnsi="Cambria Math"/>
              </w:rPr>
              <m:t>V</m:t>
            </m:r>
          </m:sub>
        </m:sSub>
        <m:r>
          <w:rPr>
            <w:rFonts w:ascii="Cambria Math" w:eastAsiaTheme="minorEastAsia" w:hAnsi="Cambria Math"/>
          </w:rPr>
          <m:t>=</m:t>
        </m:r>
        <m:rad>
          <m:radPr>
            <m:degHide m:val="1"/>
            <m:ctrlPr>
              <w:rPr>
                <w:rFonts w:ascii="Cambria Math" w:eastAsiaTheme="minorEastAsia" w:hAnsi="Cambria Math"/>
                <w:i/>
                <w:iCs/>
              </w:rPr>
            </m:ctrlPr>
          </m:radPr>
          <m:deg/>
          <m:e>
            <m:r>
              <w:rPr>
                <w:rFonts w:ascii="Cambria Math" w:eastAsiaTheme="minorEastAsia" w:hAnsi="Cambria Math"/>
              </w:rPr>
              <m:t>GC</m:t>
            </m:r>
            <m:sSup>
              <m:sSupPr>
                <m:ctrlPr>
                  <w:rPr>
                    <w:rFonts w:ascii="Cambria Math" w:eastAsiaTheme="minorEastAsia" w:hAnsi="Cambria Math"/>
                    <w:i/>
                    <w:iCs/>
                  </w:rPr>
                </m:ctrlPr>
              </m:sSupPr>
              <m:e>
                <m:r>
                  <w:rPr>
                    <w:rFonts w:ascii="Cambria Math" w:eastAsiaTheme="minorEastAsia" w:hAnsi="Cambria Math"/>
                  </w:rPr>
                  <m:t>I</m:t>
                </m:r>
              </m:e>
              <m:sup>
                <m:r>
                  <w:rPr>
                    <w:rFonts w:ascii="Cambria Math" w:eastAsiaTheme="minorEastAsia" w:hAnsi="Cambria Math"/>
                  </w:rPr>
                  <m:t>2</m:t>
                </m:r>
              </m:sup>
            </m:s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U</m:t>
                </m:r>
              </m:e>
              <m:sub>
                <m:r>
                  <w:rPr>
                    <w:rFonts w:ascii="Cambria Math" w:eastAsiaTheme="minorEastAsia" w:hAnsi="Cambria Math"/>
                  </w:rPr>
                  <m:t>E</m:t>
                </m:r>
              </m:sub>
              <m:sup>
                <m:r>
                  <w:rPr>
                    <w:rFonts w:ascii="Cambria Math" w:eastAsiaTheme="minorEastAsia" w:hAnsi="Cambria Math"/>
                  </w:rPr>
                  <m:t>2</m:t>
                </m:r>
              </m:sup>
            </m:sSubSup>
          </m:e>
        </m:rad>
      </m:oMath>
      <w:r w:rsidR="00EB2C39">
        <w:rPr>
          <w:rFonts w:eastAsiaTheme="minorEastAsia"/>
          <w:iCs/>
        </w:rPr>
        <w:tab/>
      </w:r>
      <w:r w:rsidR="00EB2C39">
        <w:rPr>
          <w:rFonts w:eastAsiaTheme="minorEastAsia"/>
          <w:iCs/>
        </w:rPr>
        <w:tab/>
      </w:r>
      <w:r w:rsidR="00EB2C39">
        <w:rPr>
          <w:rFonts w:eastAsiaTheme="minorEastAsia"/>
          <w:iCs/>
        </w:rPr>
        <w:tab/>
      </w:r>
      <w:r w:rsidR="00EB2C39">
        <w:rPr>
          <w:rFonts w:eastAsiaTheme="minorEastAsia"/>
          <w:iCs/>
        </w:rPr>
        <w:tab/>
      </w:r>
      <w:r w:rsidR="00EB2C39">
        <w:rPr>
          <w:rFonts w:eastAsiaTheme="minorEastAsia"/>
          <w:iCs/>
        </w:rPr>
        <w:tab/>
      </w:r>
      <w:r w:rsidR="00EB2C39">
        <w:rPr>
          <w:rFonts w:eastAsiaTheme="minorEastAsia"/>
          <w:iCs/>
        </w:rPr>
        <w:tab/>
      </w:r>
      <w:r w:rsidR="00EB2C39">
        <w:rPr>
          <w:rFonts w:eastAsiaTheme="minorEastAsia"/>
          <w:iCs/>
        </w:rPr>
        <w:tab/>
      </w:r>
      <w:r w:rsidR="00EB2C39">
        <w:rPr>
          <w:rFonts w:eastAsiaTheme="minorEastAsia"/>
          <w:iCs/>
        </w:rPr>
        <w:tab/>
      </w:r>
      <w:r w:rsidR="00EB2C39">
        <w:rPr>
          <w:rFonts w:eastAsiaTheme="minorEastAsia"/>
          <w:iCs/>
        </w:rPr>
        <w:tab/>
      </w:r>
      <w:r w:rsidR="00EB2C39">
        <w:rPr>
          <w:rFonts w:eastAsiaTheme="minorEastAsia"/>
          <w:iCs/>
        </w:rPr>
        <w:tab/>
        <w:t>(6)</w:t>
      </w:r>
    </w:p>
    <w:p w14:paraId="15E6D74E" w14:textId="07B29BFF" w:rsidR="00EB2C39" w:rsidRDefault="009874D9" w:rsidP="00871C61">
      <w:pPr>
        <w:spacing w:before="240"/>
        <w:jc w:val="both"/>
        <w:rPr>
          <w:rFonts w:eastAsiaTheme="minorEastAsia"/>
          <w:iCs/>
        </w:rPr>
      </w:pPr>
      <w:r>
        <w:rPr>
          <w:rFonts w:eastAsiaTheme="minorEastAsia"/>
          <w:iCs/>
        </w:rPr>
        <w:t>A numerical simulation is validated i</w:t>
      </w:r>
      <w:r w:rsidR="005343E3">
        <w:rPr>
          <w:rFonts w:eastAsiaTheme="minorEastAsia"/>
          <w:iCs/>
        </w:rPr>
        <w:t xml:space="preserve">f the </w:t>
      </w:r>
      <w:r w:rsidR="000058D4">
        <w:rPr>
          <w:rFonts w:eastAsiaTheme="minorEastAsia"/>
          <w:iCs/>
        </w:rPr>
        <w:t xml:space="preserve">error </w:t>
      </w:r>
      <m:oMath>
        <m:r>
          <w:rPr>
            <w:rFonts w:ascii="Cambria Math" w:eastAsiaTheme="minorEastAsia" w:hAnsi="Cambria Math"/>
          </w:rPr>
          <m:t>E=100(</m:t>
        </m:r>
        <m:sSub>
          <m:sSubPr>
            <m:ctrlPr>
              <w:rPr>
                <w:rFonts w:ascii="Cambria Math" w:eastAsiaTheme="minorEastAsia" w:hAnsi="Cambria Math"/>
                <w:i/>
                <w:iCs/>
              </w:rPr>
            </m:ctrlPr>
          </m:sSubPr>
          <m:e>
            <m: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f</m:t>
            </m:r>
          </m:e>
          <m:sub>
            <m:r>
              <w:rPr>
                <w:rFonts w:ascii="Cambria Math" w:eastAsiaTheme="minorEastAsia" w:hAnsi="Cambria Math"/>
              </w:rPr>
              <m:t>exp</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f</m:t>
            </m:r>
          </m:e>
          <m:sub>
            <m:r>
              <w:rPr>
                <w:rFonts w:ascii="Cambria Math" w:eastAsiaTheme="minorEastAsia" w:hAnsi="Cambria Math"/>
              </w:rPr>
              <m:t>exp</m:t>
            </m:r>
          </m:sub>
        </m:sSub>
      </m:oMath>
      <w:r w:rsidR="00093061">
        <w:rPr>
          <w:rFonts w:eastAsiaTheme="minorEastAsia"/>
          <w:iCs/>
        </w:rPr>
        <w:t xml:space="preserve">, with </w:t>
      </w:r>
      <m:oMath>
        <m:sSub>
          <m:sSubPr>
            <m:ctrlPr>
              <w:rPr>
                <w:rFonts w:ascii="Cambria Math" w:eastAsiaTheme="minorEastAsia" w:hAnsi="Cambria Math"/>
                <w:i/>
                <w:iCs/>
              </w:rPr>
            </m:ctrlPr>
          </m:sSubPr>
          <m:e>
            <m:r>
              <w:rPr>
                <w:rFonts w:ascii="Cambria Math" w:eastAsiaTheme="minorEastAsia" w:hAnsi="Cambria Math"/>
              </w:rPr>
              <m:t>f</m:t>
            </m:r>
          </m:e>
          <m:sub>
            <m:r>
              <w:rPr>
                <w:rFonts w:ascii="Cambria Math" w:eastAsiaTheme="minorEastAsia" w:hAnsi="Cambria Math"/>
              </w:rPr>
              <m:t>exp</m:t>
            </m:r>
          </m:sub>
        </m:sSub>
      </m:oMath>
      <w:r w:rsidR="00093061">
        <w:rPr>
          <w:rFonts w:eastAsiaTheme="minorEastAsia"/>
          <w:iCs/>
        </w:rPr>
        <w:t xml:space="preserve"> being the experimentally obtained value,</w:t>
      </w:r>
      <w:r w:rsidR="00A73E6C">
        <w:rPr>
          <w:rFonts w:eastAsiaTheme="minorEastAsia"/>
          <w:iCs/>
        </w:rPr>
        <w:t xml:space="preserve"> is smaller than the validation uncertainty. The results of the </w:t>
      </w:r>
      <w:r w:rsidR="00871C61">
        <w:rPr>
          <w:rFonts w:eastAsiaTheme="minorEastAsia"/>
          <w:iCs/>
        </w:rPr>
        <w:t>validation and verification</w:t>
      </w:r>
      <w:r w:rsidR="00230B40">
        <w:rPr>
          <w:rFonts w:eastAsiaTheme="minorEastAsia"/>
          <w:iCs/>
        </w:rPr>
        <w:t xml:space="preserve"> assessment </w:t>
      </w:r>
      <w:r w:rsidR="00C26166">
        <w:rPr>
          <w:rFonts w:eastAsiaTheme="minorEastAsia"/>
          <w:iCs/>
        </w:rPr>
        <w:t xml:space="preserve">for the case without a pycnocline listed in </w:t>
      </w:r>
      <w:r w:rsidR="00C26166">
        <w:rPr>
          <w:rFonts w:eastAsiaTheme="minorEastAsia"/>
          <w:iCs/>
        </w:rPr>
        <w:fldChar w:fldCharType="begin"/>
      </w:r>
      <w:r w:rsidR="00C26166">
        <w:rPr>
          <w:rFonts w:eastAsiaTheme="minorEastAsia"/>
          <w:iCs/>
        </w:rPr>
        <w:instrText xml:space="preserve"> REF _Ref107927333 \h </w:instrText>
      </w:r>
      <w:r w:rsidR="00C26166">
        <w:rPr>
          <w:rFonts w:eastAsiaTheme="minorEastAsia"/>
          <w:iCs/>
        </w:rPr>
      </w:r>
      <w:r w:rsidR="00C26166">
        <w:rPr>
          <w:rFonts w:eastAsiaTheme="minorEastAsia"/>
          <w:iCs/>
        </w:rPr>
        <w:fldChar w:fldCharType="separate"/>
      </w:r>
      <w:r w:rsidR="00363A7B">
        <w:t xml:space="preserve">Table </w:t>
      </w:r>
      <w:r w:rsidR="00363A7B">
        <w:rPr>
          <w:noProof/>
        </w:rPr>
        <w:t>2</w:t>
      </w:r>
      <w:r w:rsidR="00C26166">
        <w:rPr>
          <w:rFonts w:eastAsiaTheme="minorEastAsia"/>
          <w:iCs/>
        </w:rPr>
        <w:fldChar w:fldCharType="end"/>
      </w:r>
      <w:r w:rsidR="00C26166">
        <w:rPr>
          <w:rFonts w:eastAsiaTheme="minorEastAsia"/>
          <w:iCs/>
        </w:rPr>
        <w:t xml:space="preserve"> are given in </w:t>
      </w:r>
      <w:r w:rsidR="00C26166">
        <w:rPr>
          <w:rFonts w:eastAsiaTheme="minorEastAsia"/>
          <w:iCs/>
        </w:rPr>
        <w:fldChar w:fldCharType="begin"/>
      </w:r>
      <w:r w:rsidR="00C26166">
        <w:rPr>
          <w:rFonts w:eastAsiaTheme="minorEastAsia"/>
          <w:iCs/>
        </w:rPr>
        <w:instrText xml:space="preserve"> REF _Ref108009648 \h </w:instrText>
      </w:r>
      <w:r w:rsidR="00C26166">
        <w:rPr>
          <w:rFonts w:eastAsiaTheme="minorEastAsia"/>
          <w:iCs/>
        </w:rPr>
      </w:r>
      <w:r w:rsidR="00C26166">
        <w:rPr>
          <w:rFonts w:eastAsiaTheme="minorEastAsia"/>
          <w:iCs/>
        </w:rPr>
        <w:fldChar w:fldCharType="separate"/>
      </w:r>
      <w:r w:rsidR="00363A7B">
        <w:t xml:space="preserve">Table </w:t>
      </w:r>
      <w:r w:rsidR="00363A7B">
        <w:rPr>
          <w:noProof/>
        </w:rPr>
        <w:t>4</w:t>
      </w:r>
      <w:r w:rsidR="00C26166">
        <w:rPr>
          <w:rFonts w:eastAsiaTheme="minorEastAsia"/>
          <w:iCs/>
        </w:rPr>
        <w:fldChar w:fldCharType="end"/>
      </w:r>
      <w:r w:rsidR="00C26166">
        <w:rPr>
          <w:rFonts w:eastAsiaTheme="minorEastAsia"/>
          <w:iCs/>
        </w:rPr>
        <w:t>.</w:t>
      </w:r>
    </w:p>
    <w:p w14:paraId="1981192E" w14:textId="3A58C9F3" w:rsidR="00C26166" w:rsidRPr="008B515F" w:rsidRDefault="00C26166" w:rsidP="009F09B6">
      <w:pPr>
        <w:pStyle w:val="Caption"/>
        <w:spacing w:after="0"/>
        <w:jc w:val="left"/>
        <w:rPr>
          <w:rFonts w:eastAsiaTheme="minorEastAsia"/>
          <w:iCs w:val="0"/>
        </w:rPr>
      </w:pPr>
      <w:bookmarkStart w:id="17" w:name="_Ref108009648"/>
      <w:r>
        <w:t xml:space="preserve">Table </w:t>
      </w:r>
      <w:r w:rsidR="00922706">
        <w:fldChar w:fldCharType="begin"/>
      </w:r>
      <w:r w:rsidR="00922706">
        <w:instrText xml:space="preserve"> SEQ Table \* ARABIC </w:instrText>
      </w:r>
      <w:r w:rsidR="00922706">
        <w:fldChar w:fldCharType="separate"/>
      </w:r>
      <w:r w:rsidR="00363A7B">
        <w:rPr>
          <w:noProof/>
        </w:rPr>
        <w:t>4</w:t>
      </w:r>
      <w:r w:rsidR="00922706">
        <w:rPr>
          <w:noProof/>
        </w:rPr>
        <w:fldChar w:fldCharType="end"/>
      </w:r>
      <w:bookmarkEnd w:id="17"/>
      <w:r w:rsidR="00B25CC4">
        <w:t xml:space="preserve">. Validation and verification exercise results.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1021"/>
        <w:gridCol w:w="1103"/>
        <w:gridCol w:w="691"/>
      </w:tblGrid>
      <w:tr w:rsidR="00320186" w:rsidRPr="009F09B6" w14:paraId="53A65211" w14:textId="3C814FDF" w:rsidTr="009F09B6">
        <w:trPr>
          <w:trHeight w:val="290"/>
        </w:trPr>
        <w:tc>
          <w:tcPr>
            <w:tcW w:w="0" w:type="auto"/>
            <w:shd w:val="clear" w:color="auto" w:fill="D9D9D9"/>
            <w:noWrap/>
            <w:vAlign w:val="bottom"/>
            <w:hideMark/>
          </w:tcPr>
          <w:p w14:paraId="5270E75A" w14:textId="77777777" w:rsidR="00320186" w:rsidRPr="009F09B6" w:rsidRDefault="00320186" w:rsidP="00320186">
            <w:pPr>
              <w:spacing w:after="0" w:line="240" w:lineRule="auto"/>
              <w:rPr>
                <w:rFonts w:eastAsia="Times New Roman" w:cs="Calibri"/>
                <w:color w:val="000000"/>
                <w:sz w:val="22"/>
                <w:lang w:eastAsia="ja-JP"/>
              </w:rPr>
            </w:pPr>
            <w:r w:rsidRPr="009F09B6">
              <w:rPr>
                <w:rFonts w:eastAsia="Times New Roman" w:cs="Calibri"/>
                <w:color w:val="000000"/>
                <w:lang w:eastAsia="ja-JP"/>
              </w:rPr>
              <w:t xml:space="preserve">Property </w:t>
            </w:r>
          </w:p>
        </w:tc>
        <w:tc>
          <w:tcPr>
            <w:tcW w:w="0" w:type="auto"/>
            <w:shd w:val="clear" w:color="auto" w:fill="D9D9D9"/>
          </w:tcPr>
          <w:p w14:paraId="72F037BC" w14:textId="4DC43038" w:rsidR="00320186" w:rsidRPr="009F09B6" w:rsidRDefault="00320186">
            <w:pPr>
              <w:spacing w:after="0" w:line="240" w:lineRule="auto"/>
              <w:jc w:val="center"/>
              <w:rPr>
                <w:rFonts w:eastAsia="Times New Roman" w:cs="Calibri"/>
                <w:color w:val="000000"/>
                <w:lang w:eastAsia="ja-JP"/>
              </w:rPr>
            </w:pPr>
            <w:r w:rsidRPr="009F09B6">
              <w:rPr>
                <w:rFonts w:eastAsia="Times New Roman" w:cs="Calibri"/>
                <w:color w:val="000000"/>
                <w:lang w:eastAsia="ja-JP"/>
              </w:rPr>
              <w:t>Symbol</w:t>
            </w:r>
          </w:p>
        </w:tc>
        <w:tc>
          <w:tcPr>
            <w:tcW w:w="0" w:type="auto"/>
            <w:shd w:val="clear" w:color="auto" w:fill="D9D9D9"/>
            <w:noWrap/>
            <w:vAlign w:val="bottom"/>
            <w:hideMark/>
          </w:tcPr>
          <w:p w14:paraId="59EF6345" w14:textId="77777777" w:rsidR="00320186" w:rsidRPr="009F09B6" w:rsidRDefault="00320186">
            <w:pPr>
              <w:spacing w:after="0" w:line="240" w:lineRule="auto"/>
              <w:jc w:val="center"/>
              <w:rPr>
                <w:rFonts w:eastAsia="Times New Roman" w:cs="Calibri"/>
                <w:color w:val="000000"/>
                <w:lang w:eastAsia="ja-JP"/>
              </w:rPr>
            </w:pPr>
            <w:r w:rsidRPr="009F09B6">
              <w:rPr>
                <w:rFonts w:eastAsia="Times New Roman" w:cs="Calibri"/>
                <w:color w:val="000000"/>
                <w:lang w:eastAsia="ja-JP"/>
              </w:rPr>
              <w:t>Value</w:t>
            </w:r>
          </w:p>
        </w:tc>
        <w:tc>
          <w:tcPr>
            <w:tcW w:w="0" w:type="auto"/>
            <w:shd w:val="clear" w:color="auto" w:fill="D9D9D9"/>
          </w:tcPr>
          <w:p w14:paraId="47E1EABD" w14:textId="16A6CCAD" w:rsidR="00320186" w:rsidRPr="009F09B6" w:rsidRDefault="00320186">
            <w:pPr>
              <w:spacing w:after="0" w:line="240" w:lineRule="auto"/>
              <w:jc w:val="center"/>
              <w:rPr>
                <w:rFonts w:eastAsia="Times New Roman" w:cs="Calibri"/>
                <w:color w:val="000000"/>
                <w:lang w:eastAsia="ja-JP"/>
              </w:rPr>
            </w:pPr>
            <w:r w:rsidRPr="009F09B6">
              <w:rPr>
                <w:rFonts w:eastAsia="Times New Roman" w:cs="Calibri"/>
                <w:color w:val="000000"/>
                <w:lang w:eastAsia="ja-JP"/>
              </w:rPr>
              <w:t>Unit</w:t>
            </w:r>
          </w:p>
        </w:tc>
      </w:tr>
      <w:tr w:rsidR="00320186" w:rsidRPr="009F09B6" w14:paraId="63168825" w14:textId="06BC8F61" w:rsidTr="009F09B6">
        <w:trPr>
          <w:trHeight w:val="290"/>
        </w:trPr>
        <w:tc>
          <w:tcPr>
            <w:tcW w:w="0" w:type="auto"/>
            <w:noWrap/>
            <w:vAlign w:val="bottom"/>
            <w:hideMark/>
          </w:tcPr>
          <w:p w14:paraId="2EA73A35" w14:textId="578C2D92"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Fine</w:t>
            </w:r>
            <w:r w:rsidR="00EB7403">
              <w:rPr>
                <w:rFonts w:eastAsia="Times New Roman" w:cs="Calibri"/>
                <w:color w:val="000000"/>
                <w:lang w:eastAsia="ja-JP"/>
              </w:rPr>
              <w:t xml:space="preserve"> solution</w:t>
            </w:r>
          </w:p>
        </w:tc>
        <w:tc>
          <w:tcPr>
            <w:tcW w:w="0" w:type="auto"/>
          </w:tcPr>
          <w:p w14:paraId="42B9AF0C" w14:textId="3C7D7FEB" w:rsidR="00320186" w:rsidRPr="009F09B6" w:rsidRDefault="00922706" w:rsidP="00320186">
            <w:pPr>
              <w:spacing w:after="0" w:line="240" w:lineRule="auto"/>
              <w:jc w:val="right"/>
              <w:rPr>
                <w:rFonts w:eastAsia="Times New Roman" w:cs="Calibri"/>
                <w:color w:val="000000"/>
                <w:lang w:eastAsia="ja-JP"/>
              </w:rPr>
            </w:pPr>
            <m:oMathPara>
              <m:oMath>
                <m:sSub>
                  <m:sSubPr>
                    <m:ctrlPr>
                      <w:rPr>
                        <w:rFonts w:ascii="Cambria Math" w:eastAsia="Times New Roman" w:hAnsi="Cambria Math" w:cs="Calibri"/>
                        <w:i/>
                        <w:color w:val="000000"/>
                        <w:lang w:eastAsia="ja-JP"/>
                      </w:rPr>
                    </m:ctrlPr>
                  </m:sSubPr>
                  <m:e>
                    <m:r>
                      <w:rPr>
                        <w:rFonts w:ascii="Cambria Math" w:eastAsia="Times New Roman" w:hAnsi="Cambria Math" w:cs="Calibri"/>
                        <w:color w:val="000000"/>
                        <w:lang w:eastAsia="ja-JP"/>
                      </w:rPr>
                      <m:t>f</m:t>
                    </m:r>
                  </m:e>
                  <m:sub>
                    <m:r>
                      <w:rPr>
                        <w:rFonts w:ascii="Cambria Math" w:eastAsia="Times New Roman" w:hAnsi="Cambria Math" w:cs="Calibri"/>
                        <w:color w:val="000000"/>
                        <w:lang w:eastAsia="ja-JP"/>
                      </w:rPr>
                      <m:t>1</m:t>
                    </m:r>
                  </m:sub>
                </m:sSub>
              </m:oMath>
            </m:oMathPara>
          </w:p>
        </w:tc>
        <w:tc>
          <w:tcPr>
            <w:tcW w:w="0" w:type="auto"/>
            <w:noWrap/>
            <w:vAlign w:val="bottom"/>
            <w:hideMark/>
          </w:tcPr>
          <w:p w14:paraId="61F07525" w14:textId="60D27588" w:rsidR="00320186" w:rsidRPr="009F09B6" w:rsidRDefault="00320186" w:rsidP="00320186">
            <w:pPr>
              <w:spacing w:after="0" w:line="240" w:lineRule="auto"/>
              <w:jc w:val="right"/>
              <w:rPr>
                <w:rFonts w:eastAsia="Times New Roman" w:cs="Calibri"/>
                <w:color w:val="000000"/>
                <w:lang w:eastAsia="ja-JP"/>
              </w:rPr>
            </w:pPr>
            <w:r w:rsidRPr="009F09B6">
              <w:rPr>
                <w:rFonts w:eastAsia="Times New Roman" w:cs="Calibri"/>
                <w:color w:val="000000"/>
                <w:lang w:eastAsia="ja-JP"/>
              </w:rPr>
              <w:t>40.7424</w:t>
            </w:r>
          </w:p>
        </w:tc>
        <w:tc>
          <w:tcPr>
            <w:tcW w:w="0" w:type="auto"/>
            <w:vAlign w:val="bottom"/>
          </w:tcPr>
          <w:p w14:paraId="0AD5241B" w14:textId="27BEC8A3"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N</w:t>
            </w:r>
          </w:p>
        </w:tc>
      </w:tr>
      <w:tr w:rsidR="00320186" w:rsidRPr="009F09B6" w14:paraId="2C7A312D" w14:textId="023E92C0" w:rsidTr="009F09B6">
        <w:trPr>
          <w:trHeight w:val="290"/>
        </w:trPr>
        <w:tc>
          <w:tcPr>
            <w:tcW w:w="0" w:type="auto"/>
            <w:noWrap/>
            <w:vAlign w:val="bottom"/>
            <w:hideMark/>
          </w:tcPr>
          <w:p w14:paraId="7271E3FB" w14:textId="3AD10E5C"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Medium</w:t>
            </w:r>
            <w:r w:rsidR="00EB7403">
              <w:rPr>
                <w:rFonts w:eastAsia="Times New Roman" w:cs="Calibri"/>
                <w:color w:val="000000"/>
                <w:lang w:eastAsia="ja-JP"/>
              </w:rPr>
              <w:t xml:space="preserve"> solution</w:t>
            </w:r>
          </w:p>
        </w:tc>
        <w:tc>
          <w:tcPr>
            <w:tcW w:w="0" w:type="auto"/>
          </w:tcPr>
          <w:p w14:paraId="77D52D85" w14:textId="5EBA7171" w:rsidR="00320186" w:rsidRPr="009F09B6" w:rsidRDefault="00922706" w:rsidP="00320186">
            <w:pPr>
              <w:spacing w:after="0" w:line="240" w:lineRule="auto"/>
              <w:jc w:val="right"/>
              <w:rPr>
                <w:rFonts w:eastAsia="Times New Roman" w:cs="Calibri"/>
                <w:color w:val="000000"/>
                <w:lang w:eastAsia="ja-JP"/>
              </w:rPr>
            </w:pPr>
            <m:oMathPara>
              <m:oMath>
                <m:sSub>
                  <m:sSubPr>
                    <m:ctrlPr>
                      <w:rPr>
                        <w:rFonts w:ascii="Cambria Math" w:eastAsia="Times New Roman" w:hAnsi="Cambria Math" w:cs="Calibri"/>
                        <w:i/>
                        <w:color w:val="000000"/>
                        <w:lang w:eastAsia="ja-JP"/>
                      </w:rPr>
                    </m:ctrlPr>
                  </m:sSubPr>
                  <m:e>
                    <m:r>
                      <w:rPr>
                        <w:rFonts w:ascii="Cambria Math" w:eastAsia="Times New Roman" w:hAnsi="Cambria Math" w:cs="Calibri"/>
                        <w:color w:val="000000"/>
                        <w:lang w:eastAsia="ja-JP"/>
                      </w:rPr>
                      <m:t>f</m:t>
                    </m:r>
                  </m:e>
                  <m:sub>
                    <m:r>
                      <w:rPr>
                        <w:rFonts w:ascii="Cambria Math" w:eastAsia="Times New Roman" w:hAnsi="Cambria Math" w:cs="Calibri"/>
                        <w:color w:val="000000"/>
                        <w:lang w:eastAsia="ja-JP"/>
                      </w:rPr>
                      <m:t>2</m:t>
                    </m:r>
                  </m:sub>
                </m:sSub>
              </m:oMath>
            </m:oMathPara>
          </w:p>
        </w:tc>
        <w:tc>
          <w:tcPr>
            <w:tcW w:w="0" w:type="auto"/>
            <w:noWrap/>
            <w:vAlign w:val="bottom"/>
            <w:hideMark/>
          </w:tcPr>
          <w:p w14:paraId="4BCC375A" w14:textId="29477B99" w:rsidR="00320186" w:rsidRPr="009F09B6" w:rsidRDefault="00320186" w:rsidP="00320186">
            <w:pPr>
              <w:spacing w:after="0" w:line="240" w:lineRule="auto"/>
              <w:jc w:val="right"/>
              <w:rPr>
                <w:rFonts w:eastAsia="Times New Roman" w:cs="Calibri"/>
                <w:color w:val="000000"/>
                <w:lang w:eastAsia="ja-JP"/>
              </w:rPr>
            </w:pPr>
            <w:r w:rsidRPr="009F09B6">
              <w:rPr>
                <w:rFonts w:eastAsia="Times New Roman" w:cs="Calibri"/>
                <w:color w:val="000000"/>
                <w:lang w:eastAsia="ja-JP"/>
              </w:rPr>
              <w:t>40.7450</w:t>
            </w:r>
          </w:p>
        </w:tc>
        <w:tc>
          <w:tcPr>
            <w:tcW w:w="0" w:type="auto"/>
            <w:vAlign w:val="bottom"/>
          </w:tcPr>
          <w:p w14:paraId="35907DE8" w14:textId="5D23D547"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N</w:t>
            </w:r>
          </w:p>
        </w:tc>
      </w:tr>
      <w:tr w:rsidR="00320186" w:rsidRPr="009F09B6" w14:paraId="3481D92D" w14:textId="429B55A3" w:rsidTr="009F09B6">
        <w:trPr>
          <w:trHeight w:val="290"/>
        </w:trPr>
        <w:tc>
          <w:tcPr>
            <w:tcW w:w="0" w:type="auto"/>
            <w:noWrap/>
            <w:vAlign w:val="bottom"/>
            <w:hideMark/>
          </w:tcPr>
          <w:p w14:paraId="66BD6197" w14:textId="34DB0117" w:rsidR="00320186" w:rsidRPr="00EB7403" w:rsidRDefault="00320186" w:rsidP="00320186">
            <w:pPr>
              <w:spacing w:after="0" w:line="240" w:lineRule="auto"/>
            </w:pPr>
            <w:r w:rsidRPr="009F09B6">
              <w:rPr>
                <w:rFonts w:eastAsia="Times New Roman" w:cs="Calibri"/>
                <w:color w:val="000000"/>
                <w:lang w:eastAsia="ja-JP"/>
              </w:rPr>
              <w:t>Coarse</w:t>
            </w:r>
            <w:r w:rsidR="00EB7403">
              <w:rPr>
                <w:rFonts w:eastAsia="Times New Roman" w:cs="Calibri"/>
                <w:color w:val="000000"/>
                <w:lang w:eastAsia="ja-JP"/>
              </w:rPr>
              <w:t xml:space="preserve"> solution</w:t>
            </w:r>
          </w:p>
        </w:tc>
        <w:tc>
          <w:tcPr>
            <w:tcW w:w="0" w:type="auto"/>
          </w:tcPr>
          <w:p w14:paraId="4E4CBC34" w14:textId="39B64D01" w:rsidR="00320186" w:rsidRPr="009F09B6" w:rsidRDefault="00922706" w:rsidP="00320186">
            <w:pPr>
              <w:spacing w:after="0" w:line="240" w:lineRule="auto"/>
              <w:jc w:val="right"/>
              <w:rPr>
                <w:rFonts w:eastAsia="Times New Roman" w:cs="Calibri"/>
                <w:color w:val="000000"/>
                <w:lang w:eastAsia="ja-JP"/>
              </w:rPr>
            </w:pPr>
            <m:oMathPara>
              <m:oMath>
                <m:sSub>
                  <m:sSubPr>
                    <m:ctrlPr>
                      <w:rPr>
                        <w:rFonts w:ascii="Cambria Math" w:eastAsia="Times New Roman" w:hAnsi="Cambria Math" w:cs="Calibri"/>
                        <w:i/>
                        <w:color w:val="000000"/>
                        <w:lang w:eastAsia="ja-JP"/>
                      </w:rPr>
                    </m:ctrlPr>
                  </m:sSubPr>
                  <m:e>
                    <m:r>
                      <w:rPr>
                        <w:rFonts w:ascii="Cambria Math" w:eastAsia="Times New Roman" w:hAnsi="Cambria Math" w:cs="Calibri"/>
                        <w:color w:val="000000"/>
                        <w:lang w:eastAsia="ja-JP"/>
                      </w:rPr>
                      <m:t>f</m:t>
                    </m:r>
                  </m:e>
                  <m:sub>
                    <m:r>
                      <w:rPr>
                        <w:rFonts w:ascii="Cambria Math" w:eastAsia="Times New Roman" w:hAnsi="Cambria Math" w:cs="Calibri"/>
                        <w:color w:val="000000"/>
                        <w:lang w:eastAsia="ja-JP"/>
                      </w:rPr>
                      <m:t>3</m:t>
                    </m:r>
                  </m:sub>
                </m:sSub>
              </m:oMath>
            </m:oMathPara>
          </w:p>
        </w:tc>
        <w:tc>
          <w:tcPr>
            <w:tcW w:w="0" w:type="auto"/>
            <w:noWrap/>
            <w:vAlign w:val="bottom"/>
            <w:hideMark/>
          </w:tcPr>
          <w:p w14:paraId="15D994D0" w14:textId="639B396C" w:rsidR="00320186" w:rsidRPr="009F09B6" w:rsidRDefault="00320186" w:rsidP="00320186">
            <w:pPr>
              <w:spacing w:after="0" w:line="240" w:lineRule="auto"/>
              <w:jc w:val="right"/>
              <w:rPr>
                <w:rFonts w:eastAsia="Times New Roman" w:cs="Calibri"/>
                <w:color w:val="000000"/>
                <w:lang w:eastAsia="ja-JP"/>
              </w:rPr>
            </w:pPr>
            <w:r w:rsidRPr="009F09B6">
              <w:rPr>
                <w:rFonts w:eastAsia="Times New Roman" w:cs="Calibri"/>
                <w:color w:val="000000"/>
                <w:lang w:eastAsia="ja-JP"/>
              </w:rPr>
              <w:t>41.0892</w:t>
            </w:r>
          </w:p>
        </w:tc>
        <w:tc>
          <w:tcPr>
            <w:tcW w:w="0" w:type="auto"/>
            <w:vAlign w:val="bottom"/>
          </w:tcPr>
          <w:p w14:paraId="5C311F47" w14:textId="42B9EA3F"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N</w:t>
            </w:r>
          </w:p>
        </w:tc>
      </w:tr>
      <w:tr w:rsidR="00320186" w:rsidRPr="009F09B6" w14:paraId="497A6750" w14:textId="3F16C525" w:rsidTr="009F09B6">
        <w:trPr>
          <w:trHeight w:val="290"/>
        </w:trPr>
        <w:tc>
          <w:tcPr>
            <w:tcW w:w="0" w:type="auto"/>
            <w:noWrap/>
            <w:vAlign w:val="bottom"/>
            <w:hideMark/>
          </w:tcPr>
          <w:p w14:paraId="5950522C" w14:textId="77777777"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Refinement ratio</w:t>
            </w:r>
          </w:p>
        </w:tc>
        <w:tc>
          <w:tcPr>
            <w:tcW w:w="0" w:type="auto"/>
          </w:tcPr>
          <w:p w14:paraId="728E9376" w14:textId="4CCB4091" w:rsidR="00320186" w:rsidRPr="009F09B6" w:rsidRDefault="00320186" w:rsidP="00320186">
            <w:pPr>
              <w:spacing w:after="0" w:line="240" w:lineRule="auto"/>
              <w:jc w:val="right"/>
              <w:rPr>
                <w:rFonts w:eastAsia="Times New Roman" w:cs="Calibri"/>
                <w:color w:val="000000"/>
                <w:lang w:eastAsia="ja-JP"/>
              </w:rPr>
            </w:pPr>
            <m:oMathPara>
              <m:oMath>
                <m:r>
                  <w:rPr>
                    <w:rFonts w:ascii="Cambria Math" w:eastAsia="Times New Roman" w:hAnsi="Cambria Math" w:cs="Calibri"/>
                    <w:color w:val="000000"/>
                    <w:lang w:eastAsia="ja-JP"/>
                  </w:rPr>
                  <m:t>r</m:t>
                </m:r>
              </m:oMath>
            </m:oMathPara>
          </w:p>
        </w:tc>
        <w:tc>
          <w:tcPr>
            <w:tcW w:w="0" w:type="auto"/>
            <w:noWrap/>
            <w:vAlign w:val="bottom"/>
            <w:hideMark/>
          </w:tcPr>
          <w:p w14:paraId="6F1599E4" w14:textId="11CC8C01" w:rsidR="00320186" w:rsidRPr="009F09B6" w:rsidRDefault="00922706" w:rsidP="00320186">
            <w:pPr>
              <w:spacing w:after="0" w:line="240" w:lineRule="auto"/>
              <w:jc w:val="right"/>
              <w:rPr>
                <w:rFonts w:eastAsia="Times New Roman" w:cs="Calibri"/>
                <w:color w:val="000000"/>
                <w:lang w:eastAsia="ja-JP"/>
              </w:rPr>
            </w:pPr>
            <m:oMathPara>
              <m:oMathParaPr>
                <m:jc m:val="right"/>
              </m:oMathParaPr>
              <m:oMath>
                <m:rad>
                  <m:radPr>
                    <m:degHide m:val="1"/>
                    <m:ctrlPr>
                      <w:rPr>
                        <w:rFonts w:ascii="Cambria Math" w:eastAsia="Times New Roman" w:hAnsi="Cambria Math" w:cs="Calibri"/>
                        <w:i/>
                        <w:color w:val="000000"/>
                        <w:lang w:eastAsia="ja-JP"/>
                      </w:rPr>
                    </m:ctrlPr>
                  </m:radPr>
                  <m:deg/>
                  <m:e>
                    <m:r>
                      <w:rPr>
                        <w:rFonts w:ascii="Cambria Math" w:eastAsia="Times New Roman" w:hAnsi="Cambria Math" w:cs="Calibri"/>
                        <w:color w:val="000000"/>
                        <w:lang w:eastAsia="ja-JP"/>
                      </w:rPr>
                      <m:t>2</m:t>
                    </m:r>
                  </m:e>
                </m:rad>
              </m:oMath>
            </m:oMathPara>
          </w:p>
        </w:tc>
        <w:tc>
          <w:tcPr>
            <w:tcW w:w="0" w:type="auto"/>
            <w:vAlign w:val="bottom"/>
          </w:tcPr>
          <w:p w14:paraId="6795FF7F" w14:textId="35D74F9C"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 </w:t>
            </w:r>
            <w:r w:rsidR="00565286">
              <w:rPr>
                <w:rFonts w:eastAsia="Times New Roman" w:cs="Calibri"/>
                <w:color w:val="000000"/>
                <w:lang w:eastAsia="ja-JP"/>
              </w:rPr>
              <w:t>-</w:t>
            </w:r>
          </w:p>
        </w:tc>
      </w:tr>
      <w:tr w:rsidR="00320186" w:rsidRPr="009F09B6" w14:paraId="56069168" w14:textId="5149020E" w:rsidTr="009F09B6">
        <w:trPr>
          <w:trHeight w:val="290"/>
        </w:trPr>
        <w:tc>
          <w:tcPr>
            <w:tcW w:w="0" w:type="auto"/>
            <w:noWrap/>
            <w:vAlign w:val="bottom"/>
            <w:hideMark/>
          </w:tcPr>
          <w:p w14:paraId="1FBB6F08" w14:textId="77777777"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lastRenderedPageBreak/>
              <w:t>Error</w:t>
            </w:r>
          </w:p>
        </w:tc>
        <w:tc>
          <w:tcPr>
            <w:tcW w:w="0" w:type="auto"/>
          </w:tcPr>
          <w:p w14:paraId="3A9B12E1" w14:textId="5DC814A6" w:rsidR="00320186" w:rsidRPr="009F09B6" w:rsidRDefault="009F09B6" w:rsidP="00320186">
            <w:pPr>
              <w:spacing w:after="0" w:line="240" w:lineRule="auto"/>
              <w:jc w:val="right"/>
              <w:rPr>
                <w:rFonts w:eastAsia="Times New Roman" w:cs="Calibri"/>
                <w:color w:val="000000"/>
                <w:lang w:eastAsia="ja-JP"/>
              </w:rPr>
            </w:pPr>
            <m:oMathPara>
              <m:oMath>
                <m:r>
                  <w:rPr>
                    <w:rFonts w:ascii="Cambria Math" w:eastAsia="Times New Roman" w:hAnsi="Cambria Math" w:cs="Calibri"/>
                    <w:color w:val="000000"/>
                    <w:lang w:eastAsia="ja-JP"/>
                  </w:rPr>
                  <m:t>δ</m:t>
                </m:r>
              </m:oMath>
            </m:oMathPara>
          </w:p>
        </w:tc>
        <w:tc>
          <w:tcPr>
            <w:tcW w:w="0" w:type="auto"/>
            <w:noWrap/>
            <w:vAlign w:val="bottom"/>
            <w:hideMark/>
          </w:tcPr>
          <w:p w14:paraId="1BCAF1E1" w14:textId="4CB75D77" w:rsidR="00320186" w:rsidRPr="009F09B6" w:rsidRDefault="00320186" w:rsidP="00320186">
            <w:pPr>
              <w:spacing w:after="0" w:line="240" w:lineRule="auto"/>
              <w:jc w:val="right"/>
              <w:rPr>
                <w:rFonts w:eastAsia="Times New Roman" w:cs="Calibri"/>
                <w:color w:val="000000"/>
                <w:sz w:val="22"/>
                <w:lang w:eastAsia="ja-JP"/>
              </w:rPr>
            </w:pPr>
            <w:r w:rsidRPr="009F09B6">
              <w:rPr>
                <w:rFonts w:eastAsia="Times New Roman" w:cs="Calibri"/>
                <w:color w:val="000000"/>
                <w:lang w:eastAsia="ja-JP"/>
              </w:rPr>
              <w:t>1.95E-05</w:t>
            </w:r>
          </w:p>
        </w:tc>
        <w:tc>
          <w:tcPr>
            <w:tcW w:w="0" w:type="auto"/>
            <w:vAlign w:val="bottom"/>
          </w:tcPr>
          <w:p w14:paraId="78E0BF94" w14:textId="2015E891"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 </w:t>
            </w:r>
            <w:r w:rsidR="00565286">
              <w:rPr>
                <w:rFonts w:eastAsia="Times New Roman" w:cs="Calibri"/>
                <w:color w:val="000000"/>
                <w:lang w:eastAsia="ja-JP"/>
              </w:rPr>
              <w:t>-</w:t>
            </w:r>
          </w:p>
        </w:tc>
      </w:tr>
      <w:tr w:rsidR="00320186" w:rsidRPr="009F09B6" w14:paraId="06A3FAF3" w14:textId="4FE0F49B" w:rsidTr="009F09B6">
        <w:trPr>
          <w:trHeight w:val="290"/>
        </w:trPr>
        <w:tc>
          <w:tcPr>
            <w:tcW w:w="0" w:type="auto"/>
            <w:noWrap/>
            <w:vAlign w:val="bottom"/>
            <w:hideMark/>
          </w:tcPr>
          <w:p w14:paraId="3FD6B1B1" w14:textId="77777777"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GCI Uncertainty</w:t>
            </w:r>
          </w:p>
        </w:tc>
        <w:tc>
          <w:tcPr>
            <w:tcW w:w="0" w:type="auto"/>
          </w:tcPr>
          <w:p w14:paraId="2F9CF4AB" w14:textId="3F9413B5" w:rsidR="00320186" w:rsidRPr="009F09B6" w:rsidRDefault="009F09B6" w:rsidP="00320186">
            <w:pPr>
              <w:spacing w:after="0" w:line="240" w:lineRule="auto"/>
              <w:jc w:val="right"/>
              <w:rPr>
                <w:rFonts w:eastAsia="Times New Roman" w:cs="Calibri"/>
                <w:color w:val="000000"/>
                <w:lang w:eastAsia="ja-JP"/>
              </w:rPr>
            </w:pPr>
            <m:oMathPara>
              <m:oMath>
                <m:r>
                  <w:rPr>
                    <w:rFonts w:ascii="Cambria Math" w:eastAsia="Times New Roman" w:hAnsi="Cambria Math" w:cs="Calibri"/>
                    <w:color w:val="000000"/>
                    <w:lang w:eastAsia="ja-JP"/>
                  </w:rPr>
                  <m:t>GCI</m:t>
                </m:r>
              </m:oMath>
            </m:oMathPara>
          </w:p>
        </w:tc>
        <w:tc>
          <w:tcPr>
            <w:tcW w:w="0" w:type="auto"/>
            <w:noWrap/>
            <w:vAlign w:val="bottom"/>
            <w:hideMark/>
          </w:tcPr>
          <w:p w14:paraId="7FBB914C" w14:textId="27F93732" w:rsidR="00320186" w:rsidRPr="009F09B6" w:rsidRDefault="00320186" w:rsidP="00320186">
            <w:pPr>
              <w:spacing w:after="0" w:line="240" w:lineRule="auto"/>
              <w:jc w:val="right"/>
              <w:rPr>
                <w:rFonts w:eastAsia="Times New Roman" w:cs="Calibri"/>
                <w:color w:val="000000"/>
                <w:lang w:eastAsia="ja-JP"/>
              </w:rPr>
            </w:pPr>
            <w:r w:rsidRPr="009F09B6">
              <w:rPr>
                <w:rFonts w:eastAsia="Times New Roman" w:cs="Calibri"/>
                <w:color w:val="000000"/>
                <w:lang w:eastAsia="ja-JP"/>
              </w:rPr>
              <w:t>5.98E-05</w:t>
            </w:r>
          </w:p>
        </w:tc>
        <w:tc>
          <w:tcPr>
            <w:tcW w:w="0" w:type="auto"/>
            <w:vAlign w:val="bottom"/>
          </w:tcPr>
          <w:p w14:paraId="0414C171" w14:textId="1D31D565"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w:t>
            </w:r>
          </w:p>
        </w:tc>
      </w:tr>
      <w:tr w:rsidR="00320186" w:rsidRPr="009F09B6" w14:paraId="27688566" w14:textId="42BB5D7C" w:rsidTr="009F09B6">
        <w:trPr>
          <w:trHeight w:val="290"/>
        </w:trPr>
        <w:tc>
          <w:tcPr>
            <w:tcW w:w="0" w:type="auto"/>
            <w:noWrap/>
            <w:vAlign w:val="bottom"/>
            <w:hideMark/>
          </w:tcPr>
          <w:p w14:paraId="5BDEEC88" w14:textId="6CFC957E"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Experiment</w:t>
            </w:r>
            <w:r w:rsidR="00BF212A" w:rsidRPr="009F09B6">
              <w:rPr>
                <w:rFonts w:eastAsia="Times New Roman" w:cs="Calibri"/>
                <w:color w:val="000000"/>
                <w:lang w:eastAsia="ja-JP"/>
              </w:rPr>
              <w:t>al</w:t>
            </w:r>
            <w:r w:rsidRPr="009F09B6">
              <w:rPr>
                <w:rFonts w:eastAsia="Times New Roman" w:cs="Calibri"/>
                <w:color w:val="000000"/>
                <w:lang w:eastAsia="ja-JP"/>
              </w:rPr>
              <w:t xml:space="preserve"> uncertainty</w:t>
            </w:r>
          </w:p>
        </w:tc>
        <w:tc>
          <w:tcPr>
            <w:tcW w:w="0" w:type="auto"/>
          </w:tcPr>
          <w:p w14:paraId="423D4589" w14:textId="668391DB" w:rsidR="00320186" w:rsidRPr="009F09B6" w:rsidRDefault="00922706" w:rsidP="00320186">
            <w:pPr>
              <w:spacing w:after="0" w:line="240" w:lineRule="auto"/>
              <w:jc w:val="right"/>
              <w:rPr>
                <w:rFonts w:eastAsia="Times New Roman" w:cs="Calibri"/>
                <w:color w:val="000000"/>
                <w:lang w:eastAsia="ja-JP"/>
              </w:rPr>
            </w:pPr>
            <m:oMathPara>
              <m:oMath>
                <m:sSub>
                  <m:sSubPr>
                    <m:ctrlPr>
                      <w:rPr>
                        <w:rFonts w:ascii="Cambria Math" w:eastAsia="Times New Roman" w:hAnsi="Cambria Math" w:cs="Calibri"/>
                        <w:i/>
                        <w:color w:val="000000"/>
                        <w:lang w:eastAsia="ja-JP"/>
                      </w:rPr>
                    </m:ctrlPr>
                  </m:sSubPr>
                  <m:e>
                    <m:r>
                      <w:rPr>
                        <w:rFonts w:ascii="Cambria Math" w:eastAsia="Times New Roman" w:hAnsi="Cambria Math" w:cs="Calibri"/>
                        <w:color w:val="000000"/>
                        <w:lang w:eastAsia="ja-JP"/>
                      </w:rPr>
                      <m:t>U</m:t>
                    </m:r>
                  </m:e>
                  <m:sub>
                    <m:r>
                      <w:rPr>
                        <w:rFonts w:ascii="Cambria Math" w:eastAsia="Times New Roman" w:hAnsi="Cambria Math" w:cs="Calibri"/>
                        <w:color w:val="000000"/>
                        <w:lang w:eastAsia="ja-JP"/>
                      </w:rPr>
                      <m:t>E</m:t>
                    </m:r>
                  </m:sub>
                </m:sSub>
              </m:oMath>
            </m:oMathPara>
          </w:p>
        </w:tc>
        <w:tc>
          <w:tcPr>
            <w:tcW w:w="0" w:type="auto"/>
            <w:noWrap/>
            <w:vAlign w:val="bottom"/>
            <w:hideMark/>
          </w:tcPr>
          <w:p w14:paraId="2F0B7F1D" w14:textId="0C8AA28D" w:rsidR="00320186" w:rsidRPr="009F09B6" w:rsidRDefault="00320186" w:rsidP="00320186">
            <w:pPr>
              <w:spacing w:after="0" w:line="240" w:lineRule="auto"/>
              <w:jc w:val="right"/>
              <w:rPr>
                <w:rFonts w:eastAsia="Times New Roman" w:cs="Calibri"/>
                <w:color w:val="000000"/>
                <w:lang w:eastAsia="ja-JP"/>
              </w:rPr>
            </w:pPr>
            <w:r w:rsidRPr="009F09B6">
              <w:rPr>
                <w:rFonts w:eastAsia="Times New Roman" w:cs="Calibri"/>
                <w:color w:val="000000"/>
                <w:lang w:eastAsia="ja-JP"/>
              </w:rPr>
              <w:t>0.64</w:t>
            </w:r>
          </w:p>
        </w:tc>
        <w:tc>
          <w:tcPr>
            <w:tcW w:w="0" w:type="auto"/>
            <w:vAlign w:val="bottom"/>
          </w:tcPr>
          <w:p w14:paraId="28FE417A" w14:textId="1BD45298"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w:t>
            </w:r>
          </w:p>
        </w:tc>
      </w:tr>
      <w:tr w:rsidR="00320186" w:rsidRPr="009F09B6" w14:paraId="5603591F" w14:textId="190EC4FE" w:rsidTr="009F09B6">
        <w:trPr>
          <w:trHeight w:val="290"/>
        </w:trPr>
        <w:tc>
          <w:tcPr>
            <w:tcW w:w="0" w:type="auto"/>
            <w:noWrap/>
            <w:vAlign w:val="bottom"/>
            <w:hideMark/>
          </w:tcPr>
          <w:p w14:paraId="6FD269B3" w14:textId="684864F2"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Validation uncertainty</w:t>
            </w:r>
          </w:p>
        </w:tc>
        <w:tc>
          <w:tcPr>
            <w:tcW w:w="0" w:type="auto"/>
          </w:tcPr>
          <w:p w14:paraId="6C2AE66A" w14:textId="0EA96FF9" w:rsidR="00320186" w:rsidRPr="009F09B6" w:rsidRDefault="00922706" w:rsidP="00320186">
            <w:pPr>
              <w:spacing w:after="0" w:line="240" w:lineRule="auto"/>
              <w:jc w:val="right"/>
              <w:rPr>
                <w:rFonts w:eastAsia="Times New Roman" w:cs="Calibri"/>
                <w:color w:val="000000"/>
                <w:lang w:eastAsia="ja-JP"/>
              </w:rPr>
            </w:pPr>
            <m:oMathPara>
              <m:oMath>
                <m:sSub>
                  <m:sSubPr>
                    <m:ctrlPr>
                      <w:rPr>
                        <w:rFonts w:ascii="Cambria Math" w:eastAsia="Times New Roman" w:hAnsi="Cambria Math" w:cs="Calibri"/>
                        <w:i/>
                        <w:color w:val="000000"/>
                        <w:lang w:eastAsia="ja-JP"/>
                      </w:rPr>
                    </m:ctrlPr>
                  </m:sSubPr>
                  <m:e>
                    <m:r>
                      <w:rPr>
                        <w:rFonts w:ascii="Cambria Math" w:eastAsia="Times New Roman" w:hAnsi="Cambria Math" w:cs="Calibri"/>
                        <w:color w:val="000000"/>
                        <w:lang w:eastAsia="ja-JP"/>
                      </w:rPr>
                      <m:t>U</m:t>
                    </m:r>
                  </m:e>
                  <m:sub>
                    <m:r>
                      <w:rPr>
                        <w:rFonts w:ascii="Cambria Math" w:eastAsia="Times New Roman" w:hAnsi="Cambria Math" w:cs="Calibri"/>
                        <w:color w:val="000000"/>
                        <w:lang w:eastAsia="ja-JP"/>
                      </w:rPr>
                      <m:t>V</m:t>
                    </m:r>
                  </m:sub>
                </m:sSub>
              </m:oMath>
            </m:oMathPara>
          </w:p>
        </w:tc>
        <w:tc>
          <w:tcPr>
            <w:tcW w:w="0" w:type="auto"/>
            <w:noWrap/>
            <w:vAlign w:val="bottom"/>
            <w:hideMark/>
          </w:tcPr>
          <w:p w14:paraId="5D145BB1" w14:textId="650DD7C9" w:rsidR="00320186" w:rsidRPr="009F09B6" w:rsidRDefault="00320186" w:rsidP="00320186">
            <w:pPr>
              <w:spacing w:after="0" w:line="240" w:lineRule="auto"/>
              <w:jc w:val="right"/>
              <w:rPr>
                <w:rFonts w:eastAsia="Times New Roman" w:cs="Calibri"/>
                <w:color w:val="000000"/>
                <w:lang w:eastAsia="ja-JP"/>
              </w:rPr>
            </w:pPr>
            <w:r w:rsidRPr="009F09B6">
              <w:rPr>
                <w:rFonts w:eastAsia="Times New Roman" w:cs="Calibri"/>
                <w:color w:val="000000"/>
                <w:lang w:eastAsia="ja-JP"/>
              </w:rPr>
              <w:t>0.64</w:t>
            </w:r>
          </w:p>
        </w:tc>
        <w:tc>
          <w:tcPr>
            <w:tcW w:w="0" w:type="auto"/>
            <w:vAlign w:val="bottom"/>
          </w:tcPr>
          <w:p w14:paraId="66A7F340" w14:textId="3B714EF6"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w:t>
            </w:r>
          </w:p>
        </w:tc>
      </w:tr>
      <w:tr w:rsidR="00320186" w:rsidRPr="009F09B6" w14:paraId="31FBEB72" w14:textId="7E60462E" w:rsidTr="009F09B6">
        <w:trPr>
          <w:trHeight w:val="290"/>
        </w:trPr>
        <w:tc>
          <w:tcPr>
            <w:tcW w:w="0" w:type="auto"/>
            <w:noWrap/>
            <w:vAlign w:val="bottom"/>
            <w:hideMark/>
          </w:tcPr>
          <w:p w14:paraId="597EEB2D" w14:textId="77777777"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Experimental Value</w:t>
            </w:r>
          </w:p>
        </w:tc>
        <w:tc>
          <w:tcPr>
            <w:tcW w:w="0" w:type="auto"/>
          </w:tcPr>
          <w:p w14:paraId="3A730425" w14:textId="791D0A53" w:rsidR="00320186" w:rsidRPr="009F09B6" w:rsidRDefault="00922706" w:rsidP="00320186">
            <w:pPr>
              <w:spacing w:after="0" w:line="240" w:lineRule="auto"/>
              <w:jc w:val="right"/>
              <w:rPr>
                <w:rFonts w:eastAsia="Times New Roman" w:cs="Calibri"/>
                <w:color w:val="000000"/>
                <w:lang w:eastAsia="ja-JP"/>
              </w:rPr>
            </w:pPr>
            <m:oMathPara>
              <m:oMath>
                <m:sSub>
                  <m:sSubPr>
                    <m:ctrlPr>
                      <w:rPr>
                        <w:rFonts w:ascii="Cambria Math" w:eastAsia="Times New Roman" w:hAnsi="Cambria Math" w:cs="Calibri"/>
                        <w:i/>
                        <w:color w:val="000000"/>
                        <w:lang w:eastAsia="ja-JP"/>
                      </w:rPr>
                    </m:ctrlPr>
                  </m:sSubPr>
                  <m:e>
                    <m:r>
                      <w:rPr>
                        <w:rFonts w:ascii="Cambria Math" w:eastAsia="Times New Roman" w:hAnsi="Cambria Math" w:cs="Calibri"/>
                        <w:color w:val="000000"/>
                        <w:lang w:eastAsia="ja-JP"/>
                      </w:rPr>
                      <m:t>f</m:t>
                    </m:r>
                  </m:e>
                  <m:sub>
                    <m:r>
                      <w:rPr>
                        <w:rFonts w:ascii="Cambria Math" w:eastAsia="Times New Roman" w:hAnsi="Cambria Math" w:cs="Calibri"/>
                        <w:color w:val="000000"/>
                        <w:lang w:eastAsia="ja-JP"/>
                      </w:rPr>
                      <m:t>exp</m:t>
                    </m:r>
                  </m:sub>
                </m:sSub>
              </m:oMath>
            </m:oMathPara>
          </w:p>
        </w:tc>
        <w:tc>
          <w:tcPr>
            <w:tcW w:w="0" w:type="auto"/>
            <w:noWrap/>
            <w:vAlign w:val="bottom"/>
            <w:hideMark/>
          </w:tcPr>
          <w:p w14:paraId="2B1DAD9D" w14:textId="4375753D" w:rsidR="00320186" w:rsidRPr="009F09B6" w:rsidRDefault="00320186" w:rsidP="00320186">
            <w:pPr>
              <w:spacing w:after="0" w:line="240" w:lineRule="auto"/>
              <w:jc w:val="right"/>
              <w:rPr>
                <w:rFonts w:eastAsia="Times New Roman" w:cs="Calibri"/>
                <w:color w:val="000000"/>
                <w:lang w:eastAsia="ja-JP"/>
              </w:rPr>
            </w:pPr>
            <w:r w:rsidRPr="009F09B6">
              <w:rPr>
                <w:rFonts w:eastAsia="Times New Roman" w:cs="Calibri"/>
                <w:color w:val="000000"/>
                <w:lang w:eastAsia="ja-JP"/>
              </w:rPr>
              <w:t>40.965</w:t>
            </w:r>
          </w:p>
        </w:tc>
        <w:tc>
          <w:tcPr>
            <w:tcW w:w="0" w:type="auto"/>
            <w:vAlign w:val="bottom"/>
          </w:tcPr>
          <w:p w14:paraId="4E71584F" w14:textId="04EF009F"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N</w:t>
            </w:r>
          </w:p>
        </w:tc>
      </w:tr>
      <w:tr w:rsidR="00320186" w:rsidRPr="009F09B6" w14:paraId="4922F7D3" w14:textId="11C5A2D0" w:rsidTr="009F09B6">
        <w:trPr>
          <w:trHeight w:val="300"/>
        </w:trPr>
        <w:tc>
          <w:tcPr>
            <w:tcW w:w="0" w:type="auto"/>
            <w:noWrap/>
            <w:vAlign w:val="bottom"/>
            <w:hideMark/>
          </w:tcPr>
          <w:p w14:paraId="28845227" w14:textId="77777777" w:rsidR="00320186" w:rsidRPr="009F09B6" w:rsidRDefault="00320186" w:rsidP="00320186">
            <w:pPr>
              <w:spacing w:after="0" w:line="240" w:lineRule="auto"/>
              <w:rPr>
                <w:rFonts w:eastAsia="Times New Roman" w:cs="Calibri"/>
                <w:color w:val="000000"/>
                <w:lang w:eastAsia="ja-JP"/>
              </w:rPr>
            </w:pPr>
            <w:r w:rsidRPr="009F09B6">
              <w:rPr>
                <w:rFonts w:eastAsia="Times New Roman" w:cs="Calibri"/>
                <w:color w:val="000000"/>
                <w:lang w:eastAsia="ja-JP"/>
              </w:rPr>
              <w:t>Comparison error</w:t>
            </w:r>
          </w:p>
        </w:tc>
        <w:tc>
          <w:tcPr>
            <w:tcW w:w="0" w:type="auto"/>
          </w:tcPr>
          <w:p w14:paraId="4E8BB6C3" w14:textId="562332B2" w:rsidR="00320186" w:rsidRPr="009F09B6" w:rsidRDefault="007279CD" w:rsidP="00320186">
            <w:pPr>
              <w:spacing w:after="0" w:line="240" w:lineRule="auto"/>
              <w:jc w:val="right"/>
              <w:rPr>
                <w:rFonts w:eastAsia="Times New Roman" w:cs="Calibri"/>
                <w:color w:val="000000"/>
                <w:lang w:eastAsia="ja-JP"/>
              </w:rPr>
            </w:pPr>
            <m:oMathPara>
              <m:oMath>
                <m:r>
                  <w:rPr>
                    <w:rFonts w:ascii="Cambria Math" w:eastAsia="Times New Roman" w:hAnsi="Cambria Math" w:cs="Calibri"/>
                    <w:color w:val="000000"/>
                    <w:lang w:eastAsia="ja-JP"/>
                  </w:rPr>
                  <m:t>E</m:t>
                </m:r>
              </m:oMath>
            </m:oMathPara>
          </w:p>
        </w:tc>
        <w:tc>
          <w:tcPr>
            <w:tcW w:w="0" w:type="auto"/>
            <w:noWrap/>
            <w:vAlign w:val="bottom"/>
            <w:hideMark/>
          </w:tcPr>
          <w:p w14:paraId="61487D39" w14:textId="0FC7B9D9" w:rsidR="00320186" w:rsidRPr="009F09B6" w:rsidRDefault="00320186" w:rsidP="00320186">
            <w:pPr>
              <w:spacing w:after="0" w:line="240" w:lineRule="auto"/>
              <w:jc w:val="right"/>
              <w:rPr>
                <w:rFonts w:eastAsia="Times New Roman" w:cs="Calibri"/>
                <w:color w:val="000000"/>
                <w:lang w:eastAsia="ja-JP"/>
              </w:rPr>
            </w:pPr>
            <w:r w:rsidRPr="009F09B6">
              <w:rPr>
                <w:rFonts w:eastAsia="Times New Roman" w:cs="Calibri"/>
                <w:color w:val="000000"/>
                <w:lang w:eastAsia="ja-JP"/>
              </w:rPr>
              <w:t>0.5444</w:t>
            </w:r>
          </w:p>
        </w:tc>
        <w:tc>
          <w:tcPr>
            <w:tcW w:w="0" w:type="auto"/>
          </w:tcPr>
          <w:p w14:paraId="6603C83F" w14:textId="349E3EAD" w:rsidR="00320186" w:rsidRPr="009F09B6" w:rsidRDefault="00565286" w:rsidP="00320186">
            <w:pPr>
              <w:spacing w:after="0" w:line="240" w:lineRule="auto"/>
              <w:rPr>
                <w:rFonts w:eastAsia="Times New Roman" w:cs="Calibri"/>
                <w:color w:val="000000"/>
                <w:lang w:eastAsia="ja-JP"/>
              </w:rPr>
            </w:pPr>
            <w:r>
              <w:rPr>
                <w:rFonts w:eastAsia="Times New Roman" w:cs="Calibri"/>
                <w:color w:val="000000"/>
                <w:lang w:eastAsia="ja-JP"/>
              </w:rPr>
              <w:t>%</w:t>
            </w:r>
          </w:p>
        </w:tc>
      </w:tr>
      <w:tr w:rsidR="009F09B6" w:rsidRPr="009F09B6" w14:paraId="6C4F8AC9" w14:textId="77777777" w:rsidTr="009F09B6">
        <w:trPr>
          <w:trHeight w:val="300"/>
        </w:trPr>
        <w:tc>
          <w:tcPr>
            <w:tcW w:w="0" w:type="auto"/>
            <w:noWrap/>
            <w:vAlign w:val="bottom"/>
          </w:tcPr>
          <w:p w14:paraId="607E0A9D" w14:textId="350A1E71" w:rsidR="009F09B6" w:rsidRPr="009F09B6" w:rsidRDefault="009F09B6" w:rsidP="00320186">
            <w:pPr>
              <w:spacing w:after="0" w:line="240" w:lineRule="auto"/>
              <w:rPr>
                <w:rFonts w:eastAsia="Times New Roman" w:cs="Calibri"/>
                <w:color w:val="000000"/>
                <w:lang w:eastAsia="ja-JP"/>
              </w:rPr>
            </w:pPr>
            <w:r w:rsidRPr="009F09B6">
              <w:rPr>
                <w:rFonts w:eastAsia="Times New Roman" w:cs="Calibri"/>
                <w:color w:val="000000"/>
                <w:lang w:eastAsia="ja-JP"/>
              </w:rPr>
              <w:t>Solution validated?</w:t>
            </w:r>
          </w:p>
        </w:tc>
        <w:tc>
          <w:tcPr>
            <w:tcW w:w="0" w:type="auto"/>
            <w:gridSpan w:val="3"/>
          </w:tcPr>
          <w:p w14:paraId="7969D64F" w14:textId="18DB28C1" w:rsidR="009F09B6" w:rsidRPr="00792F64" w:rsidRDefault="009F09B6" w:rsidP="009F09B6">
            <w:pPr>
              <w:spacing w:after="0" w:line="240" w:lineRule="auto"/>
              <w:jc w:val="center"/>
              <w:rPr>
                <w:rFonts w:eastAsia="Times New Roman" w:cs="Calibri"/>
                <w:b/>
                <w:bCs/>
                <w:i/>
                <w:iCs/>
                <w:color w:val="000000"/>
                <w:lang w:eastAsia="ja-JP"/>
              </w:rPr>
            </w:pPr>
            <w:r w:rsidRPr="00792F64">
              <w:rPr>
                <w:rFonts w:eastAsia="Times New Roman" w:cs="Calibri"/>
                <w:b/>
                <w:bCs/>
                <w:i/>
                <w:iCs/>
                <w:color w:val="385623" w:themeColor="accent6" w:themeShade="80"/>
                <w:lang w:eastAsia="ja-JP"/>
              </w:rPr>
              <w:t>Yes</w:t>
            </w:r>
          </w:p>
        </w:tc>
      </w:tr>
    </w:tbl>
    <w:p w14:paraId="76231647" w14:textId="4072A9CC" w:rsidR="004B6D9D" w:rsidRDefault="001E6C00" w:rsidP="00C90A82">
      <w:pPr>
        <w:spacing w:before="240"/>
        <w:jc w:val="both"/>
        <w:rPr>
          <w:rFonts w:eastAsiaTheme="minorEastAsia"/>
          <w:iCs/>
        </w:rPr>
      </w:pPr>
      <w:r>
        <w:rPr>
          <w:rFonts w:eastAsiaTheme="minorEastAsia"/>
          <w:iCs/>
        </w:rPr>
        <w:fldChar w:fldCharType="begin"/>
      </w:r>
      <w:r>
        <w:rPr>
          <w:rFonts w:eastAsiaTheme="minorEastAsia"/>
          <w:iCs/>
        </w:rPr>
        <w:instrText xml:space="preserve"> REF _Ref108009648 \h </w:instrText>
      </w:r>
      <w:r>
        <w:rPr>
          <w:rFonts w:eastAsiaTheme="minorEastAsia"/>
          <w:iCs/>
        </w:rPr>
      </w:r>
      <w:r>
        <w:rPr>
          <w:rFonts w:eastAsiaTheme="minorEastAsia"/>
          <w:iCs/>
        </w:rPr>
        <w:fldChar w:fldCharType="separate"/>
      </w:r>
      <w:r w:rsidR="00363A7B">
        <w:t xml:space="preserve">Table </w:t>
      </w:r>
      <w:r w:rsidR="00363A7B">
        <w:rPr>
          <w:noProof/>
        </w:rPr>
        <w:t>4</w:t>
      </w:r>
      <w:r>
        <w:rPr>
          <w:rFonts w:eastAsiaTheme="minorEastAsia"/>
          <w:iCs/>
        </w:rPr>
        <w:fldChar w:fldCharType="end"/>
      </w:r>
      <w:r>
        <w:rPr>
          <w:rFonts w:eastAsiaTheme="minorEastAsia"/>
          <w:iCs/>
        </w:rPr>
        <w:t xml:space="preserve"> shows that the difference between the medium and fine solution (</w:t>
      </w:r>
      <m:oMath>
        <m:sSub>
          <m:sSubPr>
            <m:ctrlPr>
              <w:rPr>
                <w:rFonts w:ascii="Cambria Math" w:eastAsiaTheme="minorEastAsia" w:hAnsi="Cambria Math"/>
                <w:i/>
                <w:iCs/>
              </w:rPr>
            </m:ctrlPr>
          </m:sSubPr>
          <m:e>
            <m:r>
              <w:rPr>
                <w:rFonts w:ascii="Cambria Math" w:eastAsiaTheme="minorEastAsia" w:hAnsi="Cambria Math"/>
              </w:rPr>
              <m:t>ε</m:t>
            </m:r>
          </m:e>
          <m:sub>
            <m:r>
              <w:rPr>
                <w:rFonts w:ascii="Cambria Math" w:eastAsiaTheme="minorEastAsia" w:hAnsi="Cambria Math"/>
              </w:rPr>
              <m:t>21</m:t>
            </m:r>
          </m:sub>
        </m:sSub>
      </m:oMath>
      <w:r w:rsidRPr="001E6C00">
        <w:rPr>
          <w:rFonts w:eastAsiaTheme="minorEastAsia"/>
          <w:iCs/>
        </w:rPr>
        <w:t xml:space="preserve">) </w:t>
      </w:r>
      <w:r>
        <w:rPr>
          <w:rFonts w:eastAsiaTheme="minorEastAsia"/>
          <w:iCs/>
        </w:rPr>
        <w:t xml:space="preserve">is smaller than the difference between the </w:t>
      </w:r>
      <w:r w:rsidR="00C90A82">
        <w:rPr>
          <w:rFonts w:eastAsiaTheme="minorEastAsia"/>
          <w:iCs/>
        </w:rPr>
        <w:t>coarse and medium solution (</w:t>
      </w:r>
      <m:oMath>
        <m:sSub>
          <m:sSubPr>
            <m:ctrlPr>
              <w:rPr>
                <w:rFonts w:ascii="Cambria Math" w:eastAsiaTheme="minorEastAsia" w:hAnsi="Cambria Math"/>
                <w:i/>
                <w:iCs/>
              </w:rPr>
            </m:ctrlPr>
          </m:sSubPr>
          <m:e>
            <m:r>
              <w:rPr>
                <w:rFonts w:ascii="Cambria Math" w:eastAsiaTheme="minorEastAsia" w:hAnsi="Cambria Math"/>
              </w:rPr>
              <m:t>ε</m:t>
            </m:r>
          </m:e>
          <m:sub>
            <m:r>
              <w:rPr>
                <w:rFonts w:ascii="Cambria Math" w:eastAsiaTheme="minorEastAsia" w:hAnsi="Cambria Math"/>
              </w:rPr>
              <m:t>32</m:t>
            </m:r>
          </m:sub>
        </m:sSub>
      </m:oMath>
      <w:r w:rsidR="00C90A82" w:rsidRPr="001E6C00">
        <w:rPr>
          <w:rFonts w:eastAsiaTheme="minorEastAsia"/>
          <w:iCs/>
        </w:rPr>
        <w:t>)</w:t>
      </w:r>
      <w:r w:rsidR="00C90A82">
        <w:rPr>
          <w:rFonts w:eastAsiaTheme="minorEastAsia"/>
          <w:iCs/>
        </w:rPr>
        <w:t xml:space="preserve">, meaning that the numerical model exhibits monotonic convergence. </w:t>
      </w:r>
      <w:r w:rsidR="007104BC">
        <w:rPr>
          <w:rFonts w:eastAsiaTheme="minorEastAsia"/>
          <w:iCs/>
        </w:rPr>
        <w:t xml:space="preserve">Using the Grid Convergence Index methodology, the predicted numerical uncertainty is negligible. The numerical </w:t>
      </w:r>
      <w:r w:rsidR="001E6E8C">
        <w:rPr>
          <w:rFonts w:eastAsiaTheme="minorEastAsia"/>
          <w:iCs/>
        </w:rPr>
        <w:t xml:space="preserve">solution </w:t>
      </w:r>
      <w:r w:rsidR="007104BC">
        <w:rPr>
          <w:rFonts w:eastAsiaTheme="minorEastAsia"/>
          <w:iCs/>
        </w:rPr>
        <w:t xml:space="preserve">is also characterised by an error </w:t>
      </w:r>
      <m:oMath>
        <m:r>
          <w:rPr>
            <w:rFonts w:ascii="Cambria Math" w:eastAsiaTheme="minorEastAsia" w:hAnsi="Cambria Math"/>
          </w:rPr>
          <m:t>E=0.54%</m:t>
        </m:r>
      </m:oMath>
      <w:r w:rsidR="007104BC">
        <w:rPr>
          <w:rFonts w:eastAsiaTheme="minorEastAsia"/>
          <w:iCs/>
        </w:rPr>
        <w:t xml:space="preserve">, showing good performance against the experimental </w:t>
      </w:r>
      <w:r w:rsidR="00D33505">
        <w:rPr>
          <w:rFonts w:eastAsiaTheme="minorEastAsia"/>
          <w:iCs/>
        </w:rPr>
        <w:t>result</w:t>
      </w:r>
      <w:r w:rsidR="007104BC">
        <w:rPr>
          <w:rFonts w:eastAsiaTheme="minorEastAsia"/>
          <w:iCs/>
        </w:rPr>
        <w:t xml:space="preserve"> reported by </w:t>
      </w:r>
      <w:r w:rsidR="007104BC">
        <w:rPr>
          <w:rFonts w:eastAsiaTheme="minorEastAsia"/>
          <w:iCs/>
        </w:rPr>
        <w:fldChar w:fldCharType="begin" w:fldLock="1"/>
      </w:r>
      <w:r w:rsidR="004B48F9">
        <w:rPr>
          <w:rFonts w:eastAsiaTheme="minorEastAsia"/>
          <w:iCs/>
        </w:rPr>
        <w:instrText>ADDIN CSL_CITATION {"citationItems":[{"id":"ITEM-1","itemData":{"DOI":"10.1007/s003480100332","ISBN":"07234864 (ISSN)","ISSN":"07234864","abstract":"To document the details of flow characteristics around modern commercial ships, global force, wave pattern, and local mean velocity components were measured in the towing tank. Three modern commercial hull models of a container ship (KRISO container ship = KCS) and of two very large crude-oil carriers (VLCCs) with the same forebody and slightly different afterbody (KVLCC and KVLCC2) having bow and stern bulbs were selected for the test. Uncertainty analysis was performed for the measured data using the procedure recommended by the ITTC. Obtained experimental data will provide a good opportunity to explore integrated flow phenomena around practical hull forms of today. Those can be also used as the validation data for the computational fluid dynamics (CFD) code of both inviscid and viscous flow calculations.","author":[{"dropping-particle":"","family":"Kim","given":"W. J.","non-dropping-particle":"","parse-names":false,"suffix":""},{"dropping-particle":"","family":"Van","given":"S. H.","non-dropping-particle":"","parse-names":false,"suffix":""},{"dropping-particle":"","family":"Kim","given":"D. H.","non-dropping-particle":"","parse-names":false,"suffix":""}],"container-title":"Experiments in Fluids","id":"ITEM-1","issue":"5","issued":{"date-parts":[["2001"]]},"page":"567-578","title":"Measurement of flows around modern commercial ship models","type":"article-journal","volume":"31"},"uris":["http://www.mendeley.com/documents/?uuid=0dc3607f-3866-42b2-ae07-fb6b76eb9001"]}],"mendeley":{"formattedCitation":"(Kim et al., 2001)","manualFormatting":"Kim et al. (2001)","plainTextFormattedCitation":"(Kim et al., 2001)","previouslyFormattedCitation":"(Kim et al., 2001)"},"properties":{"noteIndex":0},"schema":"https://github.com/citation-style-language/schema/raw/master/csl-citation.json"}</w:instrText>
      </w:r>
      <w:r w:rsidR="007104BC">
        <w:rPr>
          <w:rFonts w:eastAsiaTheme="minorEastAsia"/>
          <w:iCs/>
        </w:rPr>
        <w:fldChar w:fldCharType="separate"/>
      </w:r>
      <w:r w:rsidR="007104BC" w:rsidRPr="007104BC">
        <w:rPr>
          <w:rFonts w:eastAsiaTheme="minorEastAsia"/>
          <w:iCs/>
          <w:noProof/>
        </w:rPr>
        <w:t xml:space="preserve">Kim et al. </w:t>
      </w:r>
      <w:r w:rsidR="007104BC">
        <w:rPr>
          <w:rFonts w:eastAsiaTheme="minorEastAsia"/>
          <w:iCs/>
          <w:noProof/>
        </w:rPr>
        <w:t>(</w:t>
      </w:r>
      <w:r w:rsidR="007104BC" w:rsidRPr="007104BC">
        <w:rPr>
          <w:rFonts w:eastAsiaTheme="minorEastAsia"/>
          <w:iCs/>
          <w:noProof/>
        </w:rPr>
        <w:t>2001)</w:t>
      </w:r>
      <w:r w:rsidR="007104BC">
        <w:rPr>
          <w:rFonts w:eastAsiaTheme="minorEastAsia"/>
          <w:iCs/>
        </w:rPr>
        <w:fldChar w:fldCharType="end"/>
      </w:r>
      <w:r w:rsidR="007104BC">
        <w:rPr>
          <w:rFonts w:eastAsiaTheme="minorEastAsia"/>
          <w:iCs/>
        </w:rPr>
        <w:t xml:space="preserve">. </w:t>
      </w:r>
      <w:r w:rsidR="007E1B96">
        <w:rPr>
          <w:rFonts w:eastAsiaTheme="minorEastAsia"/>
          <w:iCs/>
        </w:rPr>
        <w:t>Using the experimental uncertainty of 0.64%</w:t>
      </w:r>
      <w:r w:rsidR="00D33505">
        <w:rPr>
          <w:rFonts w:eastAsiaTheme="minorEastAsia"/>
          <w:iCs/>
        </w:rPr>
        <w:t>, reported in the experimental campaign</w:t>
      </w:r>
      <w:r w:rsidR="007E1B96">
        <w:rPr>
          <w:rFonts w:eastAsiaTheme="minorEastAsia"/>
          <w:iCs/>
        </w:rPr>
        <w:t xml:space="preserve">, the solution is validated since the validation uncertainty is predicted </w:t>
      </w:r>
      <w:r w:rsidR="00303480">
        <w:rPr>
          <w:rFonts w:eastAsiaTheme="minorEastAsia"/>
          <w:iCs/>
        </w:rPr>
        <w:t xml:space="preserve">as approximately </w:t>
      </w:r>
      <w:r w:rsidR="00F46CEE">
        <w:rPr>
          <w:rFonts w:eastAsiaTheme="minorEastAsia"/>
          <w:iCs/>
        </w:rPr>
        <w:t>0.64%.</w:t>
      </w:r>
      <w:r w:rsidR="0003792D">
        <w:rPr>
          <w:rFonts w:eastAsiaTheme="minorEastAsia"/>
          <w:iCs/>
        </w:rPr>
        <w:t xml:space="preserve"> This exercise demonstrates that numerical set up is </w:t>
      </w:r>
      <w:r w:rsidR="00B25CC4">
        <w:rPr>
          <w:rFonts w:eastAsiaTheme="minorEastAsia"/>
          <w:iCs/>
        </w:rPr>
        <w:t>able to accurately predict the resistance of the hull.</w:t>
      </w:r>
    </w:p>
    <w:p w14:paraId="56E2B689" w14:textId="31639003" w:rsidR="004605C2" w:rsidRDefault="004605C2" w:rsidP="004605C2">
      <w:pPr>
        <w:pStyle w:val="Heading1"/>
      </w:pPr>
      <w:r>
        <w:t>Conclusion</w:t>
      </w:r>
    </w:p>
    <w:p w14:paraId="2186DF99" w14:textId="155C9F3F" w:rsidR="004605C2" w:rsidRDefault="00B4602A" w:rsidP="00C615D8">
      <w:pPr>
        <w:jc w:val="both"/>
      </w:pPr>
      <w:r>
        <w:t xml:space="preserve">This paper investigated the effect of flow stratification on ship resistance using a commercially available RANS solver, Star-CCM+. </w:t>
      </w:r>
      <w:r w:rsidR="00C615D8">
        <w:t xml:space="preserve">Two speeds were used to produce a wide range of case studies, incorporating </w:t>
      </w:r>
      <w:r w:rsidR="005B450E">
        <w:t xml:space="preserve">densimetric </w:t>
      </w:r>
      <w:r w:rsidR="00C615D8">
        <w:t xml:space="preserve">Froude numbers above and below 1 to capture all possible conditions a vessel may encounter. </w:t>
      </w:r>
    </w:p>
    <w:p w14:paraId="235C9AED" w14:textId="1D55EE68" w:rsidR="00F946F0" w:rsidRDefault="00C615D8" w:rsidP="00C615D8">
      <w:pPr>
        <w:jc w:val="both"/>
      </w:pPr>
      <w:r>
        <w:t>The results showed a marked increase in resistance when the densimetric Froude number is approximately 1</w:t>
      </w:r>
      <w:r w:rsidR="00E92EB0">
        <w:t xml:space="preserve">. This was linked to the mechanism driving the peak in resistance observed in confined waters when the depth Froude number is approximately 1, since in both cases, the celerity of the waves is equal to the ship speed. At the operational speeds of modern containerships, taken as 24 knots for the KCS, flow stratification </w:t>
      </w:r>
      <w:r w:rsidR="00D74552">
        <w:t>creates an increase in resistance of approximately 6%</w:t>
      </w:r>
      <w:r w:rsidR="00366E7D">
        <w:t xml:space="preserve">. Such an increase may be a significant difference if </w:t>
      </w:r>
      <w:r w:rsidR="00B32D44">
        <w:t xml:space="preserve">the operational area of a vessel is prone to flow stratification. Conversely, when the </w:t>
      </w:r>
      <w:r w:rsidR="005B450E">
        <w:t xml:space="preserve">densimetric </w:t>
      </w:r>
      <w:r w:rsidR="00B32D44">
        <w:t xml:space="preserve">Froude number is close to 1, the increase in the resistance is approximately six-fold, confirming results obtained by other researchers. </w:t>
      </w:r>
    </w:p>
    <w:p w14:paraId="34B289EB" w14:textId="060DD015" w:rsidR="00B32D44" w:rsidRDefault="00F946F0" w:rsidP="00C615D8">
      <w:pPr>
        <w:jc w:val="both"/>
      </w:pPr>
      <w:r>
        <w:t xml:space="preserve">Unlike potential flow studies, this work accounted for viscous effects and therefore </w:t>
      </w:r>
      <w:r w:rsidR="00420F4E">
        <w:t>friction</w:t>
      </w:r>
      <w:r>
        <w:t xml:space="preserve">. The results show that, as expected, at low speeds friction makes up about 90% of the total resistance. In the presence of dead water, the pressure resistance spikes and makes up approximately 80% of the total resistance at the same speed. </w:t>
      </w:r>
      <w:r w:rsidR="00701F53">
        <w:t xml:space="preserve">This </w:t>
      </w:r>
      <w:r w:rsidR="00701F53">
        <w:lastRenderedPageBreak/>
        <w:t>highlights the importance of taking into account the operational conditions of the hull fully.</w:t>
      </w:r>
    </w:p>
    <w:p w14:paraId="1BD53CAB" w14:textId="1D3455AF" w:rsidR="00701F53" w:rsidRPr="004605C2" w:rsidRDefault="00701F53" w:rsidP="00C615D8">
      <w:pPr>
        <w:jc w:val="both"/>
      </w:pPr>
      <w:r>
        <w:t xml:space="preserve">The present study may be extended in a variety of ways. </w:t>
      </w:r>
      <w:r w:rsidR="00764561">
        <w:t xml:space="preserve">Firstly, </w:t>
      </w:r>
      <w:r w:rsidR="00132C29">
        <w:t xml:space="preserve">running sinkage and trim was not considered to match the experimental campaign. However, it is expected that the presence of dead water may impact the dynamic attitude of the hull and may compromise trim optimisation </w:t>
      </w:r>
      <w:r w:rsidR="00E66959">
        <w:t xml:space="preserve">carried out for homogenous flows. Alternatively, the action of the propeller is known to impact the flow field considerably, making it an interesting addition. </w:t>
      </w:r>
      <w:r w:rsidR="00433939">
        <w:t xml:space="preserve">Experiments are also necessary to provide validation data for the dead water phenomenon. </w:t>
      </w:r>
    </w:p>
    <w:p w14:paraId="150D309F" w14:textId="27C45144" w:rsidR="00A57758" w:rsidRDefault="00A57758" w:rsidP="00C97B81">
      <w:pPr>
        <w:pStyle w:val="Heading1"/>
        <w:numPr>
          <w:ilvl w:val="0"/>
          <w:numId w:val="0"/>
        </w:numPr>
        <w:ind w:left="720" w:hanging="360"/>
      </w:pPr>
      <w:r>
        <w:t>Acknowledgements</w:t>
      </w:r>
    </w:p>
    <w:p w14:paraId="6D805D8C" w14:textId="2AE79EAE" w:rsidR="00A57758" w:rsidRPr="00B55076" w:rsidRDefault="00A57758" w:rsidP="00B55076">
      <w:pPr>
        <w:jc w:val="both"/>
        <w:rPr>
          <w:rFonts w:ascii="Calibri" w:hAnsi="Calibri"/>
          <w:color w:val="000000"/>
          <w:sz w:val="22"/>
        </w:rPr>
      </w:pPr>
      <w:r w:rsidRPr="00A57758">
        <w:rPr>
          <w:color w:val="000000"/>
        </w:rPr>
        <w:t>Results were obtained using the ARCHIE-WeSt High-Performance Computer (www.archie-west.ac.uk) based at the University of Strathclyde.</w:t>
      </w:r>
      <w:r w:rsidRPr="00A57758">
        <w:t xml:space="preserve"> </w:t>
      </w:r>
      <w:r w:rsidR="00B55076" w:rsidRPr="00B55076">
        <w:rPr>
          <w:color w:val="000000"/>
        </w:rPr>
        <w:t>All data underpinning this publication are openly available from the University of Strathclyde KnowledgeBase at</w:t>
      </w:r>
      <w:r w:rsidR="00036E44">
        <w:t xml:space="preserve"> </w:t>
      </w:r>
      <w:hyperlink r:id="rId32" w:history="1">
        <w:r w:rsidR="008B7925">
          <w:rPr>
            <w:rStyle w:val="Hyperlink"/>
          </w:rPr>
          <w:t>https://doi.org/10.15129/5f496bc9-43bc-407f-9277-93f2ba5dd0f3</w:t>
        </w:r>
      </w:hyperlink>
      <w:r w:rsidRPr="00A57758">
        <w:rPr>
          <w:color w:val="000000"/>
        </w:rPr>
        <w:t>.</w:t>
      </w:r>
    </w:p>
    <w:p w14:paraId="2F1759A8" w14:textId="20165D7C" w:rsidR="00C97B81" w:rsidRDefault="00C97B81" w:rsidP="00C97B81">
      <w:pPr>
        <w:pStyle w:val="Heading1"/>
        <w:numPr>
          <w:ilvl w:val="0"/>
          <w:numId w:val="0"/>
        </w:numPr>
        <w:ind w:left="720" w:hanging="360"/>
      </w:pPr>
      <w:r>
        <w:t>References</w:t>
      </w:r>
    </w:p>
    <w:p w14:paraId="567C6BB2" w14:textId="093CFDCD" w:rsidR="00A305CF" w:rsidRPr="00A305CF" w:rsidRDefault="00C97B81" w:rsidP="00A305CF">
      <w:pPr>
        <w:widowControl w:val="0"/>
        <w:autoSpaceDE w:val="0"/>
        <w:autoSpaceDN w:val="0"/>
        <w:adjustRightInd w:val="0"/>
        <w:spacing w:line="240" w:lineRule="auto"/>
        <w:ind w:left="480" w:hanging="480"/>
        <w:rPr>
          <w:rFonts w:cs="Times New Roman"/>
          <w:noProof/>
          <w:szCs w:val="24"/>
        </w:rPr>
      </w:pPr>
      <w:r>
        <w:fldChar w:fldCharType="begin" w:fldLock="1"/>
      </w:r>
      <w:r>
        <w:instrText xml:space="preserve">ADDIN Mendeley Bibliography CSL_BIBLIOGRAPHY </w:instrText>
      </w:r>
      <w:r>
        <w:fldChar w:fldCharType="separate"/>
      </w:r>
      <w:r w:rsidR="00A305CF" w:rsidRPr="00A305CF">
        <w:rPr>
          <w:rFonts w:cs="Times New Roman"/>
          <w:noProof/>
          <w:szCs w:val="24"/>
        </w:rPr>
        <w:t>26th ITTC Specialist Committee, 2011. Fresh Water and Seawater Properties. Int. Towing Tank Conf. 5, 1596–1599. https://doi.org/10.1002/cphc.200400116</w:t>
      </w:r>
    </w:p>
    <w:p w14:paraId="7E3C7622"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Andersson, J., Shiri, A.A., Bensow, R.E., Yixing, J., Chengsheng, W., Gengyao, Q., Deng, G., Queutey, P., Xing-Kaeding, Y., Horn, P., Lücke, T., Kobayashi, H., Ohashi, K., Sakamoto, N., Yang, F., Gao, Y., Windén, B., Meyerson, M.G., Maki, K.J., Turnock, S., Hudson, D., Banks, J., Terziev, M., Tezdogan, T., Vesting, F., Hino, T., Werner, S., 2022. Ship-scale CFD benchmark study of a pre-swirl duct on KVLCC2. Appl. Ocean Res. 123, 103134. https://doi.org/10.1016/j.apor.2022.103134</w:t>
      </w:r>
    </w:p>
    <w:p w14:paraId="708CFAD2"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Andrun, M., Blagojević, B., Bašić, J., 2018. The influence of numerical parameters in the finite-volume method on the Wigley hull resistance. Proc. Inst. Mech. Eng. Part M J. Eng. Marit. Environ. https://doi.org/10.1177/1475090218812956</w:t>
      </w:r>
    </w:p>
    <w:p w14:paraId="6B7F4FE2"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ASME (American Society of Mechanical Engineers), 2009. Standard for Verification and Validation in Computational Fluid Dynamics and Heat Transfer - ASME V&amp;V 20-2009, ASME International.</w:t>
      </w:r>
    </w:p>
    <w:p w14:paraId="0E288C36"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Benham, G.P., Bendimerad, R., Benzaquen, M., Clanet, C., 2020. Hysteretic wave drag in shallow water. Phys. Rev. Fluids 5, 64803. https://doi.org/10.1103/physrevfluids.5.064803</w:t>
      </w:r>
    </w:p>
    <w:p w14:paraId="4497B7E0"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Burmester, S., Vaz, G., el Moctar, O., 2020. Towards credible CFD simulations for floating offshore wind turbines. Ocean Eng. 209, 107237. https://doi.org/10.1016/j.oceaneng.2020.107237</w:t>
      </w:r>
    </w:p>
    <w:p w14:paraId="0B75F86D"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lastRenderedPageBreak/>
        <w:t>Celik, I.B., Ghia, U., Roache, P.J., Freitas, C.., 2008. Procedure for Estimation and Reporting of Uncertainty Due to Discretization in CFD Applications. J. Fluids Eng. 130, 078001. https://doi.org/10.1115/1.2960953</w:t>
      </w:r>
    </w:p>
    <w:p w14:paraId="47C81E3A"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Danieletto, M., Brown, J.M., Radko, T., 2019. The Immortal Science of Dead Water: Effects of Internal Wave Drag on Propagating Submerged Bodies. J. Oceanogr. Mar. Res. 07, 1–7. https://doi.org/10.35248/2572-3103.19.7.191</w:t>
      </w:r>
    </w:p>
    <w:p w14:paraId="633C6C7D"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Drazin, P.G., 1970. Kelvin–Helmholtz instability of finite amplitude. J. Fluid Mech. 42, 321–335. https://doi.org/10.1017/S0022112070001295</w:t>
      </w:r>
    </w:p>
    <w:p w14:paraId="201AD3F3"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Ekman, V.W., 1904. On Dead Water. Norwegian Noth Polar Expedition.</w:t>
      </w:r>
    </w:p>
    <w:p w14:paraId="4041D144"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Ellingsen, S., Brevik, I., 2014. How linear surface waves are affected by a current with constant vorticity. Eur. J. Phys. 35. https://doi.org/10.1088/0143-0807/35/2/025005</w:t>
      </w:r>
    </w:p>
    <w:p w14:paraId="3805FC30"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Elsherbiny, K., Terziev, M., Tezdogan, T., Incecik, A., Kotb, M., 2020. Numerical and experimental study on hydrodynamic performance of ships advancing through different canals. Ocean Eng. 195. https://doi.org/10.1016/j.oceaneng.2019.106696</w:t>
      </w:r>
    </w:p>
    <w:p w14:paraId="58A89926"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Emerson, S., Watanabe, Y.W., Ono, T., Mecking, S., 2004. Temporal trends in apparent oxygen utilization in the upper pycnocline of the North Pacific: 1980-2000. J. Oceanogr. 60, 139–147. https://doi.org/10.1023/B:JOCE.0000038323.62130.a0</w:t>
      </w:r>
    </w:p>
    <w:p w14:paraId="57082D3B" w14:textId="397C75A6"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Esmaeilpour, M., 2017. A ship advancing in a stratified fluid: the dead water effect revisited</w:t>
      </w:r>
      <w:r w:rsidR="00200E45">
        <w:rPr>
          <w:rFonts w:cs="Times New Roman"/>
          <w:noProof/>
          <w:szCs w:val="24"/>
        </w:rPr>
        <w:t>, PhD Thesis, University of Iowa</w:t>
      </w:r>
      <w:r w:rsidRPr="00A305CF">
        <w:rPr>
          <w:rFonts w:cs="Times New Roman"/>
          <w:noProof/>
          <w:szCs w:val="24"/>
        </w:rPr>
        <w:t>. https://doi.org/10.17077/etd.5z2auqsl</w:t>
      </w:r>
    </w:p>
    <w:p w14:paraId="6FBC15E2"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Esmaeilpour, M., Ezequiel Martin, J., Carrica, P.M., 2018. Computational Fluid Dynamics Study of the Dead Water Problem. J. Fluids Eng. Trans. ASME 140, 1–8. https://doi.org/10.1115/1.4037693</w:t>
      </w:r>
    </w:p>
    <w:p w14:paraId="1DA07D0F"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Fourdrinoy, J., Dambrine, J., Petcu, M., Pierre, M., Rousseaux, G., 2020. The dual nature of the dead-water phenomenology: Nansen versus Ekman wave-making drags. Proc. Natl. Acad. Sci. 117, 201922584. https://doi.org/10.1073/pnas.1922584117</w:t>
      </w:r>
    </w:p>
    <w:p w14:paraId="30EA68F7"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Gill, A.E., 1982. Adjustment under gravity of a density-stratified fluid. Atmos. Dyn.</w:t>
      </w:r>
    </w:p>
    <w:p w14:paraId="2BC98E45"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Grue, J., 2018. Calculating FRAM’s dead water, in: The Ocean in Motion. pp. 41–53.</w:t>
      </w:r>
    </w:p>
    <w:p w14:paraId="6E63ABEE"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Grue, J., 2015. Nonlinear dead water resistance at subcritical speed. Phys. Fluids 27. https://doi.org/10.1063/1.4928411</w:t>
      </w:r>
    </w:p>
    <w:p w14:paraId="00C7B284"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Havelock, T., 1908. The Propagation of Groups of Waves in Dispersive Media, with Aplication to Waves on Water produced by a Travelling Disturbance. Proc. R. Soc. London. Ser. A, Contain. Pap. a Math. Phys. Character, 81, 389–430. https://doi.org/10.1098/rspa.1933.0074</w:t>
      </w:r>
    </w:p>
    <w:p w14:paraId="0818188C"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lastRenderedPageBreak/>
        <w:t>ITTC, 2011. Recommended Procedures and Guidelines: Practical Guidelines for Ship CFD. 26th Int. Towing Tank Conf.</w:t>
      </w:r>
    </w:p>
    <w:p w14:paraId="1F7254E1"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ITTC, 2008. Uncertainty Analysis in CFD Verification and Validation Methodology and Procedures. 25th ITTC 2008, Resist. Comm. 12.</w:t>
      </w:r>
    </w:p>
    <w:p w14:paraId="002F0C8D"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Johannesson, T., Sigurdsson, O., Laumann, T., M, K., 1995. Degree-day glacier modelling with applications to glaciers in Iceland, Norway and Greenland. J. Glaciol. 41.</w:t>
      </w:r>
    </w:p>
    <w:p w14:paraId="28014006"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Kim, W.J., Van, S.H., Kim, D.H., 2001. Measurement of flows around modern commercial ship models. Exp. Fluids 31, 567–578. https://doi.org/10.1007/s003480100332</w:t>
      </w:r>
    </w:p>
    <w:p w14:paraId="5301EA41"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Li, Y., Smeltzer, B.K., Ellingsen, S., 2019. Transient wave resistance upon a real shear current. Eur. J. Mech. B/Fluids 73, 180–192. https://doi.org/10.1016/j.euromechflu.2017.08.012</w:t>
      </w:r>
    </w:p>
    <w:p w14:paraId="0B849572"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Mercier, M.J., Vasseur, R., Dauxois, T., 2011. Resurrecting dead-water phenomenon. Nonlinear Process. Geophys. 18, 193–208. https://doi.org/10.5194/npg-18-193-2011</w:t>
      </w:r>
    </w:p>
    <w:p w14:paraId="7865FFB1"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Miloh, T., Tulin, M.P., Zilman, G., 1992. Dead-water effects of a ship moving in stratified seas.</w:t>
      </w:r>
    </w:p>
    <w:p w14:paraId="7C0F1BDD"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Molland, A.F., Turnock, S.R., Hudson, D.A., 2017. Components of Hull Resistance, in: Ship Resistance and Propulsion: Practical Estimation of Ship Propulsive Power. Cambridge University Press, Cambridge, pp. 12–69. https://doi.org/10.1017/9781316494196.005</w:t>
      </w:r>
    </w:p>
    <w:p w14:paraId="6AACE325"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Mortensen, J., Bendtsen, J., Motyka, R.J., Lennert, K., Truffer, M., Fahnestock, M., Rysgaard, S., 2013. On the seasonal freshwater stratification in the proximity of fast-flowing tidewater outlet glaciers in a sub-Arctic sill fjord. J. Geophys. Res. Ocean. 118, 1382–1395. https://doi.org/10.1002/jgrc.20134</w:t>
      </w:r>
    </w:p>
    <w:p w14:paraId="0592F802"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Nansen, F., 1897. Farthest North: The epic adventure of a visionary explorer.</w:t>
      </w:r>
    </w:p>
    <w:p w14:paraId="724117FA"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Nappo, C.J., 2012. International Geophysics: The Linear Theory.</w:t>
      </w:r>
    </w:p>
    <w:p w14:paraId="4641B4F3"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NASA, 2016. Waves Above and Below the Water. Image by Jeff Schmaltz [WWW Document]. Eath Obs. URL https://earthobservatory.nasa.gov/images/87519/waves-above-and-below-the-water</w:t>
      </w:r>
    </w:p>
    <w:p w14:paraId="61C7B41A"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Nesje, A., Bakke, J., Dahl, S.O., Lie, Ø., Matthews, J.A., 2008. Norwegian mountain glaciers in the past, present and future. Glob. Planet. Change 60, 10–27. https://doi.org/10.1016/j.gloplacha.2006.08.004</w:t>
      </w:r>
    </w:p>
    <w:p w14:paraId="455543E1"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 xml:space="preserve">Roache, P.J., 2009. Perspective: Validation—What Does It Mean? J. Fluids Eng. 131, </w:t>
      </w:r>
      <w:r w:rsidRPr="00A305CF">
        <w:rPr>
          <w:rFonts w:cs="Times New Roman"/>
          <w:noProof/>
          <w:szCs w:val="24"/>
        </w:rPr>
        <w:lastRenderedPageBreak/>
        <w:t>034503. https://doi.org/10.1115/1.3077134</w:t>
      </w:r>
    </w:p>
    <w:p w14:paraId="7319E0EF"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Roache, P.J., 1997. Quantification of Uncertainty in Computational Fluid Dynamics. Annu. Rev. Fluid Mech. 29, 123–160. https://doi.org/10.1146/annurev.fluid.29.1.123</w:t>
      </w:r>
    </w:p>
    <w:p w14:paraId="42D714A1"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Sallée, J.B., Pellichero, V., Akhoudas, C., Pauthenet, E., Vignes, L., Schmidtko, S., Garabato, A.N., Sutherland, P., Kuusela, M., 2021. Summertime increases in upper-ocean stratification and mixed-layer depth. Nature 591, 592–598. https://doi.org/10.1038/s41586-021-03303-x</w:t>
      </w:r>
    </w:p>
    <w:p w14:paraId="503F3C3B"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Schnelle, K.B., 2003. Atmospheric Diffusion Modeling. Encyclopedia of Physical.</w:t>
      </w:r>
    </w:p>
    <w:p w14:paraId="24F671D0"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Siemens, 2018. Star-CCM+ User Guide version 13.04.</w:t>
      </w:r>
    </w:p>
    <w:p w14:paraId="1D78EBE4"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Song, S., Demirel, Y.K., Atlar, M., 2019. An investigation into the effect of biofouling on the ship hydrodynamic characteristics using CFD. Ocean Eng. 175, 122–137. https://doi.org/10.1016/j.oceaneng.2019.01.056</w:t>
      </w:r>
    </w:p>
    <w:p w14:paraId="42FE4D90"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Tacitus, 98AD. Germania.</w:t>
      </w:r>
    </w:p>
    <w:p w14:paraId="30F26EF2"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Terziev, M., Tezdogan, T., Demirel, Y.K., Villa, D., Mizzi, S., Incecik, A., 2021a. Exploring the effects of speed and scale on a ship’s form factor using CFD. Int. J. Nav. Archit. Ocean Eng. 13, 147–162. https://doi.org/10.1016/j.ijnaoe.2020.12.002</w:t>
      </w:r>
    </w:p>
    <w:p w14:paraId="5F970763"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Terziev, M., Tezdogan, T., Incecik, A., 2021b. A numerical assessment of the scale effects of a ship advancing through restricted waters. Ocean Eng. 229, 108972. https://doi.org/10.1016/j.oceaneng.2021.108972</w:t>
      </w:r>
    </w:p>
    <w:p w14:paraId="40035A20"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Terziev, M., Tezdogan, T., Incecik, A., 2020. Modelling the hydrodynamic effect of abrupt water depth changes on a ship travelling in restricted waters using CFD. Ships Offshore Struct. https://doi.org/10.1080/17445302.2020.1816731</w:t>
      </w:r>
    </w:p>
    <w:p w14:paraId="5BA54C73"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Terziev, M., Tezdogan, T., Incecik, A., 2019a. Application of eddy-viscosity turbulence models to problems in ship hydrodynamics. Ships Offshore Struct. 1–24. https://doi.org/10.1080/17445302.2019.1661625</w:t>
      </w:r>
    </w:p>
    <w:p w14:paraId="6F72B4E9"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Terziev, M., Tezdogan, T., Incecik, A., 2019b. A geosim analysis of ship resistance decomposition and scale effects with the aid of CFD. Appl. Ocean Res. 92. https://doi.org/10.1016/j.apor.2019.101930</w:t>
      </w:r>
    </w:p>
    <w:p w14:paraId="1E934662"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Terziev, M., Tezdogan, T., Incecik, A., 2019c. Influence of mixed flows on ship hydrodynamics in dredged channels, in: Proceedings of the International Conference on Offshore Mechanics and Arctic Engineering - OMAE. https://doi.org/10.1115/OMAE2019-95445</w:t>
      </w:r>
    </w:p>
    <w:p w14:paraId="12FFDB45"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Tezdogan, T., Incecik, A., Turan, O., 2016. A numerical investigation of the squat and resistance of ships advancing through a canal using CFD. J. Mar. Sci. Technol. 21, 86–101. https://doi.org/10.1007/s00773-015-0334-1</w:t>
      </w:r>
    </w:p>
    <w:p w14:paraId="7C8BAC59"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lastRenderedPageBreak/>
        <w:t>Walker, J.M., 1991. Farthest North, Dead Water and the Ekman Spiral. Part 2: Invisible Waves and a New Direction in Current Theory. Weather 46, 158–164.</w:t>
      </w:r>
    </w:p>
    <w:p w14:paraId="155FBAB6"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Wilcox, D.C., 2008. Formulation of the k-w Turbulence Model Revisited. AIAA J. 46, 2823–2838. https://doi.org/10.2514/1.36541</w:t>
      </w:r>
    </w:p>
    <w:p w14:paraId="148A8CA5" w14:textId="77777777" w:rsidR="00A305CF" w:rsidRPr="00A305CF" w:rsidRDefault="00A305CF" w:rsidP="00A305CF">
      <w:pPr>
        <w:widowControl w:val="0"/>
        <w:autoSpaceDE w:val="0"/>
        <w:autoSpaceDN w:val="0"/>
        <w:adjustRightInd w:val="0"/>
        <w:spacing w:line="240" w:lineRule="auto"/>
        <w:ind w:left="480" w:hanging="480"/>
        <w:rPr>
          <w:rFonts w:cs="Times New Roman"/>
          <w:noProof/>
          <w:szCs w:val="24"/>
        </w:rPr>
      </w:pPr>
      <w:r w:rsidRPr="00A305CF">
        <w:rPr>
          <w:rFonts w:cs="Times New Roman"/>
          <w:noProof/>
          <w:szCs w:val="24"/>
        </w:rPr>
        <w:t>Wilson, R. V., Stern, F., Coleman, H.W., Paterson, E.G., 2001. Comprehensive approach to verification and validation of CFD simulations—Part 2: Application for rans simulation of a cargo/container ship. J. Fluids Eng. Trans. ASME 123, 803–810. https://doi.org/10.1115/1.1412236</w:t>
      </w:r>
    </w:p>
    <w:p w14:paraId="22425615" w14:textId="77777777" w:rsidR="00A305CF" w:rsidRPr="00A305CF" w:rsidRDefault="00A305CF" w:rsidP="00A305CF">
      <w:pPr>
        <w:widowControl w:val="0"/>
        <w:autoSpaceDE w:val="0"/>
        <w:autoSpaceDN w:val="0"/>
        <w:adjustRightInd w:val="0"/>
        <w:spacing w:line="240" w:lineRule="auto"/>
        <w:ind w:left="480" w:hanging="480"/>
        <w:rPr>
          <w:noProof/>
        </w:rPr>
      </w:pPr>
      <w:r w:rsidRPr="00A305CF">
        <w:rPr>
          <w:rFonts w:cs="Times New Roman"/>
          <w:noProof/>
          <w:szCs w:val="24"/>
        </w:rPr>
        <w:t>Wüest, A., Lorke, A., 2003. Small-scale hydrodynamics in lakes. Annu. Rev. Fluid Mech. 35, 373–412. https://doi.org/10.1146/annurev.fluid.35.101101.161220</w:t>
      </w:r>
    </w:p>
    <w:p w14:paraId="673155D8" w14:textId="2E84519B" w:rsidR="00C97B81" w:rsidRPr="00C97B81" w:rsidRDefault="00C97B81" w:rsidP="006A102C">
      <w:pPr>
        <w:jc w:val="both"/>
      </w:pPr>
      <w:r>
        <w:fldChar w:fldCharType="end"/>
      </w:r>
    </w:p>
    <w:sectPr w:rsidR="00C97B81" w:rsidRPr="00C97B81" w:rsidSect="003A77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20A30" w14:textId="77777777" w:rsidR="00642B64" w:rsidRDefault="00642B64" w:rsidP="00B801CB">
      <w:pPr>
        <w:spacing w:after="0" w:line="240" w:lineRule="auto"/>
      </w:pPr>
      <w:r>
        <w:separator/>
      </w:r>
    </w:p>
    <w:p w14:paraId="0A8D96CD" w14:textId="77777777" w:rsidR="00642B64" w:rsidRDefault="00642B64"/>
  </w:endnote>
  <w:endnote w:type="continuationSeparator" w:id="0">
    <w:p w14:paraId="2873ED6C" w14:textId="77777777" w:rsidR="00642B64" w:rsidRDefault="00642B64" w:rsidP="00B801CB">
      <w:pPr>
        <w:spacing w:after="0" w:line="240" w:lineRule="auto"/>
      </w:pPr>
      <w:r>
        <w:continuationSeparator/>
      </w:r>
    </w:p>
    <w:p w14:paraId="0268193C" w14:textId="77777777" w:rsidR="00642B64" w:rsidRDefault="00642B64"/>
  </w:endnote>
  <w:endnote w:type="continuationNotice" w:id="1">
    <w:p w14:paraId="117785B3" w14:textId="77777777" w:rsidR="00642B64" w:rsidRDefault="00642B64">
      <w:pPr>
        <w:spacing w:after="0" w:line="240" w:lineRule="auto"/>
      </w:pPr>
    </w:p>
    <w:p w14:paraId="3150DD0D" w14:textId="77777777" w:rsidR="00642B64" w:rsidRDefault="00642B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avid">
    <w:charset w:val="B1"/>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866992"/>
      <w:docPartObj>
        <w:docPartGallery w:val="Page Numbers (Bottom of Page)"/>
        <w:docPartUnique/>
      </w:docPartObj>
    </w:sdtPr>
    <w:sdtEndPr>
      <w:rPr>
        <w:noProof/>
      </w:rPr>
    </w:sdtEndPr>
    <w:sdtContent>
      <w:p w14:paraId="0E5EC3DA" w14:textId="21D3A875" w:rsidR="00FE0396" w:rsidRDefault="00FE03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F0B71D" w14:textId="77777777" w:rsidR="00326B02" w:rsidRDefault="00326B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E5917" w14:textId="77777777" w:rsidR="00642B64" w:rsidRDefault="00642B64" w:rsidP="00B801CB">
      <w:pPr>
        <w:spacing w:after="0" w:line="240" w:lineRule="auto"/>
      </w:pPr>
      <w:r>
        <w:separator/>
      </w:r>
    </w:p>
    <w:p w14:paraId="7E0C908F" w14:textId="77777777" w:rsidR="00642B64" w:rsidRDefault="00642B64"/>
  </w:footnote>
  <w:footnote w:type="continuationSeparator" w:id="0">
    <w:p w14:paraId="3DFF3368" w14:textId="77777777" w:rsidR="00642B64" w:rsidRDefault="00642B64" w:rsidP="00B801CB">
      <w:pPr>
        <w:spacing w:after="0" w:line="240" w:lineRule="auto"/>
      </w:pPr>
      <w:r>
        <w:continuationSeparator/>
      </w:r>
    </w:p>
    <w:p w14:paraId="0263E491" w14:textId="77777777" w:rsidR="00642B64" w:rsidRDefault="00642B64"/>
  </w:footnote>
  <w:footnote w:type="continuationNotice" w:id="1">
    <w:p w14:paraId="4EBBE311" w14:textId="77777777" w:rsidR="00642B64" w:rsidRDefault="00642B64">
      <w:pPr>
        <w:spacing w:after="0" w:line="240" w:lineRule="auto"/>
      </w:pPr>
    </w:p>
    <w:p w14:paraId="1902DAD8" w14:textId="77777777" w:rsidR="00642B64" w:rsidRDefault="00642B64"/>
  </w:footnote>
  <w:footnote w:id="2">
    <w:p w14:paraId="2AB5C55E" w14:textId="43B60B2C" w:rsidR="00D93B9F" w:rsidRDefault="00D93B9F">
      <w:pPr>
        <w:pStyle w:val="FootnoteText"/>
      </w:pPr>
      <w:r>
        <w:rPr>
          <w:rStyle w:val="FootnoteReference"/>
        </w:rPr>
        <w:footnoteRef/>
      </w:r>
      <w:r>
        <w:t xml:space="preserve"> This case study is used for validation and verification in section </w:t>
      </w:r>
      <w:r>
        <w:rPr>
          <w:color w:val="FF0000"/>
          <w:highlight w:val="yellow"/>
        </w:rPr>
        <w:fldChar w:fldCharType="begin"/>
      </w:r>
      <w:r>
        <w:instrText xml:space="preserve"> REF _Ref108008420 \n \h </w:instrText>
      </w:r>
      <w:r>
        <w:rPr>
          <w:color w:val="FF0000"/>
          <w:highlight w:val="yellow"/>
        </w:rPr>
      </w:r>
      <w:r>
        <w:rPr>
          <w:color w:val="FF0000"/>
          <w:highlight w:val="yellow"/>
        </w:rPr>
        <w:fldChar w:fldCharType="separate"/>
      </w:r>
      <w:r w:rsidR="00363A7B">
        <w:t>6</w:t>
      </w:r>
      <w:r>
        <w:rPr>
          <w:color w:val="FF0000"/>
          <w:highlight w:val="yellow"/>
        </w:rPr>
        <w:fldChar w:fldCharType="end"/>
      </w:r>
      <w:r>
        <w:rPr>
          <w:color w:val="FF000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669B"/>
    <w:multiLevelType w:val="hybridMultilevel"/>
    <w:tmpl w:val="3F26E800"/>
    <w:lvl w:ilvl="0" w:tplc="A828B362">
      <w:start w:val="1"/>
      <w:numFmt w:val="decimal"/>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5036F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FA3B79"/>
    <w:multiLevelType w:val="hybridMultilevel"/>
    <w:tmpl w:val="714E444A"/>
    <w:lvl w:ilvl="0" w:tplc="5E5A05B6">
      <w:numFmt w:val="bullet"/>
      <w:lvlText w:val="-"/>
      <w:lvlJc w:val="left"/>
      <w:pPr>
        <w:ind w:left="720" w:hanging="36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BB1BD7"/>
    <w:multiLevelType w:val="hybridMultilevel"/>
    <w:tmpl w:val="9E189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0421DA"/>
    <w:multiLevelType w:val="hybridMultilevel"/>
    <w:tmpl w:val="A686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F46683"/>
    <w:multiLevelType w:val="hybridMultilevel"/>
    <w:tmpl w:val="88FA6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E554B6"/>
    <w:multiLevelType w:val="hybridMultilevel"/>
    <w:tmpl w:val="2174A7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8F06B9"/>
    <w:multiLevelType w:val="hybridMultilevel"/>
    <w:tmpl w:val="19C6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2C12F7"/>
    <w:multiLevelType w:val="multilevel"/>
    <w:tmpl w:val="864ED0B8"/>
    <w:lvl w:ilvl="0">
      <w:start w:val="1"/>
      <w:numFmt w:val="decimal"/>
      <w:pStyle w:val="NoSpacing"/>
      <w:lvlText w:val="%1."/>
      <w:lvlJc w:val="left"/>
      <w:pPr>
        <w:ind w:left="720" w:hanging="360"/>
      </w:pPr>
    </w:lvl>
    <w:lvl w:ilvl="1">
      <w:numFmt w:val="none"/>
      <w:pStyle w:val="Heading2"/>
      <w:lvlText w:val=""/>
      <w:lvlJc w:val="left"/>
      <w:pPr>
        <w:tabs>
          <w:tab w:val="num" w:pos="360"/>
        </w:tabs>
      </w:pPr>
    </w:lvl>
    <w:lvl w:ilvl="2">
      <w:numFmt w:val="decimal"/>
      <w:pStyle w:val="Heading3"/>
      <w:lvlText w:val=""/>
      <w:lvlJc w:val="left"/>
    </w:lvl>
    <w:lvl w:ilvl="3">
      <w:numFmt w:val="decimal"/>
      <w:pStyle w:val="Heading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73B4AB9"/>
    <w:multiLevelType w:val="multilevel"/>
    <w:tmpl w:val="08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start w:val="382245120"/>
      <w:numFmt w:val="decimal"/>
      <w:lvlText w:val=""/>
      <w:lvlJc w:val="left"/>
      <w:rPr>
        <w:rFonts w:ascii="Symbol" w:hAnsi="Wingdings" w:cs="Courier New"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8487C86"/>
    <w:multiLevelType w:val="multilevel"/>
    <w:tmpl w:val="08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A0E10AF"/>
    <w:multiLevelType w:val="hybridMultilevel"/>
    <w:tmpl w:val="60922AB6"/>
    <w:lvl w:ilvl="0" w:tplc="DD127AA6">
      <w:start w:val="382245120"/>
      <w:numFmt w:val="decimal"/>
      <w:lvlText w:val="旧᢭ ዷ匬㋲䋷%:ዷ匬ⴳ没 ዷ匬り癡 ዷ"/>
      <w:lvlJc w:val="left"/>
      <w:rPr>
        <w14:props3d w14:extrusionH="0" w14:contourW="0" w14:prstMaterial="none"/>
        <w14:ligatures w14:val="none"/>
        <w14:numForm w14:val="default"/>
        <w14:numSpacing w14:val="default"/>
        <w14:stylisticSets/>
        <w14:cntxtAlts w14:val="0"/>
      </w:rPr>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2" w15:restartNumberingAfterBreak="0">
    <w:nsid w:val="72FF00FB"/>
    <w:multiLevelType w:val="hybridMultilevel"/>
    <w:tmpl w:val="FCB2FB46"/>
    <w:lvl w:ilvl="0" w:tplc="08090003">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3" w15:restartNumberingAfterBreak="0">
    <w:nsid w:val="76612E3D"/>
    <w:multiLevelType w:val="multilevel"/>
    <w:tmpl w:val="08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B3B67AC"/>
    <w:multiLevelType w:val="hybridMultilevel"/>
    <w:tmpl w:val="1E248F6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num w:numId="1" w16cid:durableId="721560104">
    <w:abstractNumId w:val="8"/>
  </w:num>
  <w:num w:numId="2" w16cid:durableId="878124177">
    <w:abstractNumId w:val="3"/>
  </w:num>
  <w:num w:numId="3" w16cid:durableId="451097158">
    <w:abstractNumId w:val="14"/>
  </w:num>
  <w:num w:numId="4" w16cid:durableId="1574508419">
    <w:abstractNumId w:val="6"/>
  </w:num>
  <w:num w:numId="5" w16cid:durableId="1239317626">
    <w:abstractNumId w:val="7"/>
  </w:num>
  <w:num w:numId="6" w16cid:durableId="869074778">
    <w:abstractNumId w:val="11"/>
  </w:num>
  <w:num w:numId="7" w16cid:durableId="616450618">
    <w:abstractNumId w:val="13"/>
  </w:num>
  <w:num w:numId="8" w16cid:durableId="721369351">
    <w:abstractNumId w:val="1"/>
  </w:num>
  <w:num w:numId="9" w16cid:durableId="1551306552">
    <w:abstractNumId w:val="9"/>
  </w:num>
  <w:num w:numId="10" w16cid:durableId="1178540689">
    <w:abstractNumId w:val="10"/>
  </w:num>
  <w:num w:numId="11" w16cid:durableId="1545170689">
    <w:abstractNumId w:val="4"/>
  </w:num>
  <w:num w:numId="12" w16cid:durableId="1463039027">
    <w:abstractNumId w:val="0"/>
  </w:num>
  <w:num w:numId="13" w16cid:durableId="1779984891">
    <w:abstractNumId w:val="2"/>
  </w:num>
  <w:num w:numId="14" w16cid:durableId="172040559">
    <w:abstractNumId w:val="5"/>
  </w:num>
  <w:num w:numId="15" w16cid:durableId="4119724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516304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28148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4041488">
    <w:abstractNumId w:val="8"/>
  </w:num>
  <w:num w:numId="19" w16cid:durableId="11654388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53750775">
    <w:abstractNumId w:val="8"/>
  </w:num>
  <w:num w:numId="21" w16cid:durableId="625161318">
    <w:abstractNumId w:val="12"/>
  </w:num>
  <w:num w:numId="22" w16cid:durableId="18700972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707453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140169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234966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225021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860809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513035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51887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D1B"/>
    <w:rsid w:val="00000251"/>
    <w:rsid w:val="000027D7"/>
    <w:rsid w:val="00003717"/>
    <w:rsid w:val="00004445"/>
    <w:rsid w:val="00004881"/>
    <w:rsid w:val="000058D4"/>
    <w:rsid w:val="00010412"/>
    <w:rsid w:val="00010712"/>
    <w:rsid w:val="00010AAE"/>
    <w:rsid w:val="00010ECE"/>
    <w:rsid w:val="00011DB6"/>
    <w:rsid w:val="000134B4"/>
    <w:rsid w:val="00013AAB"/>
    <w:rsid w:val="000172BF"/>
    <w:rsid w:val="00017A07"/>
    <w:rsid w:val="0002318E"/>
    <w:rsid w:val="000234AC"/>
    <w:rsid w:val="00025990"/>
    <w:rsid w:val="000265F2"/>
    <w:rsid w:val="00031C57"/>
    <w:rsid w:val="00031D66"/>
    <w:rsid w:val="00033630"/>
    <w:rsid w:val="00033B7C"/>
    <w:rsid w:val="000341C1"/>
    <w:rsid w:val="00034245"/>
    <w:rsid w:val="00036E44"/>
    <w:rsid w:val="000377D1"/>
    <w:rsid w:val="0003792D"/>
    <w:rsid w:val="0004099E"/>
    <w:rsid w:val="00041C10"/>
    <w:rsid w:val="00041F84"/>
    <w:rsid w:val="000429B7"/>
    <w:rsid w:val="000444B9"/>
    <w:rsid w:val="00044D2B"/>
    <w:rsid w:val="00045990"/>
    <w:rsid w:val="0004696B"/>
    <w:rsid w:val="000472AA"/>
    <w:rsid w:val="00050C3A"/>
    <w:rsid w:val="00053091"/>
    <w:rsid w:val="000533DC"/>
    <w:rsid w:val="0005609E"/>
    <w:rsid w:val="00062E9E"/>
    <w:rsid w:val="00063883"/>
    <w:rsid w:val="00064550"/>
    <w:rsid w:val="0006728D"/>
    <w:rsid w:val="000708A1"/>
    <w:rsid w:val="00070FEA"/>
    <w:rsid w:val="00073379"/>
    <w:rsid w:val="0007529B"/>
    <w:rsid w:val="00075998"/>
    <w:rsid w:val="00075AC9"/>
    <w:rsid w:val="000765AA"/>
    <w:rsid w:val="00076A3F"/>
    <w:rsid w:val="00077C1D"/>
    <w:rsid w:val="00080111"/>
    <w:rsid w:val="000805EF"/>
    <w:rsid w:val="0008136A"/>
    <w:rsid w:val="00083620"/>
    <w:rsid w:val="0008391E"/>
    <w:rsid w:val="00084ACF"/>
    <w:rsid w:val="00090626"/>
    <w:rsid w:val="0009077D"/>
    <w:rsid w:val="00093061"/>
    <w:rsid w:val="00094827"/>
    <w:rsid w:val="00094FD4"/>
    <w:rsid w:val="000A053E"/>
    <w:rsid w:val="000A3463"/>
    <w:rsid w:val="000A370F"/>
    <w:rsid w:val="000A41CA"/>
    <w:rsid w:val="000A5AAD"/>
    <w:rsid w:val="000A7648"/>
    <w:rsid w:val="000A7E6F"/>
    <w:rsid w:val="000B1DDD"/>
    <w:rsid w:val="000B1F38"/>
    <w:rsid w:val="000B310F"/>
    <w:rsid w:val="000B37B9"/>
    <w:rsid w:val="000B3BEA"/>
    <w:rsid w:val="000B6C4A"/>
    <w:rsid w:val="000B6E8D"/>
    <w:rsid w:val="000B7063"/>
    <w:rsid w:val="000C0288"/>
    <w:rsid w:val="000C6529"/>
    <w:rsid w:val="000C6913"/>
    <w:rsid w:val="000D01E8"/>
    <w:rsid w:val="000D0B83"/>
    <w:rsid w:val="000D11D4"/>
    <w:rsid w:val="000D3C35"/>
    <w:rsid w:val="000D3FFE"/>
    <w:rsid w:val="000D4518"/>
    <w:rsid w:val="000D4C4C"/>
    <w:rsid w:val="000D5D9C"/>
    <w:rsid w:val="000D5F86"/>
    <w:rsid w:val="000D7517"/>
    <w:rsid w:val="000D78EE"/>
    <w:rsid w:val="000E06B9"/>
    <w:rsid w:val="000E157A"/>
    <w:rsid w:val="000E1B0F"/>
    <w:rsid w:val="000E26ED"/>
    <w:rsid w:val="000E36F7"/>
    <w:rsid w:val="000F0ACB"/>
    <w:rsid w:val="000F5566"/>
    <w:rsid w:val="00101F10"/>
    <w:rsid w:val="001025B6"/>
    <w:rsid w:val="00111576"/>
    <w:rsid w:val="00112E4F"/>
    <w:rsid w:val="00116B0B"/>
    <w:rsid w:val="00116B74"/>
    <w:rsid w:val="00116BB5"/>
    <w:rsid w:val="00123963"/>
    <w:rsid w:val="00126522"/>
    <w:rsid w:val="0012689D"/>
    <w:rsid w:val="00130229"/>
    <w:rsid w:val="00130B27"/>
    <w:rsid w:val="0013185C"/>
    <w:rsid w:val="0013210B"/>
    <w:rsid w:val="00132BE8"/>
    <w:rsid w:val="00132C29"/>
    <w:rsid w:val="00133691"/>
    <w:rsid w:val="00140064"/>
    <w:rsid w:val="00140ACB"/>
    <w:rsid w:val="00141310"/>
    <w:rsid w:val="00142FCA"/>
    <w:rsid w:val="0014330E"/>
    <w:rsid w:val="00143CA5"/>
    <w:rsid w:val="0014507E"/>
    <w:rsid w:val="001468D6"/>
    <w:rsid w:val="001472AD"/>
    <w:rsid w:val="00147381"/>
    <w:rsid w:val="001525F5"/>
    <w:rsid w:val="00152D46"/>
    <w:rsid w:val="001549AB"/>
    <w:rsid w:val="001552C4"/>
    <w:rsid w:val="00156093"/>
    <w:rsid w:val="00161E40"/>
    <w:rsid w:val="00163393"/>
    <w:rsid w:val="00163C3C"/>
    <w:rsid w:val="00170A0C"/>
    <w:rsid w:val="00172344"/>
    <w:rsid w:val="00173273"/>
    <w:rsid w:val="00174220"/>
    <w:rsid w:val="00174500"/>
    <w:rsid w:val="00175CDC"/>
    <w:rsid w:val="00180375"/>
    <w:rsid w:val="001837A9"/>
    <w:rsid w:val="001859FE"/>
    <w:rsid w:val="00186125"/>
    <w:rsid w:val="001905D0"/>
    <w:rsid w:val="001925DA"/>
    <w:rsid w:val="001940A0"/>
    <w:rsid w:val="00196C84"/>
    <w:rsid w:val="00196D79"/>
    <w:rsid w:val="001A173B"/>
    <w:rsid w:val="001A319D"/>
    <w:rsid w:val="001A4385"/>
    <w:rsid w:val="001A4497"/>
    <w:rsid w:val="001A4695"/>
    <w:rsid w:val="001A5EA2"/>
    <w:rsid w:val="001A5F74"/>
    <w:rsid w:val="001B09ED"/>
    <w:rsid w:val="001B10F7"/>
    <w:rsid w:val="001B12A1"/>
    <w:rsid w:val="001B1873"/>
    <w:rsid w:val="001B1B2A"/>
    <w:rsid w:val="001B1CFF"/>
    <w:rsid w:val="001B2CC5"/>
    <w:rsid w:val="001B3E48"/>
    <w:rsid w:val="001B504E"/>
    <w:rsid w:val="001B5FD4"/>
    <w:rsid w:val="001B6140"/>
    <w:rsid w:val="001B7804"/>
    <w:rsid w:val="001C071E"/>
    <w:rsid w:val="001C0725"/>
    <w:rsid w:val="001C0CF7"/>
    <w:rsid w:val="001C0F9B"/>
    <w:rsid w:val="001C1424"/>
    <w:rsid w:val="001C1430"/>
    <w:rsid w:val="001C2B7D"/>
    <w:rsid w:val="001C34D8"/>
    <w:rsid w:val="001D00DC"/>
    <w:rsid w:val="001D1622"/>
    <w:rsid w:val="001D1C6E"/>
    <w:rsid w:val="001D3161"/>
    <w:rsid w:val="001D4605"/>
    <w:rsid w:val="001D5A43"/>
    <w:rsid w:val="001E03AB"/>
    <w:rsid w:val="001E2011"/>
    <w:rsid w:val="001E2412"/>
    <w:rsid w:val="001E5619"/>
    <w:rsid w:val="001E62F3"/>
    <w:rsid w:val="001E6BA0"/>
    <w:rsid w:val="001E6C00"/>
    <w:rsid w:val="001E6E8C"/>
    <w:rsid w:val="001F052A"/>
    <w:rsid w:val="001F108F"/>
    <w:rsid w:val="001F1BC2"/>
    <w:rsid w:val="001F2FE0"/>
    <w:rsid w:val="001F33EE"/>
    <w:rsid w:val="001F37CC"/>
    <w:rsid w:val="001F3D32"/>
    <w:rsid w:val="001F3FD3"/>
    <w:rsid w:val="001F5F28"/>
    <w:rsid w:val="001F68AB"/>
    <w:rsid w:val="001F701C"/>
    <w:rsid w:val="001F7D54"/>
    <w:rsid w:val="00200889"/>
    <w:rsid w:val="00200E45"/>
    <w:rsid w:val="002126D8"/>
    <w:rsid w:val="00213DF0"/>
    <w:rsid w:val="002158F2"/>
    <w:rsid w:val="00217CD3"/>
    <w:rsid w:val="0022104A"/>
    <w:rsid w:val="0022281F"/>
    <w:rsid w:val="002232FC"/>
    <w:rsid w:val="00223B71"/>
    <w:rsid w:val="0022412C"/>
    <w:rsid w:val="002255CB"/>
    <w:rsid w:val="002275FE"/>
    <w:rsid w:val="00227E9D"/>
    <w:rsid w:val="00227FE7"/>
    <w:rsid w:val="00230B40"/>
    <w:rsid w:val="00232C46"/>
    <w:rsid w:val="00233E8B"/>
    <w:rsid w:val="00235650"/>
    <w:rsid w:val="002460EC"/>
    <w:rsid w:val="002461D9"/>
    <w:rsid w:val="002503AB"/>
    <w:rsid w:val="00251307"/>
    <w:rsid w:val="002515E0"/>
    <w:rsid w:val="002529E7"/>
    <w:rsid w:val="00254551"/>
    <w:rsid w:val="00254A72"/>
    <w:rsid w:val="00254D19"/>
    <w:rsid w:val="00254EB1"/>
    <w:rsid w:val="0025500B"/>
    <w:rsid w:val="002554D9"/>
    <w:rsid w:val="00255E56"/>
    <w:rsid w:val="002565FE"/>
    <w:rsid w:val="0026200B"/>
    <w:rsid w:val="00262070"/>
    <w:rsid w:val="0026314C"/>
    <w:rsid w:val="00263BDB"/>
    <w:rsid w:val="00264CAB"/>
    <w:rsid w:val="002652A4"/>
    <w:rsid w:val="00265B77"/>
    <w:rsid w:val="00274B69"/>
    <w:rsid w:val="0027568D"/>
    <w:rsid w:val="002763DD"/>
    <w:rsid w:val="0027720F"/>
    <w:rsid w:val="00277C62"/>
    <w:rsid w:val="002825A1"/>
    <w:rsid w:val="002828DE"/>
    <w:rsid w:val="0028333F"/>
    <w:rsid w:val="0028494C"/>
    <w:rsid w:val="002852EA"/>
    <w:rsid w:val="00285E99"/>
    <w:rsid w:val="00293C12"/>
    <w:rsid w:val="002946A5"/>
    <w:rsid w:val="00295776"/>
    <w:rsid w:val="002A19CF"/>
    <w:rsid w:val="002A3F7B"/>
    <w:rsid w:val="002A4BB5"/>
    <w:rsid w:val="002A4E3D"/>
    <w:rsid w:val="002A4EAB"/>
    <w:rsid w:val="002A61E9"/>
    <w:rsid w:val="002A723D"/>
    <w:rsid w:val="002A72A6"/>
    <w:rsid w:val="002A74C2"/>
    <w:rsid w:val="002B05D3"/>
    <w:rsid w:val="002B4D8D"/>
    <w:rsid w:val="002C022B"/>
    <w:rsid w:val="002C1A00"/>
    <w:rsid w:val="002C39F0"/>
    <w:rsid w:val="002C3F93"/>
    <w:rsid w:val="002C4C51"/>
    <w:rsid w:val="002C503E"/>
    <w:rsid w:val="002C713A"/>
    <w:rsid w:val="002C7876"/>
    <w:rsid w:val="002D0B36"/>
    <w:rsid w:val="002D0D90"/>
    <w:rsid w:val="002D14CC"/>
    <w:rsid w:val="002D3F53"/>
    <w:rsid w:val="002D4716"/>
    <w:rsid w:val="002D50F1"/>
    <w:rsid w:val="002E2757"/>
    <w:rsid w:val="002E2BA1"/>
    <w:rsid w:val="002E5A17"/>
    <w:rsid w:val="002E69D4"/>
    <w:rsid w:val="002F0EFA"/>
    <w:rsid w:val="002F2451"/>
    <w:rsid w:val="002F25FA"/>
    <w:rsid w:val="002F38D8"/>
    <w:rsid w:val="002F3900"/>
    <w:rsid w:val="002F3E72"/>
    <w:rsid w:val="002F4E26"/>
    <w:rsid w:val="002F5746"/>
    <w:rsid w:val="003014F6"/>
    <w:rsid w:val="00303480"/>
    <w:rsid w:val="0030547F"/>
    <w:rsid w:val="003079B6"/>
    <w:rsid w:val="00307AEF"/>
    <w:rsid w:val="00313832"/>
    <w:rsid w:val="0031687D"/>
    <w:rsid w:val="003173E0"/>
    <w:rsid w:val="00317755"/>
    <w:rsid w:val="00317A00"/>
    <w:rsid w:val="00320186"/>
    <w:rsid w:val="0032080C"/>
    <w:rsid w:val="00326B02"/>
    <w:rsid w:val="003312E6"/>
    <w:rsid w:val="00333799"/>
    <w:rsid w:val="0033518A"/>
    <w:rsid w:val="003366D8"/>
    <w:rsid w:val="00340490"/>
    <w:rsid w:val="00342794"/>
    <w:rsid w:val="00342B36"/>
    <w:rsid w:val="00343DEA"/>
    <w:rsid w:val="003445F9"/>
    <w:rsid w:val="00350342"/>
    <w:rsid w:val="00353337"/>
    <w:rsid w:val="00353AB8"/>
    <w:rsid w:val="003551BF"/>
    <w:rsid w:val="00355883"/>
    <w:rsid w:val="003570B3"/>
    <w:rsid w:val="00357833"/>
    <w:rsid w:val="00361717"/>
    <w:rsid w:val="003626E8"/>
    <w:rsid w:val="00362A5E"/>
    <w:rsid w:val="003630B9"/>
    <w:rsid w:val="00363215"/>
    <w:rsid w:val="00363A7B"/>
    <w:rsid w:val="00364E38"/>
    <w:rsid w:val="00365226"/>
    <w:rsid w:val="00365AEF"/>
    <w:rsid w:val="00366E7D"/>
    <w:rsid w:val="00373B5D"/>
    <w:rsid w:val="00375861"/>
    <w:rsid w:val="00375DA6"/>
    <w:rsid w:val="003804D4"/>
    <w:rsid w:val="0038167A"/>
    <w:rsid w:val="00382469"/>
    <w:rsid w:val="003844D0"/>
    <w:rsid w:val="003846E2"/>
    <w:rsid w:val="00384734"/>
    <w:rsid w:val="003855FF"/>
    <w:rsid w:val="00387595"/>
    <w:rsid w:val="003912E9"/>
    <w:rsid w:val="003916FA"/>
    <w:rsid w:val="0039216C"/>
    <w:rsid w:val="0039304B"/>
    <w:rsid w:val="00393D0A"/>
    <w:rsid w:val="0039410C"/>
    <w:rsid w:val="00395E44"/>
    <w:rsid w:val="00396212"/>
    <w:rsid w:val="003A040E"/>
    <w:rsid w:val="003A4289"/>
    <w:rsid w:val="003A4FBE"/>
    <w:rsid w:val="003A7749"/>
    <w:rsid w:val="003B0F99"/>
    <w:rsid w:val="003B4339"/>
    <w:rsid w:val="003B4952"/>
    <w:rsid w:val="003B729D"/>
    <w:rsid w:val="003B79B5"/>
    <w:rsid w:val="003B7C2C"/>
    <w:rsid w:val="003C02CA"/>
    <w:rsid w:val="003C1EB0"/>
    <w:rsid w:val="003C4847"/>
    <w:rsid w:val="003C58AB"/>
    <w:rsid w:val="003C5EF9"/>
    <w:rsid w:val="003C64D0"/>
    <w:rsid w:val="003C6E9B"/>
    <w:rsid w:val="003C7DA3"/>
    <w:rsid w:val="003D03AB"/>
    <w:rsid w:val="003D15F1"/>
    <w:rsid w:val="003D195D"/>
    <w:rsid w:val="003D1B97"/>
    <w:rsid w:val="003E178D"/>
    <w:rsid w:val="003E344E"/>
    <w:rsid w:val="003E38A6"/>
    <w:rsid w:val="003E3B10"/>
    <w:rsid w:val="003E76BA"/>
    <w:rsid w:val="003F344C"/>
    <w:rsid w:val="003F3556"/>
    <w:rsid w:val="003F676C"/>
    <w:rsid w:val="003F74CD"/>
    <w:rsid w:val="00400B15"/>
    <w:rsid w:val="00401135"/>
    <w:rsid w:val="00401C4F"/>
    <w:rsid w:val="00406AF7"/>
    <w:rsid w:val="00406B52"/>
    <w:rsid w:val="00410688"/>
    <w:rsid w:val="004116FF"/>
    <w:rsid w:val="00413DD9"/>
    <w:rsid w:val="00415CC0"/>
    <w:rsid w:val="0042030E"/>
    <w:rsid w:val="004207A8"/>
    <w:rsid w:val="00420F4E"/>
    <w:rsid w:val="004212E9"/>
    <w:rsid w:val="00421C77"/>
    <w:rsid w:val="00426B67"/>
    <w:rsid w:val="00431119"/>
    <w:rsid w:val="00431C74"/>
    <w:rsid w:val="004324CD"/>
    <w:rsid w:val="00433939"/>
    <w:rsid w:val="004345A5"/>
    <w:rsid w:val="0043519B"/>
    <w:rsid w:val="004356D6"/>
    <w:rsid w:val="0043651D"/>
    <w:rsid w:val="004367C3"/>
    <w:rsid w:val="00437EF0"/>
    <w:rsid w:val="004404DB"/>
    <w:rsid w:val="00443BCD"/>
    <w:rsid w:val="00445B79"/>
    <w:rsid w:val="00447776"/>
    <w:rsid w:val="00450F39"/>
    <w:rsid w:val="00451052"/>
    <w:rsid w:val="00451DD2"/>
    <w:rsid w:val="004530B9"/>
    <w:rsid w:val="004531E3"/>
    <w:rsid w:val="0045418C"/>
    <w:rsid w:val="004548FB"/>
    <w:rsid w:val="00454E23"/>
    <w:rsid w:val="00457716"/>
    <w:rsid w:val="00460121"/>
    <w:rsid w:val="004605C2"/>
    <w:rsid w:val="00462559"/>
    <w:rsid w:val="00462603"/>
    <w:rsid w:val="00462C6C"/>
    <w:rsid w:val="00463109"/>
    <w:rsid w:val="004641FC"/>
    <w:rsid w:val="004677A0"/>
    <w:rsid w:val="004754F4"/>
    <w:rsid w:val="00477CE6"/>
    <w:rsid w:val="00480BB7"/>
    <w:rsid w:val="004824FE"/>
    <w:rsid w:val="00482C68"/>
    <w:rsid w:val="00484125"/>
    <w:rsid w:val="00484433"/>
    <w:rsid w:val="00485753"/>
    <w:rsid w:val="004934AB"/>
    <w:rsid w:val="00493F88"/>
    <w:rsid w:val="004A0939"/>
    <w:rsid w:val="004A397E"/>
    <w:rsid w:val="004A7A22"/>
    <w:rsid w:val="004B1304"/>
    <w:rsid w:val="004B48F9"/>
    <w:rsid w:val="004B6D9D"/>
    <w:rsid w:val="004B7CB6"/>
    <w:rsid w:val="004C1D0F"/>
    <w:rsid w:val="004C4143"/>
    <w:rsid w:val="004C4FD3"/>
    <w:rsid w:val="004D0705"/>
    <w:rsid w:val="004D0C21"/>
    <w:rsid w:val="004D314C"/>
    <w:rsid w:val="004D4437"/>
    <w:rsid w:val="004D5895"/>
    <w:rsid w:val="004D746B"/>
    <w:rsid w:val="004D7BF5"/>
    <w:rsid w:val="004E3962"/>
    <w:rsid w:val="004E5E02"/>
    <w:rsid w:val="004E7A8E"/>
    <w:rsid w:val="004F0219"/>
    <w:rsid w:val="004F10C0"/>
    <w:rsid w:val="004F161F"/>
    <w:rsid w:val="004F4891"/>
    <w:rsid w:val="004F5561"/>
    <w:rsid w:val="004F5AB3"/>
    <w:rsid w:val="004F5C48"/>
    <w:rsid w:val="005004F3"/>
    <w:rsid w:val="00500A3D"/>
    <w:rsid w:val="00501184"/>
    <w:rsid w:val="00505E9F"/>
    <w:rsid w:val="0050652F"/>
    <w:rsid w:val="00506ACC"/>
    <w:rsid w:val="00507141"/>
    <w:rsid w:val="00510427"/>
    <w:rsid w:val="0051355B"/>
    <w:rsid w:val="005201B3"/>
    <w:rsid w:val="00521285"/>
    <w:rsid w:val="00522D3F"/>
    <w:rsid w:val="00523DA5"/>
    <w:rsid w:val="00524607"/>
    <w:rsid w:val="00525DEB"/>
    <w:rsid w:val="00526789"/>
    <w:rsid w:val="00526960"/>
    <w:rsid w:val="0053043B"/>
    <w:rsid w:val="00530A43"/>
    <w:rsid w:val="0053162C"/>
    <w:rsid w:val="00533551"/>
    <w:rsid w:val="005343E3"/>
    <w:rsid w:val="00534FAC"/>
    <w:rsid w:val="00535468"/>
    <w:rsid w:val="0053576C"/>
    <w:rsid w:val="0053609D"/>
    <w:rsid w:val="00536FE4"/>
    <w:rsid w:val="00540ABC"/>
    <w:rsid w:val="005418BC"/>
    <w:rsid w:val="00546662"/>
    <w:rsid w:val="00547E31"/>
    <w:rsid w:val="00550438"/>
    <w:rsid w:val="005508ED"/>
    <w:rsid w:val="005511D5"/>
    <w:rsid w:val="005516ED"/>
    <w:rsid w:val="005562DA"/>
    <w:rsid w:val="005568E3"/>
    <w:rsid w:val="005568FA"/>
    <w:rsid w:val="00561D8F"/>
    <w:rsid w:val="00561F3A"/>
    <w:rsid w:val="00562443"/>
    <w:rsid w:val="0056344F"/>
    <w:rsid w:val="00563513"/>
    <w:rsid w:val="005642D5"/>
    <w:rsid w:val="00564F0F"/>
    <w:rsid w:val="0056522A"/>
    <w:rsid w:val="00565286"/>
    <w:rsid w:val="00566C1B"/>
    <w:rsid w:val="00567CB4"/>
    <w:rsid w:val="00567D0C"/>
    <w:rsid w:val="00567D28"/>
    <w:rsid w:val="005705A4"/>
    <w:rsid w:val="0057135B"/>
    <w:rsid w:val="00571700"/>
    <w:rsid w:val="005721CE"/>
    <w:rsid w:val="00572EEC"/>
    <w:rsid w:val="00573967"/>
    <w:rsid w:val="00574EE5"/>
    <w:rsid w:val="00575FE9"/>
    <w:rsid w:val="00576B8E"/>
    <w:rsid w:val="00577B89"/>
    <w:rsid w:val="00577DB9"/>
    <w:rsid w:val="00580165"/>
    <w:rsid w:val="005813F4"/>
    <w:rsid w:val="0058372E"/>
    <w:rsid w:val="00583D25"/>
    <w:rsid w:val="00584108"/>
    <w:rsid w:val="0058427C"/>
    <w:rsid w:val="00584D67"/>
    <w:rsid w:val="005853B7"/>
    <w:rsid w:val="0058560E"/>
    <w:rsid w:val="00585F31"/>
    <w:rsid w:val="00586525"/>
    <w:rsid w:val="005879E6"/>
    <w:rsid w:val="00590880"/>
    <w:rsid w:val="005920D8"/>
    <w:rsid w:val="0059724F"/>
    <w:rsid w:val="005975D0"/>
    <w:rsid w:val="0059775E"/>
    <w:rsid w:val="0059781D"/>
    <w:rsid w:val="00597923"/>
    <w:rsid w:val="00597B88"/>
    <w:rsid w:val="005A036A"/>
    <w:rsid w:val="005A164A"/>
    <w:rsid w:val="005A16BA"/>
    <w:rsid w:val="005A1983"/>
    <w:rsid w:val="005A1BF0"/>
    <w:rsid w:val="005A346B"/>
    <w:rsid w:val="005A448B"/>
    <w:rsid w:val="005A48FF"/>
    <w:rsid w:val="005A4AA3"/>
    <w:rsid w:val="005A6DC2"/>
    <w:rsid w:val="005B1424"/>
    <w:rsid w:val="005B20C2"/>
    <w:rsid w:val="005B2DFE"/>
    <w:rsid w:val="005B2F46"/>
    <w:rsid w:val="005B407E"/>
    <w:rsid w:val="005B450E"/>
    <w:rsid w:val="005B662C"/>
    <w:rsid w:val="005B7060"/>
    <w:rsid w:val="005C3A20"/>
    <w:rsid w:val="005C47C3"/>
    <w:rsid w:val="005C4B66"/>
    <w:rsid w:val="005C6D53"/>
    <w:rsid w:val="005C6F58"/>
    <w:rsid w:val="005D05AE"/>
    <w:rsid w:val="005D0DF9"/>
    <w:rsid w:val="005D2473"/>
    <w:rsid w:val="005D63DB"/>
    <w:rsid w:val="005E059E"/>
    <w:rsid w:val="005E188C"/>
    <w:rsid w:val="005E1BC3"/>
    <w:rsid w:val="005E24AB"/>
    <w:rsid w:val="005E24E9"/>
    <w:rsid w:val="005E2B78"/>
    <w:rsid w:val="005E6F73"/>
    <w:rsid w:val="005F11F7"/>
    <w:rsid w:val="005F1765"/>
    <w:rsid w:val="00602814"/>
    <w:rsid w:val="0060363C"/>
    <w:rsid w:val="00605110"/>
    <w:rsid w:val="006054EF"/>
    <w:rsid w:val="00606756"/>
    <w:rsid w:val="00606D58"/>
    <w:rsid w:val="00606F11"/>
    <w:rsid w:val="00607613"/>
    <w:rsid w:val="00607D0B"/>
    <w:rsid w:val="006102D5"/>
    <w:rsid w:val="00610BF2"/>
    <w:rsid w:val="00612D65"/>
    <w:rsid w:val="006137CA"/>
    <w:rsid w:val="0061493C"/>
    <w:rsid w:val="006175E9"/>
    <w:rsid w:val="006219D9"/>
    <w:rsid w:val="00621CBD"/>
    <w:rsid w:val="0062436C"/>
    <w:rsid w:val="00624FE3"/>
    <w:rsid w:val="00625570"/>
    <w:rsid w:val="00625B76"/>
    <w:rsid w:val="00627058"/>
    <w:rsid w:val="006276B2"/>
    <w:rsid w:val="00631DE7"/>
    <w:rsid w:val="006320F7"/>
    <w:rsid w:val="00632654"/>
    <w:rsid w:val="00633674"/>
    <w:rsid w:val="00634117"/>
    <w:rsid w:val="0063466D"/>
    <w:rsid w:val="006357EF"/>
    <w:rsid w:val="0063667B"/>
    <w:rsid w:val="00636EA7"/>
    <w:rsid w:val="006401D4"/>
    <w:rsid w:val="006404C2"/>
    <w:rsid w:val="00642B64"/>
    <w:rsid w:val="0064456E"/>
    <w:rsid w:val="00644626"/>
    <w:rsid w:val="00645969"/>
    <w:rsid w:val="00646776"/>
    <w:rsid w:val="00647391"/>
    <w:rsid w:val="00650F0F"/>
    <w:rsid w:val="006522F7"/>
    <w:rsid w:val="0065266E"/>
    <w:rsid w:val="00653F33"/>
    <w:rsid w:val="00654C6B"/>
    <w:rsid w:val="006557E2"/>
    <w:rsid w:val="00657C51"/>
    <w:rsid w:val="0066043D"/>
    <w:rsid w:val="00660668"/>
    <w:rsid w:val="00660E12"/>
    <w:rsid w:val="006630DC"/>
    <w:rsid w:val="00663201"/>
    <w:rsid w:val="00663A0D"/>
    <w:rsid w:val="00664AA8"/>
    <w:rsid w:val="00671DD3"/>
    <w:rsid w:val="006722B8"/>
    <w:rsid w:val="0067379F"/>
    <w:rsid w:val="00673A35"/>
    <w:rsid w:val="00674960"/>
    <w:rsid w:val="00680329"/>
    <w:rsid w:val="006838A6"/>
    <w:rsid w:val="00683EFE"/>
    <w:rsid w:val="00685D7D"/>
    <w:rsid w:val="00687E30"/>
    <w:rsid w:val="0069113E"/>
    <w:rsid w:val="006929B0"/>
    <w:rsid w:val="00692B0F"/>
    <w:rsid w:val="00692D32"/>
    <w:rsid w:val="0069366D"/>
    <w:rsid w:val="00693CDD"/>
    <w:rsid w:val="006940CD"/>
    <w:rsid w:val="00694438"/>
    <w:rsid w:val="00694529"/>
    <w:rsid w:val="00695835"/>
    <w:rsid w:val="0069585A"/>
    <w:rsid w:val="00697CAF"/>
    <w:rsid w:val="00697FE7"/>
    <w:rsid w:val="006A00B7"/>
    <w:rsid w:val="006A00FD"/>
    <w:rsid w:val="006A0C6C"/>
    <w:rsid w:val="006A0F64"/>
    <w:rsid w:val="006A102C"/>
    <w:rsid w:val="006A169E"/>
    <w:rsid w:val="006A1948"/>
    <w:rsid w:val="006A1DFA"/>
    <w:rsid w:val="006A3689"/>
    <w:rsid w:val="006A3F7C"/>
    <w:rsid w:val="006A4149"/>
    <w:rsid w:val="006A658B"/>
    <w:rsid w:val="006B3071"/>
    <w:rsid w:val="006B357C"/>
    <w:rsid w:val="006B4078"/>
    <w:rsid w:val="006B4211"/>
    <w:rsid w:val="006B7D53"/>
    <w:rsid w:val="006C6453"/>
    <w:rsid w:val="006C6714"/>
    <w:rsid w:val="006C6FDF"/>
    <w:rsid w:val="006D4878"/>
    <w:rsid w:val="006D4A2A"/>
    <w:rsid w:val="006D4C34"/>
    <w:rsid w:val="006E0694"/>
    <w:rsid w:val="006E152B"/>
    <w:rsid w:val="006E168F"/>
    <w:rsid w:val="006E1832"/>
    <w:rsid w:val="006E3D80"/>
    <w:rsid w:val="006E3E82"/>
    <w:rsid w:val="006E40D4"/>
    <w:rsid w:val="006E4BDD"/>
    <w:rsid w:val="006E4F6A"/>
    <w:rsid w:val="006E5B00"/>
    <w:rsid w:val="006F0303"/>
    <w:rsid w:val="006F0486"/>
    <w:rsid w:val="006F0AA4"/>
    <w:rsid w:val="006F2FEC"/>
    <w:rsid w:val="006F5763"/>
    <w:rsid w:val="006F643D"/>
    <w:rsid w:val="006F784C"/>
    <w:rsid w:val="00701F53"/>
    <w:rsid w:val="00702956"/>
    <w:rsid w:val="00702FBF"/>
    <w:rsid w:val="00703EDE"/>
    <w:rsid w:val="007044EF"/>
    <w:rsid w:val="00704611"/>
    <w:rsid w:val="00707DBD"/>
    <w:rsid w:val="007104BC"/>
    <w:rsid w:val="00710E73"/>
    <w:rsid w:val="00711B0E"/>
    <w:rsid w:val="00712944"/>
    <w:rsid w:val="00712B56"/>
    <w:rsid w:val="007132D4"/>
    <w:rsid w:val="00714AFB"/>
    <w:rsid w:val="00717FF2"/>
    <w:rsid w:val="00721613"/>
    <w:rsid w:val="00721A07"/>
    <w:rsid w:val="007231D4"/>
    <w:rsid w:val="007240D3"/>
    <w:rsid w:val="007279CD"/>
    <w:rsid w:val="0073095C"/>
    <w:rsid w:val="00733FA6"/>
    <w:rsid w:val="00741D9F"/>
    <w:rsid w:val="0074271D"/>
    <w:rsid w:val="00743E3B"/>
    <w:rsid w:val="00743F9D"/>
    <w:rsid w:val="007454B5"/>
    <w:rsid w:val="007464B8"/>
    <w:rsid w:val="007471FD"/>
    <w:rsid w:val="0075017A"/>
    <w:rsid w:val="00751957"/>
    <w:rsid w:val="00752773"/>
    <w:rsid w:val="00754612"/>
    <w:rsid w:val="0076015F"/>
    <w:rsid w:val="00760468"/>
    <w:rsid w:val="00764561"/>
    <w:rsid w:val="00765C18"/>
    <w:rsid w:val="00766D64"/>
    <w:rsid w:val="0076701F"/>
    <w:rsid w:val="007717F6"/>
    <w:rsid w:val="00772C0F"/>
    <w:rsid w:val="007730BC"/>
    <w:rsid w:val="00776335"/>
    <w:rsid w:val="007800CD"/>
    <w:rsid w:val="007805AA"/>
    <w:rsid w:val="00780B65"/>
    <w:rsid w:val="00780FB3"/>
    <w:rsid w:val="00781C68"/>
    <w:rsid w:val="00782B95"/>
    <w:rsid w:val="00783088"/>
    <w:rsid w:val="00784C0D"/>
    <w:rsid w:val="00786553"/>
    <w:rsid w:val="00792D1E"/>
    <w:rsid w:val="00792F64"/>
    <w:rsid w:val="00794077"/>
    <w:rsid w:val="007974BF"/>
    <w:rsid w:val="00797750"/>
    <w:rsid w:val="007A1047"/>
    <w:rsid w:val="007A3010"/>
    <w:rsid w:val="007A40CF"/>
    <w:rsid w:val="007A4699"/>
    <w:rsid w:val="007A5093"/>
    <w:rsid w:val="007A5FC7"/>
    <w:rsid w:val="007A6C62"/>
    <w:rsid w:val="007A6EDF"/>
    <w:rsid w:val="007A71A2"/>
    <w:rsid w:val="007B1237"/>
    <w:rsid w:val="007B2801"/>
    <w:rsid w:val="007B2869"/>
    <w:rsid w:val="007B2E7C"/>
    <w:rsid w:val="007C0162"/>
    <w:rsid w:val="007C45A7"/>
    <w:rsid w:val="007C4F70"/>
    <w:rsid w:val="007C7674"/>
    <w:rsid w:val="007D1E04"/>
    <w:rsid w:val="007D2B5B"/>
    <w:rsid w:val="007D30C9"/>
    <w:rsid w:val="007D316E"/>
    <w:rsid w:val="007D4F2F"/>
    <w:rsid w:val="007D66C9"/>
    <w:rsid w:val="007E106B"/>
    <w:rsid w:val="007E15CD"/>
    <w:rsid w:val="007E1B96"/>
    <w:rsid w:val="007E2638"/>
    <w:rsid w:val="007E38B7"/>
    <w:rsid w:val="007E3A58"/>
    <w:rsid w:val="007E4CA6"/>
    <w:rsid w:val="007E7FFC"/>
    <w:rsid w:val="007F203E"/>
    <w:rsid w:val="007F34EB"/>
    <w:rsid w:val="007F3520"/>
    <w:rsid w:val="007F35ED"/>
    <w:rsid w:val="007F3D17"/>
    <w:rsid w:val="007F6D32"/>
    <w:rsid w:val="00801388"/>
    <w:rsid w:val="00801C2D"/>
    <w:rsid w:val="00801DF5"/>
    <w:rsid w:val="008024A7"/>
    <w:rsid w:val="00805871"/>
    <w:rsid w:val="00805ECA"/>
    <w:rsid w:val="00806C1C"/>
    <w:rsid w:val="008075B6"/>
    <w:rsid w:val="008118DA"/>
    <w:rsid w:val="00811E10"/>
    <w:rsid w:val="008126C7"/>
    <w:rsid w:val="00813670"/>
    <w:rsid w:val="00814014"/>
    <w:rsid w:val="00814AA6"/>
    <w:rsid w:val="00814D9C"/>
    <w:rsid w:val="0081513D"/>
    <w:rsid w:val="0081592A"/>
    <w:rsid w:val="00815EE4"/>
    <w:rsid w:val="00822057"/>
    <w:rsid w:val="00822787"/>
    <w:rsid w:val="0082293F"/>
    <w:rsid w:val="00823D12"/>
    <w:rsid w:val="008244A0"/>
    <w:rsid w:val="00824DFA"/>
    <w:rsid w:val="0082736F"/>
    <w:rsid w:val="008277D5"/>
    <w:rsid w:val="00830EA6"/>
    <w:rsid w:val="0083149F"/>
    <w:rsid w:val="008320FA"/>
    <w:rsid w:val="008331DD"/>
    <w:rsid w:val="0083431C"/>
    <w:rsid w:val="00836AB8"/>
    <w:rsid w:val="00841821"/>
    <w:rsid w:val="00841F7D"/>
    <w:rsid w:val="00842C24"/>
    <w:rsid w:val="00843249"/>
    <w:rsid w:val="008445C6"/>
    <w:rsid w:val="00844A8F"/>
    <w:rsid w:val="008461FA"/>
    <w:rsid w:val="0084629C"/>
    <w:rsid w:val="008529D1"/>
    <w:rsid w:val="008529DA"/>
    <w:rsid w:val="00853463"/>
    <w:rsid w:val="008537E9"/>
    <w:rsid w:val="00855183"/>
    <w:rsid w:val="00855358"/>
    <w:rsid w:val="00860398"/>
    <w:rsid w:val="00860897"/>
    <w:rsid w:val="008616CE"/>
    <w:rsid w:val="00861706"/>
    <w:rsid w:val="00863BE7"/>
    <w:rsid w:val="0086407E"/>
    <w:rsid w:val="0086433F"/>
    <w:rsid w:val="00864E42"/>
    <w:rsid w:val="00871C61"/>
    <w:rsid w:val="00873AA4"/>
    <w:rsid w:val="00873D0A"/>
    <w:rsid w:val="0087470F"/>
    <w:rsid w:val="008753B4"/>
    <w:rsid w:val="00877348"/>
    <w:rsid w:val="0087756D"/>
    <w:rsid w:val="00880472"/>
    <w:rsid w:val="008818C9"/>
    <w:rsid w:val="00881961"/>
    <w:rsid w:val="00881D6A"/>
    <w:rsid w:val="008846D0"/>
    <w:rsid w:val="00884D08"/>
    <w:rsid w:val="0088600F"/>
    <w:rsid w:val="0088661B"/>
    <w:rsid w:val="00891924"/>
    <w:rsid w:val="008930A2"/>
    <w:rsid w:val="00893699"/>
    <w:rsid w:val="0089375F"/>
    <w:rsid w:val="00894360"/>
    <w:rsid w:val="00894B0C"/>
    <w:rsid w:val="008970C7"/>
    <w:rsid w:val="00897393"/>
    <w:rsid w:val="008A0945"/>
    <w:rsid w:val="008A1652"/>
    <w:rsid w:val="008A3F23"/>
    <w:rsid w:val="008A4544"/>
    <w:rsid w:val="008A4FED"/>
    <w:rsid w:val="008A6338"/>
    <w:rsid w:val="008A6367"/>
    <w:rsid w:val="008B2820"/>
    <w:rsid w:val="008B2834"/>
    <w:rsid w:val="008B3676"/>
    <w:rsid w:val="008B3D72"/>
    <w:rsid w:val="008B3DD3"/>
    <w:rsid w:val="008B515F"/>
    <w:rsid w:val="008B7925"/>
    <w:rsid w:val="008B7CE3"/>
    <w:rsid w:val="008C00ED"/>
    <w:rsid w:val="008C1C4D"/>
    <w:rsid w:val="008C2013"/>
    <w:rsid w:val="008C3B6D"/>
    <w:rsid w:val="008C5902"/>
    <w:rsid w:val="008D1902"/>
    <w:rsid w:val="008D1D11"/>
    <w:rsid w:val="008D274B"/>
    <w:rsid w:val="008D319D"/>
    <w:rsid w:val="008D54ED"/>
    <w:rsid w:val="008D58D8"/>
    <w:rsid w:val="008D69F6"/>
    <w:rsid w:val="008E15A1"/>
    <w:rsid w:val="008E1814"/>
    <w:rsid w:val="008E4034"/>
    <w:rsid w:val="008E5231"/>
    <w:rsid w:val="008E56D6"/>
    <w:rsid w:val="008F3AAE"/>
    <w:rsid w:val="008F4194"/>
    <w:rsid w:val="008F46AC"/>
    <w:rsid w:val="008F4A2D"/>
    <w:rsid w:val="008F5FD2"/>
    <w:rsid w:val="008F7023"/>
    <w:rsid w:val="00900A2C"/>
    <w:rsid w:val="0090548C"/>
    <w:rsid w:val="0090568E"/>
    <w:rsid w:val="0090578B"/>
    <w:rsid w:val="0090610C"/>
    <w:rsid w:val="009077E6"/>
    <w:rsid w:val="00907E1A"/>
    <w:rsid w:val="009109F6"/>
    <w:rsid w:val="00910AD1"/>
    <w:rsid w:val="00910DB8"/>
    <w:rsid w:val="009139E6"/>
    <w:rsid w:val="00914A49"/>
    <w:rsid w:val="009167CE"/>
    <w:rsid w:val="009202FC"/>
    <w:rsid w:val="00920739"/>
    <w:rsid w:val="0092259A"/>
    <w:rsid w:val="00922706"/>
    <w:rsid w:val="009319D8"/>
    <w:rsid w:val="00932C64"/>
    <w:rsid w:val="00932DD1"/>
    <w:rsid w:val="009331C8"/>
    <w:rsid w:val="00934DA8"/>
    <w:rsid w:val="009350B7"/>
    <w:rsid w:val="00935F30"/>
    <w:rsid w:val="00936F67"/>
    <w:rsid w:val="009376AF"/>
    <w:rsid w:val="00940173"/>
    <w:rsid w:val="00940183"/>
    <w:rsid w:val="009467FF"/>
    <w:rsid w:val="00946B70"/>
    <w:rsid w:val="00946EAD"/>
    <w:rsid w:val="009505A3"/>
    <w:rsid w:val="00950BA5"/>
    <w:rsid w:val="00951446"/>
    <w:rsid w:val="00952413"/>
    <w:rsid w:val="0095431C"/>
    <w:rsid w:val="00954C43"/>
    <w:rsid w:val="009557B6"/>
    <w:rsid w:val="00956C0E"/>
    <w:rsid w:val="00956F12"/>
    <w:rsid w:val="00957937"/>
    <w:rsid w:val="00957A5A"/>
    <w:rsid w:val="00961E1A"/>
    <w:rsid w:val="00962439"/>
    <w:rsid w:val="00962A1B"/>
    <w:rsid w:val="00962B57"/>
    <w:rsid w:val="009639A0"/>
    <w:rsid w:val="00964A80"/>
    <w:rsid w:val="00964F61"/>
    <w:rsid w:val="00965B0A"/>
    <w:rsid w:val="00972B41"/>
    <w:rsid w:val="00974038"/>
    <w:rsid w:val="00974E82"/>
    <w:rsid w:val="00975FEE"/>
    <w:rsid w:val="00975FF6"/>
    <w:rsid w:val="00980045"/>
    <w:rsid w:val="00980BAB"/>
    <w:rsid w:val="009824AE"/>
    <w:rsid w:val="00983CF5"/>
    <w:rsid w:val="00983DEB"/>
    <w:rsid w:val="009874D9"/>
    <w:rsid w:val="009934A1"/>
    <w:rsid w:val="00994026"/>
    <w:rsid w:val="00995650"/>
    <w:rsid w:val="00996311"/>
    <w:rsid w:val="00996B42"/>
    <w:rsid w:val="009A143E"/>
    <w:rsid w:val="009A1955"/>
    <w:rsid w:val="009A1ECC"/>
    <w:rsid w:val="009A2CA9"/>
    <w:rsid w:val="009A4F61"/>
    <w:rsid w:val="009A70E2"/>
    <w:rsid w:val="009A7115"/>
    <w:rsid w:val="009A749D"/>
    <w:rsid w:val="009A7B7F"/>
    <w:rsid w:val="009B0D12"/>
    <w:rsid w:val="009B0EB3"/>
    <w:rsid w:val="009B1A31"/>
    <w:rsid w:val="009B5DD7"/>
    <w:rsid w:val="009B67C3"/>
    <w:rsid w:val="009C1EE8"/>
    <w:rsid w:val="009C2A2C"/>
    <w:rsid w:val="009C4688"/>
    <w:rsid w:val="009C4F4E"/>
    <w:rsid w:val="009C62EC"/>
    <w:rsid w:val="009C6EE1"/>
    <w:rsid w:val="009D08C2"/>
    <w:rsid w:val="009D150F"/>
    <w:rsid w:val="009D3163"/>
    <w:rsid w:val="009D3CE7"/>
    <w:rsid w:val="009D4C6C"/>
    <w:rsid w:val="009D5286"/>
    <w:rsid w:val="009D534D"/>
    <w:rsid w:val="009D5CED"/>
    <w:rsid w:val="009D737A"/>
    <w:rsid w:val="009E243B"/>
    <w:rsid w:val="009E3944"/>
    <w:rsid w:val="009E47E2"/>
    <w:rsid w:val="009E4DE7"/>
    <w:rsid w:val="009E5D66"/>
    <w:rsid w:val="009E62FB"/>
    <w:rsid w:val="009F09B6"/>
    <w:rsid w:val="009F0EC4"/>
    <w:rsid w:val="009F1521"/>
    <w:rsid w:val="009F16B2"/>
    <w:rsid w:val="009F1FC6"/>
    <w:rsid w:val="009F2C8C"/>
    <w:rsid w:val="009F43DE"/>
    <w:rsid w:val="009F5647"/>
    <w:rsid w:val="009F7EE1"/>
    <w:rsid w:val="00A01B09"/>
    <w:rsid w:val="00A057AD"/>
    <w:rsid w:val="00A07660"/>
    <w:rsid w:val="00A07E3F"/>
    <w:rsid w:val="00A120B4"/>
    <w:rsid w:val="00A13CDB"/>
    <w:rsid w:val="00A14644"/>
    <w:rsid w:val="00A155E8"/>
    <w:rsid w:val="00A16056"/>
    <w:rsid w:val="00A16A3B"/>
    <w:rsid w:val="00A16AA0"/>
    <w:rsid w:val="00A20456"/>
    <w:rsid w:val="00A22A4D"/>
    <w:rsid w:val="00A2602E"/>
    <w:rsid w:val="00A26A57"/>
    <w:rsid w:val="00A2793F"/>
    <w:rsid w:val="00A305CF"/>
    <w:rsid w:val="00A3147D"/>
    <w:rsid w:val="00A32E9C"/>
    <w:rsid w:val="00A33C5C"/>
    <w:rsid w:val="00A37F69"/>
    <w:rsid w:val="00A42A11"/>
    <w:rsid w:val="00A44F62"/>
    <w:rsid w:val="00A45679"/>
    <w:rsid w:val="00A45F26"/>
    <w:rsid w:val="00A4626F"/>
    <w:rsid w:val="00A47280"/>
    <w:rsid w:val="00A47C03"/>
    <w:rsid w:val="00A50ABB"/>
    <w:rsid w:val="00A51075"/>
    <w:rsid w:val="00A51C98"/>
    <w:rsid w:val="00A53056"/>
    <w:rsid w:val="00A539C5"/>
    <w:rsid w:val="00A57758"/>
    <w:rsid w:val="00A60414"/>
    <w:rsid w:val="00A6315C"/>
    <w:rsid w:val="00A6735F"/>
    <w:rsid w:val="00A67380"/>
    <w:rsid w:val="00A7091B"/>
    <w:rsid w:val="00A70F6E"/>
    <w:rsid w:val="00A73E6C"/>
    <w:rsid w:val="00A7418F"/>
    <w:rsid w:val="00A74DFB"/>
    <w:rsid w:val="00A75265"/>
    <w:rsid w:val="00A76546"/>
    <w:rsid w:val="00A8133D"/>
    <w:rsid w:val="00A835AB"/>
    <w:rsid w:val="00A83C18"/>
    <w:rsid w:val="00A840F9"/>
    <w:rsid w:val="00A85B1A"/>
    <w:rsid w:val="00A85B64"/>
    <w:rsid w:val="00A85D50"/>
    <w:rsid w:val="00A92A60"/>
    <w:rsid w:val="00A93F4B"/>
    <w:rsid w:val="00A93FEC"/>
    <w:rsid w:val="00A94A33"/>
    <w:rsid w:val="00A95CF7"/>
    <w:rsid w:val="00A95D5A"/>
    <w:rsid w:val="00A96A60"/>
    <w:rsid w:val="00A97B52"/>
    <w:rsid w:val="00AA13EB"/>
    <w:rsid w:val="00AA19EA"/>
    <w:rsid w:val="00AA3CD9"/>
    <w:rsid w:val="00AA4A8B"/>
    <w:rsid w:val="00AA702E"/>
    <w:rsid w:val="00AA7442"/>
    <w:rsid w:val="00AA770D"/>
    <w:rsid w:val="00AB02A4"/>
    <w:rsid w:val="00AB12E0"/>
    <w:rsid w:val="00AB2101"/>
    <w:rsid w:val="00AC06F4"/>
    <w:rsid w:val="00AC1278"/>
    <w:rsid w:val="00AC238D"/>
    <w:rsid w:val="00AC2B3A"/>
    <w:rsid w:val="00AC4AE5"/>
    <w:rsid w:val="00AC564B"/>
    <w:rsid w:val="00AC683B"/>
    <w:rsid w:val="00AC72D9"/>
    <w:rsid w:val="00AD05DA"/>
    <w:rsid w:val="00AD0AC0"/>
    <w:rsid w:val="00AD1095"/>
    <w:rsid w:val="00AD197E"/>
    <w:rsid w:val="00AD3398"/>
    <w:rsid w:val="00AD4D40"/>
    <w:rsid w:val="00AD711F"/>
    <w:rsid w:val="00AE3434"/>
    <w:rsid w:val="00AE3D80"/>
    <w:rsid w:val="00AE4DAC"/>
    <w:rsid w:val="00AE51C0"/>
    <w:rsid w:val="00AE5759"/>
    <w:rsid w:val="00AE601A"/>
    <w:rsid w:val="00AE777D"/>
    <w:rsid w:val="00AF01DE"/>
    <w:rsid w:val="00AF1592"/>
    <w:rsid w:val="00AF267F"/>
    <w:rsid w:val="00AF294F"/>
    <w:rsid w:val="00AF29BF"/>
    <w:rsid w:val="00AF350E"/>
    <w:rsid w:val="00AF390A"/>
    <w:rsid w:val="00AF418D"/>
    <w:rsid w:val="00AF674D"/>
    <w:rsid w:val="00AF71F9"/>
    <w:rsid w:val="00AF794C"/>
    <w:rsid w:val="00B004E7"/>
    <w:rsid w:val="00B00A3D"/>
    <w:rsid w:val="00B0191C"/>
    <w:rsid w:val="00B01EDB"/>
    <w:rsid w:val="00B042AA"/>
    <w:rsid w:val="00B04344"/>
    <w:rsid w:val="00B04CFD"/>
    <w:rsid w:val="00B054F4"/>
    <w:rsid w:val="00B12837"/>
    <w:rsid w:val="00B1426F"/>
    <w:rsid w:val="00B142F4"/>
    <w:rsid w:val="00B15C16"/>
    <w:rsid w:val="00B17E77"/>
    <w:rsid w:val="00B21B88"/>
    <w:rsid w:val="00B21E72"/>
    <w:rsid w:val="00B22129"/>
    <w:rsid w:val="00B24E3E"/>
    <w:rsid w:val="00B25CC4"/>
    <w:rsid w:val="00B26BE6"/>
    <w:rsid w:val="00B27F9A"/>
    <w:rsid w:val="00B30E03"/>
    <w:rsid w:val="00B31570"/>
    <w:rsid w:val="00B31C73"/>
    <w:rsid w:val="00B31F8F"/>
    <w:rsid w:val="00B320EE"/>
    <w:rsid w:val="00B32D44"/>
    <w:rsid w:val="00B332FF"/>
    <w:rsid w:val="00B33FFF"/>
    <w:rsid w:val="00B40774"/>
    <w:rsid w:val="00B4209D"/>
    <w:rsid w:val="00B4308E"/>
    <w:rsid w:val="00B444EC"/>
    <w:rsid w:val="00B4602A"/>
    <w:rsid w:val="00B46152"/>
    <w:rsid w:val="00B46CCC"/>
    <w:rsid w:val="00B55076"/>
    <w:rsid w:val="00B56218"/>
    <w:rsid w:val="00B60657"/>
    <w:rsid w:val="00B60CDB"/>
    <w:rsid w:val="00B614CE"/>
    <w:rsid w:val="00B62670"/>
    <w:rsid w:val="00B62D55"/>
    <w:rsid w:val="00B630D0"/>
    <w:rsid w:val="00B65495"/>
    <w:rsid w:val="00B66AE5"/>
    <w:rsid w:val="00B67399"/>
    <w:rsid w:val="00B67A78"/>
    <w:rsid w:val="00B7162B"/>
    <w:rsid w:val="00B719F6"/>
    <w:rsid w:val="00B76A8C"/>
    <w:rsid w:val="00B773C0"/>
    <w:rsid w:val="00B77721"/>
    <w:rsid w:val="00B801CB"/>
    <w:rsid w:val="00B81DA2"/>
    <w:rsid w:val="00B82C8C"/>
    <w:rsid w:val="00B834A7"/>
    <w:rsid w:val="00B83BC4"/>
    <w:rsid w:val="00B85C65"/>
    <w:rsid w:val="00B869B0"/>
    <w:rsid w:val="00B90C8D"/>
    <w:rsid w:val="00B956E2"/>
    <w:rsid w:val="00B9654F"/>
    <w:rsid w:val="00B96AC0"/>
    <w:rsid w:val="00BA0A33"/>
    <w:rsid w:val="00BA1226"/>
    <w:rsid w:val="00BA2AAB"/>
    <w:rsid w:val="00BA38D1"/>
    <w:rsid w:val="00BA6CC0"/>
    <w:rsid w:val="00BA7605"/>
    <w:rsid w:val="00BB20AB"/>
    <w:rsid w:val="00BB584E"/>
    <w:rsid w:val="00BB69AA"/>
    <w:rsid w:val="00BB748B"/>
    <w:rsid w:val="00BB7E5F"/>
    <w:rsid w:val="00BB7F36"/>
    <w:rsid w:val="00BC1FEF"/>
    <w:rsid w:val="00BC6DC0"/>
    <w:rsid w:val="00BD0027"/>
    <w:rsid w:val="00BD1878"/>
    <w:rsid w:val="00BD1D39"/>
    <w:rsid w:val="00BD29B7"/>
    <w:rsid w:val="00BD61AF"/>
    <w:rsid w:val="00BD7A00"/>
    <w:rsid w:val="00BD7B92"/>
    <w:rsid w:val="00BE3556"/>
    <w:rsid w:val="00BE4B1D"/>
    <w:rsid w:val="00BE5345"/>
    <w:rsid w:val="00BE6130"/>
    <w:rsid w:val="00BE70ED"/>
    <w:rsid w:val="00BE7A38"/>
    <w:rsid w:val="00BE7B5C"/>
    <w:rsid w:val="00BE7D94"/>
    <w:rsid w:val="00BE7F19"/>
    <w:rsid w:val="00BF212A"/>
    <w:rsid w:val="00BF2492"/>
    <w:rsid w:val="00BF257D"/>
    <w:rsid w:val="00BF2917"/>
    <w:rsid w:val="00BF4197"/>
    <w:rsid w:val="00BF7C71"/>
    <w:rsid w:val="00C03263"/>
    <w:rsid w:val="00C035C8"/>
    <w:rsid w:val="00C058BB"/>
    <w:rsid w:val="00C07021"/>
    <w:rsid w:val="00C0766F"/>
    <w:rsid w:val="00C0769E"/>
    <w:rsid w:val="00C1201B"/>
    <w:rsid w:val="00C13914"/>
    <w:rsid w:val="00C151F6"/>
    <w:rsid w:val="00C16388"/>
    <w:rsid w:val="00C17ABE"/>
    <w:rsid w:val="00C20285"/>
    <w:rsid w:val="00C205E8"/>
    <w:rsid w:val="00C207EA"/>
    <w:rsid w:val="00C20826"/>
    <w:rsid w:val="00C21B8E"/>
    <w:rsid w:val="00C21BFE"/>
    <w:rsid w:val="00C2249A"/>
    <w:rsid w:val="00C225E8"/>
    <w:rsid w:val="00C2392C"/>
    <w:rsid w:val="00C24778"/>
    <w:rsid w:val="00C24EE1"/>
    <w:rsid w:val="00C26166"/>
    <w:rsid w:val="00C26371"/>
    <w:rsid w:val="00C26685"/>
    <w:rsid w:val="00C27CCC"/>
    <w:rsid w:val="00C27D40"/>
    <w:rsid w:val="00C3118A"/>
    <w:rsid w:val="00C320E1"/>
    <w:rsid w:val="00C37570"/>
    <w:rsid w:val="00C37997"/>
    <w:rsid w:val="00C42DF8"/>
    <w:rsid w:val="00C45284"/>
    <w:rsid w:val="00C467EA"/>
    <w:rsid w:val="00C50357"/>
    <w:rsid w:val="00C53EFC"/>
    <w:rsid w:val="00C547C1"/>
    <w:rsid w:val="00C55F98"/>
    <w:rsid w:val="00C560C6"/>
    <w:rsid w:val="00C56AFC"/>
    <w:rsid w:val="00C615D8"/>
    <w:rsid w:val="00C626F0"/>
    <w:rsid w:val="00C67E04"/>
    <w:rsid w:val="00C67E22"/>
    <w:rsid w:val="00C70080"/>
    <w:rsid w:val="00C70426"/>
    <w:rsid w:val="00C719EA"/>
    <w:rsid w:val="00C743FB"/>
    <w:rsid w:val="00C7663C"/>
    <w:rsid w:val="00C76D09"/>
    <w:rsid w:val="00C76EC1"/>
    <w:rsid w:val="00C77D06"/>
    <w:rsid w:val="00C82E46"/>
    <w:rsid w:val="00C85C20"/>
    <w:rsid w:val="00C868C4"/>
    <w:rsid w:val="00C86B15"/>
    <w:rsid w:val="00C87B35"/>
    <w:rsid w:val="00C90A82"/>
    <w:rsid w:val="00C917F2"/>
    <w:rsid w:val="00C94741"/>
    <w:rsid w:val="00C94D0C"/>
    <w:rsid w:val="00C963A9"/>
    <w:rsid w:val="00C974E8"/>
    <w:rsid w:val="00C9774F"/>
    <w:rsid w:val="00C97A9C"/>
    <w:rsid w:val="00C97B81"/>
    <w:rsid w:val="00CA0F14"/>
    <w:rsid w:val="00CA1620"/>
    <w:rsid w:val="00CA17A3"/>
    <w:rsid w:val="00CA1DEA"/>
    <w:rsid w:val="00CA4FE9"/>
    <w:rsid w:val="00CA6307"/>
    <w:rsid w:val="00CA68E4"/>
    <w:rsid w:val="00CA6FAB"/>
    <w:rsid w:val="00CB09C3"/>
    <w:rsid w:val="00CB151F"/>
    <w:rsid w:val="00CB1FCB"/>
    <w:rsid w:val="00CB2BAC"/>
    <w:rsid w:val="00CC1127"/>
    <w:rsid w:val="00CC3DDA"/>
    <w:rsid w:val="00CC4CC6"/>
    <w:rsid w:val="00CC6378"/>
    <w:rsid w:val="00CC669E"/>
    <w:rsid w:val="00CC66BA"/>
    <w:rsid w:val="00CC6B23"/>
    <w:rsid w:val="00CC7B9E"/>
    <w:rsid w:val="00CD2BB7"/>
    <w:rsid w:val="00CD4AAD"/>
    <w:rsid w:val="00CD5317"/>
    <w:rsid w:val="00CD54B8"/>
    <w:rsid w:val="00CD7059"/>
    <w:rsid w:val="00CD79CC"/>
    <w:rsid w:val="00CE13B6"/>
    <w:rsid w:val="00CE2A6D"/>
    <w:rsid w:val="00CE3BC2"/>
    <w:rsid w:val="00CE638D"/>
    <w:rsid w:val="00CE662A"/>
    <w:rsid w:val="00CF0AC8"/>
    <w:rsid w:val="00CF0BE4"/>
    <w:rsid w:val="00CF1A2F"/>
    <w:rsid w:val="00CF4810"/>
    <w:rsid w:val="00CF4F30"/>
    <w:rsid w:val="00D00158"/>
    <w:rsid w:val="00D00C36"/>
    <w:rsid w:val="00D01F7E"/>
    <w:rsid w:val="00D02FD3"/>
    <w:rsid w:val="00D04C8F"/>
    <w:rsid w:val="00D0586C"/>
    <w:rsid w:val="00D05AA0"/>
    <w:rsid w:val="00D06A64"/>
    <w:rsid w:val="00D07749"/>
    <w:rsid w:val="00D10393"/>
    <w:rsid w:val="00D135E8"/>
    <w:rsid w:val="00D15574"/>
    <w:rsid w:val="00D15B33"/>
    <w:rsid w:val="00D16131"/>
    <w:rsid w:val="00D16691"/>
    <w:rsid w:val="00D24846"/>
    <w:rsid w:val="00D24C3A"/>
    <w:rsid w:val="00D25D08"/>
    <w:rsid w:val="00D274C2"/>
    <w:rsid w:val="00D302EC"/>
    <w:rsid w:val="00D3073E"/>
    <w:rsid w:val="00D307B7"/>
    <w:rsid w:val="00D31A9C"/>
    <w:rsid w:val="00D33505"/>
    <w:rsid w:val="00D352E5"/>
    <w:rsid w:val="00D35E76"/>
    <w:rsid w:val="00D37B8A"/>
    <w:rsid w:val="00D407E6"/>
    <w:rsid w:val="00D42D00"/>
    <w:rsid w:val="00D430FD"/>
    <w:rsid w:val="00D45B12"/>
    <w:rsid w:val="00D466DD"/>
    <w:rsid w:val="00D478C2"/>
    <w:rsid w:val="00D50CD7"/>
    <w:rsid w:val="00D51785"/>
    <w:rsid w:val="00D51F0F"/>
    <w:rsid w:val="00D53556"/>
    <w:rsid w:val="00D54F64"/>
    <w:rsid w:val="00D55573"/>
    <w:rsid w:val="00D5563D"/>
    <w:rsid w:val="00D60D0B"/>
    <w:rsid w:val="00D61312"/>
    <w:rsid w:val="00D65AD5"/>
    <w:rsid w:val="00D723B5"/>
    <w:rsid w:val="00D7272D"/>
    <w:rsid w:val="00D73400"/>
    <w:rsid w:val="00D74177"/>
    <w:rsid w:val="00D74552"/>
    <w:rsid w:val="00D7732C"/>
    <w:rsid w:val="00D8014E"/>
    <w:rsid w:val="00D80CE3"/>
    <w:rsid w:val="00D80D0C"/>
    <w:rsid w:val="00D8246C"/>
    <w:rsid w:val="00D8271E"/>
    <w:rsid w:val="00D82D72"/>
    <w:rsid w:val="00D82DCC"/>
    <w:rsid w:val="00D83620"/>
    <w:rsid w:val="00D86DC0"/>
    <w:rsid w:val="00D8776E"/>
    <w:rsid w:val="00D915FE"/>
    <w:rsid w:val="00D93B9F"/>
    <w:rsid w:val="00D947AC"/>
    <w:rsid w:val="00D95179"/>
    <w:rsid w:val="00D95643"/>
    <w:rsid w:val="00D97B8A"/>
    <w:rsid w:val="00DA237D"/>
    <w:rsid w:val="00DA268D"/>
    <w:rsid w:val="00DA363D"/>
    <w:rsid w:val="00DA3CAC"/>
    <w:rsid w:val="00DA4250"/>
    <w:rsid w:val="00DB07EE"/>
    <w:rsid w:val="00DB0D22"/>
    <w:rsid w:val="00DB0DE7"/>
    <w:rsid w:val="00DB28D9"/>
    <w:rsid w:val="00DB3D1F"/>
    <w:rsid w:val="00DB46EF"/>
    <w:rsid w:val="00DB75C5"/>
    <w:rsid w:val="00DB7CE8"/>
    <w:rsid w:val="00DC2043"/>
    <w:rsid w:val="00DC2DF0"/>
    <w:rsid w:val="00DC33D4"/>
    <w:rsid w:val="00DC4DDA"/>
    <w:rsid w:val="00DC6BBA"/>
    <w:rsid w:val="00DD09B5"/>
    <w:rsid w:val="00DD1199"/>
    <w:rsid w:val="00DD1BB0"/>
    <w:rsid w:val="00DD43E6"/>
    <w:rsid w:val="00DD5EA4"/>
    <w:rsid w:val="00DD6502"/>
    <w:rsid w:val="00DD79E7"/>
    <w:rsid w:val="00DD7AF6"/>
    <w:rsid w:val="00DE11E7"/>
    <w:rsid w:val="00DE3189"/>
    <w:rsid w:val="00DE4CCF"/>
    <w:rsid w:val="00DE66AA"/>
    <w:rsid w:val="00DF0EEB"/>
    <w:rsid w:val="00DF1217"/>
    <w:rsid w:val="00DF12CA"/>
    <w:rsid w:val="00DF2ED5"/>
    <w:rsid w:val="00DF4109"/>
    <w:rsid w:val="00DF4AAE"/>
    <w:rsid w:val="00DF6401"/>
    <w:rsid w:val="00DF6D75"/>
    <w:rsid w:val="00DF6FF2"/>
    <w:rsid w:val="00E0149F"/>
    <w:rsid w:val="00E01681"/>
    <w:rsid w:val="00E02719"/>
    <w:rsid w:val="00E02907"/>
    <w:rsid w:val="00E04631"/>
    <w:rsid w:val="00E0468C"/>
    <w:rsid w:val="00E057F7"/>
    <w:rsid w:val="00E064DA"/>
    <w:rsid w:val="00E10062"/>
    <w:rsid w:val="00E11B3D"/>
    <w:rsid w:val="00E11C17"/>
    <w:rsid w:val="00E11DB1"/>
    <w:rsid w:val="00E135C8"/>
    <w:rsid w:val="00E20BFF"/>
    <w:rsid w:val="00E21D47"/>
    <w:rsid w:val="00E22DF6"/>
    <w:rsid w:val="00E25026"/>
    <w:rsid w:val="00E25119"/>
    <w:rsid w:val="00E255F9"/>
    <w:rsid w:val="00E256A5"/>
    <w:rsid w:val="00E25E84"/>
    <w:rsid w:val="00E26D8E"/>
    <w:rsid w:val="00E307D3"/>
    <w:rsid w:val="00E308BD"/>
    <w:rsid w:val="00E30920"/>
    <w:rsid w:val="00E31DDF"/>
    <w:rsid w:val="00E326F2"/>
    <w:rsid w:val="00E34D22"/>
    <w:rsid w:val="00E355EA"/>
    <w:rsid w:val="00E35CAE"/>
    <w:rsid w:val="00E443DD"/>
    <w:rsid w:val="00E44CF0"/>
    <w:rsid w:val="00E44DC7"/>
    <w:rsid w:val="00E4613A"/>
    <w:rsid w:val="00E4653D"/>
    <w:rsid w:val="00E46B6C"/>
    <w:rsid w:val="00E5024A"/>
    <w:rsid w:val="00E510AD"/>
    <w:rsid w:val="00E510D2"/>
    <w:rsid w:val="00E5358B"/>
    <w:rsid w:val="00E53846"/>
    <w:rsid w:val="00E5448A"/>
    <w:rsid w:val="00E553B6"/>
    <w:rsid w:val="00E557F8"/>
    <w:rsid w:val="00E55ACD"/>
    <w:rsid w:val="00E570F7"/>
    <w:rsid w:val="00E57536"/>
    <w:rsid w:val="00E602A1"/>
    <w:rsid w:val="00E605BB"/>
    <w:rsid w:val="00E619C8"/>
    <w:rsid w:val="00E61FF9"/>
    <w:rsid w:val="00E6276E"/>
    <w:rsid w:val="00E65043"/>
    <w:rsid w:val="00E66959"/>
    <w:rsid w:val="00E70E94"/>
    <w:rsid w:val="00E774F9"/>
    <w:rsid w:val="00E80CAA"/>
    <w:rsid w:val="00E83D51"/>
    <w:rsid w:val="00E84DAD"/>
    <w:rsid w:val="00E84DBA"/>
    <w:rsid w:val="00E921BC"/>
    <w:rsid w:val="00E924D0"/>
    <w:rsid w:val="00E92EB0"/>
    <w:rsid w:val="00E934A6"/>
    <w:rsid w:val="00E94009"/>
    <w:rsid w:val="00E946CB"/>
    <w:rsid w:val="00EA13C5"/>
    <w:rsid w:val="00EA162F"/>
    <w:rsid w:val="00EA29DD"/>
    <w:rsid w:val="00EA3EB9"/>
    <w:rsid w:val="00EA4E1E"/>
    <w:rsid w:val="00EA4F61"/>
    <w:rsid w:val="00EA5766"/>
    <w:rsid w:val="00EA57A0"/>
    <w:rsid w:val="00EA69E2"/>
    <w:rsid w:val="00EB2A6A"/>
    <w:rsid w:val="00EB2C39"/>
    <w:rsid w:val="00EB6C53"/>
    <w:rsid w:val="00EB7403"/>
    <w:rsid w:val="00EB75D6"/>
    <w:rsid w:val="00EC09AA"/>
    <w:rsid w:val="00EC38EF"/>
    <w:rsid w:val="00EC6C71"/>
    <w:rsid w:val="00EC7B75"/>
    <w:rsid w:val="00EC7DA6"/>
    <w:rsid w:val="00ED0E14"/>
    <w:rsid w:val="00ED137A"/>
    <w:rsid w:val="00ED1CCC"/>
    <w:rsid w:val="00ED360D"/>
    <w:rsid w:val="00ED44B9"/>
    <w:rsid w:val="00ED53F4"/>
    <w:rsid w:val="00ED622C"/>
    <w:rsid w:val="00EE0EBC"/>
    <w:rsid w:val="00EE48D6"/>
    <w:rsid w:val="00EE7A14"/>
    <w:rsid w:val="00EE7D3B"/>
    <w:rsid w:val="00EF26B5"/>
    <w:rsid w:val="00EF6C34"/>
    <w:rsid w:val="00F01290"/>
    <w:rsid w:val="00F01DBC"/>
    <w:rsid w:val="00F038C5"/>
    <w:rsid w:val="00F03A49"/>
    <w:rsid w:val="00F03F43"/>
    <w:rsid w:val="00F079A0"/>
    <w:rsid w:val="00F07AA7"/>
    <w:rsid w:val="00F07E00"/>
    <w:rsid w:val="00F100F2"/>
    <w:rsid w:val="00F121C3"/>
    <w:rsid w:val="00F131B6"/>
    <w:rsid w:val="00F1455B"/>
    <w:rsid w:val="00F151B5"/>
    <w:rsid w:val="00F154EB"/>
    <w:rsid w:val="00F15CF5"/>
    <w:rsid w:val="00F1692B"/>
    <w:rsid w:val="00F21DCE"/>
    <w:rsid w:val="00F23EB1"/>
    <w:rsid w:val="00F2781B"/>
    <w:rsid w:val="00F32238"/>
    <w:rsid w:val="00F3263E"/>
    <w:rsid w:val="00F33D1B"/>
    <w:rsid w:val="00F34959"/>
    <w:rsid w:val="00F36AA8"/>
    <w:rsid w:val="00F36AFF"/>
    <w:rsid w:val="00F426E7"/>
    <w:rsid w:val="00F42A9D"/>
    <w:rsid w:val="00F42E98"/>
    <w:rsid w:val="00F43113"/>
    <w:rsid w:val="00F448FC"/>
    <w:rsid w:val="00F46CEE"/>
    <w:rsid w:val="00F476C5"/>
    <w:rsid w:val="00F56416"/>
    <w:rsid w:val="00F60F1D"/>
    <w:rsid w:val="00F60FB6"/>
    <w:rsid w:val="00F62C8B"/>
    <w:rsid w:val="00F6534A"/>
    <w:rsid w:val="00F71BBF"/>
    <w:rsid w:val="00F73871"/>
    <w:rsid w:val="00F754EE"/>
    <w:rsid w:val="00F75960"/>
    <w:rsid w:val="00F76CE7"/>
    <w:rsid w:val="00F81BF2"/>
    <w:rsid w:val="00F81D40"/>
    <w:rsid w:val="00F81D86"/>
    <w:rsid w:val="00F83901"/>
    <w:rsid w:val="00F84952"/>
    <w:rsid w:val="00F85643"/>
    <w:rsid w:val="00F85C69"/>
    <w:rsid w:val="00F946F0"/>
    <w:rsid w:val="00F94AA3"/>
    <w:rsid w:val="00F94AB4"/>
    <w:rsid w:val="00F94B46"/>
    <w:rsid w:val="00F95C23"/>
    <w:rsid w:val="00F96712"/>
    <w:rsid w:val="00FA19A3"/>
    <w:rsid w:val="00FA25BA"/>
    <w:rsid w:val="00FA46BD"/>
    <w:rsid w:val="00FA6DA2"/>
    <w:rsid w:val="00FB0454"/>
    <w:rsid w:val="00FB0EB5"/>
    <w:rsid w:val="00FB4A05"/>
    <w:rsid w:val="00FB7265"/>
    <w:rsid w:val="00FB775E"/>
    <w:rsid w:val="00FB7EFA"/>
    <w:rsid w:val="00FC4D85"/>
    <w:rsid w:val="00FC5B17"/>
    <w:rsid w:val="00FC6928"/>
    <w:rsid w:val="00FD0CBD"/>
    <w:rsid w:val="00FD18AC"/>
    <w:rsid w:val="00FD4438"/>
    <w:rsid w:val="00FD5F0A"/>
    <w:rsid w:val="00FE0396"/>
    <w:rsid w:val="00FE4A0E"/>
    <w:rsid w:val="00FE5C89"/>
    <w:rsid w:val="00FE72F4"/>
    <w:rsid w:val="00FE7F1E"/>
    <w:rsid w:val="00FF03A6"/>
    <w:rsid w:val="00FF0EAC"/>
    <w:rsid w:val="00FF4183"/>
    <w:rsid w:val="00FF489D"/>
    <w:rsid w:val="00FF55F2"/>
    <w:rsid w:val="00FF72E7"/>
    <w:rsid w:val="6503769A"/>
  </w:rsids>
  <m:mathPr>
    <m:mathFont m:val="Cambria Math"/>
    <m:brkBin m:val="before"/>
    <m:brkBinSub m:val="--"/>
    <m:smallFrac m:val="0"/>
    <m:dispDef/>
    <m:lMargin m:val="0"/>
    <m:rMargin m:val="0"/>
    <m:defJc m:val="centerGroup"/>
    <m:wrapIndent m:val="1440"/>
    <m:intLim m:val="subSup"/>
    <m:naryLim m:val="undOvr"/>
  </m:mathPr>
  <w:themeFontLang w:val="en-GB"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7E1EF"/>
  <w15:chartTrackingRefBased/>
  <w15:docId w15:val="{C987AC3E-BCE4-4C01-A872-D23F1B57B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7E9"/>
    <w:rPr>
      <w:rFonts w:ascii="Palatino Linotype" w:hAnsi="Palatino Linotype"/>
      <w:sz w:val="24"/>
    </w:rPr>
  </w:style>
  <w:style w:type="paragraph" w:styleId="Heading1">
    <w:name w:val="heading 1"/>
    <w:basedOn w:val="NoSpacing"/>
    <w:next w:val="Normal"/>
    <w:link w:val="Heading1Char"/>
    <w:uiPriority w:val="9"/>
    <w:qFormat/>
    <w:rsid w:val="00E30920"/>
    <w:pPr>
      <w:outlineLvl w:val="0"/>
    </w:pPr>
  </w:style>
  <w:style w:type="paragraph" w:styleId="Heading2">
    <w:name w:val="heading 2"/>
    <w:basedOn w:val="NoSpacing"/>
    <w:next w:val="Normal"/>
    <w:link w:val="Heading2Char"/>
    <w:uiPriority w:val="9"/>
    <w:unhideWhenUsed/>
    <w:qFormat/>
    <w:rsid w:val="00DF0EEB"/>
    <w:pPr>
      <w:numPr>
        <w:ilvl w:val="1"/>
      </w:numPr>
      <w:outlineLvl w:val="1"/>
    </w:pPr>
  </w:style>
  <w:style w:type="paragraph" w:styleId="Heading3">
    <w:name w:val="heading 3"/>
    <w:basedOn w:val="ListParagraph"/>
    <w:next w:val="Normal"/>
    <w:link w:val="Heading3Char"/>
    <w:uiPriority w:val="9"/>
    <w:unhideWhenUsed/>
    <w:qFormat/>
    <w:rsid w:val="00393D0A"/>
    <w:pPr>
      <w:numPr>
        <w:ilvl w:val="2"/>
        <w:numId w:val="29"/>
      </w:numPr>
      <w:jc w:val="both"/>
      <w:outlineLvl w:val="2"/>
    </w:pPr>
    <w:rPr>
      <w:b/>
    </w:rPr>
  </w:style>
  <w:style w:type="paragraph" w:styleId="Heading4">
    <w:name w:val="heading 4"/>
    <w:basedOn w:val="Normal"/>
    <w:next w:val="Normal"/>
    <w:link w:val="Heading4Char"/>
    <w:uiPriority w:val="9"/>
    <w:unhideWhenUsed/>
    <w:qFormat/>
    <w:rsid w:val="003D195D"/>
    <w:pPr>
      <w:keepNext/>
      <w:keepLines/>
      <w:numPr>
        <w:ilvl w:val="3"/>
        <w:numId w:val="29"/>
      </w:numPr>
      <w:spacing w:before="40" w:after="0"/>
      <w:outlineLvl w:val="3"/>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D54B8"/>
    <w:pPr>
      <w:spacing w:before="100" w:beforeAutospacing="1" w:after="100" w:afterAutospacing="1" w:line="240" w:lineRule="auto"/>
    </w:pPr>
    <w:rPr>
      <w:rFonts w:eastAsiaTheme="minorEastAsia" w:cs="Times New Roman"/>
      <w:szCs w:val="24"/>
      <w:lang w:eastAsia="en-GB"/>
    </w:rPr>
  </w:style>
  <w:style w:type="paragraph" w:styleId="Caption">
    <w:name w:val="caption"/>
    <w:basedOn w:val="Normal"/>
    <w:next w:val="Normal"/>
    <w:unhideWhenUsed/>
    <w:qFormat/>
    <w:rsid w:val="00CD54B8"/>
    <w:pPr>
      <w:spacing w:after="200" w:line="240" w:lineRule="auto"/>
      <w:jc w:val="center"/>
    </w:pPr>
    <w:rPr>
      <w:iCs/>
      <w:szCs w:val="18"/>
    </w:rPr>
  </w:style>
  <w:style w:type="paragraph" w:styleId="BalloonText">
    <w:name w:val="Balloon Text"/>
    <w:basedOn w:val="Normal"/>
    <w:link w:val="BalloonTextChar"/>
    <w:uiPriority w:val="99"/>
    <w:semiHidden/>
    <w:unhideWhenUsed/>
    <w:rsid w:val="00D37B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B8A"/>
    <w:rPr>
      <w:rFonts w:ascii="Segoe UI" w:hAnsi="Segoe UI" w:cs="Segoe UI"/>
      <w:sz w:val="18"/>
      <w:szCs w:val="18"/>
    </w:rPr>
  </w:style>
  <w:style w:type="character" w:styleId="CommentReference">
    <w:name w:val="annotation reference"/>
    <w:basedOn w:val="DefaultParagraphFont"/>
    <w:uiPriority w:val="99"/>
    <w:semiHidden/>
    <w:unhideWhenUsed/>
    <w:rsid w:val="003E3B10"/>
    <w:rPr>
      <w:sz w:val="16"/>
      <w:szCs w:val="16"/>
    </w:rPr>
  </w:style>
  <w:style w:type="paragraph" w:styleId="CommentText">
    <w:name w:val="annotation text"/>
    <w:basedOn w:val="Normal"/>
    <w:link w:val="CommentTextChar"/>
    <w:uiPriority w:val="99"/>
    <w:unhideWhenUsed/>
    <w:rsid w:val="003E3B10"/>
    <w:pPr>
      <w:spacing w:line="240" w:lineRule="auto"/>
    </w:pPr>
    <w:rPr>
      <w:sz w:val="20"/>
      <w:szCs w:val="20"/>
    </w:rPr>
  </w:style>
  <w:style w:type="character" w:customStyle="1" w:styleId="CommentTextChar">
    <w:name w:val="Comment Text Char"/>
    <w:basedOn w:val="DefaultParagraphFont"/>
    <w:link w:val="CommentText"/>
    <w:uiPriority w:val="99"/>
    <w:rsid w:val="003E3B1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E3B10"/>
    <w:rPr>
      <w:b/>
      <w:bCs/>
    </w:rPr>
  </w:style>
  <w:style w:type="character" w:customStyle="1" w:styleId="CommentSubjectChar">
    <w:name w:val="Comment Subject Char"/>
    <w:basedOn w:val="CommentTextChar"/>
    <w:link w:val="CommentSubject"/>
    <w:uiPriority w:val="99"/>
    <w:semiHidden/>
    <w:rsid w:val="003E3B10"/>
    <w:rPr>
      <w:rFonts w:ascii="Times New Roman" w:hAnsi="Times New Roman"/>
      <w:b/>
      <w:bCs/>
      <w:sz w:val="20"/>
      <w:szCs w:val="20"/>
    </w:rPr>
  </w:style>
  <w:style w:type="character" w:styleId="PlaceholderText">
    <w:name w:val="Placeholder Text"/>
    <w:basedOn w:val="DefaultParagraphFont"/>
    <w:uiPriority w:val="99"/>
    <w:semiHidden/>
    <w:rsid w:val="009D5CED"/>
    <w:rPr>
      <w:color w:val="808080"/>
    </w:rPr>
  </w:style>
  <w:style w:type="paragraph" w:styleId="ListParagraph">
    <w:name w:val="List Paragraph"/>
    <w:basedOn w:val="Normal"/>
    <w:uiPriority w:val="34"/>
    <w:qFormat/>
    <w:rsid w:val="00BA7605"/>
    <w:pPr>
      <w:ind w:left="720"/>
      <w:contextualSpacing/>
    </w:pPr>
  </w:style>
  <w:style w:type="paragraph" w:styleId="NoSpacing">
    <w:name w:val="No Spacing"/>
    <w:basedOn w:val="ListParagraph"/>
    <w:uiPriority w:val="1"/>
    <w:rsid w:val="00BA7605"/>
    <w:pPr>
      <w:numPr>
        <w:numId w:val="29"/>
      </w:numPr>
      <w:jc w:val="both"/>
    </w:pPr>
    <w:rPr>
      <w:rFonts w:cs="Times New Roman"/>
      <w:b/>
      <w:szCs w:val="24"/>
    </w:rPr>
  </w:style>
  <w:style w:type="paragraph" w:customStyle="1" w:styleId="MTDisplayEquation">
    <w:name w:val="MTDisplayEquation"/>
    <w:basedOn w:val="Normal"/>
    <w:next w:val="Normal"/>
    <w:link w:val="MTDisplayEquationChar"/>
    <w:rsid w:val="00BA7605"/>
    <w:pPr>
      <w:tabs>
        <w:tab w:val="center" w:pos="4520"/>
        <w:tab w:val="right" w:pos="9020"/>
      </w:tabs>
      <w:jc w:val="both"/>
    </w:pPr>
    <w:rPr>
      <w:rFonts w:cs="Times New Roman"/>
      <w:szCs w:val="24"/>
    </w:rPr>
  </w:style>
  <w:style w:type="character" w:customStyle="1" w:styleId="MTDisplayEquationChar">
    <w:name w:val="MTDisplayEquation Char"/>
    <w:basedOn w:val="DefaultParagraphFont"/>
    <w:link w:val="MTDisplayEquation"/>
    <w:rsid w:val="00BA7605"/>
    <w:rPr>
      <w:rFonts w:ascii="Times New Roman" w:hAnsi="Times New Roman" w:cs="Times New Roman"/>
      <w:sz w:val="24"/>
      <w:szCs w:val="24"/>
    </w:rPr>
  </w:style>
  <w:style w:type="character" w:customStyle="1" w:styleId="Heading1Char">
    <w:name w:val="Heading 1 Char"/>
    <w:basedOn w:val="DefaultParagraphFont"/>
    <w:link w:val="Heading1"/>
    <w:uiPriority w:val="9"/>
    <w:rsid w:val="00E30920"/>
    <w:rPr>
      <w:rFonts w:ascii="Times New Roman" w:hAnsi="Times New Roman" w:cs="Times New Roman"/>
      <w:b/>
      <w:sz w:val="24"/>
      <w:szCs w:val="24"/>
    </w:rPr>
  </w:style>
  <w:style w:type="paragraph" w:styleId="TOCHeading">
    <w:name w:val="TOC Heading"/>
    <w:basedOn w:val="Heading1"/>
    <w:next w:val="Normal"/>
    <w:uiPriority w:val="39"/>
    <w:unhideWhenUsed/>
    <w:qFormat/>
    <w:rsid w:val="00E30920"/>
    <w:pPr>
      <w:keepNext/>
      <w:keepLines/>
      <w:numPr>
        <w:numId w:val="0"/>
      </w:numPr>
      <w:spacing w:before="240" w:after="0"/>
      <w:contextualSpacing w:val="0"/>
      <w:jc w:val="left"/>
      <w:outlineLvl w:val="9"/>
    </w:pPr>
    <w:rPr>
      <w:rFonts w:eastAsiaTheme="majorEastAsia" w:cstheme="majorBidi"/>
      <w:szCs w:val="32"/>
      <w:lang w:val="en-US"/>
    </w:rPr>
  </w:style>
  <w:style w:type="paragraph" w:styleId="TOC1">
    <w:name w:val="toc 1"/>
    <w:basedOn w:val="Normal"/>
    <w:next w:val="Normal"/>
    <w:autoRedefine/>
    <w:uiPriority w:val="39"/>
    <w:unhideWhenUsed/>
    <w:rsid w:val="00E30920"/>
    <w:pPr>
      <w:spacing w:after="100"/>
    </w:pPr>
  </w:style>
  <w:style w:type="character" w:styleId="Hyperlink">
    <w:name w:val="Hyperlink"/>
    <w:basedOn w:val="DefaultParagraphFont"/>
    <w:uiPriority w:val="99"/>
    <w:unhideWhenUsed/>
    <w:rsid w:val="00E30920"/>
    <w:rPr>
      <w:color w:val="0563C1" w:themeColor="hyperlink"/>
      <w:u w:val="single"/>
    </w:rPr>
  </w:style>
  <w:style w:type="character" w:customStyle="1" w:styleId="Heading2Char">
    <w:name w:val="Heading 2 Char"/>
    <w:basedOn w:val="DefaultParagraphFont"/>
    <w:link w:val="Heading2"/>
    <w:uiPriority w:val="9"/>
    <w:rsid w:val="00DF0EEB"/>
    <w:rPr>
      <w:rFonts w:ascii="Palatino Linotype" w:hAnsi="Palatino Linotype" w:cs="Times New Roman"/>
      <w:b/>
      <w:sz w:val="24"/>
      <w:szCs w:val="24"/>
    </w:rPr>
  </w:style>
  <w:style w:type="character" w:customStyle="1" w:styleId="Heading3Char">
    <w:name w:val="Heading 3 Char"/>
    <w:basedOn w:val="DefaultParagraphFont"/>
    <w:link w:val="Heading3"/>
    <w:uiPriority w:val="9"/>
    <w:rsid w:val="00393D0A"/>
    <w:rPr>
      <w:rFonts w:ascii="Palatino Linotype" w:hAnsi="Palatino Linotype"/>
      <w:b/>
      <w:sz w:val="24"/>
    </w:rPr>
  </w:style>
  <w:style w:type="paragraph" w:styleId="TOC2">
    <w:name w:val="toc 2"/>
    <w:basedOn w:val="Normal"/>
    <w:next w:val="Normal"/>
    <w:autoRedefine/>
    <w:uiPriority w:val="39"/>
    <w:unhideWhenUsed/>
    <w:rsid w:val="00805871"/>
    <w:pPr>
      <w:spacing w:after="100"/>
      <w:ind w:left="240"/>
    </w:pPr>
  </w:style>
  <w:style w:type="paragraph" w:styleId="TOC3">
    <w:name w:val="toc 3"/>
    <w:basedOn w:val="Normal"/>
    <w:next w:val="Normal"/>
    <w:autoRedefine/>
    <w:uiPriority w:val="39"/>
    <w:unhideWhenUsed/>
    <w:rsid w:val="00805871"/>
    <w:pPr>
      <w:spacing w:after="100"/>
      <w:ind w:left="480"/>
    </w:pPr>
  </w:style>
  <w:style w:type="character" w:customStyle="1" w:styleId="mo">
    <w:name w:val="mo"/>
    <w:basedOn w:val="DefaultParagraphFont"/>
    <w:rsid w:val="00B67399"/>
  </w:style>
  <w:style w:type="paragraph" w:styleId="Header">
    <w:name w:val="header"/>
    <w:basedOn w:val="Normal"/>
    <w:link w:val="HeaderChar"/>
    <w:uiPriority w:val="99"/>
    <w:unhideWhenUsed/>
    <w:rsid w:val="00B801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1CB"/>
    <w:rPr>
      <w:rFonts w:ascii="Times New Roman" w:hAnsi="Times New Roman"/>
      <w:sz w:val="24"/>
    </w:rPr>
  </w:style>
  <w:style w:type="paragraph" w:styleId="Footer">
    <w:name w:val="footer"/>
    <w:basedOn w:val="Normal"/>
    <w:link w:val="FooterChar"/>
    <w:uiPriority w:val="99"/>
    <w:unhideWhenUsed/>
    <w:rsid w:val="00B801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01CB"/>
    <w:rPr>
      <w:rFonts w:ascii="Times New Roman" w:hAnsi="Times New Roman"/>
      <w:sz w:val="24"/>
    </w:rPr>
  </w:style>
  <w:style w:type="character" w:customStyle="1" w:styleId="Heading4Char">
    <w:name w:val="Heading 4 Char"/>
    <w:basedOn w:val="DefaultParagraphFont"/>
    <w:link w:val="Heading4"/>
    <w:uiPriority w:val="9"/>
    <w:rsid w:val="003D195D"/>
    <w:rPr>
      <w:rFonts w:ascii="Palatino Linotype" w:eastAsiaTheme="majorEastAsia" w:hAnsi="Palatino Linotype" w:cstheme="majorBidi"/>
      <w:b/>
      <w:bCs/>
      <w:sz w:val="24"/>
    </w:rPr>
  </w:style>
  <w:style w:type="paragraph" w:styleId="FootnoteText">
    <w:name w:val="footnote text"/>
    <w:basedOn w:val="Normal"/>
    <w:link w:val="FootnoteTextChar"/>
    <w:uiPriority w:val="99"/>
    <w:semiHidden/>
    <w:unhideWhenUsed/>
    <w:rsid w:val="00824D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4DFA"/>
    <w:rPr>
      <w:rFonts w:ascii="Palatino Linotype" w:hAnsi="Palatino Linotype"/>
      <w:sz w:val="20"/>
      <w:szCs w:val="20"/>
    </w:rPr>
  </w:style>
  <w:style w:type="character" w:styleId="FootnoteReference">
    <w:name w:val="footnote reference"/>
    <w:basedOn w:val="DefaultParagraphFont"/>
    <w:uiPriority w:val="99"/>
    <w:semiHidden/>
    <w:unhideWhenUsed/>
    <w:rsid w:val="00824DFA"/>
    <w:rPr>
      <w:vertAlign w:val="superscript"/>
    </w:rPr>
  </w:style>
  <w:style w:type="table" w:styleId="TableGrid">
    <w:name w:val="Table Grid"/>
    <w:basedOn w:val="TableNormal"/>
    <w:uiPriority w:val="39"/>
    <w:rsid w:val="00CE3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F5561"/>
    <w:rPr>
      <w:color w:val="605E5C"/>
      <w:shd w:val="clear" w:color="auto" w:fill="E1DFDD"/>
    </w:rPr>
  </w:style>
  <w:style w:type="character" w:styleId="FollowedHyperlink">
    <w:name w:val="FollowedHyperlink"/>
    <w:basedOn w:val="DefaultParagraphFont"/>
    <w:uiPriority w:val="99"/>
    <w:semiHidden/>
    <w:unhideWhenUsed/>
    <w:rsid w:val="003855FF"/>
    <w:rPr>
      <w:color w:val="954F72" w:themeColor="followedHyperlink"/>
      <w:u w:val="single"/>
    </w:rPr>
  </w:style>
  <w:style w:type="character" w:styleId="Emphasis">
    <w:name w:val="Emphasis"/>
    <w:basedOn w:val="DefaultParagraphFont"/>
    <w:uiPriority w:val="20"/>
    <w:qFormat/>
    <w:rsid w:val="005201B3"/>
    <w:rPr>
      <w:i/>
      <w:iCs/>
    </w:rPr>
  </w:style>
  <w:style w:type="character" w:customStyle="1" w:styleId="markedcontent">
    <w:name w:val="markedcontent"/>
    <w:basedOn w:val="DefaultParagraphFont"/>
    <w:rsid w:val="005A164A"/>
  </w:style>
  <w:style w:type="character" w:customStyle="1" w:styleId="normaltextrun">
    <w:name w:val="normaltextrun"/>
    <w:basedOn w:val="DefaultParagraphFont"/>
    <w:rsid w:val="008B7925"/>
  </w:style>
  <w:style w:type="paragraph" w:styleId="Revision">
    <w:name w:val="Revision"/>
    <w:hidden/>
    <w:uiPriority w:val="99"/>
    <w:semiHidden/>
    <w:rsid w:val="00522D3F"/>
    <w:pPr>
      <w:spacing w:after="0" w:line="240" w:lineRule="auto"/>
    </w:pPr>
    <w:rPr>
      <w:rFonts w:ascii="Palatino Linotype" w:hAnsi="Palatino Linotyp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5418">
      <w:bodyDiv w:val="1"/>
      <w:marLeft w:val="0"/>
      <w:marRight w:val="0"/>
      <w:marTop w:val="0"/>
      <w:marBottom w:val="0"/>
      <w:divBdr>
        <w:top w:val="none" w:sz="0" w:space="0" w:color="auto"/>
        <w:left w:val="none" w:sz="0" w:space="0" w:color="auto"/>
        <w:bottom w:val="none" w:sz="0" w:space="0" w:color="auto"/>
        <w:right w:val="none" w:sz="0" w:space="0" w:color="auto"/>
      </w:divBdr>
    </w:div>
    <w:div w:id="163790664">
      <w:bodyDiv w:val="1"/>
      <w:marLeft w:val="0"/>
      <w:marRight w:val="0"/>
      <w:marTop w:val="0"/>
      <w:marBottom w:val="0"/>
      <w:divBdr>
        <w:top w:val="none" w:sz="0" w:space="0" w:color="auto"/>
        <w:left w:val="none" w:sz="0" w:space="0" w:color="auto"/>
        <w:bottom w:val="none" w:sz="0" w:space="0" w:color="auto"/>
        <w:right w:val="none" w:sz="0" w:space="0" w:color="auto"/>
      </w:divBdr>
    </w:div>
    <w:div w:id="220680971">
      <w:bodyDiv w:val="1"/>
      <w:marLeft w:val="0"/>
      <w:marRight w:val="0"/>
      <w:marTop w:val="0"/>
      <w:marBottom w:val="0"/>
      <w:divBdr>
        <w:top w:val="none" w:sz="0" w:space="0" w:color="auto"/>
        <w:left w:val="none" w:sz="0" w:space="0" w:color="auto"/>
        <w:bottom w:val="none" w:sz="0" w:space="0" w:color="auto"/>
        <w:right w:val="none" w:sz="0" w:space="0" w:color="auto"/>
      </w:divBdr>
    </w:div>
    <w:div w:id="390617756">
      <w:bodyDiv w:val="1"/>
      <w:marLeft w:val="0"/>
      <w:marRight w:val="0"/>
      <w:marTop w:val="0"/>
      <w:marBottom w:val="0"/>
      <w:divBdr>
        <w:top w:val="none" w:sz="0" w:space="0" w:color="auto"/>
        <w:left w:val="none" w:sz="0" w:space="0" w:color="auto"/>
        <w:bottom w:val="none" w:sz="0" w:space="0" w:color="auto"/>
        <w:right w:val="none" w:sz="0" w:space="0" w:color="auto"/>
      </w:divBdr>
    </w:div>
    <w:div w:id="400375336">
      <w:bodyDiv w:val="1"/>
      <w:marLeft w:val="0"/>
      <w:marRight w:val="0"/>
      <w:marTop w:val="0"/>
      <w:marBottom w:val="0"/>
      <w:divBdr>
        <w:top w:val="none" w:sz="0" w:space="0" w:color="auto"/>
        <w:left w:val="none" w:sz="0" w:space="0" w:color="auto"/>
        <w:bottom w:val="none" w:sz="0" w:space="0" w:color="auto"/>
        <w:right w:val="none" w:sz="0" w:space="0" w:color="auto"/>
      </w:divBdr>
    </w:div>
    <w:div w:id="413553885">
      <w:bodyDiv w:val="1"/>
      <w:marLeft w:val="0"/>
      <w:marRight w:val="0"/>
      <w:marTop w:val="0"/>
      <w:marBottom w:val="0"/>
      <w:divBdr>
        <w:top w:val="none" w:sz="0" w:space="0" w:color="auto"/>
        <w:left w:val="none" w:sz="0" w:space="0" w:color="auto"/>
        <w:bottom w:val="none" w:sz="0" w:space="0" w:color="auto"/>
        <w:right w:val="none" w:sz="0" w:space="0" w:color="auto"/>
      </w:divBdr>
    </w:div>
    <w:div w:id="462505195">
      <w:bodyDiv w:val="1"/>
      <w:marLeft w:val="0"/>
      <w:marRight w:val="0"/>
      <w:marTop w:val="0"/>
      <w:marBottom w:val="0"/>
      <w:divBdr>
        <w:top w:val="none" w:sz="0" w:space="0" w:color="auto"/>
        <w:left w:val="none" w:sz="0" w:space="0" w:color="auto"/>
        <w:bottom w:val="none" w:sz="0" w:space="0" w:color="auto"/>
        <w:right w:val="none" w:sz="0" w:space="0" w:color="auto"/>
      </w:divBdr>
    </w:div>
    <w:div w:id="531192960">
      <w:bodyDiv w:val="1"/>
      <w:marLeft w:val="0"/>
      <w:marRight w:val="0"/>
      <w:marTop w:val="0"/>
      <w:marBottom w:val="0"/>
      <w:divBdr>
        <w:top w:val="none" w:sz="0" w:space="0" w:color="auto"/>
        <w:left w:val="none" w:sz="0" w:space="0" w:color="auto"/>
        <w:bottom w:val="none" w:sz="0" w:space="0" w:color="auto"/>
        <w:right w:val="none" w:sz="0" w:space="0" w:color="auto"/>
      </w:divBdr>
    </w:div>
    <w:div w:id="836773491">
      <w:bodyDiv w:val="1"/>
      <w:marLeft w:val="0"/>
      <w:marRight w:val="0"/>
      <w:marTop w:val="0"/>
      <w:marBottom w:val="0"/>
      <w:divBdr>
        <w:top w:val="none" w:sz="0" w:space="0" w:color="auto"/>
        <w:left w:val="none" w:sz="0" w:space="0" w:color="auto"/>
        <w:bottom w:val="none" w:sz="0" w:space="0" w:color="auto"/>
        <w:right w:val="none" w:sz="0" w:space="0" w:color="auto"/>
      </w:divBdr>
    </w:div>
    <w:div w:id="868876832">
      <w:bodyDiv w:val="1"/>
      <w:marLeft w:val="0"/>
      <w:marRight w:val="0"/>
      <w:marTop w:val="0"/>
      <w:marBottom w:val="0"/>
      <w:divBdr>
        <w:top w:val="none" w:sz="0" w:space="0" w:color="auto"/>
        <w:left w:val="none" w:sz="0" w:space="0" w:color="auto"/>
        <w:bottom w:val="none" w:sz="0" w:space="0" w:color="auto"/>
        <w:right w:val="none" w:sz="0" w:space="0" w:color="auto"/>
      </w:divBdr>
    </w:div>
    <w:div w:id="942685511">
      <w:bodyDiv w:val="1"/>
      <w:marLeft w:val="0"/>
      <w:marRight w:val="0"/>
      <w:marTop w:val="0"/>
      <w:marBottom w:val="0"/>
      <w:divBdr>
        <w:top w:val="none" w:sz="0" w:space="0" w:color="auto"/>
        <w:left w:val="none" w:sz="0" w:space="0" w:color="auto"/>
        <w:bottom w:val="none" w:sz="0" w:space="0" w:color="auto"/>
        <w:right w:val="none" w:sz="0" w:space="0" w:color="auto"/>
      </w:divBdr>
    </w:div>
    <w:div w:id="968441635">
      <w:bodyDiv w:val="1"/>
      <w:marLeft w:val="0"/>
      <w:marRight w:val="0"/>
      <w:marTop w:val="0"/>
      <w:marBottom w:val="0"/>
      <w:divBdr>
        <w:top w:val="none" w:sz="0" w:space="0" w:color="auto"/>
        <w:left w:val="none" w:sz="0" w:space="0" w:color="auto"/>
        <w:bottom w:val="none" w:sz="0" w:space="0" w:color="auto"/>
        <w:right w:val="none" w:sz="0" w:space="0" w:color="auto"/>
      </w:divBdr>
    </w:div>
    <w:div w:id="1013338859">
      <w:bodyDiv w:val="1"/>
      <w:marLeft w:val="0"/>
      <w:marRight w:val="0"/>
      <w:marTop w:val="0"/>
      <w:marBottom w:val="0"/>
      <w:divBdr>
        <w:top w:val="none" w:sz="0" w:space="0" w:color="auto"/>
        <w:left w:val="none" w:sz="0" w:space="0" w:color="auto"/>
        <w:bottom w:val="none" w:sz="0" w:space="0" w:color="auto"/>
        <w:right w:val="none" w:sz="0" w:space="0" w:color="auto"/>
      </w:divBdr>
    </w:div>
    <w:div w:id="1180705691">
      <w:bodyDiv w:val="1"/>
      <w:marLeft w:val="0"/>
      <w:marRight w:val="0"/>
      <w:marTop w:val="0"/>
      <w:marBottom w:val="0"/>
      <w:divBdr>
        <w:top w:val="none" w:sz="0" w:space="0" w:color="auto"/>
        <w:left w:val="none" w:sz="0" w:space="0" w:color="auto"/>
        <w:bottom w:val="none" w:sz="0" w:space="0" w:color="auto"/>
        <w:right w:val="none" w:sz="0" w:space="0" w:color="auto"/>
      </w:divBdr>
    </w:div>
    <w:div w:id="1242787015">
      <w:bodyDiv w:val="1"/>
      <w:marLeft w:val="0"/>
      <w:marRight w:val="0"/>
      <w:marTop w:val="0"/>
      <w:marBottom w:val="0"/>
      <w:divBdr>
        <w:top w:val="none" w:sz="0" w:space="0" w:color="auto"/>
        <w:left w:val="none" w:sz="0" w:space="0" w:color="auto"/>
        <w:bottom w:val="none" w:sz="0" w:space="0" w:color="auto"/>
        <w:right w:val="none" w:sz="0" w:space="0" w:color="auto"/>
      </w:divBdr>
    </w:div>
    <w:div w:id="1462109107">
      <w:bodyDiv w:val="1"/>
      <w:marLeft w:val="0"/>
      <w:marRight w:val="0"/>
      <w:marTop w:val="0"/>
      <w:marBottom w:val="0"/>
      <w:divBdr>
        <w:top w:val="none" w:sz="0" w:space="0" w:color="auto"/>
        <w:left w:val="none" w:sz="0" w:space="0" w:color="auto"/>
        <w:bottom w:val="none" w:sz="0" w:space="0" w:color="auto"/>
        <w:right w:val="none" w:sz="0" w:space="0" w:color="auto"/>
      </w:divBdr>
    </w:div>
    <w:div w:id="1482890871">
      <w:bodyDiv w:val="1"/>
      <w:marLeft w:val="0"/>
      <w:marRight w:val="0"/>
      <w:marTop w:val="0"/>
      <w:marBottom w:val="0"/>
      <w:divBdr>
        <w:top w:val="none" w:sz="0" w:space="0" w:color="auto"/>
        <w:left w:val="none" w:sz="0" w:space="0" w:color="auto"/>
        <w:bottom w:val="none" w:sz="0" w:space="0" w:color="auto"/>
        <w:right w:val="none" w:sz="0" w:space="0" w:color="auto"/>
      </w:divBdr>
    </w:div>
    <w:div w:id="1490439485">
      <w:bodyDiv w:val="1"/>
      <w:marLeft w:val="0"/>
      <w:marRight w:val="0"/>
      <w:marTop w:val="0"/>
      <w:marBottom w:val="0"/>
      <w:divBdr>
        <w:top w:val="none" w:sz="0" w:space="0" w:color="auto"/>
        <w:left w:val="none" w:sz="0" w:space="0" w:color="auto"/>
        <w:bottom w:val="none" w:sz="0" w:space="0" w:color="auto"/>
        <w:right w:val="none" w:sz="0" w:space="0" w:color="auto"/>
      </w:divBdr>
    </w:div>
    <w:div w:id="1521892124">
      <w:bodyDiv w:val="1"/>
      <w:marLeft w:val="0"/>
      <w:marRight w:val="0"/>
      <w:marTop w:val="0"/>
      <w:marBottom w:val="0"/>
      <w:divBdr>
        <w:top w:val="none" w:sz="0" w:space="0" w:color="auto"/>
        <w:left w:val="none" w:sz="0" w:space="0" w:color="auto"/>
        <w:bottom w:val="none" w:sz="0" w:space="0" w:color="auto"/>
        <w:right w:val="none" w:sz="0" w:space="0" w:color="auto"/>
      </w:divBdr>
    </w:div>
    <w:div w:id="1629243353">
      <w:bodyDiv w:val="1"/>
      <w:marLeft w:val="0"/>
      <w:marRight w:val="0"/>
      <w:marTop w:val="0"/>
      <w:marBottom w:val="0"/>
      <w:divBdr>
        <w:top w:val="none" w:sz="0" w:space="0" w:color="auto"/>
        <w:left w:val="none" w:sz="0" w:space="0" w:color="auto"/>
        <w:bottom w:val="none" w:sz="0" w:space="0" w:color="auto"/>
        <w:right w:val="none" w:sz="0" w:space="0" w:color="auto"/>
      </w:divBdr>
    </w:div>
    <w:div w:id="1629431263">
      <w:bodyDiv w:val="1"/>
      <w:marLeft w:val="0"/>
      <w:marRight w:val="0"/>
      <w:marTop w:val="0"/>
      <w:marBottom w:val="0"/>
      <w:divBdr>
        <w:top w:val="none" w:sz="0" w:space="0" w:color="auto"/>
        <w:left w:val="none" w:sz="0" w:space="0" w:color="auto"/>
        <w:bottom w:val="none" w:sz="0" w:space="0" w:color="auto"/>
        <w:right w:val="none" w:sz="0" w:space="0" w:color="auto"/>
      </w:divBdr>
    </w:div>
    <w:div w:id="1635132939">
      <w:bodyDiv w:val="1"/>
      <w:marLeft w:val="0"/>
      <w:marRight w:val="0"/>
      <w:marTop w:val="0"/>
      <w:marBottom w:val="0"/>
      <w:divBdr>
        <w:top w:val="none" w:sz="0" w:space="0" w:color="auto"/>
        <w:left w:val="none" w:sz="0" w:space="0" w:color="auto"/>
        <w:bottom w:val="none" w:sz="0" w:space="0" w:color="auto"/>
        <w:right w:val="none" w:sz="0" w:space="0" w:color="auto"/>
      </w:divBdr>
    </w:div>
    <w:div w:id="1916628420">
      <w:bodyDiv w:val="1"/>
      <w:marLeft w:val="0"/>
      <w:marRight w:val="0"/>
      <w:marTop w:val="0"/>
      <w:marBottom w:val="0"/>
      <w:divBdr>
        <w:top w:val="none" w:sz="0" w:space="0" w:color="auto"/>
        <w:left w:val="none" w:sz="0" w:space="0" w:color="auto"/>
        <w:bottom w:val="none" w:sz="0" w:space="0" w:color="auto"/>
        <w:right w:val="none" w:sz="0" w:space="0" w:color="auto"/>
      </w:divBdr>
    </w:div>
    <w:div w:id="1928419333">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sv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sv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omchil.terziev@strath.ac.uk" TargetMode="External"/><Relationship Id="rId24" Type="http://schemas.openxmlformats.org/officeDocument/2006/relationships/image" Target="media/image12.svg"/><Relationship Id="rId32" Type="http://schemas.openxmlformats.org/officeDocument/2006/relationships/hyperlink" Target="https://eur02.safelinks.protection.outlook.com/?url=https%3A%2F%2Fdoi.org%2F10.15129%2F5f496bc9-43bc-407f-9277-93f2ba5dd0f3&amp;data=05%7C01%7Cmomchil.terziev%40strath.ac.uk%7C274c63377e9b4a1e47cc08da641b6e84%7C631e0763153347eba5cd0457bee5944e%7C0%7C0%7C637932366218827125%7CUnknown%7CTWFpbGZsb3d8eyJWIjoiMC4wLjAwMDAiLCJQIjoiV2luMzIiLCJBTiI6Ik1haWwiLCJXVCI6Mn0%3D%7C3000%7C%7C%7C&amp;sdata=UAtYpUG%2BHohx30ywHcexyO8pGhDMyg%2FTCRAdHDisyRo%3D&amp;reserved=0"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9956F8-D42D-4593-B175-0F593CE142B7}">
  <we:reference id="wa104382081" version="1.46.0.0" store="en-GB" storeType="OMEX"/>
  <we:alternateReferences>
    <we:reference id="wa104382081" version="1.46.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2892B85813B94C898AD4E9DAA60781" ma:contentTypeVersion="10" ma:contentTypeDescription="Create a new document." ma:contentTypeScope="" ma:versionID="9c61219755c3f584787c66263bf9d3a4">
  <xsd:schema xmlns:xsd="http://www.w3.org/2001/XMLSchema" xmlns:xs="http://www.w3.org/2001/XMLSchema" xmlns:p="http://schemas.microsoft.com/office/2006/metadata/properties" xmlns:ns3="93cf44ab-18c1-41e4-8d41-2400fb4b4b20" targetNamespace="http://schemas.microsoft.com/office/2006/metadata/properties" ma:root="true" ma:fieldsID="54f516f8bfeb3866e797a438c7768ab5" ns3:_="">
    <xsd:import namespace="93cf44ab-18c1-41e4-8d41-2400fb4b4b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cf44ab-18c1-41e4-8d41-2400fb4b4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6941CF-E8D8-4554-B16F-5D5250233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cf44ab-18c1-41e4-8d41-2400fb4b4b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5F9F30-593F-4E9A-B1B5-CDF530CAFE11}">
  <ds:schemaRefs>
    <ds:schemaRef ds:uri="http://schemas.microsoft.com/sharepoint/v3/contenttype/forms"/>
  </ds:schemaRefs>
</ds:datastoreItem>
</file>

<file path=customXml/itemProps3.xml><?xml version="1.0" encoding="utf-8"?>
<ds:datastoreItem xmlns:ds="http://schemas.openxmlformats.org/officeDocument/2006/customXml" ds:itemID="{5076E805-4D13-454D-8A4E-E201CBAD1A31}">
  <ds:schemaRefs>
    <ds:schemaRef ds:uri="http://schemas.openxmlformats.org/officeDocument/2006/bibliography"/>
  </ds:schemaRefs>
</ds:datastoreItem>
</file>

<file path=customXml/itemProps4.xml><?xml version="1.0" encoding="utf-8"?>
<ds:datastoreItem xmlns:ds="http://schemas.openxmlformats.org/officeDocument/2006/customXml" ds:itemID="{507D5F71-C6E2-440A-BEF4-D075FAE392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28404</Words>
  <Characters>161905</Characters>
  <Application>Microsoft Office Word</Application>
  <DocSecurity>0</DocSecurity>
  <Lines>1349</Lines>
  <Paragraphs>379</Paragraphs>
  <ScaleCrop>false</ScaleCrop>
  <HeadingPairs>
    <vt:vector size="2" baseType="variant">
      <vt:variant>
        <vt:lpstr>Title</vt:lpstr>
      </vt:variant>
      <vt:variant>
        <vt:i4>1</vt:i4>
      </vt:variant>
    </vt:vector>
  </HeadingPairs>
  <TitlesOfParts>
    <vt:vector size="1" baseType="lpstr">
      <vt:lpstr/>
    </vt:vector>
  </TitlesOfParts>
  <Company>University of Strathclyde</Company>
  <LinksUpToDate>false</LinksUpToDate>
  <CharactersWithSpaces>189930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Momchi Terziev</dc:creator>
  <cp:keywords/>
  <dc:description/>
  <cp:lastModifiedBy>Tahsin Tezdogan</cp:lastModifiedBy>
  <cp:revision>3</cp:revision>
  <cp:lastPrinted>2022-08-01T23:24:00Z</cp:lastPrinted>
  <dcterms:created xsi:type="dcterms:W3CDTF">2023-11-03T10:18:00Z</dcterms:created>
  <dcterms:modified xsi:type="dcterms:W3CDTF">2023-11-03T10:33:00Z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7_1">
    <vt:lpwstr>http://www.zotero.org/styles/journal-of-fluids-and-structures</vt:lpwstr>
  </property>
  <property fmtid="{D5CDD505-2E9C-101B-9397-08002B2CF9AE}" pid="3" name="Mendeley Recent Style Name 7_1">
    <vt:lpwstr>Journal of Fluids and Structures</vt:lpwstr>
  </property>
  <property fmtid="{D5CDD505-2E9C-101B-9397-08002B2CF9AE}" pid="4" name="Mendeley Document_1">
    <vt:lpwstr>True</vt:lpwstr>
  </property>
  <property fmtid="{D5CDD505-2E9C-101B-9397-08002B2CF9AE}" pid="5" name="Mendeley Unique User Id_1">
    <vt:lpwstr>10f704c1-427f-374b-a59b-24fb9926b47a</vt:lpwstr>
  </property>
  <property fmtid="{D5CDD505-2E9C-101B-9397-08002B2CF9AE}" pid="6" name="Mendeley Citation Style_1">
    <vt:lpwstr>http://www.zotero.org/styles/journal-of-fluids-and-structures</vt:lpwstr>
  </property>
  <property fmtid="{D5CDD505-2E9C-101B-9397-08002B2CF9AE}" pid="7" name="MTWinEqns">
    <vt:bool>true</vt:bool>
  </property>
  <property fmtid="{D5CDD505-2E9C-101B-9397-08002B2CF9AE}" pid="8" name="_DocHome">
    <vt:i4>-493798352</vt:i4>
  </property>
  <property fmtid="{D5CDD505-2E9C-101B-9397-08002B2CF9AE}" pid="9" name="ContentTypeId">
    <vt:lpwstr>0x0101007E2892B85813B94C898AD4E9DAA60781</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 11th edition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7th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 6th edition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http://csl.mendeley.com/styles/487947761/ieee-2-journalofhydrodynamics</vt:lpwstr>
  </property>
  <property fmtid="{D5CDD505-2E9C-101B-9397-08002B2CF9AE}" pid="23" name="Mendeley Recent Style Name 6_1">
    <vt:lpwstr>IEEE - Momchil Terziev</vt:lpwstr>
  </property>
  <property fmtid="{D5CDD505-2E9C-101B-9397-08002B2CF9AE}" pid="24" name="Mendeley Recent Style Id 8_1">
    <vt:lpwstr>http://www.zotero.org/styles/modern-humanities-research-association</vt:lpwstr>
  </property>
  <property fmtid="{D5CDD505-2E9C-101B-9397-08002B2CF9AE}" pid="25" name="Mendeley Recent Style Name 8_1">
    <vt:lpwstr>Modern Humanities Research Association 3rd edition (note with bibliography)</vt:lpwstr>
  </property>
  <property fmtid="{D5CDD505-2E9C-101B-9397-08002B2CF9AE}" pid="26" name="Mendeley Recent Style Id 9_1">
    <vt:lpwstr>http://www.zotero.org/styles/modern-language-association</vt:lpwstr>
  </property>
  <property fmtid="{D5CDD505-2E9C-101B-9397-08002B2CF9AE}" pid="27" name="Mendeley Recent Style Name 9_1">
    <vt:lpwstr>Modern Language Association 8th edition</vt:lpwstr>
  </property>
</Properties>
</file>