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1869E" w14:textId="1D164B92" w:rsidR="00FA1755" w:rsidRPr="00646755" w:rsidRDefault="00784466" w:rsidP="000371E8">
      <w:pPr>
        <w:spacing w:line="360" w:lineRule="auto"/>
        <w:rPr>
          <w:rFonts w:cstheme="minorHAnsi"/>
          <w:b/>
          <w:bCs/>
        </w:rPr>
      </w:pPr>
      <w:r w:rsidRPr="00646755">
        <w:rPr>
          <w:rFonts w:cstheme="minorHAnsi"/>
          <w:b/>
          <w:bCs/>
        </w:rPr>
        <w:t>Intro</w:t>
      </w:r>
      <w:r w:rsidR="00A11461" w:rsidRPr="00646755">
        <w:rPr>
          <w:rFonts w:cstheme="minorHAnsi"/>
          <w:b/>
          <w:bCs/>
        </w:rPr>
        <w:t xml:space="preserve">duction to the Special Issue: </w:t>
      </w:r>
    </w:p>
    <w:p w14:paraId="035850AA" w14:textId="77777777" w:rsidR="00F232E5" w:rsidRPr="00646755" w:rsidRDefault="00F232E5" w:rsidP="000371E8">
      <w:pPr>
        <w:spacing w:line="360" w:lineRule="auto"/>
        <w:rPr>
          <w:rFonts w:cstheme="minorHAnsi"/>
          <w:b/>
          <w:bCs/>
        </w:rPr>
      </w:pPr>
    </w:p>
    <w:p w14:paraId="043C784B" w14:textId="74018B8C" w:rsidR="00784466" w:rsidRPr="00646755" w:rsidRDefault="00794300" w:rsidP="000371E8">
      <w:pPr>
        <w:spacing w:line="360" w:lineRule="auto"/>
        <w:rPr>
          <w:rFonts w:cstheme="minorHAnsi"/>
          <w:b/>
          <w:bCs/>
        </w:rPr>
      </w:pPr>
      <w:r w:rsidRPr="00646755">
        <w:rPr>
          <w:rFonts w:cstheme="minorHAnsi"/>
          <w:b/>
          <w:bCs/>
          <w:color w:val="242424"/>
        </w:rPr>
        <w:t>Ageing and later life</w:t>
      </w:r>
      <w:r w:rsidR="00A11461" w:rsidRPr="00646755">
        <w:rPr>
          <w:rFonts w:cstheme="minorHAnsi"/>
          <w:b/>
          <w:bCs/>
          <w:color w:val="242424"/>
        </w:rPr>
        <w:t>: Unsettling development assumptions</w:t>
      </w:r>
    </w:p>
    <w:p w14:paraId="5DBB752D" w14:textId="77777777" w:rsidR="008B19F9" w:rsidRDefault="008B19F9" w:rsidP="000371E8">
      <w:pPr>
        <w:spacing w:line="360" w:lineRule="auto"/>
        <w:rPr>
          <w:rFonts w:cstheme="minorHAnsi"/>
          <w:b/>
          <w:bCs/>
        </w:rPr>
      </w:pPr>
    </w:p>
    <w:p w14:paraId="19E5F5FF" w14:textId="2B28C833" w:rsidR="008B19F9" w:rsidRPr="00646755" w:rsidRDefault="008B19F9" w:rsidP="000371E8">
      <w:pPr>
        <w:spacing w:line="360" w:lineRule="auto"/>
        <w:rPr>
          <w:rFonts w:cstheme="minorHAnsi"/>
          <w:b/>
          <w:bCs/>
        </w:rPr>
      </w:pPr>
      <w:r w:rsidRPr="00646755">
        <w:rPr>
          <w:rFonts w:cstheme="minorHAnsi"/>
          <w:b/>
          <w:bCs/>
        </w:rPr>
        <w:t>Penny Vera-Sanso, Julie Vullnetari</w:t>
      </w:r>
      <w:r w:rsidR="00200C1F">
        <w:rPr>
          <w:rFonts w:cstheme="minorHAnsi"/>
          <w:b/>
          <w:bCs/>
        </w:rPr>
        <w:t xml:space="preserve"> and </w:t>
      </w:r>
      <w:r w:rsidR="00200C1F" w:rsidRPr="00646755">
        <w:rPr>
          <w:rFonts w:cstheme="minorHAnsi"/>
          <w:b/>
          <w:bCs/>
        </w:rPr>
        <w:t>Tanja Bastia</w:t>
      </w:r>
    </w:p>
    <w:p w14:paraId="261B0065" w14:textId="77777777" w:rsidR="008B19F9" w:rsidRPr="00646755" w:rsidRDefault="008B19F9" w:rsidP="000371E8">
      <w:pPr>
        <w:spacing w:line="360" w:lineRule="auto"/>
        <w:rPr>
          <w:rFonts w:cstheme="minorHAnsi"/>
        </w:rPr>
      </w:pPr>
    </w:p>
    <w:p w14:paraId="3E8CAA39" w14:textId="77777777" w:rsidR="008B19F9" w:rsidRDefault="008B19F9" w:rsidP="000371E8">
      <w:pPr>
        <w:rPr>
          <w:b/>
          <w:bCs/>
        </w:rPr>
      </w:pPr>
    </w:p>
    <w:p w14:paraId="74EAE47A" w14:textId="356B1DDB" w:rsidR="008B19F9" w:rsidRDefault="008B19F9" w:rsidP="000371E8">
      <w:pPr>
        <w:rPr>
          <w:b/>
          <w:bCs/>
        </w:rPr>
      </w:pPr>
      <w:r w:rsidRPr="00BF2A09">
        <w:rPr>
          <w:b/>
          <w:bCs/>
        </w:rPr>
        <w:t>Abstract</w:t>
      </w:r>
    </w:p>
    <w:p w14:paraId="69652988" w14:textId="77777777" w:rsidR="008B19F9" w:rsidRPr="00BF2A09" w:rsidRDefault="008B19F9" w:rsidP="000371E8">
      <w:pPr>
        <w:rPr>
          <w:b/>
          <w:bCs/>
        </w:rPr>
      </w:pPr>
    </w:p>
    <w:p w14:paraId="724C0897" w14:textId="0D1DBE2C" w:rsidR="008B19F9" w:rsidRDefault="008B19F9" w:rsidP="000371E8">
      <w:r w:rsidRPr="006A601C">
        <w:t>This Special Issue brings into focus the topic of ageing, and the group of older people, both of which have been neglected</w:t>
      </w:r>
      <w:r w:rsidR="00B95230">
        <w:t xml:space="preserve"> and/or narrowly addressed</w:t>
      </w:r>
      <w:r w:rsidRPr="006A601C">
        <w:t xml:space="preserve"> in development studies and policymaking. As such, this collection of </w:t>
      </w:r>
      <w:r w:rsidR="00165BB0">
        <w:t>article</w:t>
      </w:r>
      <w:r w:rsidRPr="006A601C">
        <w:t>s seeks to unsettle some of the stereotypes that are commonpla</w:t>
      </w:r>
      <w:r w:rsidR="00B95230">
        <w:t>ce in development debates that</w:t>
      </w:r>
      <w:r w:rsidRPr="006A601C">
        <w:t xml:space="preserve"> tend to portray older people as frail, vulnerable, burdensome, and passive. It does so by looking at the process of ageing and the lived experiences of older people across a range of topics and geographical locations. We hope that through this collection we have initiated a conversation around the place of ageing and </w:t>
      </w:r>
      <w:r w:rsidR="00B95230">
        <w:t>older people</w:t>
      </w:r>
      <w:r w:rsidRPr="006A601C">
        <w:t xml:space="preserve"> in development from a</w:t>
      </w:r>
      <w:r w:rsidR="00B95230">
        <w:t xml:space="preserve"> relational and intergenerational perspective; that is from a perspective that is focused around interdependence between older people and wider society rather than </w:t>
      </w:r>
      <w:r w:rsidR="00B610C1">
        <w:t xml:space="preserve">one restricted to the </w:t>
      </w:r>
      <w:r w:rsidR="00B95230">
        <w:t>dependence of the former on the latter.</w:t>
      </w:r>
    </w:p>
    <w:p w14:paraId="243BCBFE" w14:textId="250DA598" w:rsidR="008B19F9" w:rsidRDefault="008B19F9" w:rsidP="000371E8"/>
    <w:p w14:paraId="1796754A" w14:textId="021E4CC9" w:rsidR="008B19F9" w:rsidRDefault="008B19F9" w:rsidP="000371E8"/>
    <w:p w14:paraId="5F7477A3" w14:textId="121E8009" w:rsidR="008B19F9" w:rsidRDefault="008B19F9" w:rsidP="000371E8"/>
    <w:p w14:paraId="37229F41" w14:textId="46444D1D" w:rsidR="008B19F9" w:rsidRDefault="008B19F9" w:rsidP="000371E8"/>
    <w:p w14:paraId="454F3CD5" w14:textId="0BDD956B" w:rsidR="008B19F9" w:rsidRDefault="008B19F9" w:rsidP="000371E8"/>
    <w:p w14:paraId="4EB9DBC6" w14:textId="4B3113B8" w:rsidR="008B19F9" w:rsidRDefault="008B19F9" w:rsidP="000371E8"/>
    <w:p w14:paraId="34CE5D0D" w14:textId="6BD48214" w:rsidR="008B19F9" w:rsidRDefault="008B19F9" w:rsidP="000371E8"/>
    <w:p w14:paraId="5E6A0602" w14:textId="77777777" w:rsidR="00ED0E0E" w:rsidRDefault="00ED0E0E" w:rsidP="000371E8">
      <w:pPr>
        <w:rPr>
          <w:b/>
        </w:rPr>
      </w:pPr>
    </w:p>
    <w:p w14:paraId="46C692FE" w14:textId="77777777" w:rsidR="00ED0E0E" w:rsidRDefault="00ED0E0E" w:rsidP="000371E8">
      <w:pPr>
        <w:rPr>
          <w:b/>
        </w:rPr>
      </w:pPr>
    </w:p>
    <w:p w14:paraId="22B74876" w14:textId="77777777" w:rsidR="00ED0E0E" w:rsidRDefault="00ED0E0E" w:rsidP="000371E8">
      <w:pPr>
        <w:rPr>
          <w:b/>
        </w:rPr>
      </w:pPr>
    </w:p>
    <w:p w14:paraId="46510F01" w14:textId="77777777" w:rsidR="00ED0E0E" w:rsidRDefault="00ED0E0E" w:rsidP="000371E8">
      <w:pPr>
        <w:rPr>
          <w:b/>
        </w:rPr>
      </w:pPr>
    </w:p>
    <w:p w14:paraId="1D1211B8" w14:textId="77777777" w:rsidR="00ED0E0E" w:rsidRDefault="00ED0E0E" w:rsidP="000371E8">
      <w:pPr>
        <w:rPr>
          <w:b/>
        </w:rPr>
      </w:pPr>
    </w:p>
    <w:p w14:paraId="4CCC5799" w14:textId="77777777" w:rsidR="00ED0E0E" w:rsidRDefault="00ED0E0E" w:rsidP="000371E8">
      <w:pPr>
        <w:rPr>
          <w:b/>
        </w:rPr>
      </w:pPr>
    </w:p>
    <w:p w14:paraId="581DDD3C" w14:textId="77777777" w:rsidR="00ED0E0E" w:rsidRDefault="00ED0E0E" w:rsidP="000371E8">
      <w:pPr>
        <w:rPr>
          <w:b/>
        </w:rPr>
      </w:pPr>
    </w:p>
    <w:p w14:paraId="4E26E40F" w14:textId="77777777" w:rsidR="00ED0E0E" w:rsidRDefault="00ED0E0E" w:rsidP="000371E8">
      <w:pPr>
        <w:rPr>
          <w:b/>
        </w:rPr>
      </w:pPr>
    </w:p>
    <w:p w14:paraId="749322DA" w14:textId="77777777" w:rsidR="00ED0E0E" w:rsidRDefault="00ED0E0E" w:rsidP="000371E8">
      <w:pPr>
        <w:rPr>
          <w:b/>
        </w:rPr>
      </w:pPr>
    </w:p>
    <w:p w14:paraId="43C11953" w14:textId="77777777" w:rsidR="00ED0E0E" w:rsidRDefault="00ED0E0E" w:rsidP="000371E8">
      <w:pPr>
        <w:rPr>
          <w:b/>
        </w:rPr>
      </w:pPr>
    </w:p>
    <w:p w14:paraId="25F28E57" w14:textId="4BACEB06" w:rsidR="008B19F9" w:rsidRDefault="008B19F9" w:rsidP="000371E8">
      <w:r>
        <w:rPr>
          <w:b/>
        </w:rPr>
        <w:t>Contact</w:t>
      </w:r>
      <w:r w:rsidRPr="00CF16F9">
        <w:rPr>
          <w:b/>
        </w:rPr>
        <w:t>:</w:t>
      </w:r>
      <w:r>
        <w:rPr>
          <w:b/>
        </w:rPr>
        <w:t xml:space="preserve"> </w:t>
      </w:r>
      <w:r>
        <w:rPr>
          <w:rFonts w:ascii="Calibri" w:hAnsi="Calibri" w:cs="Calibri"/>
          <w:color w:val="000000"/>
          <w:sz w:val="22"/>
          <w:szCs w:val="22"/>
          <w:shd w:val="clear" w:color="auto" w:fill="FFFFFF"/>
        </w:rPr>
        <w:t>Penny Vera-Sanso at: &lt;p.vera-sanso@bbk.ac.uk&gt;</w:t>
      </w:r>
    </w:p>
    <w:p w14:paraId="417CE5EB" w14:textId="77777777" w:rsidR="00275927" w:rsidRPr="00646755" w:rsidRDefault="00275927" w:rsidP="000371E8">
      <w:pPr>
        <w:spacing w:line="360" w:lineRule="auto"/>
        <w:rPr>
          <w:rFonts w:cstheme="minorHAnsi"/>
          <w:b/>
          <w:bCs/>
        </w:rPr>
      </w:pPr>
    </w:p>
    <w:p w14:paraId="4D054DB4" w14:textId="42082B0F" w:rsidR="00940E38" w:rsidRPr="00646755" w:rsidRDefault="008B19F9" w:rsidP="000371E8">
      <w:pPr>
        <w:spacing w:line="360" w:lineRule="auto"/>
        <w:rPr>
          <w:rFonts w:cstheme="minorHAnsi"/>
          <w:b/>
          <w:bCs/>
        </w:rPr>
      </w:pPr>
      <w:r>
        <w:rPr>
          <w:rFonts w:cstheme="minorHAnsi"/>
          <w:b/>
          <w:bCs/>
        </w:rPr>
        <w:br w:type="column"/>
      </w:r>
      <w:r w:rsidR="00940E38" w:rsidRPr="00646755">
        <w:rPr>
          <w:rFonts w:cstheme="minorHAnsi"/>
          <w:b/>
          <w:bCs/>
        </w:rPr>
        <w:lastRenderedPageBreak/>
        <w:t>Introduction</w:t>
      </w:r>
    </w:p>
    <w:p w14:paraId="66FE437F" w14:textId="729D1783" w:rsidR="00D06899" w:rsidRDefault="00734DE2" w:rsidP="000371E8">
      <w:pPr>
        <w:pStyle w:val="xmsonormal"/>
        <w:spacing w:before="0" w:beforeAutospacing="0" w:after="0" w:afterAutospacing="0" w:line="360" w:lineRule="auto"/>
        <w:rPr>
          <w:rFonts w:asciiTheme="minorHAnsi" w:hAnsiTheme="minorHAnsi" w:cstheme="minorHAnsi"/>
        </w:rPr>
      </w:pPr>
      <w:r w:rsidRPr="00646755">
        <w:rPr>
          <w:rFonts w:asciiTheme="minorHAnsi" w:hAnsiTheme="minorHAnsi" w:cstheme="minorHAnsi"/>
        </w:rPr>
        <w:t xml:space="preserve">This </w:t>
      </w:r>
      <w:r w:rsidR="0068684C" w:rsidRPr="00646755">
        <w:rPr>
          <w:rFonts w:asciiTheme="minorHAnsi" w:hAnsiTheme="minorHAnsi" w:cstheme="minorHAnsi"/>
        </w:rPr>
        <w:t>S</w:t>
      </w:r>
      <w:r w:rsidRPr="00646755">
        <w:rPr>
          <w:rFonts w:asciiTheme="minorHAnsi" w:hAnsiTheme="minorHAnsi" w:cstheme="minorHAnsi"/>
        </w:rPr>
        <w:t xml:space="preserve">pecial </w:t>
      </w:r>
      <w:r w:rsidR="0068684C" w:rsidRPr="00646755">
        <w:rPr>
          <w:rFonts w:asciiTheme="minorHAnsi" w:hAnsiTheme="minorHAnsi" w:cstheme="minorHAnsi"/>
        </w:rPr>
        <w:t>I</w:t>
      </w:r>
      <w:r w:rsidRPr="00646755">
        <w:rPr>
          <w:rFonts w:asciiTheme="minorHAnsi" w:hAnsiTheme="minorHAnsi" w:cstheme="minorHAnsi"/>
        </w:rPr>
        <w:t xml:space="preserve">ssue </w:t>
      </w:r>
      <w:r w:rsidR="00960DD1" w:rsidRPr="00646755">
        <w:rPr>
          <w:rFonts w:asciiTheme="minorHAnsi" w:hAnsiTheme="minorHAnsi" w:cstheme="minorHAnsi"/>
        </w:rPr>
        <w:t xml:space="preserve">brings </w:t>
      </w:r>
      <w:r w:rsidRPr="00646755">
        <w:rPr>
          <w:rFonts w:asciiTheme="minorHAnsi" w:hAnsiTheme="minorHAnsi" w:cstheme="minorHAnsi"/>
        </w:rPr>
        <w:t xml:space="preserve">into focus a neglected topic, that of ageing, and a neglected group, that of older people. </w:t>
      </w:r>
      <w:r w:rsidR="0013279C" w:rsidRPr="00646755">
        <w:rPr>
          <w:rFonts w:asciiTheme="minorHAnsi" w:hAnsiTheme="minorHAnsi" w:cstheme="minorHAnsi"/>
        </w:rPr>
        <w:t xml:space="preserve">Taking on the invitation by Jones (2011) who in this very journal, called on readers to ‘make space’ for younger people in development, we argue that now is the time to also ‘make space’ for older people as well as ageing as a process. </w:t>
      </w:r>
      <w:r w:rsidR="00C647D4">
        <w:rPr>
          <w:rFonts w:asciiTheme="minorHAnsi" w:hAnsiTheme="minorHAnsi" w:cstheme="minorHAnsi"/>
        </w:rPr>
        <w:t>The argument for space making is not</w:t>
      </w:r>
      <w:r w:rsidR="003C701C">
        <w:rPr>
          <w:rFonts w:asciiTheme="minorHAnsi" w:hAnsiTheme="minorHAnsi" w:cstheme="minorHAnsi"/>
        </w:rPr>
        <w:t xml:space="preserve"> solely</w:t>
      </w:r>
      <w:r w:rsidR="00C647D4">
        <w:rPr>
          <w:rFonts w:asciiTheme="minorHAnsi" w:hAnsiTheme="minorHAnsi" w:cstheme="minorHAnsi"/>
        </w:rPr>
        <w:t xml:space="preserve"> derived from global trends in declining fertility and population ageing (UNDESA, 2022), but from the recognition</w:t>
      </w:r>
      <w:r w:rsidR="00717338">
        <w:rPr>
          <w:rFonts w:asciiTheme="minorHAnsi" w:hAnsiTheme="minorHAnsi" w:cstheme="minorHAnsi"/>
        </w:rPr>
        <w:t xml:space="preserve"> </w:t>
      </w:r>
      <w:r w:rsidR="00C647D4">
        <w:rPr>
          <w:rFonts w:asciiTheme="minorHAnsi" w:hAnsiTheme="minorHAnsi" w:cstheme="minorHAnsi"/>
        </w:rPr>
        <w:t xml:space="preserve">that </w:t>
      </w:r>
      <w:r w:rsidR="00717338">
        <w:rPr>
          <w:rFonts w:asciiTheme="minorHAnsi" w:hAnsiTheme="minorHAnsi" w:cstheme="minorHAnsi"/>
        </w:rPr>
        <w:t xml:space="preserve">ageism and </w:t>
      </w:r>
      <w:r w:rsidR="00C647D4">
        <w:rPr>
          <w:rFonts w:asciiTheme="minorHAnsi" w:hAnsiTheme="minorHAnsi" w:cstheme="minorHAnsi"/>
        </w:rPr>
        <w:t>age discrimination</w:t>
      </w:r>
      <w:r w:rsidR="00717338">
        <w:rPr>
          <w:rFonts w:asciiTheme="minorHAnsi" w:hAnsiTheme="minorHAnsi" w:cstheme="minorHAnsi"/>
        </w:rPr>
        <w:t xml:space="preserve"> may be undoing</w:t>
      </w:r>
      <w:r w:rsidR="00C647D4">
        <w:rPr>
          <w:rFonts w:asciiTheme="minorHAnsi" w:hAnsiTheme="minorHAnsi" w:cstheme="minorHAnsi"/>
        </w:rPr>
        <w:t xml:space="preserve"> </w:t>
      </w:r>
      <w:r w:rsidR="00717338">
        <w:rPr>
          <w:rFonts w:asciiTheme="minorHAnsi" w:hAnsiTheme="minorHAnsi" w:cstheme="minorHAnsi"/>
        </w:rPr>
        <w:t xml:space="preserve">material and social </w:t>
      </w:r>
      <w:r w:rsidR="00C647D4">
        <w:rPr>
          <w:rFonts w:asciiTheme="minorHAnsi" w:hAnsiTheme="minorHAnsi" w:cstheme="minorHAnsi"/>
        </w:rPr>
        <w:t>advances made earlier in life</w:t>
      </w:r>
      <w:r w:rsidR="00717338">
        <w:rPr>
          <w:rFonts w:asciiTheme="minorHAnsi" w:hAnsiTheme="minorHAnsi" w:cstheme="minorHAnsi"/>
        </w:rPr>
        <w:t xml:space="preserve">.  This undermines the rights of older persons </w:t>
      </w:r>
      <w:r w:rsidR="003C701C">
        <w:rPr>
          <w:rFonts w:asciiTheme="minorHAnsi" w:hAnsiTheme="minorHAnsi" w:cstheme="minorHAnsi"/>
        </w:rPr>
        <w:t>and</w:t>
      </w:r>
      <w:r w:rsidR="00E97D29">
        <w:rPr>
          <w:rFonts w:asciiTheme="minorHAnsi" w:hAnsiTheme="minorHAnsi" w:cstheme="minorHAnsi"/>
        </w:rPr>
        <w:t xml:space="preserve"> </w:t>
      </w:r>
      <w:r w:rsidR="003C701C">
        <w:rPr>
          <w:rFonts w:asciiTheme="minorHAnsi" w:hAnsiTheme="minorHAnsi" w:cstheme="minorHAnsi"/>
        </w:rPr>
        <w:t xml:space="preserve">can negatively impact </w:t>
      </w:r>
      <w:r w:rsidR="00717338">
        <w:rPr>
          <w:rFonts w:asciiTheme="minorHAnsi" w:hAnsiTheme="minorHAnsi" w:cstheme="minorHAnsi"/>
        </w:rPr>
        <w:t xml:space="preserve">families, community, environment and national economy. </w:t>
      </w:r>
      <w:r w:rsidR="00A2788E">
        <w:rPr>
          <w:rFonts w:asciiTheme="minorHAnsi" w:hAnsiTheme="minorHAnsi" w:cstheme="minorHAnsi"/>
        </w:rPr>
        <w:t xml:space="preserve">We argue that </w:t>
      </w:r>
      <w:r w:rsidR="0027562D">
        <w:rPr>
          <w:rFonts w:asciiTheme="minorHAnsi" w:hAnsiTheme="minorHAnsi" w:cstheme="minorHAnsi"/>
        </w:rPr>
        <w:t>making space for older persons</w:t>
      </w:r>
      <w:r w:rsidR="003C701C">
        <w:rPr>
          <w:rFonts w:asciiTheme="minorHAnsi" w:hAnsiTheme="minorHAnsi" w:cstheme="minorHAnsi"/>
        </w:rPr>
        <w:t xml:space="preserve"> </w:t>
      </w:r>
      <w:r w:rsidR="00515DA6">
        <w:rPr>
          <w:rFonts w:asciiTheme="minorHAnsi" w:hAnsiTheme="minorHAnsi" w:cstheme="minorHAnsi"/>
        </w:rPr>
        <w:t>will support</w:t>
      </w:r>
      <w:r w:rsidR="003C701C">
        <w:rPr>
          <w:rFonts w:asciiTheme="minorHAnsi" w:hAnsiTheme="minorHAnsi" w:cstheme="minorHAnsi"/>
        </w:rPr>
        <w:t xml:space="preserve"> both</w:t>
      </w:r>
      <w:r w:rsidR="0027562D">
        <w:rPr>
          <w:rFonts w:asciiTheme="minorHAnsi" w:hAnsiTheme="minorHAnsi" w:cstheme="minorHAnsi"/>
        </w:rPr>
        <w:t xml:space="preserve"> older people and wider society. </w:t>
      </w:r>
      <w:r w:rsidR="00D13B44">
        <w:rPr>
          <w:rFonts w:asciiTheme="minorHAnsi" w:hAnsiTheme="minorHAnsi" w:cstheme="minorHAnsi"/>
        </w:rPr>
        <w:t>Making</w:t>
      </w:r>
      <w:r w:rsidRPr="00646755">
        <w:rPr>
          <w:rFonts w:asciiTheme="minorHAnsi" w:hAnsiTheme="minorHAnsi" w:cstheme="minorHAnsi"/>
        </w:rPr>
        <w:t xml:space="preserve"> space for older people in development </w:t>
      </w:r>
      <w:r w:rsidR="00D13B44">
        <w:rPr>
          <w:rFonts w:asciiTheme="minorHAnsi" w:hAnsiTheme="minorHAnsi" w:cstheme="minorHAnsi"/>
        </w:rPr>
        <w:t>must include a review of concepts and approaches deeply embedded within development debates. T</w:t>
      </w:r>
      <w:r w:rsidRPr="00646755">
        <w:rPr>
          <w:rFonts w:asciiTheme="minorHAnsi" w:hAnsiTheme="minorHAnsi" w:cstheme="minorHAnsi"/>
        </w:rPr>
        <w:t xml:space="preserve">his collection of </w:t>
      </w:r>
      <w:r w:rsidR="00165BB0">
        <w:rPr>
          <w:rFonts w:asciiTheme="minorHAnsi" w:hAnsiTheme="minorHAnsi" w:cstheme="minorHAnsi"/>
        </w:rPr>
        <w:t>article</w:t>
      </w:r>
      <w:r w:rsidRPr="00646755">
        <w:rPr>
          <w:rFonts w:asciiTheme="minorHAnsi" w:hAnsiTheme="minorHAnsi" w:cstheme="minorHAnsi"/>
        </w:rPr>
        <w:t xml:space="preserve">s seeks to unsettle </w:t>
      </w:r>
      <w:r w:rsidR="0013279C" w:rsidRPr="00646755">
        <w:rPr>
          <w:rFonts w:asciiTheme="minorHAnsi" w:hAnsiTheme="minorHAnsi" w:cstheme="minorHAnsi"/>
        </w:rPr>
        <w:t xml:space="preserve">stereotypes that are commonplace in </w:t>
      </w:r>
      <w:r w:rsidRPr="00646755">
        <w:rPr>
          <w:rFonts w:asciiTheme="minorHAnsi" w:hAnsiTheme="minorHAnsi" w:cstheme="minorHAnsi"/>
        </w:rPr>
        <w:t xml:space="preserve">development </w:t>
      </w:r>
      <w:r w:rsidR="00515DA6">
        <w:rPr>
          <w:rFonts w:asciiTheme="minorHAnsi" w:hAnsiTheme="minorHAnsi" w:cstheme="minorHAnsi"/>
        </w:rPr>
        <w:t>debates in</w:t>
      </w:r>
      <w:r w:rsidR="0013279C" w:rsidRPr="00646755">
        <w:rPr>
          <w:rFonts w:asciiTheme="minorHAnsi" w:hAnsiTheme="minorHAnsi" w:cstheme="minorHAnsi"/>
        </w:rPr>
        <w:t xml:space="preserve"> which </w:t>
      </w:r>
      <w:r w:rsidRPr="00646755">
        <w:rPr>
          <w:rFonts w:asciiTheme="minorHAnsi" w:hAnsiTheme="minorHAnsi" w:cstheme="minorHAnsi"/>
        </w:rPr>
        <w:t xml:space="preserve">older people </w:t>
      </w:r>
      <w:r w:rsidR="00515DA6">
        <w:rPr>
          <w:rFonts w:asciiTheme="minorHAnsi" w:hAnsiTheme="minorHAnsi" w:cstheme="minorHAnsi"/>
        </w:rPr>
        <w:t xml:space="preserve">are portrayed </w:t>
      </w:r>
      <w:r w:rsidRPr="00646755">
        <w:rPr>
          <w:rFonts w:asciiTheme="minorHAnsi" w:hAnsiTheme="minorHAnsi" w:cstheme="minorHAnsi"/>
        </w:rPr>
        <w:t xml:space="preserve">as frail, vulnerable, burdensome, </w:t>
      </w:r>
      <w:r w:rsidR="0013279C" w:rsidRPr="00646755">
        <w:rPr>
          <w:rFonts w:asciiTheme="minorHAnsi" w:hAnsiTheme="minorHAnsi" w:cstheme="minorHAnsi"/>
        </w:rPr>
        <w:t xml:space="preserve">and </w:t>
      </w:r>
      <w:r w:rsidRPr="00646755">
        <w:rPr>
          <w:rFonts w:asciiTheme="minorHAnsi" w:hAnsiTheme="minorHAnsi" w:cstheme="minorHAnsi"/>
        </w:rPr>
        <w:t>passive</w:t>
      </w:r>
      <w:r w:rsidR="0013279C" w:rsidRPr="00646755">
        <w:rPr>
          <w:rFonts w:asciiTheme="minorHAnsi" w:hAnsiTheme="minorHAnsi" w:cstheme="minorHAnsi"/>
        </w:rPr>
        <w:t xml:space="preserve">. It does so </w:t>
      </w:r>
      <w:r w:rsidRPr="00646755">
        <w:rPr>
          <w:rFonts w:asciiTheme="minorHAnsi" w:hAnsiTheme="minorHAnsi" w:cstheme="minorHAnsi"/>
        </w:rPr>
        <w:t>by looking at the lived experiences of older people</w:t>
      </w:r>
      <w:r w:rsidR="0013279C" w:rsidRPr="00646755">
        <w:rPr>
          <w:rFonts w:asciiTheme="minorHAnsi" w:hAnsiTheme="minorHAnsi" w:cstheme="minorHAnsi"/>
        </w:rPr>
        <w:t xml:space="preserve"> across a range of topics and geographical locations</w:t>
      </w:r>
      <w:r w:rsidRPr="00646755">
        <w:rPr>
          <w:rFonts w:asciiTheme="minorHAnsi" w:hAnsiTheme="minorHAnsi" w:cstheme="minorHAnsi"/>
        </w:rPr>
        <w:t>.</w:t>
      </w:r>
    </w:p>
    <w:p w14:paraId="32A143D2" w14:textId="0F9BE053" w:rsidR="00D06899" w:rsidRPr="00646755" w:rsidRDefault="00B610C1" w:rsidP="000371E8">
      <w:pPr>
        <w:pStyle w:val="xmsonormal"/>
        <w:spacing w:before="0" w:beforeAutospacing="0" w:after="0" w:afterAutospacing="0" w:line="360" w:lineRule="auto"/>
        <w:ind w:firstLine="284"/>
        <w:rPr>
          <w:rFonts w:asciiTheme="minorHAnsi" w:hAnsiTheme="minorHAnsi" w:cstheme="minorHAnsi"/>
        </w:rPr>
      </w:pPr>
      <w:r>
        <w:rPr>
          <w:rFonts w:asciiTheme="minorHAnsi" w:hAnsiTheme="minorHAnsi" w:cstheme="minorHAnsi"/>
        </w:rPr>
        <w:t>This will be a first Special Issue</w:t>
      </w:r>
      <w:r w:rsidR="0013279C" w:rsidRPr="00646755">
        <w:rPr>
          <w:rFonts w:asciiTheme="minorHAnsi" w:hAnsiTheme="minorHAnsi" w:cstheme="minorHAnsi"/>
        </w:rPr>
        <w:t xml:space="preserve">, </w:t>
      </w:r>
      <w:r w:rsidR="00734DE2" w:rsidRPr="00646755">
        <w:rPr>
          <w:rFonts w:asciiTheme="minorHAnsi" w:hAnsiTheme="minorHAnsi" w:cstheme="minorHAnsi"/>
        </w:rPr>
        <w:t>to our knowledge</w:t>
      </w:r>
      <w:r w:rsidR="0013279C" w:rsidRPr="00646755">
        <w:rPr>
          <w:rFonts w:asciiTheme="minorHAnsi" w:hAnsiTheme="minorHAnsi" w:cstheme="minorHAnsi"/>
        </w:rPr>
        <w:t>,</w:t>
      </w:r>
      <w:r w:rsidR="00734DE2" w:rsidRPr="00646755">
        <w:rPr>
          <w:rFonts w:asciiTheme="minorHAnsi" w:hAnsiTheme="minorHAnsi" w:cstheme="minorHAnsi"/>
        </w:rPr>
        <w:t xml:space="preserve"> in a decade or so</w:t>
      </w:r>
      <w:r w:rsidR="0013279C" w:rsidRPr="00646755">
        <w:rPr>
          <w:rFonts w:asciiTheme="minorHAnsi" w:hAnsiTheme="minorHAnsi" w:cstheme="minorHAnsi"/>
        </w:rPr>
        <w:t>,</w:t>
      </w:r>
      <w:r w:rsidR="00734DE2" w:rsidRPr="00646755">
        <w:rPr>
          <w:rFonts w:asciiTheme="minorHAnsi" w:hAnsiTheme="minorHAnsi" w:cstheme="minorHAnsi"/>
        </w:rPr>
        <w:t xml:space="preserve"> that aims to take older people beyond the lenses of loneliness, ill-health</w:t>
      </w:r>
      <w:r w:rsidR="0013279C" w:rsidRPr="00646755">
        <w:rPr>
          <w:rFonts w:asciiTheme="minorHAnsi" w:hAnsiTheme="minorHAnsi" w:cstheme="minorHAnsi"/>
        </w:rPr>
        <w:t>,</w:t>
      </w:r>
      <w:r w:rsidR="00734DE2" w:rsidRPr="00646755">
        <w:rPr>
          <w:rFonts w:asciiTheme="minorHAnsi" w:hAnsiTheme="minorHAnsi" w:cstheme="minorHAnsi"/>
        </w:rPr>
        <w:t xml:space="preserve"> and vulnerability</w:t>
      </w:r>
      <w:r w:rsidR="00515DA6">
        <w:rPr>
          <w:rFonts w:asciiTheme="minorHAnsi" w:hAnsiTheme="minorHAnsi" w:cstheme="minorHAnsi"/>
        </w:rPr>
        <w:t xml:space="preserve"> in development debates</w:t>
      </w:r>
      <w:r w:rsidR="0013279C" w:rsidRPr="00646755">
        <w:rPr>
          <w:rFonts w:asciiTheme="minorHAnsi" w:hAnsiTheme="minorHAnsi" w:cstheme="minorHAnsi"/>
        </w:rPr>
        <w:t xml:space="preserve"> and discuss</w:t>
      </w:r>
      <w:r w:rsidR="007D071F" w:rsidRPr="00646755">
        <w:rPr>
          <w:rFonts w:asciiTheme="minorHAnsi" w:hAnsiTheme="minorHAnsi" w:cstheme="minorHAnsi"/>
        </w:rPr>
        <w:t>es</w:t>
      </w:r>
      <w:r w:rsidR="0013279C" w:rsidRPr="00646755">
        <w:rPr>
          <w:rFonts w:asciiTheme="minorHAnsi" w:hAnsiTheme="minorHAnsi" w:cstheme="minorHAnsi"/>
        </w:rPr>
        <w:t xml:space="preserve"> their diverse live</w:t>
      </w:r>
      <w:r w:rsidR="007B41E9" w:rsidRPr="00646755">
        <w:rPr>
          <w:rFonts w:asciiTheme="minorHAnsi" w:hAnsiTheme="minorHAnsi" w:cstheme="minorHAnsi"/>
        </w:rPr>
        <w:t>s i</w:t>
      </w:r>
      <w:r w:rsidR="0013279C" w:rsidRPr="00646755">
        <w:rPr>
          <w:rFonts w:asciiTheme="minorHAnsi" w:hAnsiTheme="minorHAnsi" w:cstheme="minorHAnsi"/>
        </w:rPr>
        <w:t>n context</w:t>
      </w:r>
      <w:r w:rsidR="00734DE2" w:rsidRPr="00646755">
        <w:rPr>
          <w:rFonts w:asciiTheme="minorHAnsi" w:hAnsiTheme="minorHAnsi" w:cstheme="minorHAnsi"/>
        </w:rPr>
        <w:t>. Between them</w:t>
      </w:r>
      <w:r w:rsidR="0013279C" w:rsidRPr="00646755">
        <w:rPr>
          <w:rFonts w:asciiTheme="minorHAnsi" w:hAnsiTheme="minorHAnsi" w:cstheme="minorHAnsi"/>
        </w:rPr>
        <w:t>,</w:t>
      </w:r>
      <w:r w:rsidR="00734DE2" w:rsidRPr="00646755">
        <w:rPr>
          <w:rFonts w:asciiTheme="minorHAnsi" w:hAnsiTheme="minorHAnsi" w:cstheme="minorHAnsi"/>
        </w:rPr>
        <w:t xml:space="preserve"> the </w:t>
      </w:r>
      <w:r w:rsidR="00165BB0">
        <w:rPr>
          <w:rFonts w:asciiTheme="minorHAnsi" w:hAnsiTheme="minorHAnsi" w:cstheme="minorHAnsi"/>
        </w:rPr>
        <w:t>article</w:t>
      </w:r>
      <w:r w:rsidR="00734DE2" w:rsidRPr="00646755">
        <w:rPr>
          <w:rFonts w:asciiTheme="minorHAnsi" w:hAnsiTheme="minorHAnsi" w:cstheme="minorHAnsi"/>
        </w:rPr>
        <w:t xml:space="preserve">s decentre </w:t>
      </w:r>
      <w:r w:rsidR="007D071F" w:rsidRPr="00646755">
        <w:rPr>
          <w:rFonts w:asciiTheme="minorHAnsi" w:hAnsiTheme="minorHAnsi" w:cstheme="minorHAnsi"/>
        </w:rPr>
        <w:t xml:space="preserve">widespread </w:t>
      </w:r>
      <w:r w:rsidR="00734DE2" w:rsidRPr="00646755">
        <w:rPr>
          <w:rFonts w:asciiTheme="minorHAnsi" w:hAnsiTheme="minorHAnsi" w:cstheme="minorHAnsi"/>
        </w:rPr>
        <w:t xml:space="preserve">notions of age and ageing, critique </w:t>
      </w:r>
      <w:r w:rsidR="0085791B">
        <w:rPr>
          <w:rFonts w:asciiTheme="minorHAnsi" w:hAnsiTheme="minorHAnsi" w:cstheme="minorHAnsi"/>
        </w:rPr>
        <w:t>conceptualisations of age and intergenerational relations rooted in</w:t>
      </w:r>
      <w:r w:rsidR="00734DE2" w:rsidRPr="00646755">
        <w:rPr>
          <w:rFonts w:asciiTheme="minorHAnsi" w:hAnsiTheme="minorHAnsi" w:cstheme="minorHAnsi"/>
        </w:rPr>
        <w:t xml:space="preserve"> coloniality and Western European perspectives and </w:t>
      </w:r>
      <w:r w:rsidR="0013279C" w:rsidRPr="00646755">
        <w:rPr>
          <w:rFonts w:asciiTheme="minorHAnsi" w:hAnsiTheme="minorHAnsi" w:cstheme="minorHAnsi"/>
        </w:rPr>
        <w:t xml:space="preserve">adopt </w:t>
      </w:r>
      <w:r w:rsidR="00734DE2" w:rsidRPr="00646755">
        <w:rPr>
          <w:rFonts w:asciiTheme="minorHAnsi" w:hAnsiTheme="minorHAnsi" w:cstheme="minorHAnsi"/>
        </w:rPr>
        <w:t xml:space="preserve">theoretical approaches that </w:t>
      </w:r>
      <w:r w:rsidR="007D071F" w:rsidRPr="00646755">
        <w:rPr>
          <w:rFonts w:asciiTheme="minorHAnsi" w:hAnsiTheme="minorHAnsi" w:cstheme="minorHAnsi"/>
        </w:rPr>
        <w:t>take</w:t>
      </w:r>
      <w:r w:rsidR="00734DE2" w:rsidRPr="00646755">
        <w:rPr>
          <w:rFonts w:asciiTheme="minorHAnsi" w:hAnsiTheme="minorHAnsi" w:cstheme="minorHAnsi"/>
        </w:rPr>
        <w:t xml:space="preserve"> local knowledges as points of departure.</w:t>
      </w:r>
      <w:r w:rsidR="00D06899" w:rsidRPr="00646755">
        <w:rPr>
          <w:rStyle w:val="EndnoteReference"/>
          <w:rFonts w:asciiTheme="minorHAnsi" w:hAnsiTheme="minorHAnsi" w:cstheme="minorHAnsi"/>
        </w:rPr>
        <w:endnoteReference w:id="1"/>
      </w:r>
      <w:r w:rsidR="00D06899" w:rsidRPr="00646755">
        <w:rPr>
          <w:rFonts w:asciiTheme="minorHAnsi" w:hAnsiTheme="minorHAnsi" w:cstheme="minorHAnsi"/>
          <w:color w:val="242424"/>
        </w:rPr>
        <w:t xml:space="preserve"> </w:t>
      </w:r>
    </w:p>
    <w:p w14:paraId="73AB8773" w14:textId="4C1C7F13" w:rsidR="00D06899" w:rsidRPr="00646755" w:rsidRDefault="00B610C1" w:rsidP="000371E8">
      <w:pPr>
        <w:spacing w:line="360" w:lineRule="auto"/>
        <w:ind w:firstLine="284"/>
        <w:rPr>
          <w:rFonts w:cstheme="minorHAnsi"/>
        </w:rPr>
      </w:pPr>
      <w:r>
        <w:rPr>
          <w:rFonts w:cstheme="minorHAnsi"/>
        </w:rPr>
        <w:t>This introduction to the Special Issue</w:t>
      </w:r>
      <w:r w:rsidR="00D06899" w:rsidRPr="00646755">
        <w:rPr>
          <w:rFonts w:cstheme="minorHAnsi"/>
        </w:rPr>
        <w:t xml:space="preserve"> provides a brief background on approaches to later life that have shaped policy and development agendas, starting with an assessment of how issues of ageing in development have been neglected in policy and academic debates, before continuing with a focus on demographic trends and debates. We present alternative strategies for thinking about later life, the relations </w:t>
      </w:r>
      <w:r w:rsidR="00D06899" w:rsidRPr="00646755">
        <w:rPr>
          <w:rFonts w:cstheme="minorHAnsi"/>
        </w:rPr>
        <w:lastRenderedPageBreak/>
        <w:t xml:space="preserve">between people of different age groups and, </w:t>
      </w:r>
      <w:r w:rsidR="00D06899" w:rsidRPr="00214590">
        <w:rPr>
          <w:rFonts w:cstheme="minorHAnsi"/>
        </w:rPr>
        <w:t>most significantly, whether and how development initiatives in earlier life stages can be carried</w:t>
      </w:r>
      <w:r w:rsidR="00D06899" w:rsidRPr="00646755">
        <w:rPr>
          <w:rFonts w:cstheme="minorHAnsi"/>
        </w:rPr>
        <w:t xml:space="preserve"> forward into later life. Finally, the </w:t>
      </w:r>
      <w:r w:rsidR="00165BB0">
        <w:rPr>
          <w:rFonts w:cstheme="minorHAnsi"/>
        </w:rPr>
        <w:t>article</w:t>
      </w:r>
      <w:r w:rsidR="00D06899" w:rsidRPr="00646755">
        <w:rPr>
          <w:rFonts w:cstheme="minorHAnsi"/>
        </w:rPr>
        <w:t xml:space="preserve"> will briefly review the articles in this S</w:t>
      </w:r>
      <w:r>
        <w:rPr>
          <w:rFonts w:cstheme="minorHAnsi"/>
        </w:rPr>
        <w:t xml:space="preserve">pecial </w:t>
      </w:r>
      <w:r w:rsidR="00D06899" w:rsidRPr="00646755">
        <w:rPr>
          <w:rFonts w:cstheme="minorHAnsi"/>
        </w:rPr>
        <w:t>I</w:t>
      </w:r>
      <w:r>
        <w:rPr>
          <w:rFonts w:cstheme="minorHAnsi"/>
        </w:rPr>
        <w:t>ssue</w:t>
      </w:r>
      <w:r w:rsidR="00D06899" w:rsidRPr="00646755">
        <w:rPr>
          <w:rFonts w:cstheme="minorHAnsi"/>
        </w:rPr>
        <w:t xml:space="preserve">. Through this review, we aim to move the debate on, from what might be called development gerontology’s focus on what older people as a group need, to a better understanding of their already existing contributions to development alongside a contextualised understanding of how their needs vary. The </w:t>
      </w:r>
      <w:r w:rsidR="00165BB0">
        <w:rPr>
          <w:rFonts w:cstheme="minorHAnsi"/>
        </w:rPr>
        <w:t>article</w:t>
      </w:r>
      <w:r w:rsidR="00D06899" w:rsidRPr="00F100C3">
        <w:rPr>
          <w:rFonts w:cstheme="minorHAnsi"/>
        </w:rPr>
        <w:t xml:space="preserve">s in this special issue cover a range of development-related topics: from </w:t>
      </w:r>
      <w:r w:rsidR="004A76EF" w:rsidRPr="00B610C1">
        <w:rPr>
          <w:rFonts w:cstheme="minorHAnsi"/>
        </w:rPr>
        <w:t>multilateral ageing and development policies</w:t>
      </w:r>
      <w:r w:rsidR="004A76EF">
        <w:rPr>
          <w:rFonts w:cstheme="minorHAnsi"/>
        </w:rPr>
        <w:t>,</w:t>
      </w:r>
      <w:r w:rsidR="004A76EF" w:rsidRPr="00F100C3">
        <w:rPr>
          <w:rFonts w:cstheme="minorHAnsi"/>
        </w:rPr>
        <w:t xml:space="preserve"> </w:t>
      </w:r>
      <w:r w:rsidR="00D06899" w:rsidRPr="00F100C3">
        <w:rPr>
          <w:rFonts w:cstheme="minorHAnsi"/>
        </w:rPr>
        <w:t xml:space="preserve">migration and development, </w:t>
      </w:r>
      <w:r w:rsidR="004A76EF">
        <w:rPr>
          <w:rFonts w:cstheme="minorHAnsi"/>
        </w:rPr>
        <w:t>trans-local and intra-household dynamics</w:t>
      </w:r>
      <w:r w:rsidR="00D06899" w:rsidRPr="00B610C1">
        <w:rPr>
          <w:rFonts w:cstheme="minorHAnsi"/>
        </w:rPr>
        <w:t xml:space="preserve">, </w:t>
      </w:r>
      <w:r w:rsidR="00616362" w:rsidRPr="00B610C1">
        <w:rPr>
          <w:rFonts w:cstheme="minorHAnsi"/>
        </w:rPr>
        <w:t xml:space="preserve">representation of </w:t>
      </w:r>
      <w:r w:rsidR="00D06899" w:rsidRPr="00B610C1">
        <w:rPr>
          <w:rFonts w:cstheme="minorHAnsi"/>
        </w:rPr>
        <w:t xml:space="preserve">older people </w:t>
      </w:r>
      <w:r w:rsidR="00616362" w:rsidRPr="00B610C1">
        <w:rPr>
          <w:rFonts w:cstheme="minorHAnsi"/>
        </w:rPr>
        <w:t>in the media</w:t>
      </w:r>
      <w:r w:rsidR="007D75BA" w:rsidRPr="00B610C1">
        <w:rPr>
          <w:rFonts w:cstheme="minorHAnsi"/>
        </w:rPr>
        <w:t xml:space="preserve"> and public policy</w:t>
      </w:r>
      <w:r w:rsidR="006C5CF7" w:rsidRPr="00B610C1">
        <w:rPr>
          <w:rFonts w:cstheme="minorHAnsi"/>
        </w:rPr>
        <w:t>, social care provision for</w:t>
      </w:r>
      <w:r w:rsidR="006C5CF7">
        <w:rPr>
          <w:rFonts w:cstheme="minorHAnsi"/>
        </w:rPr>
        <w:t xml:space="preserve"> older people who can </w:t>
      </w:r>
      <w:r w:rsidR="00D06899" w:rsidRPr="00F100C3">
        <w:rPr>
          <w:rFonts w:cstheme="minorHAnsi"/>
        </w:rPr>
        <w:t>be both vulnerable and ‘resilient’</w:t>
      </w:r>
      <w:r w:rsidR="006C5CF7">
        <w:rPr>
          <w:rFonts w:cstheme="minorHAnsi"/>
        </w:rPr>
        <w:t>,</w:t>
      </w:r>
      <w:r w:rsidR="00D06899" w:rsidRPr="00F100C3">
        <w:rPr>
          <w:rFonts w:cstheme="minorHAnsi"/>
        </w:rPr>
        <w:t xml:space="preserve"> to creating sustainable development in the context of environmental change. Collectively, they provide</w:t>
      </w:r>
      <w:r w:rsidR="00D06899" w:rsidRPr="00646755">
        <w:rPr>
          <w:rFonts w:cstheme="minorHAnsi"/>
        </w:rPr>
        <w:t xml:space="preserve"> the basis for new thinking</w:t>
      </w:r>
      <w:r>
        <w:rPr>
          <w:rFonts w:cstheme="minorHAnsi"/>
        </w:rPr>
        <w:t xml:space="preserve"> about </w:t>
      </w:r>
      <w:r w:rsidR="00390DBD">
        <w:rPr>
          <w:rFonts w:cstheme="minorHAnsi"/>
        </w:rPr>
        <w:t>ageing as a</w:t>
      </w:r>
      <w:r w:rsidR="00390DBD" w:rsidRPr="00646755">
        <w:rPr>
          <w:rFonts w:cstheme="minorHAnsi"/>
        </w:rPr>
        <w:t xml:space="preserve"> </w:t>
      </w:r>
      <w:r w:rsidR="00390DBD">
        <w:rPr>
          <w:rFonts w:cstheme="minorHAnsi"/>
        </w:rPr>
        <w:t xml:space="preserve">social process and </w:t>
      </w:r>
      <w:r>
        <w:rPr>
          <w:rFonts w:cstheme="minorHAnsi"/>
        </w:rPr>
        <w:t xml:space="preserve">older </w:t>
      </w:r>
      <w:r w:rsidR="00390DBD">
        <w:rPr>
          <w:rFonts w:cstheme="minorHAnsi"/>
        </w:rPr>
        <w:t>people and development and make the case that both need</w:t>
      </w:r>
      <w:r w:rsidR="00D06899" w:rsidRPr="00646755">
        <w:rPr>
          <w:rFonts w:cstheme="minorHAnsi"/>
        </w:rPr>
        <w:t xml:space="preserve"> to be central to development thinking and development interventions. </w:t>
      </w:r>
    </w:p>
    <w:p w14:paraId="16783526" w14:textId="77777777" w:rsidR="00D06899" w:rsidRPr="00646755" w:rsidRDefault="00D06899" w:rsidP="000371E8">
      <w:pPr>
        <w:spacing w:line="360" w:lineRule="auto"/>
        <w:rPr>
          <w:rFonts w:cstheme="minorHAnsi"/>
        </w:rPr>
      </w:pPr>
    </w:p>
    <w:p w14:paraId="7DCED7AF" w14:textId="68409A36" w:rsidR="00D06899" w:rsidRPr="00646755" w:rsidRDefault="00D06899" w:rsidP="000371E8">
      <w:pPr>
        <w:spacing w:line="360" w:lineRule="auto"/>
        <w:rPr>
          <w:rFonts w:cstheme="minorHAnsi"/>
          <w:b/>
          <w:bCs/>
        </w:rPr>
      </w:pPr>
      <w:r w:rsidRPr="00646755">
        <w:rPr>
          <w:rFonts w:cstheme="minorHAnsi"/>
          <w:b/>
          <w:bCs/>
        </w:rPr>
        <w:t>‘The last minority’ in development studies</w:t>
      </w:r>
    </w:p>
    <w:p w14:paraId="5CC1992E" w14:textId="45B8CB8D" w:rsidR="00E952C7" w:rsidRDefault="00D06899" w:rsidP="000371E8">
      <w:pPr>
        <w:spacing w:line="360" w:lineRule="auto"/>
        <w:rPr>
          <w:rFonts w:cstheme="minorHAnsi"/>
        </w:rPr>
      </w:pPr>
      <w:r w:rsidRPr="00646755">
        <w:rPr>
          <w:rFonts w:cstheme="minorHAnsi"/>
        </w:rPr>
        <w:t xml:space="preserve">‘Why don't we care about older people as much as children?’ – a provocative question posed by Guardian journalist, Glennie (2015).  Reflecting on a collection of essays edited by the international Non-Governmental Organisation (NGO) </w:t>
      </w:r>
      <w:r w:rsidRPr="00E70228">
        <w:rPr>
          <w:rFonts w:cstheme="minorHAnsi"/>
        </w:rPr>
        <w:t>Age International (Age International, 2015)</w:t>
      </w:r>
      <w:r w:rsidRPr="00646755">
        <w:rPr>
          <w:rFonts w:cstheme="minorHAnsi"/>
        </w:rPr>
        <w:t xml:space="preserve"> including essays by Vera-Sanso and Bluestone, Glennie suggests that the reason for the neglect of later life in development arises from institutional and perceptual factors. Glennie </w:t>
      </w:r>
      <w:r w:rsidRPr="00EA0FFD">
        <w:rPr>
          <w:rFonts w:cstheme="minorHAnsi"/>
        </w:rPr>
        <w:t>points to the contrast between the high-profile role of UNICEF in the development space and the support of children and youth in the Sustainable Development Goals, on the one hand, and the much more limited focus on older people’s rights on the other. He goes on to highlight the perceived threat of jobless, disaffected youth to national and international progress and stability as a contributing factor to this perception.</w:t>
      </w:r>
      <w:r w:rsidRPr="00646755">
        <w:rPr>
          <w:rFonts w:cstheme="minorHAnsi"/>
        </w:rPr>
        <w:t xml:space="preserve"> This perception is underpinned by the idea that older people are not part of the solution to development issues, while youth have the potential to</w:t>
      </w:r>
      <w:r w:rsidR="004A76EF">
        <w:rPr>
          <w:rFonts w:cstheme="minorHAnsi"/>
        </w:rPr>
        <w:t xml:space="preserve"> be actively engaged in change</w:t>
      </w:r>
      <w:r w:rsidR="00BC302A">
        <w:rPr>
          <w:rFonts w:cstheme="minorHAnsi"/>
        </w:rPr>
        <w:t>. I</w:t>
      </w:r>
      <w:r w:rsidRPr="00646755">
        <w:rPr>
          <w:rFonts w:cstheme="minorHAnsi"/>
        </w:rPr>
        <w:t>n the development space</w:t>
      </w:r>
      <w:r w:rsidR="00EA0FFD">
        <w:rPr>
          <w:rFonts w:cstheme="minorHAnsi"/>
        </w:rPr>
        <w:t>’s</w:t>
      </w:r>
      <w:r w:rsidRPr="00646755">
        <w:rPr>
          <w:rFonts w:cstheme="minorHAnsi"/>
        </w:rPr>
        <w:t xml:space="preserve"> </w:t>
      </w:r>
      <w:r w:rsidRPr="00646755">
        <w:rPr>
          <w:rFonts w:cstheme="minorHAnsi"/>
        </w:rPr>
        <w:lastRenderedPageBreak/>
        <w:t xml:space="preserve">imagination, older people are primarily associated with the past. </w:t>
      </w:r>
      <w:r w:rsidR="00E952C7">
        <w:rPr>
          <w:rFonts w:cstheme="minorHAnsi"/>
        </w:rPr>
        <w:t xml:space="preserve">This viewpoint is longstanding; the United Nations’ </w:t>
      </w:r>
      <w:r w:rsidR="00E952C7" w:rsidRPr="00607B4E">
        <w:rPr>
          <w:rFonts w:cstheme="minorHAnsi"/>
          <w:i/>
        </w:rPr>
        <w:t>Human Development Index</w:t>
      </w:r>
      <w:r w:rsidR="00E952C7" w:rsidRPr="00607B4E">
        <w:rPr>
          <w:rFonts w:cstheme="minorHAnsi"/>
        </w:rPr>
        <w:t xml:space="preserve"> (HDI)</w:t>
      </w:r>
      <w:r w:rsidR="00864804" w:rsidRPr="00607B4E">
        <w:rPr>
          <w:rFonts w:cstheme="minorHAnsi"/>
        </w:rPr>
        <w:t>,</w:t>
      </w:r>
      <w:r w:rsidR="00E952C7" w:rsidRPr="00607B4E">
        <w:rPr>
          <w:rFonts w:cstheme="minorHAnsi"/>
        </w:rPr>
        <w:t xml:space="preserve"> which is the UN’s key measure of development</w:t>
      </w:r>
      <w:r w:rsidR="00B96703">
        <w:rPr>
          <w:rFonts w:cstheme="minorHAnsi"/>
        </w:rPr>
        <w:t>,</w:t>
      </w:r>
      <w:r w:rsidR="004A76EF">
        <w:rPr>
          <w:rFonts w:cstheme="minorHAnsi"/>
        </w:rPr>
        <w:t xml:space="preserve"> was launched in 1990</w:t>
      </w:r>
      <w:r w:rsidR="00E952C7" w:rsidRPr="00607B4E">
        <w:rPr>
          <w:rFonts w:cstheme="minorHAnsi"/>
        </w:rPr>
        <w:t xml:space="preserve">.  HDI </w:t>
      </w:r>
      <w:r w:rsidR="002D55A7" w:rsidRPr="00607B4E">
        <w:rPr>
          <w:rFonts w:cstheme="minorHAnsi"/>
        </w:rPr>
        <w:t xml:space="preserve">focuses on national </w:t>
      </w:r>
      <w:r w:rsidR="00E952C7" w:rsidRPr="00607B4E">
        <w:rPr>
          <w:rFonts w:cstheme="minorHAnsi"/>
        </w:rPr>
        <w:t>achievements</w:t>
      </w:r>
      <w:r w:rsidR="004A76EF">
        <w:rPr>
          <w:rFonts w:cstheme="minorHAnsi"/>
        </w:rPr>
        <w:t xml:space="preserve"> </w:t>
      </w:r>
      <w:r w:rsidR="00E952C7" w:rsidRPr="00607B4E">
        <w:rPr>
          <w:rFonts w:cstheme="minorHAnsi"/>
        </w:rPr>
        <w:t xml:space="preserve">at the early end of </w:t>
      </w:r>
      <w:r w:rsidR="004A76EF">
        <w:rPr>
          <w:rFonts w:cstheme="minorHAnsi"/>
        </w:rPr>
        <w:t xml:space="preserve">the </w:t>
      </w:r>
      <w:r w:rsidR="00E952C7" w:rsidRPr="00607B4E">
        <w:rPr>
          <w:rFonts w:cstheme="minorHAnsi"/>
        </w:rPr>
        <w:t>life</w:t>
      </w:r>
      <w:r w:rsidR="004A76EF">
        <w:rPr>
          <w:rFonts w:cstheme="minorHAnsi"/>
        </w:rPr>
        <w:t xml:space="preserve"> course</w:t>
      </w:r>
      <w:r w:rsidR="00E952C7" w:rsidRPr="00607B4E">
        <w:rPr>
          <w:rFonts w:cstheme="minorHAnsi"/>
        </w:rPr>
        <w:t>, that is life expectancy at birth and schooling.</w:t>
      </w:r>
      <w:r w:rsidR="00BA537A">
        <w:rPr>
          <w:rStyle w:val="EndnoteReference"/>
          <w:rFonts w:cstheme="minorHAnsi"/>
        </w:rPr>
        <w:endnoteReference w:id="2"/>
      </w:r>
      <w:r w:rsidR="00BA537A">
        <w:rPr>
          <w:rFonts w:cstheme="minorHAnsi"/>
        </w:rPr>
        <w:t xml:space="preserve"> </w:t>
      </w:r>
      <w:r w:rsidR="00E952C7">
        <w:rPr>
          <w:rFonts w:cstheme="minorHAnsi"/>
        </w:rPr>
        <w:t xml:space="preserve"> </w:t>
      </w:r>
      <w:r w:rsidR="002D55A7">
        <w:rPr>
          <w:rFonts w:cstheme="minorHAnsi"/>
        </w:rPr>
        <w:t xml:space="preserve">In recognition of this the UN Economic Commission for Europe introduced the </w:t>
      </w:r>
      <w:r w:rsidR="002D55A7" w:rsidRPr="00607B4E">
        <w:rPr>
          <w:rFonts w:cstheme="minorHAnsi"/>
          <w:i/>
        </w:rPr>
        <w:t>Active Ageing Index</w:t>
      </w:r>
      <w:r w:rsidR="002D55A7">
        <w:rPr>
          <w:rFonts w:cstheme="minorHAnsi"/>
        </w:rPr>
        <w:t xml:space="preserve">, </w:t>
      </w:r>
      <w:r w:rsidR="00743B87">
        <w:rPr>
          <w:rFonts w:cstheme="minorHAnsi"/>
        </w:rPr>
        <w:t xml:space="preserve">which aimed at measuring the ‘untapped potential of older people [age 55 and above] for active and healthy ageing’, measuring independence, paid employment, social participation and capacity to age actively </w:t>
      </w:r>
      <w:r w:rsidR="00743B87" w:rsidRPr="004A76EF">
        <w:rPr>
          <w:rFonts w:cstheme="minorHAnsi"/>
        </w:rPr>
        <w:t>(UNECE, undated).</w:t>
      </w:r>
      <w:r w:rsidR="00743B87">
        <w:rPr>
          <w:rFonts w:cstheme="minorHAnsi"/>
        </w:rPr>
        <w:t xml:space="preserve"> </w:t>
      </w:r>
      <w:r w:rsidR="002D55A7">
        <w:rPr>
          <w:rFonts w:cstheme="minorHAnsi"/>
        </w:rPr>
        <w:t xml:space="preserve"> </w:t>
      </w:r>
      <w:r w:rsidR="00607B4E">
        <w:rPr>
          <w:rFonts w:cstheme="minorHAnsi"/>
        </w:rPr>
        <w:t xml:space="preserve">More useful is HelpAge International’s </w:t>
      </w:r>
      <w:r w:rsidR="00607B4E" w:rsidRPr="00607B4E">
        <w:rPr>
          <w:rFonts w:cstheme="minorHAnsi"/>
          <w:i/>
        </w:rPr>
        <w:t xml:space="preserve">Global </w:t>
      </w:r>
      <w:proofErr w:type="spellStart"/>
      <w:r w:rsidR="00607B4E" w:rsidRPr="00607B4E">
        <w:rPr>
          <w:rFonts w:cstheme="minorHAnsi"/>
          <w:i/>
        </w:rPr>
        <w:t>AgeWatch</w:t>
      </w:r>
      <w:proofErr w:type="spellEnd"/>
      <w:r w:rsidR="00607B4E" w:rsidRPr="00607B4E">
        <w:rPr>
          <w:rFonts w:cstheme="minorHAnsi"/>
          <w:i/>
        </w:rPr>
        <w:t xml:space="preserve"> Index</w:t>
      </w:r>
      <w:r w:rsidR="00607B4E">
        <w:rPr>
          <w:rFonts w:cstheme="minorHAnsi"/>
        </w:rPr>
        <w:t>, in which the aim is not to locate untapped potential but to track how well</w:t>
      </w:r>
      <w:r w:rsidR="00FD1907">
        <w:rPr>
          <w:rFonts w:cstheme="minorHAnsi"/>
        </w:rPr>
        <w:t xml:space="preserve"> older people are faring in 96 High</w:t>
      </w:r>
      <w:r w:rsidR="00EC0B38">
        <w:rPr>
          <w:rFonts w:cstheme="minorHAnsi"/>
        </w:rPr>
        <w:t>-</w:t>
      </w:r>
      <w:r w:rsidR="00FD1907">
        <w:rPr>
          <w:rFonts w:cstheme="minorHAnsi"/>
        </w:rPr>
        <w:t>, Middle</w:t>
      </w:r>
      <w:r w:rsidR="00EC0B38">
        <w:rPr>
          <w:rFonts w:cstheme="minorHAnsi"/>
        </w:rPr>
        <w:t>-</w:t>
      </w:r>
      <w:r w:rsidR="00FD1907">
        <w:rPr>
          <w:rFonts w:cstheme="minorHAnsi"/>
        </w:rPr>
        <w:t xml:space="preserve"> and L</w:t>
      </w:r>
      <w:r w:rsidR="00607B4E">
        <w:rPr>
          <w:rFonts w:cstheme="minorHAnsi"/>
        </w:rPr>
        <w:t xml:space="preserve">ow-income countries by focusing on income security, health status, capability (employment and education) and enabling environment </w:t>
      </w:r>
      <w:r w:rsidR="00607B4E" w:rsidRPr="00E70228">
        <w:rPr>
          <w:rFonts w:cstheme="minorHAnsi"/>
        </w:rPr>
        <w:t>(HelpAge International, undated).</w:t>
      </w:r>
      <w:r w:rsidR="00607B4E">
        <w:rPr>
          <w:rFonts w:cstheme="minorHAnsi"/>
        </w:rPr>
        <w:t xml:space="preserve">   </w:t>
      </w:r>
    </w:p>
    <w:p w14:paraId="505C1B4B" w14:textId="731810BB" w:rsidR="00D06899" w:rsidRPr="00646755" w:rsidRDefault="00D06899" w:rsidP="00E952C7">
      <w:pPr>
        <w:spacing w:line="360" w:lineRule="auto"/>
        <w:ind w:firstLine="284"/>
        <w:rPr>
          <w:rFonts w:eastAsia="Times New Roman" w:cstheme="minorHAnsi"/>
        </w:rPr>
      </w:pPr>
      <w:r w:rsidRPr="00646755">
        <w:rPr>
          <w:rFonts w:cstheme="minorHAnsi"/>
        </w:rPr>
        <w:t xml:space="preserve">Social policy more generally is permeated by a ‘social investment perspective’ that considers children as the future, and key to a country’s future economic growth, whereas older people are </w:t>
      </w:r>
      <w:r w:rsidR="00864804">
        <w:rPr>
          <w:rFonts w:cstheme="minorHAnsi"/>
        </w:rPr>
        <w:t>position</w:t>
      </w:r>
      <w:r w:rsidR="00392C7D">
        <w:rPr>
          <w:rFonts w:cstheme="minorHAnsi"/>
        </w:rPr>
        <w:t>ed as a ‘burden’</w:t>
      </w:r>
      <w:r w:rsidRPr="00646755">
        <w:rPr>
          <w:rFonts w:cstheme="minorHAnsi"/>
        </w:rPr>
        <w:t xml:space="preserve"> on ‘economically active’ or working age groups, and a ‘drain’ </w:t>
      </w:r>
      <w:r w:rsidR="00392C7D">
        <w:rPr>
          <w:rFonts w:cstheme="minorHAnsi"/>
        </w:rPr>
        <w:t>on a country’s finances, either</w:t>
      </w:r>
      <w:r w:rsidRPr="00646755">
        <w:rPr>
          <w:rFonts w:cstheme="minorHAnsi"/>
        </w:rPr>
        <w:t xml:space="preserve"> through demands on healthcare provision or the drawing of old-age pensions. However, far from being a burden </w:t>
      </w:r>
      <w:r w:rsidRPr="00646755">
        <w:rPr>
          <w:rFonts w:eastAsia="Times New Roman" w:cstheme="minorHAnsi"/>
        </w:rPr>
        <w:t>older people’s work, whether paid or unpaid, is critical to household economies, family networks and, if we trace the forward linkages of their work, plays a significant role in helping a nation carve out a place within the global economy (Vera-Sanso, 2012</w:t>
      </w:r>
      <w:r w:rsidR="00523DCD">
        <w:rPr>
          <w:rFonts w:eastAsia="Times New Roman" w:cstheme="minorHAnsi"/>
        </w:rPr>
        <w:t>; Vullnetari, this volume</w:t>
      </w:r>
      <w:r w:rsidRPr="00646755">
        <w:rPr>
          <w:rFonts w:eastAsia="Times New Roman" w:cstheme="minorHAnsi"/>
        </w:rPr>
        <w:t>).</w:t>
      </w:r>
    </w:p>
    <w:p w14:paraId="557CA028" w14:textId="3B6C58DB" w:rsidR="00D06899" w:rsidRPr="00646755" w:rsidRDefault="00D06899" w:rsidP="000371E8">
      <w:pPr>
        <w:spacing w:line="360" w:lineRule="auto"/>
        <w:ind w:firstLine="284"/>
        <w:rPr>
          <w:rFonts w:cstheme="minorHAnsi"/>
        </w:rPr>
      </w:pPr>
      <w:r w:rsidRPr="00646755">
        <w:rPr>
          <w:rFonts w:cstheme="minorHAnsi"/>
        </w:rPr>
        <w:t xml:space="preserve">This lack of attention to later life is partly due to </w:t>
      </w:r>
      <w:r w:rsidR="00D16ACE">
        <w:rPr>
          <w:rFonts w:cstheme="minorHAnsi"/>
        </w:rPr>
        <w:t xml:space="preserve">individual and population ageing </w:t>
      </w:r>
      <w:r w:rsidR="00392C7D">
        <w:rPr>
          <w:rFonts w:cstheme="minorHAnsi"/>
        </w:rPr>
        <w:t>being erroneously considered a High-Income C</w:t>
      </w:r>
      <w:r w:rsidRPr="00646755">
        <w:rPr>
          <w:rFonts w:cstheme="minorHAnsi"/>
        </w:rPr>
        <w:t>ountry issue. It was not until the First World Assembly on Ageing held in Vienna in 1982, that ageing came to be recognised by global development players as an issue of concern for developing countries. The UN’s adoption of the Vienna Action Plan on Ageing singled out ‘older persons and development’ as the top priority area in global development agendas (UNFPA</w:t>
      </w:r>
      <w:r>
        <w:rPr>
          <w:rFonts w:cstheme="minorHAnsi"/>
        </w:rPr>
        <w:t>,</w:t>
      </w:r>
      <w:r w:rsidRPr="00646755">
        <w:rPr>
          <w:rFonts w:cstheme="minorHAnsi"/>
        </w:rPr>
        <w:t xml:space="preserve"> 2012: 31). Since 1982 the UN has made repeated calls for including older people into </w:t>
      </w:r>
      <w:r w:rsidRPr="00646755">
        <w:rPr>
          <w:rFonts w:cstheme="minorHAnsi"/>
        </w:rPr>
        <w:lastRenderedPageBreak/>
        <w:t xml:space="preserve">development agendas with limited success, leading Desai to decry the ‘almost total absence of discussion on ageing </w:t>
      </w:r>
      <w:r w:rsidRPr="00646755">
        <w:rPr>
          <w:rFonts w:cstheme="minorHAnsi"/>
          <w:i/>
          <w:iCs/>
        </w:rPr>
        <w:t>and poverty</w:t>
      </w:r>
      <w:r w:rsidRPr="00646755">
        <w:rPr>
          <w:rFonts w:cstheme="minorHAnsi"/>
        </w:rPr>
        <w:t xml:space="preserve"> in the global development agenda’ (2014: 460; see also Lloyd-Sherlock</w:t>
      </w:r>
      <w:r>
        <w:rPr>
          <w:rFonts w:cstheme="minorHAnsi"/>
        </w:rPr>
        <w:t>,</w:t>
      </w:r>
      <w:r w:rsidRPr="00646755">
        <w:rPr>
          <w:rFonts w:cstheme="minorHAnsi"/>
        </w:rPr>
        <w:t xml:space="preserve"> 2004a</w:t>
      </w:r>
      <w:r w:rsidR="00AF567E">
        <w:rPr>
          <w:rFonts w:cstheme="minorHAnsi"/>
        </w:rPr>
        <w:t>;</w:t>
      </w:r>
      <w:r w:rsidRPr="00646755">
        <w:rPr>
          <w:rFonts w:cstheme="minorHAnsi"/>
        </w:rPr>
        <w:t xml:space="preserve"> Vera-Sanso and Sweetman</w:t>
      </w:r>
      <w:r>
        <w:rPr>
          <w:rFonts w:cstheme="minorHAnsi"/>
        </w:rPr>
        <w:t>,</w:t>
      </w:r>
      <w:r w:rsidRPr="00646755">
        <w:rPr>
          <w:rFonts w:cstheme="minorHAnsi"/>
        </w:rPr>
        <w:t xml:space="preserve"> 2009</w:t>
      </w:r>
      <w:r w:rsidR="00AF567E">
        <w:rPr>
          <w:rFonts w:cstheme="minorHAnsi"/>
        </w:rPr>
        <w:t>;</w:t>
      </w:r>
      <w:r w:rsidRPr="00646755">
        <w:rPr>
          <w:rFonts w:cstheme="minorHAnsi"/>
        </w:rPr>
        <w:t xml:space="preserve"> and articles by Vera-Sanso and Vullnetari in this issue). </w:t>
      </w:r>
      <w:r w:rsidR="0066444A" w:rsidRPr="00E604AD">
        <w:rPr>
          <w:rFonts w:cstheme="minorHAnsi"/>
        </w:rPr>
        <w:t>We have yet to see whether t</w:t>
      </w:r>
      <w:r w:rsidRPr="00E604AD">
        <w:rPr>
          <w:rFonts w:cstheme="minorHAnsi"/>
        </w:rPr>
        <w:t xml:space="preserve">his marginalisation of later life from development agendas </w:t>
      </w:r>
      <w:r w:rsidR="0066444A" w:rsidRPr="00E604AD">
        <w:rPr>
          <w:rFonts w:cstheme="minorHAnsi"/>
        </w:rPr>
        <w:t>will start to change</w:t>
      </w:r>
      <w:r w:rsidRPr="00E604AD">
        <w:rPr>
          <w:rFonts w:cstheme="minorHAnsi"/>
        </w:rPr>
        <w:t xml:space="preserve"> with the UN’s Decade of Healthy Ageing (2020-2030) being positioned as critical to the Sustainable Development Goals’ success.</w:t>
      </w:r>
      <w:r w:rsidRPr="00646755">
        <w:rPr>
          <w:rFonts w:cstheme="minorHAnsi"/>
        </w:rPr>
        <w:t xml:space="preserve"> </w:t>
      </w:r>
    </w:p>
    <w:p w14:paraId="0743F847" w14:textId="491EA860" w:rsidR="00D06899" w:rsidRDefault="00D06899" w:rsidP="000371E8">
      <w:pPr>
        <w:spacing w:line="360" w:lineRule="auto"/>
        <w:ind w:firstLine="284"/>
        <w:rPr>
          <w:rFonts w:cstheme="minorHAnsi"/>
        </w:rPr>
      </w:pPr>
      <w:r w:rsidRPr="00646755">
        <w:rPr>
          <w:rFonts w:cstheme="minorHAnsi"/>
        </w:rPr>
        <w:t xml:space="preserve">Similar to policy arenas, the field of development studies has paid scant attention to people in older ages, leaving the concerns of this group to </w:t>
      </w:r>
      <w:r w:rsidR="00C45AE7">
        <w:rPr>
          <w:rFonts w:cstheme="minorHAnsi"/>
        </w:rPr>
        <w:t xml:space="preserve">what might be called </w:t>
      </w:r>
      <w:r w:rsidRPr="00646755">
        <w:rPr>
          <w:rFonts w:cstheme="minorHAnsi"/>
        </w:rPr>
        <w:t>gerontolog</w:t>
      </w:r>
      <w:r w:rsidR="00C45AE7">
        <w:rPr>
          <w:rFonts w:cstheme="minorHAnsi"/>
        </w:rPr>
        <w:t>y of the Global South</w:t>
      </w:r>
      <w:r w:rsidRPr="00646755">
        <w:rPr>
          <w:rFonts w:cstheme="minorHAnsi"/>
        </w:rPr>
        <w:t>. Instead, the focus has been on younger people and children as this journal’s selected areas of interest and history of articles demonstrates (see Jones</w:t>
      </w:r>
      <w:r>
        <w:rPr>
          <w:rFonts w:cstheme="minorHAnsi"/>
        </w:rPr>
        <w:t>,</w:t>
      </w:r>
      <w:r w:rsidRPr="00646755">
        <w:rPr>
          <w:rFonts w:cstheme="minorHAnsi"/>
        </w:rPr>
        <w:t xml:space="preserve"> 2005; 2008; 2011; also Mayo</w:t>
      </w:r>
      <w:r>
        <w:rPr>
          <w:rFonts w:cstheme="minorHAnsi"/>
        </w:rPr>
        <w:t>,</w:t>
      </w:r>
      <w:r w:rsidRPr="00646755">
        <w:rPr>
          <w:rFonts w:cstheme="minorHAnsi"/>
        </w:rPr>
        <w:t xml:space="preserve"> 2001; </w:t>
      </w:r>
      <w:proofErr w:type="spellStart"/>
      <w:r w:rsidRPr="00646755">
        <w:rPr>
          <w:rFonts w:cstheme="minorHAnsi"/>
        </w:rPr>
        <w:t>Bourdillon</w:t>
      </w:r>
      <w:proofErr w:type="spellEnd"/>
      <w:r>
        <w:rPr>
          <w:rFonts w:cstheme="minorHAnsi"/>
        </w:rPr>
        <w:t>,</w:t>
      </w:r>
      <w:r w:rsidRPr="00646755">
        <w:rPr>
          <w:rFonts w:cstheme="minorHAnsi"/>
        </w:rPr>
        <w:t xml:space="preserve"> 2004). In this journal</w:t>
      </w:r>
      <w:r w:rsidR="000639D4">
        <w:rPr>
          <w:rFonts w:cstheme="minorHAnsi"/>
        </w:rPr>
        <w:t>,</w:t>
      </w:r>
      <w:r w:rsidRPr="00646755">
        <w:rPr>
          <w:rFonts w:cstheme="minorHAnsi"/>
        </w:rPr>
        <w:t xml:space="preserve"> this is the first S</w:t>
      </w:r>
      <w:r w:rsidR="00D16ACE">
        <w:rPr>
          <w:rFonts w:cstheme="minorHAnsi"/>
        </w:rPr>
        <w:t xml:space="preserve">pecial </w:t>
      </w:r>
      <w:r w:rsidRPr="00646755">
        <w:rPr>
          <w:rFonts w:cstheme="minorHAnsi"/>
        </w:rPr>
        <w:t>I</w:t>
      </w:r>
      <w:r w:rsidR="00D16ACE">
        <w:rPr>
          <w:rFonts w:cstheme="minorHAnsi"/>
        </w:rPr>
        <w:t>ssue</w:t>
      </w:r>
      <w:r w:rsidRPr="00646755">
        <w:rPr>
          <w:rFonts w:cstheme="minorHAnsi"/>
        </w:rPr>
        <w:t xml:space="preserve"> to focus on older people. The central </w:t>
      </w:r>
      <w:r w:rsidR="00C45AE7">
        <w:rPr>
          <w:rFonts w:cstheme="minorHAnsi"/>
        </w:rPr>
        <w:t>concern</w:t>
      </w:r>
      <w:r w:rsidRPr="00646755">
        <w:rPr>
          <w:rFonts w:cstheme="minorHAnsi"/>
        </w:rPr>
        <w:t xml:space="preserve"> here is not the focus on young people but the exclusion of older people and the consequent lack of understanding of the ways lives are linked both synchronically and across the life course. Failing to acknowledge and understand these linkages may prevent the developmental benefits gained in early life being ca</w:t>
      </w:r>
      <w:r w:rsidR="00CA5FA4">
        <w:rPr>
          <w:rFonts w:cstheme="minorHAnsi"/>
        </w:rPr>
        <w:t>rried forward into later life and</w:t>
      </w:r>
      <w:r w:rsidRPr="00646755">
        <w:rPr>
          <w:rFonts w:cstheme="minorHAnsi"/>
        </w:rPr>
        <w:t xml:space="preserve"> </w:t>
      </w:r>
      <w:r w:rsidR="00CA5FA4">
        <w:rPr>
          <w:rFonts w:cstheme="minorHAnsi"/>
        </w:rPr>
        <w:t xml:space="preserve">may </w:t>
      </w:r>
      <w:r w:rsidRPr="00646755">
        <w:rPr>
          <w:rFonts w:cstheme="minorHAnsi"/>
        </w:rPr>
        <w:t>have implications for the intergenerational transmission of wellbeing (Lloyd-Sherlock and Locke, 2008). It is indicative that one of the earlier publications on older people and development was published by the international NGO HelpAge International (Randel et al.</w:t>
      </w:r>
      <w:r>
        <w:rPr>
          <w:rFonts w:cstheme="minorHAnsi"/>
        </w:rPr>
        <w:t>,</w:t>
      </w:r>
      <w:r w:rsidRPr="00646755">
        <w:rPr>
          <w:rFonts w:cstheme="minorHAnsi"/>
        </w:rPr>
        <w:t xml:space="preserve"> 1999). Development studies as a discipline has paid some attention to ageing and the life course (see for example, the work of Vera-Sanso</w:t>
      </w:r>
      <w:r>
        <w:rPr>
          <w:rFonts w:cstheme="minorHAnsi"/>
        </w:rPr>
        <w:t>,</w:t>
      </w:r>
      <w:r w:rsidRPr="00646755">
        <w:rPr>
          <w:rFonts w:cstheme="minorHAnsi"/>
        </w:rPr>
        <w:t xml:space="preserve"> 2006</w:t>
      </w:r>
      <w:r>
        <w:rPr>
          <w:rFonts w:cstheme="minorHAnsi"/>
        </w:rPr>
        <w:t>;</w:t>
      </w:r>
      <w:r w:rsidRPr="00646755">
        <w:rPr>
          <w:rFonts w:cstheme="minorHAnsi"/>
        </w:rPr>
        <w:t xml:space="preserve"> 2007</w:t>
      </w:r>
      <w:r>
        <w:rPr>
          <w:rFonts w:cstheme="minorHAnsi"/>
        </w:rPr>
        <w:t>;</w:t>
      </w:r>
      <w:r w:rsidRPr="00646755">
        <w:rPr>
          <w:rFonts w:cstheme="minorHAnsi"/>
        </w:rPr>
        <w:t xml:space="preserve"> 2012</w:t>
      </w:r>
      <w:r>
        <w:rPr>
          <w:rFonts w:cstheme="minorHAnsi"/>
        </w:rPr>
        <w:t>;</w:t>
      </w:r>
      <w:r w:rsidRPr="00646755">
        <w:rPr>
          <w:rFonts w:cstheme="minorHAnsi"/>
        </w:rPr>
        <w:t xml:space="preserve"> Wright</w:t>
      </w:r>
      <w:r>
        <w:rPr>
          <w:rFonts w:cstheme="minorHAnsi"/>
        </w:rPr>
        <w:t>,</w:t>
      </w:r>
      <w:r w:rsidRPr="00646755">
        <w:rPr>
          <w:rFonts w:cstheme="minorHAnsi"/>
        </w:rPr>
        <w:t xml:space="preserve"> 2012; for broader discussions on the importance of a life-course approach see Bailey</w:t>
      </w:r>
      <w:r>
        <w:rPr>
          <w:rFonts w:cstheme="minorHAnsi"/>
        </w:rPr>
        <w:t>,</w:t>
      </w:r>
      <w:r w:rsidRPr="00646755">
        <w:rPr>
          <w:rFonts w:cstheme="minorHAnsi"/>
        </w:rPr>
        <w:t xml:space="preserve"> 2009; for a gendered life-course approach, including masculinity see Vera-Sanso</w:t>
      </w:r>
      <w:r>
        <w:rPr>
          <w:rFonts w:cstheme="minorHAnsi"/>
        </w:rPr>
        <w:t>,</w:t>
      </w:r>
      <w:r w:rsidRPr="00646755">
        <w:rPr>
          <w:rFonts w:cstheme="minorHAnsi"/>
        </w:rPr>
        <w:t xml:space="preserve"> 2010</w:t>
      </w:r>
      <w:r>
        <w:rPr>
          <w:rFonts w:cstheme="minorHAnsi"/>
        </w:rPr>
        <w:t>;</w:t>
      </w:r>
      <w:r w:rsidRPr="00646755">
        <w:rPr>
          <w:rFonts w:cstheme="minorHAnsi"/>
        </w:rPr>
        <w:t xml:space="preserve"> 2016; for methodological concerns see Locke and Lloyd-Sherlock, 2011). Chapters on ageing exist in three main Handbooks of or Companions to Development Studies, edited by Clark (Lloyd-Sherlock</w:t>
      </w:r>
      <w:r>
        <w:rPr>
          <w:rFonts w:cstheme="minorHAnsi"/>
        </w:rPr>
        <w:t>,</w:t>
      </w:r>
      <w:r w:rsidRPr="00646755">
        <w:rPr>
          <w:rFonts w:cstheme="minorHAnsi"/>
        </w:rPr>
        <w:t xml:space="preserve"> 2006) </w:t>
      </w:r>
      <w:r w:rsidRPr="00C164EF">
        <w:rPr>
          <w:rFonts w:cstheme="minorHAnsi"/>
        </w:rPr>
        <w:t xml:space="preserve">and the </w:t>
      </w:r>
      <w:r w:rsidR="003A414C">
        <w:rPr>
          <w:rFonts w:cstheme="minorHAnsi"/>
        </w:rPr>
        <w:t>third edition</w:t>
      </w:r>
      <w:r w:rsidRPr="00C164EF">
        <w:rPr>
          <w:rFonts w:cstheme="minorHAnsi"/>
        </w:rPr>
        <w:t xml:space="preserve"> of Desai and Potter (Desai, 2014)</w:t>
      </w:r>
      <w:r w:rsidRPr="00646755">
        <w:rPr>
          <w:rFonts w:cstheme="minorHAnsi"/>
        </w:rPr>
        <w:t xml:space="preserve"> and Sims et al.  (Vera-Sanso</w:t>
      </w:r>
      <w:r>
        <w:rPr>
          <w:rFonts w:cstheme="minorHAnsi"/>
        </w:rPr>
        <w:t>,</w:t>
      </w:r>
      <w:r w:rsidRPr="00646755">
        <w:rPr>
          <w:rFonts w:cstheme="minorHAnsi"/>
        </w:rPr>
        <w:t xml:space="preserve"> 2022). The </w:t>
      </w:r>
      <w:r w:rsidRPr="00646755">
        <w:rPr>
          <w:rFonts w:cstheme="minorHAnsi"/>
          <w:i/>
        </w:rPr>
        <w:t>Sage Handbook on Aging, Work and Society</w:t>
      </w:r>
      <w:r w:rsidRPr="00646755">
        <w:rPr>
          <w:rFonts w:cstheme="minorHAnsi"/>
        </w:rPr>
        <w:t xml:space="preserve"> (Field et al</w:t>
      </w:r>
      <w:r>
        <w:rPr>
          <w:rFonts w:cstheme="minorHAnsi"/>
        </w:rPr>
        <w:t>.,</w:t>
      </w:r>
      <w:r w:rsidRPr="00646755">
        <w:rPr>
          <w:rFonts w:cstheme="minorHAnsi"/>
        </w:rPr>
        <w:t xml:space="preserve"> 2013), </w:t>
      </w:r>
      <w:r w:rsidRPr="00646755">
        <w:rPr>
          <w:rFonts w:cstheme="minorHAnsi"/>
          <w:i/>
        </w:rPr>
        <w:t xml:space="preserve">Demographics, Employment and Old </w:t>
      </w:r>
      <w:r w:rsidRPr="00646755">
        <w:rPr>
          <w:rFonts w:cstheme="minorHAnsi"/>
          <w:i/>
        </w:rPr>
        <w:lastRenderedPageBreak/>
        <w:t>Age Security</w:t>
      </w:r>
      <w:r w:rsidRPr="00646755">
        <w:rPr>
          <w:rFonts w:cstheme="minorHAnsi"/>
        </w:rPr>
        <w:t xml:space="preserve"> (Alam and Barrientos</w:t>
      </w:r>
      <w:r>
        <w:rPr>
          <w:rFonts w:cstheme="minorHAnsi"/>
        </w:rPr>
        <w:t>,</w:t>
      </w:r>
      <w:r w:rsidRPr="00646755">
        <w:rPr>
          <w:rFonts w:cstheme="minorHAnsi"/>
        </w:rPr>
        <w:t xml:space="preserve"> 2010) and </w:t>
      </w:r>
      <w:r w:rsidRPr="00646755">
        <w:rPr>
          <w:rFonts w:cstheme="minorHAnsi"/>
          <w:i/>
        </w:rPr>
        <w:t>Population Ageing and International Development</w:t>
      </w:r>
      <w:r w:rsidRPr="00646755">
        <w:rPr>
          <w:rFonts w:cstheme="minorHAnsi"/>
        </w:rPr>
        <w:t xml:space="preserve"> (Lloyd-Sherlock, 2010) are notable exceptions to the scant research into older people’s economic contributions and rights in development studies publications. However, these</w:t>
      </w:r>
      <w:r w:rsidR="00C45AE7">
        <w:rPr>
          <w:rFonts w:cstheme="minorHAnsi"/>
        </w:rPr>
        <w:t xml:space="preserve"> publications</w:t>
      </w:r>
      <w:r w:rsidRPr="00646755">
        <w:rPr>
          <w:rFonts w:cstheme="minorHAnsi"/>
        </w:rPr>
        <w:t xml:space="preserve"> have yet to make a lasting impact on development debates. Just as concerning </w:t>
      </w:r>
      <w:r w:rsidR="00C45AE7">
        <w:rPr>
          <w:rFonts w:cstheme="minorHAnsi"/>
        </w:rPr>
        <w:t xml:space="preserve">is </w:t>
      </w:r>
      <w:r w:rsidRPr="00646755">
        <w:rPr>
          <w:rFonts w:cstheme="minorHAnsi"/>
        </w:rPr>
        <w:t xml:space="preserve">older people’s near absence </w:t>
      </w:r>
      <w:r w:rsidR="00C45AE7">
        <w:rPr>
          <w:rFonts w:cstheme="minorHAnsi"/>
        </w:rPr>
        <w:t>from the development literature</w:t>
      </w:r>
      <w:r w:rsidRPr="00646755">
        <w:rPr>
          <w:rFonts w:cstheme="minorHAnsi"/>
        </w:rPr>
        <w:t xml:space="preserve"> is the dominance of the </w:t>
      </w:r>
      <w:proofErr w:type="spellStart"/>
      <w:r w:rsidRPr="00646755">
        <w:rPr>
          <w:rFonts w:cstheme="minorHAnsi"/>
        </w:rPr>
        <w:t>uni</w:t>
      </w:r>
      <w:proofErr w:type="spellEnd"/>
      <w:r w:rsidRPr="00646755">
        <w:rPr>
          <w:rFonts w:cstheme="minorHAnsi"/>
        </w:rPr>
        <w:t xml:space="preserve">-dimensional portrayal of older people as vulnerable and needing development interventions that overlooks older people’s </w:t>
      </w:r>
      <w:r w:rsidRPr="00646755">
        <w:rPr>
          <w:rFonts w:cstheme="minorHAnsi"/>
          <w:i/>
          <w:iCs/>
        </w:rPr>
        <w:t>actual</w:t>
      </w:r>
      <w:r w:rsidRPr="00646755">
        <w:rPr>
          <w:rFonts w:cstheme="minorHAnsi"/>
        </w:rPr>
        <w:t xml:space="preserve"> and </w:t>
      </w:r>
      <w:r w:rsidRPr="00646755">
        <w:rPr>
          <w:rFonts w:cstheme="minorHAnsi"/>
          <w:i/>
          <w:iCs/>
        </w:rPr>
        <w:t>potential</w:t>
      </w:r>
      <w:r w:rsidRPr="00646755">
        <w:rPr>
          <w:rFonts w:cstheme="minorHAnsi"/>
        </w:rPr>
        <w:t xml:space="preserve"> contributions to development (Lloyd-Sherlock, 2004b; Vera-Sanso</w:t>
      </w:r>
      <w:r>
        <w:rPr>
          <w:rFonts w:cstheme="minorHAnsi"/>
        </w:rPr>
        <w:t>,</w:t>
      </w:r>
      <w:r w:rsidRPr="00646755">
        <w:rPr>
          <w:rFonts w:cstheme="minorHAnsi"/>
        </w:rPr>
        <w:t xml:space="preserve"> 2016).</w:t>
      </w:r>
    </w:p>
    <w:p w14:paraId="6EDDE36E" w14:textId="56ABB505" w:rsidR="00C21EDF" w:rsidRDefault="00BE7BE0" w:rsidP="00C21EDF">
      <w:pPr>
        <w:spacing w:line="360" w:lineRule="auto"/>
        <w:ind w:firstLine="284"/>
        <w:rPr>
          <w:rFonts w:cstheme="minorHAnsi"/>
        </w:rPr>
      </w:pPr>
      <w:r>
        <w:rPr>
          <w:rFonts w:cstheme="minorHAnsi"/>
        </w:rPr>
        <w:t xml:space="preserve">This </w:t>
      </w:r>
      <w:proofErr w:type="spellStart"/>
      <w:r>
        <w:rPr>
          <w:rFonts w:cstheme="minorHAnsi"/>
        </w:rPr>
        <w:t>uni</w:t>
      </w:r>
      <w:proofErr w:type="spellEnd"/>
      <w:r>
        <w:rPr>
          <w:rFonts w:cstheme="minorHAnsi"/>
        </w:rPr>
        <w:t xml:space="preserve">-dimensional portrayal </w:t>
      </w:r>
      <w:r w:rsidR="00BC0623">
        <w:rPr>
          <w:rFonts w:cstheme="minorHAnsi"/>
        </w:rPr>
        <w:t>is</w:t>
      </w:r>
      <w:r>
        <w:rPr>
          <w:rFonts w:cstheme="minorHAnsi"/>
        </w:rPr>
        <w:t xml:space="preserve"> partly due to</w:t>
      </w:r>
      <w:r w:rsidR="00BC0623">
        <w:rPr>
          <w:rFonts w:cstheme="minorHAnsi"/>
        </w:rPr>
        <w:t xml:space="preserve"> </w:t>
      </w:r>
      <w:r>
        <w:rPr>
          <w:rFonts w:cstheme="minorHAnsi"/>
        </w:rPr>
        <w:t>uncertainties as to</w:t>
      </w:r>
      <w:r w:rsidR="00BC0623">
        <w:rPr>
          <w:rFonts w:cstheme="minorHAnsi"/>
        </w:rPr>
        <w:t xml:space="preserve"> what terms such as </w:t>
      </w:r>
      <w:r w:rsidR="0016549E">
        <w:rPr>
          <w:rFonts w:cstheme="minorHAnsi"/>
        </w:rPr>
        <w:t>‘</w:t>
      </w:r>
      <w:r w:rsidR="00BC0623">
        <w:rPr>
          <w:rFonts w:cstheme="minorHAnsi"/>
        </w:rPr>
        <w:t>older persons</w:t>
      </w:r>
      <w:r w:rsidR="0016549E">
        <w:rPr>
          <w:rFonts w:cstheme="minorHAnsi"/>
        </w:rPr>
        <w:t xml:space="preserve">’, ‘older </w:t>
      </w:r>
      <w:r w:rsidR="00BC0623">
        <w:rPr>
          <w:rFonts w:cstheme="minorHAnsi"/>
        </w:rPr>
        <w:t>people</w:t>
      </w:r>
      <w:r w:rsidR="0016549E">
        <w:rPr>
          <w:rFonts w:cstheme="minorHAnsi"/>
        </w:rPr>
        <w:t>’</w:t>
      </w:r>
      <w:r w:rsidR="00BC0623">
        <w:rPr>
          <w:rFonts w:cstheme="minorHAnsi"/>
        </w:rPr>
        <w:t xml:space="preserve"> and </w:t>
      </w:r>
      <w:r w:rsidR="0016549E">
        <w:rPr>
          <w:rFonts w:cstheme="minorHAnsi"/>
        </w:rPr>
        <w:t>‘</w:t>
      </w:r>
      <w:r w:rsidR="00BC0623">
        <w:rPr>
          <w:rFonts w:cstheme="minorHAnsi"/>
        </w:rPr>
        <w:t>ageing</w:t>
      </w:r>
      <w:r w:rsidR="0016549E">
        <w:rPr>
          <w:rFonts w:cstheme="minorHAnsi"/>
        </w:rPr>
        <w:t>’</w:t>
      </w:r>
      <w:r w:rsidR="00BC0623">
        <w:rPr>
          <w:rFonts w:cstheme="minorHAnsi"/>
        </w:rPr>
        <w:t xml:space="preserve"> refer to</w:t>
      </w:r>
      <w:r>
        <w:rPr>
          <w:rFonts w:cstheme="minorHAnsi"/>
        </w:rPr>
        <w:t xml:space="preserve">. Do they refer to an objective category of people or to a social status? Does ageing refer to a process or is it a euphemism for old age?  Is ageing </w:t>
      </w:r>
      <w:r w:rsidR="00AB5982">
        <w:rPr>
          <w:rFonts w:cstheme="minorHAnsi"/>
        </w:rPr>
        <w:t xml:space="preserve">more a </w:t>
      </w:r>
      <w:r>
        <w:rPr>
          <w:rFonts w:cstheme="minorHAnsi"/>
        </w:rPr>
        <w:t xml:space="preserve">social or </w:t>
      </w:r>
      <w:r w:rsidR="00AB5982">
        <w:rPr>
          <w:rFonts w:cstheme="minorHAnsi"/>
        </w:rPr>
        <w:t xml:space="preserve">a </w:t>
      </w:r>
      <w:r>
        <w:rPr>
          <w:rFonts w:cstheme="minorHAnsi"/>
        </w:rPr>
        <w:t>biological process</w:t>
      </w:r>
      <w:r w:rsidR="00AB5982">
        <w:rPr>
          <w:rFonts w:cstheme="minorHAnsi"/>
        </w:rPr>
        <w:t>?</w:t>
      </w:r>
      <w:r w:rsidR="00BC0623">
        <w:rPr>
          <w:rFonts w:cstheme="minorHAnsi"/>
        </w:rPr>
        <w:t xml:space="preserve">  Just as the term </w:t>
      </w:r>
      <w:r w:rsidR="00AB5982">
        <w:rPr>
          <w:rFonts w:cstheme="minorHAnsi"/>
        </w:rPr>
        <w:t>‘</w:t>
      </w:r>
      <w:r w:rsidR="00BC0623">
        <w:rPr>
          <w:rFonts w:cstheme="minorHAnsi"/>
        </w:rPr>
        <w:t>youth</w:t>
      </w:r>
      <w:r w:rsidR="00AB5982">
        <w:rPr>
          <w:rFonts w:cstheme="minorHAnsi"/>
        </w:rPr>
        <w:t>’</w:t>
      </w:r>
      <w:r w:rsidR="00BC0623">
        <w:rPr>
          <w:rFonts w:cstheme="minorHAnsi"/>
        </w:rPr>
        <w:t xml:space="preserve"> has a mobile reference</w:t>
      </w:r>
      <w:r w:rsidR="00287997">
        <w:rPr>
          <w:rFonts w:cstheme="minorHAnsi"/>
        </w:rPr>
        <w:t xml:space="preserve"> point</w:t>
      </w:r>
      <w:r w:rsidR="00BC0623">
        <w:rPr>
          <w:rFonts w:cstheme="minorHAnsi"/>
        </w:rPr>
        <w:t xml:space="preserve"> so does </w:t>
      </w:r>
      <w:r w:rsidR="00AB5982">
        <w:rPr>
          <w:rFonts w:cstheme="minorHAnsi"/>
        </w:rPr>
        <w:t>‘</w:t>
      </w:r>
      <w:r w:rsidR="00BC0623">
        <w:rPr>
          <w:rFonts w:cstheme="minorHAnsi"/>
        </w:rPr>
        <w:t>older person</w:t>
      </w:r>
      <w:r w:rsidR="00AB5982">
        <w:rPr>
          <w:rFonts w:cstheme="minorHAnsi"/>
        </w:rPr>
        <w:t>’</w:t>
      </w:r>
      <w:r w:rsidR="00BC0623">
        <w:rPr>
          <w:rFonts w:cstheme="minorHAnsi"/>
        </w:rPr>
        <w:t>.  For statistical purposes the UN defines ‘youth’ as persons aged 15-24</w:t>
      </w:r>
      <w:r w:rsidR="0016549E">
        <w:rPr>
          <w:rFonts w:cstheme="minorHAnsi"/>
        </w:rPr>
        <w:t>, whereas the African Union define it as 15-35 years. B</w:t>
      </w:r>
      <w:r w:rsidR="00BC0623">
        <w:rPr>
          <w:rFonts w:cstheme="minorHAnsi"/>
        </w:rPr>
        <w:t xml:space="preserve">ecause </w:t>
      </w:r>
      <w:r w:rsidR="00287997">
        <w:rPr>
          <w:rFonts w:cstheme="minorHAnsi"/>
        </w:rPr>
        <w:t xml:space="preserve">the </w:t>
      </w:r>
      <w:r w:rsidR="00BC0623">
        <w:rPr>
          <w:rFonts w:cstheme="minorHAnsi"/>
        </w:rPr>
        <w:t xml:space="preserve">experience of being </w:t>
      </w:r>
      <w:r w:rsidR="008607E4">
        <w:rPr>
          <w:rFonts w:cstheme="minorHAnsi"/>
        </w:rPr>
        <w:t xml:space="preserve">socially classified as </w:t>
      </w:r>
      <w:r w:rsidR="00BC0623">
        <w:rPr>
          <w:rFonts w:cstheme="minorHAnsi"/>
        </w:rPr>
        <w:t>young can vary substantially between countries the UN consider ‘you</w:t>
      </w:r>
      <w:r w:rsidR="0016549E">
        <w:rPr>
          <w:rFonts w:cstheme="minorHAnsi"/>
        </w:rPr>
        <w:t>th’ as a flexible category, stating that “</w:t>
      </w:r>
      <w:r w:rsidR="00BC0623">
        <w:rPr>
          <w:rFonts w:cstheme="minorHAnsi"/>
        </w:rPr>
        <w:t xml:space="preserve">context is always an important guide </w:t>
      </w:r>
      <w:r w:rsidR="0016549E">
        <w:rPr>
          <w:rFonts w:cstheme="minorHAnsi"/>
        </w:rPr>
        <w:t>to UNESCO’s definition of youth</w:t>
      </w:r>
      <w:r w:rsidR="0016549E" w:rsidRPr="00A5696F">
        <w:rPr>
          <w:rFonts w:cstheme="minorHAnsi"/>
        </w:rPr>
        <w:t>”</w:t>
      </w:r>
      <w:r w:rsidR="00BC0623" w:rsidRPr="00A5696F">
        <w:rPr>
          <w:rFonts w:cstheme="minorHAnsi"/>
        </w:rPr>
        <w:t xml:space="preserve"> </w:t>
      </w:r>
      <w:r w:rsidR="008607E4" w:rsidRPr="00A5696F">
        <w:rPr>
          <w:rFonts w:cstheme="minorHAnsi"/>
        </w:rPr>
        <w:t>(UNESCO, undated).</w:t>
      </w:r>
      <w:r w:rsidR="008607E4">
        <w:rPr>
          <w:rFonts w:cstheme="minorHAnsi"/>
        </w:rPr>
        <w:t xml:space="preserve">  The value of this</w:t>
      </w:r>
      <w:r w:rsidR="0016549E">
        <w:rPr>
          <w:rFonts w:cstheme="minorHAnsi"/>
        </w:rPr>
        <w:t xml:space="preserve"> approach</w:t>
      </w:r>
      <w:r w:rsidR="008607E4">
        <w:rPr>
          <w:rFonts w:cstheme="minorHAnsi"/>
        </w:rPr>
        <w:t xml:space="preserve"> lies in recognising that age-based </w:t>
      </w:r>
      <w:r w:rsidR="00A21EA9">
        <w:rPr>
          <w:rFonts w:cstheme="minorHAnsi"/>
        </w:rPr>
        <w:t xml:space="preserve">or life-stage </w:t>
      </w:r>
      <w:r w:rsidR="008607E4">
        <w:rPr>
          <w:rFonts w:cstheme="minorHAnsi"/>
        </w:rPr>
        <w:t>statuses are socially constructed and relati</w:t>
      </w:r>
      <w:r w:rsidR="00287997">
        <w:rPr>
          <w:rFonts w:cstheme="minorHAnsi"/>
        </w:rPr>
        <w:t>onal;</w:t>
      </w:r>
      <w:r w:rsidR="008607E4">
        <w:rPr>
          <w:rFonts w:cstheme="minorHAnsi"/>
        </w:rPr>
        <w:t xml:space="preserve"> </w:t>
      </w:r>
      <w:r w:rsidR="00AB5982">
        <w:rPr>
          <w:rFonts w:cstheme="minorHAnsi"/>
        </w:rPr>
        <w:t xml:space="preserve">people are </w:t>
      </w:r>
      <w:r w:rsidR="008607E4">
        <w:rPr>
          <w:rFonts w:cstheme="minorHAnsi"/>
        </w:rPr>
        <w:t>younger or older in relation to some</w:t>
      </w:r>
      <w:r w:rsidR="00AB5982">
        <w:rPr>
          <w:rFonts w:cstheme="minorHAnsi"/>
        </w:rPr>
        <w:t xml:space="preserve"> </w:t>
      </w:r>
      <w:r w:rsidR="00287997">
        <w:rPr>
          <w:rFonts w:cstheme="minorHAnsi"/>
        </w:rPr>
        <w:t>thing or some person(s). Often the classification justifies constraint</w:t>
      </w:r>
      <w:r w:rsidR="00AB5982">
        <w:rPr>
          <w:rFonts w:cstheme="minorHAnsi"/>
        </w:rPr>
        <w:t xml:space="preserve"> </w:t>
      </w:r>
      <w:r w:rsidR="005408E5">
        <w:rPr>
          <w:rFonts w:cstheme="minorHAnsi"/>
        </w:rPr>
        <w:t>and discrimination. F</w:t>
      </w:r>
      <w:r w:rsidR="00287997">
        <w:rPr>
          <w:rFonts w:cstheme="minorHAnsi"/>
        </w:rPr>
        <w:t xml:space="preserve">or </w:t>
      </w:r>
      <w:r w:rsidR="00673C8C">
        <w:rPr>
          <w:rFonts w:cstheme="minorHAnsi"/>
        </w:rPr>
        <w:t>example,</w:t>
      </w:r>
      <w:r w:rsidR="005408E5">
        <w:rPr>
          <w:rFonts w:cstheme="minorHAnsi"/>
        </w:rPr>
        <w:t xml:space="preserve"> people may be</w:t>
      </w:r>
      <w:r w:rsidR="00287997">
        <w:rPr>
          <w:rFonts w:cstheme="minorHAnsi"/>
        </w:rPr>
        <w:t xml:space="preserve"> </w:t>
      </w:r>
      <w:r w:rsidR="00A21EA9">
        <w:rPr>
          <w:rFonts w:cstheme="minorHAnsi"/>
        </w:rPr>
        <w:t>considered</w:t>
      </w:r>
      <w:r w:rsidR="008607E4">
        <w:rPr>
          <w:rFonts w:cstheme="minorHAnsi"/>
        </w:rPr>
        <w:t xml:space="preserve"> </w:t>
      </w:r>
      <w:r w:rsidR="00A21EA9">
        <w:rPr>
          <w:rFonts w:cstheme="minorHAnsi"/>
        </w:rPr>
        <w:t>‘</w:t>
      </w:r>
      <w:r w:rsidR="008607E4">
        <w:rPr>
          <w:rFonts w:cstheme="minorHAnsi"/>
        </w:rPr>
        <w:t>too young</w:t>
      </w:r>
      <w:r w:rsidR="00A21EA9">
        <w:rPr>
          <w:rFonts w:cstheme="minorHAnsi"/>
        </w:rPr>
        <w:t>’</w:t>
      </w:r>
      <w:r w:rsidR="008607E4">
        <w:rPr>
          <w:rFonts w:cstheme="minorHAnsi"/>
        </w:rPr>
        <w:t xml:space="preserve"> </w:t>
      </w:r>
      <w:r w:rsidR="00AB5982">
        <w:rPr>
          <w:rFonts w:cstheme="minorHAnsi"/>
        </w:rPr>
        <w:t xml:space="preserve">or </w:t>
      </w:r>
      <w:r w:rsidR="00A21EA9">
        <w:rPr>
          <w:rFonts w:cstheme="minorHAnsi"/>
        </w:rPr>
        <w:t xml:space="preserve">‘too </w:t>
      </w:r>
      <w:r w:rsidR="00AB5982">
        <w:rPr>
          <w:rFonts w:cstheme="minorHAnsi"/>
        </w:rPr>
        <w:t>old</w:t>
      </w:r>
      <w:r w:rsidR="00A21EA9">
        <w:rPr>
          <w:rFonts w:cstheme="minorHAnsi"/>
        </w:rPr>
        <w:t xml:space="preserve">’ to receive pay equal to that of their </w:t>
      </w:r>
      <w:r w:rsidR="00AB5982">
        <w:rPr>
          <w:rFonts w:cstheme="minorHAnsi"/>
        </w:rPr>
        <w:t>prime-</w:t>
      </w:r>
      <w:r w:rsidR="008607E4">
        <w:rPr>
          <w:rFonts w:cstheme="minorHAnsi"/>
        </w:rPr>
        <w:t xml:space="preserve">age </w:t>
      </w:r>
      <w:r w:rsidR="00287997">
        <w:rPr>
          <w:rFonts w:cstheme="minorHAnsi"/>
        </w:rPr>
        <w:t>co-workers</w:t>
      </w:r>
      <w:r w:rsidR="005408E5">
        <w:rPr>
          <w:rFonts w:cstheme="minorHAnsi"/>
        </w:rPr>
        <w:t>,</w:t>
      </w:r>
      <w:r w:rsidR="00287997">
        <w:rPr>
          <w:rFonts w:cstheme="minorHAnsi"/>
        </w:rPr>
        <w:t xml:space="preserve"> or people in their early teen</w:t>
      </w:r>
      <w:r w:rsidR="00A21EA9">
        <w:rPr>
          <w:rFonts w:cstheme="minorHAnsi"/>
        </w:rPr>
        <w:t>s</w:t>
      </w:r>
      <w:r w:rsidR="00287997">
        <w:rPr>
          <w:rFonts w:cstheme="minorHAnsi"/>
        </w:rPr>
        <w:t xml:space="preserve"> and </w:t>
      </w:r>
      <w:r w:rsidR="005408E5">
        <w:rPr>
          <w:rFonts w:cstheme="minorHAnsi"/>
        </w:rPr>
        <w:t>older may be</w:t>
      </w:r>
      <w:r w:rsidR="00287997">
        <w:rPr>
          <w:rFonts w:cstheme="minorHAnsi"/>
        </w:rPr>
        <w:t xml:space="preserve"> classed as</w:t>
      </w:r>
      <w:r w:rsidR="008607E4">
        <w:rPr>
          <w:rFonts w:cstheme="minorHAnsi"/>
        </w:rPr>
        <w:t xml:space="preserve"> </w:t>
      </w:r>
      <w:r w:rsidR="00A21EA9">
        <w:rPr>
          <w:rFonts w:cstheme="minorHAnsi"/>
        </w:rPr>
        <w:t>‘</w:t>
      </w:r>
      <w:r w:rsidR="008607E4">
        <w:rPr>
          <w:rFonts w:cstheme="minorHAnsi"/>
        </w:rPr>
        <w:t>too old</w:t>
      </w:r>
      <w:r w:rsidR="00A21EA9">
        <w:rPr>
          <w:rFonts w:cstheme="minorHAnsi"/>
        </w:rPr>
        <w:t>’</w:t>
      </w:r>
      <w:r w:rsidR="008607E4">
        <w:rPr>
          <w:rFonts w:cstheme="minorHAnsi"/>
        </w:rPr>
        <w:t xml:space="preserve"> for education</w:t>
      </w:r>
      <w:r w:rsidR="00C21EDF">
        <w:rPr>
          <w:rFonts w:cstheme="minorHAnsi"/>
        </w:rPr>
        <w:t xml:space="preserve"> when resources are tight and choices are being made as to who </w:t>
      </w:r>
      <w:r w:rsidR="003B57F0">
        <w:rPr>
          <w:rFonts w:cstheme="minorHAnsi"/>
        </w:rPr>
        <w:t>will go to school and who will work.</w:t>
      </w:r>
      <w:r w:rsidR="00C21EDF">
        <w:rPr>
          <w:rFonts w:cstheme="minorHAnsi"/>
        </w:rPr>
        <w:t xml:space="preserve"> </w:t>
      </w:r>
      <w:r w:rsidR="008607E4">
        <w:rPr>
          <w:rFonts w:cstheme="minorHAnsi"/>
        </w:rPr>
        <w:t xml:space="preserve">While </w:t>
      </w:r>
      <w:r w:rsidR="00287997">
        <w:rPr>
          <w:rFonts w:cstheme="minorHAnsi"/>
        </w:rPr>
        <w:t>‘</w:t>
      </w:r>
      <w:r w:rsidR="008607E4">
        <w:rPr>
          <w:rFonts w:cstheme="minorHAnsi"/>
        </w:rPr>
        <w:t>older persons</w:t>
      </w:r>
      <w:r w:rsidR="00287997">
        <w:rPr>
          <w:rFonts w:cstheme="minorHAnsi"/>
        </w:rPr>
        <w:t>’</w:t>
      </w:r>
      <w:r w:rsidR="008607E4">
        <w:rPr>
          <w:rFonts w:cstheme="minorHAnsi"/>
        </w:rPr>
        <w:t xml:space="preserve"> </w:t>
      </w:r>
      <w:r w:rsidR="00287997">
        <w:rPr>
          <w:rFonts w:cstheme="minorHAnsi"/>
        </w:rPr>
        <w:t>can refer</w:t>
      </w:r>
      <w:r w:rsidR="008607E4">
        <w:rPr>
          <w:rFonts w:cstheme="minorHAnsi"/>
        </w:rPr>
        <w:t xml:space="preserve"> to a soc</w:t>
      </w:r>
      <w:r w:rsidR="00287997">
        <w:rPr>
          <w:rFonts w:cstheme="minorHAnsi"/>
        </w:rPr>
        <w:t>ially constructed category or an imposed category</w:t>
      </w:r>
      <w:r w:rsidR="00456A5C">
        <w:rPr>
          <w:rFonts w:cstheme="minorHAnsi"/>
        </w:rPr>
        <w:t>,</w:t>
      </w:r>
      <w:r w:rsidR="00287997">
        <w:rPr>
          <w:rFonts w:cstheme="minorHAnsi"/>
        </w:rPr>
        <w:t xml:space="preserve"> as </w:t>
      </w:r>
      <w:r w:rsidR="005408E5">
        <w:rPr>
          <w:rFonts w:cstheme="minorHAnsi"/>
        </w:rPr>
        <w:t>happens</w:t>
      </w:r>
      <w:r w:rsidR="00287997">
        <w:rPr>
          <w:rFonts w:cstheme="minorHAnsi"/>
        </w:rPr>
        <w:t xml:space="preserve"> in policy orientated and survey-based research</w:t>
      </w:r>
      <w:r w:rsidR="00675AC1">
        <w:rPr>
          <w:rFonts w:cstheme="minorHAnsi"/>
        </w:rPr>
        <w:t xml:space="preserve">, research </w:t>
      </w:r>
      <w:r w:rsidR="005408E5">
        <w:rPr>
          <w:rFonts w:cstheme="minorHAnsi"/>
        </w:rPr>
        <w:t xml:space="preserve">into </w:t>
      </w:r>
      <w:r w:rsidR="00456A5C">
        <w:rPr>
          <w:rFonts w:cstheme="minorHAnsi"/>
        </w:rPr>
        <w:t>the sociology of</w:t>
      </w:r>
      <w:r w:rsidR="00675AC1">
        <w:rPr>
          <w:rFonts w:cstheme="minorHAnsi"/>
        </w:rPr>
        <w:t xml:space="preserve"> ageing </w:t>
      </w:r>
      <w:r w:rsidR="003B57F0">
        <w:rPr>
          <w:rFonts w:cstheme="minorHAnsi"/>
        </w:rPr>
        <w:t>investigates</w:t>
      </w:r>
      <w:r w:rsidR="00AB5982">
        <w:rPr>
          <w:rFonts w:cstheme="minorHAnsi"/>
        </w:rPr>
        <w:t xml:space="preserve"> the social process</w:t>
      </w:r>
      <w:r w:rsidR="00456A5C">
        <w:rPr>
          <w:rFonts w:cstheme="minorHAnsi"/>
        </w:rPr>
        <w:t xml:space="preserve"> of ageing. This is the</w:t>
      </w:r>
      <w:r w:rsidR="00AB5982">
        <w:rPr>
          <w:rFonts w:cstheme="minorHAnsi"/>
        </w:rPr>
        <w:t xml:space="preserve"> social</w:t>
      </w:r>
      <w:r w:rsidR="00456A5C">
        <w:rPr>
          <w:rFonts w:cstheme="minorHAnsi"/>
        </w:rPr>
        <w:t>ly determined</w:t>
      </w:r>
      <w:r w:rsidR="00AB5982">
        <w:rPr>
          <w:rFonts w:cstheme="minorHAnsi"/>
        </w:rPr>
        <w:t xml:space="preserve"> process</w:t>
      </w:r>
      <w:r w:rsidR="00675AC1">
        <w:rPr>
          <w:rFonts w:cstheme="minorHAnsi"/>
        </w:rPr>
        <w:t xml:space="preserve"> of moving from the </w:t>
      </w:r>
      <w:r w:rsidR="0020221F">
        <w:rPr>
          <w:rFonts w:cstheme="minorHAnsi"/>
        </w:rPr>
        <w:t>status of</w:t>
      </w:r>
      <w:r w:rsidR="00675AC1">
        <w:rPr>
          <w:rFonts w:cstheme="minorHAnsi"/>
        </w:rPr>
        <w:t xml:space="preserve"> </w:t>
      </w:r>
      <w:r w:rsidR="0020221F">
        <w:rPr>
          <w:rFonts w:cstheme="minorHAnsi"/>
        </w:rPr>
        <w:t>‘</w:t>
      </w:r>
      <w:r w:rsidR="00456A5C">
        <w:rPr>
          <w:rFonts w:cstheme="minorHAnsi"/>
        </w:rPr>
        <w:t>adult</w:t>
      </w:r>
      <w:r w:rsidR="0020221F">
        <w:rPr>
          <w:rFonts w:cstheme="minorHAnsi"/>
        </w:rPr>
        <w:t>’</w:t>
      </w:r>
      <w:r w:rsidR="00456A5C">
        <w:rPr>
          <w:rFonts w:cstheme="minorHAnsi"/>
        </w:rPr>
        <w:t xml:space="preserve"> </w:t>
      </w:r>
      <w:r w:rsidR="00675AC1">
        <w:rPr>
          <w:rFonts w:cstheme="minorHAnsi"/>
        </w:rPr>
        <w:t xml:space="preserve">to being </w:t>
      </w:r>
      <w:r w:rsidR="00456A5C">
        <w:rPr>
          <w:rFonts w:cstheme="minorHAnsi"/>
        </w:rPr>
        <w:t>socially classed</w:t>
      </w:r>
      <w:r w:rsidR="00E53BB1">
        <w:rPr>
          <w:rFonts w:cstheme="minorHAnsi"/>
        </w:rPr>
        <w:t xml:space="preserve"> as ’older’/’old’ </w:t>
      </w:r>
      <w:r w:rsidR="00AB5982">
        <w:rPr>
          <w:rFonts w:cstheme="minorHAnsi"/>
        </w:rPr>
        <w:t xml:space="preserve">or, more </w:t>
      </w:r>
      <w:r w:rsidR="00AB5982">
        <w:rPr>
          <w:rFonts w:cstheme="minorHAnsi"/>
        </w:rPr>
        <w:lastRenderedPageBreak/>
        <w:t xml:space="preserve">accurately, </w:t>
      </w:r>
      <w:r w:rsidR="00C21EDF">
        <w:rPr>
          <w:rFonts w:cstheme="minorHAnsi"/>
        </w:rPr>
        <w:t xml:space="preserve">‘too old for this’ or </w:t>
      </w:r>
      <w:r w:rsidR="00675AC1">
        <w:rPr>
          <w:rFonts w:cstheme="minorHAnsi"/>
        </w:rPr>
        <w:t>’to old to do this’</w:t>
      </w:r>
      <w:r w:rsidR="00456A5C">
        <w:rPr>
          <w:rFonts w:cstheme="minorHAnsi"/>
        </w:rPr>
        <w:t xml:space="preserve"> – a classification that is relational and contextualised</w:t>
      </w:r>
      <w:r w:rsidR="00C21EDF">
        <w:rPr>
          <w:rFonts w:cstheme="minorHAnsi"/>
        </w:rPr>
        <w:t>, hence</w:t>
      </w:r>
      <w:r w:rsidR="00456A5C">
        <w:rPr>
          <w:rFonts w:cstheme="minorHAnsi"/>
        </w:rPr>
        <w:t xml:space="preserve"> unstable</w:t>
      </w:r>
      <w:r w:rsidR="000E752C">
        <w:rPr>
          <w:rFonts w:cstheme="minorHAnsi"/>
        </w:rPr>
        <w:t xml:space="preserve"> (Vera-Sanso, 2017)</w:t>
      </w:r>
      <w:r w:rsidR="00675AC1">
        <w:rPr>
          <w:rFonts w:cstheme="minorHAnsi"/>
        </w:rPr>
        <w:t>.  Research into later life and development has yet to interrogate</w:t>
      </w:r>
      <w:r w:rsidR="0020221F">
        <w:rPr>
          <w:rFonts w:cstheme="minorHAnsi"/>
        </w:rPr>
        <w:t xml:space="preserve"> these transitions from adult </w:t>
      </w:r>
      <w:r w:rsidR="00675AC1">
        <w:rPr>
          <w:rFonts w:cstheme="minorHAnsi"/>
        </w:rPr>
        <w:t xml:space="preserve">status to a later life status and the social and material losses </w:t>
      </w:r>
      <w:r w:rsidR="00520229">
        <w:rPr>
          <w:rFonts w:cstheme="minorHAnsi"/>
        </w:rPr>
        <w:t xml:space="preserve">that </w:t>
      </w:r>
      <w:r w:rsidR="00675AC1">
        <w:rPr>
          <w:rFonts w:cstheme="minorHAnsi"/>
        </w:rPr>
        <w:t xml:space="preserve">this engenders.  </w:t>
      </w:r>
      <w:r w:rsidR="00673C8C">
        <w:rPr>
          <w:rFonts w:cstheme="minorHAnsi"/>
        </w:rPr>
        <w:t>Instead,</w:t>
      </w:r>
      <w:r w:rsidR="00E53BB1">
        <w:rPr>
          <w:rFonts w:cstheme="minorHAnsi"/>
        </w:rPr>
        <w:t xml:space="preserve"> research and policy are </w:t>
      </w:r>
      <w:r w:rsidR="00AB5982">
        <w:rPr>
          <w:rFonts w:cstheme="minorHAnsi"/>
        </w:rPr>
        <w:t xml:space="preserve">focused on ameliorating </w:t>
      </w:r>
      <w:r w:rsidR="00341964">
        <w:rPr>
          <w:rFonts w:cstheme="minorHAnsi"/>
        </w:rPr>
        <w:t xml:space="preserve">losses once people </w:t>
      </w:r>
      <w:r w:rsidR="00E53BB1">
        <w:rPr>
          <w:rFonts w:cstheme="minorHAnsi"/>
        </w:rPr>
        <w:t>are</w:t>
      </w:r>
      <w:r w:rsidR="00341964">
        <w:rPr>
          <w:rFonts w:cstheme="minorHAnsi"/>
        </w:rPr>
        <w:t xml:space="preserve"> defined as ‘old’. </w:t>
      </w:r>
    </w:p>
    <w:p w14:paraId="2002B0C1" w14:textId="52F37189" w:rsidR="00BC0623" w:rsidRPr="00646755" w:rsidRDefault="00341964" w:rsidP="00C21EDF">
      <w:pPr>
        <w:spacing w:line="360" w:lineRule="auto"/>
        <w:ind w:firstLine="284"/>
        <w:rPr>
          <w:rFonts w:cstheme="minorHAnsi"/>
        </w:rPr>
      </w:pPr>
      <w:r>
        <w:rPr>
          <w:rFonts w:cstheme="minorHAnsi"/>
        </w:rPr>
        <w:t>To date</w:t>
      </w:r>
      <w:r w:rsidR="00675AC1">
        <w:rPr>
          <w:rFonts w:cstheme="minorHAnsi"/>
        </w:rPr>
        <w:t xml:space="preserve"> research </w:t>
      </w:r>
      <w:r w:rsidR="004E3407">
        <w:rPr>
          <w:rFonts w:cstheme="minorHAnsi"/>
        </w:rPr>
        <w:t>tends to use</w:t>
      </w:r>
      <w:r w:rsidR="00675AC1">
        <w:rPr>
          <w:rFonts w:cstheme="minorHAnsi"/>
        </w:rPr>
        <w:t xml:space="preserve"> the terms </w:t>
      </w:r>
      <w:r w:rsidR="004E3407">
        <w:rPr>
          <w:rFonts w:cstheme="minorHAnsi"/>
        </w:rPr>
        <w:t>‘</w:t>
      </w:r>
      <w:r w:rsidR="00675AC1">
        <w:rPr>
          <w:rFonts w:cstheme="minorHAnsi"/>
        </w:rPr>
        <w:t>ageing</w:t>
      </w:r>
      <w:r w:rsidR="004E3407">
        <w:rPr>
          <w:rFonts w:cstheme="minorHAnsi"/>
        </w:rPr>
        <w:t>’</w:t>
      </w:r>
      <w:r w:rsidR="00675AC1">
        <w:rPr>
          <w:rFonts w:cstheme="minorHAnsi"/>
        </w:rPr>
        <w:t xml:space="preserve">, </w:t>
      </w:r>
      <w:r w:rsidR="004E3407">
        <w:rPr>
          <w:rFonts w:cstheme="minorHAnsi"/>
        </w:rPr>
        <w:t>‘</w:t>
      </w:r>
      <w:r w:rsidR="00675AC1">
        <w:rPr>
          <w:rFonts w:cstheme="minorHAnsi"/>
        </w:rPr>
        <w:t>older</w:t>
      </w:r>
      <w:r w:rsidR="004E3407">
        <w:rPr>
          <w:rFonts w:cstheme="minorHAnsi"/>
        </w:rPr>
        <w:t>’</w:t>
      </w:r>
      <w:r w:rsidR="00675AC1">
        <w:rPr>
          <w:rFonts w:cstheme="minorHAnsi"/>
        </w:rPr>
        <w:t xml:space="preserve">, </w:t>
      </w:r>
      <w:r w:rsidR="004E3407">
        <w:rPr>
          <w:rFonts w:cstheme="minorHAnsi"/>
        </w:rPr>
        <w:t>‘</w:t>
      </w:r>
      <w:r w:rsidR="00C91680">
        <w:rPr>
          <w:rFonts w:cstheme="minorHAnsi"/>
        </w:rPr>
        <w:t xml:space="preserve">the </w:t>
      </w:r>
      <w:r w:rsidR="00675AC1">
        <w:rPr>
          <w:rFonts w:cstheme="minorHAnsi"/>
        </w:rPr>
        <w:t>old</w:t>
      </w:r>
      <w:r w:rsidR="004E3407">
        <w:rPr>
          <w:rFonts w:cstheme="minorHAnsi"/>
        </w:rPr>
        <w:t>’</w:t>
      </w:r>
      <w:r w:rsidR="00C91680">
        <w:rPr>
          <w:rFonts w:cstheme="minorHAnsi"/>
        </w:rPr>
        <w:t>,</w:t>
      </w:r>
      <w:r w:rsidR="00675AC1">
        <w:rPr>
          <w:rFonts w:cstheme="minorHAnsi"/>
        </w:rPr>
        <w:t xml:space="preserve"> </w:t>
      </w:r>
      <w:r w:rsidR="004E3407">
        <w:rPr>
          <w:rFonts w:cstheme="minorHAnsi"/>
        </w:rPr>
        <w:t>‘</w:t>
      </w:r>
      <w:r w:rsidR="00675AC1">
        <w:rPr>
          <w:rFonts w:cstheme="minorHAnsi"/>
        </w:rPr>
        <w:t>elder</w:t>
      </w:r>
      <w:r w:rsidR="004E3407">
        <w:rPr>
          <w:rFonts w:cstheme="minorHAnsi"/>
        </w:rPr>
        <w:t>’</w:t>
      </w:r>
      <w:r w:rsidR="00C91680">
        <w:rPr>
          <w:rFonts w:cstheme="minorHAnsi"/>
        </w:rPr>
        <w:t>, ‘elderly’, ‘seniors’</w:t>
      </w:r>
      <w:r w:rsidR="00675AC1">
        <w:rPr>
          <w:rFonts w:cstheme="minorHAnsi"/>
        </w:rPr>
        <w:t xml:space="preserve"> interchan</w:t>
      </w:r>
      <w:r>
        <w:rPr>
          <w:rFonts w:cstheme="minorHAnsi"/>
        </w:rPr>
        <w:t>geably</w:t>
      </w:r>
      <w:r w:rsidR="004E3407">
        <w:rPr>
          <w:rFonts w:cstheme="minorHAnsi"/>
        </w:rPr>
        <w:t>, although there are tendencies towards or away from certain terms reflecting author’s engagement with</w:t>
      </w:r>
      <w:r w:rsidR="00694A2B">
        <w:rPr>
          <w:rFonts w:cstheme="minorHAnsi"/>
        </w:rPr>
        <w:t>, often regional,</w:t>
      </w:r>
      <w:r w:rsidR="004E3407">
        <w:rPr>
          <w:rFonts w:cstheme="minorHAnsi"/>
        </w:rPr>
        <w:t xml:space="preserve"> trends on respectful terminology</w:t>
      </w:r>
      <w:r w:rsidR="00C91680">
        <w:rPr>
          <w:rFonts w:cstheme="minorHAnsi"/>
        </w:rPr>
        <w:t xml:space="preserve"> (</w:t>
      </w:r>
      <w:r w:rsidR="00673C8C" w:rsidRPr="00C21EDF">
        <w:rPr>
          <w:rFonts w:cstheme="minorHAnsi"/>
        </w:rPr>
        <w:t>e.g.</w:t>
      </w:r>
      <w:r w:rsidR="00C91680" w:rsidRPr="00C21EDF">
        <w:rPr>
          <w:rFonts w:cstheme="minorHAnsi"/>
        </w:rPr>
        <w:t xml:space="preserve"> Cook &amp; Halsall, 2011; </w:t>
      </w:r>
      <w:proofErr w:type="spellStart"/>
      <w:r w:rsidR="00694A2B" w:rsidRPr="00C21EDF">
        <w:rPr>
          <w:rFonts w:cstheme="minorHAnsi"/>
        </w:rPr>
        <w:t>Reygan</w:t>
      </w:r>
      <w:proofErr w:type="spellEnd"/>
      <w:r w:rsidR="00694A2B" w:rsidRPr="00C21EDF">
        <w:rPr>
          <w:rFonts w:cstheme="minorHAnsi"/>
        </w:rPr>
        <w:t xml:space="preserve"> and Henderson, 2019</w:t>
      </w:r>
      <w:r w:rsidRPr="00C21EDF">
        <w:rPr>
          <w:rFonts w:cstheme="minorHAnsi"/>
        </w:rPr>
        <w:t>)</w:t>
      </w:r>
      <w:r w:rsidR="0001217B">
        <w:rPr>
          <w:rFonts w:cstheme="minorHAnsi"/>
        </w:rPr>
        <w:t xml:space="preserve">.  This mean that we must </w:t>
      </w:r>
      <w:r w:rsidR="00BE7BE0">
        <w:rPr>
          <w:rFonts w:cstheme="minorHAnsi"/>
        </w:rPr>
        <w:t>read research and data bases with an eye</w:t>
      </w:r>
      <w:r>
        <w:rPr>
          <w:rFonts w:cstheme="minorHAnsi"/>
        </w:rPr>
        <w:t xml:space="preserve"> </w:t>
      </w:r>
      <w:r w:rsidR="00BE7BE0">
        <w:rPr>
          <w:rFonts w:cstheme="minorHAnsi"/>
        </w:rPr>
        <w:t>to how age and ageing is being defined.  For example, while the United Nations’ term ‘older persons’ has the merits of recognising everyone as persons and age as a social</w:t>
      </w:r>
      <w:r>
        <w:rPr>
          <w:rFonts w:cstheme="minorHAnsi"/>
        </w:rPr>
        <w:t xml:space="preserve"> and relational</w:t>
      </w:r>
      <w:r w:rsidR="00BE7BE0">
        <w:rPr>
          <w:rFonts w:cstheme="minorHAnsi"/>
        </w:rPr>
        <w:t xml:space="preserve"> classification, </w:t>
      </w:r>
      <w:r>
        <w:rPr>
          <w:rFonts w:cstheme="minorHAnsi"/>
        </w:rPr>
        <w:t xml:space="preserve">the UN </w:t>
      </w:r>
      <w:r w:rsidR="00BE7BE0">
        <w:rPr>
          <w:rFonts w:cstheme="minorHAnsi"/>
        </w:rPr>
        <w:t>undermine</w:t>
      </w:r>
      <w:r>
        <w:rPr>
          <w:rFonts w:cstheme="minorHAnsi"/>
        </w:rPr>
        <w:t>s</w:t>
      </w:r>
      <w:r w:rsidR="00BE7BE0">
        <w:rPr>
          <w:rFonts w:cstheme="minorHAnsi"/>
        </w:rPr>
        <w:t xml:space="preserve"> this nuance by imposing chronological cut offs</w:t>
      </w:r>
      <w:r w:rsidR="00694A2B">
        <w:rPr>
          <w:rFonts w:cstheme="minorHAnsi"/>
        </w:rPr>
        <w:t>.  These cut offs</w:t>
      </w:r>
      <w:r w:rsidR="00BE7BE0">
        <w:rPr>
          <w:rFonts w:cstheme="minorHAnsi"/>
        </w:rPr>
        <w:t xml:space="preserve"> </w:t>
      </w:r>
      <w:r w:rsidR="00694A2B">
        <w:rPr>
          <w:rFonts w:cstheme="minorHAnsi"/>
        </w:rPr>
        <w:t>not only</w:t>
      </w:r>
      <w:r w:rsidR="00BE7BE0">
        <w:rPr>
          <w:rFonts w:cstheme="minorHAnsi"/>
        </w:rPr>
        <w:t xml:space="preserve"> d</w:t>
      </w:r>
      <w:r w:rsidR="00694A2B">
        <w:rPr>
          <w:rFonts w:cstheme="minorHAnsi"/>
        </w:rPr>
        <w:t>iffer</w:t>
      </w:r>
      <w:r>
        <w:rPr>
          <w:rFonts w:cstheme="minorHAnsi"/>
        </w:rPr>
        <w:t xml:space="preserve"> between UN depar</w:t>
      </w:r>
      <w:r w:rsidR="00694A2B">
        <w:rPr>
          <w:rFonts w:cstheme="minorHAnsi"/>
        </w:rPr>
        <w:t xml:space="preserve">tments and across UN </w:t>
      </w:r>
      <w:r w:rsidR="005B25EC">
        <w:rPr>
          <w:rFonts w:cstheme="minorHAnsi"/>
        </w:rPr>
        <w:t>literature,</w:t>
      </w:r>
      <w:r w:rsidR="00694A2B">
        <w:rPr>
          <w:rFonts w:cstheme="minorHAnsi"/>
        </w:rPr>
        <w:t xml:space="preserve"> but they </w:t>
      </w:r>
      <w:r>
        <w:rPr>
          <w:rFonts w:cstheme="minorHAnsi"/>
        </w:rPr>
        <w:t>have</w:t>
      </w:r>
      <w:r w:rsidR="00BE7BE0">
        <w:rPr>
          <w:rFonts w:cstheme="minorHAnsi"/>
        </w:rPr>
        <w:t xml:space="preserve"> </w:t>
      </w:r>
      <w:r>
        <w:rPr>
          <w:rFonts w:cstheme="minorHAnsi"/>
        </w:rPr>
        <w:t xml:space="preserve">risen over the </w:t>
      </w:r>
      <w:r w:rsidR="0065463A">
        <w:rPr>
          <w:rFonts w:cstheme="minorHAnsi"/>
        </w:rPr>
        <w:t>years from age 50</w:t>
      </w:r>
      <w:r w:rsidR="00BE7BE0">
        <w:rPr>
          <w:rFonts w:cstheme="minorHAnsi"/>
        </w:rPr>
        <w:t xml:space="preserve"> to age </w:t>
      </w:r>
      <w:r w:rsidR="0065463A">
        <w:rPr>
          <w:rFonts w:cstheme="minorHAnsi"/>
        </w:rPr>
        <w:t xml:space="preserve">60 and </w:t>
      </w:r>
      <w:r w:rsidR="00BE7BE0">
        <w:rPr>
          <w:rFonts w:cstheme="minorHAnsi"/>
        </w:rPr>
        <w:t xml:space="preserve">65, </w:t>
      </w:r>
      <w:r w:rsidR="00694A2B">
        <w:rPr>
          <w:rFonts w:cstheme="minorHAnsi"/>
        </w:rPr>
        <w:t xml:space="preserve">and are </w:t>
      </w:r>
      <w:r w:rsidR="0065463A">
        <w:rPr>
          <w:rFonts w:cstheme="minorHAnsi"/>
        </w:rPr>
        <w:t xml:space="preserve">increasingly </w:t>
      </w:r>
      <w:r w:rsidR="00694A2B">
        <w:rPr>
          <w:rFonts w:cstheme="minorHAnsi"/>
        </w:rPr>
        <w:t xml:space="preserve">being driven </w:t>
      </w:r>
      <w:r w:rsidR="0001217B">
        <w:rPr>
          <w:rFonts w:cstheme="minorHAnsi"/>
        </w:rPr>
        <w:t xml:space="preserve">more </w:t>
      </w:r>
      <w:r w:rsidR="00694A2B">
        <w:rPr>
          <w:rFonts w:cstheme="minorHAnsi"/>
        </w:rPr>
        <w:t xml:space="preserve">by </w:t>
      </w:r>
      <w:r w:rsidR="0001217B">
        <w:rPr>
          <w:rFonts w:cstheme="minorHAnsi"/>
        </w:rPr>
        <w:t>High-</w:t>
      </w:r>
      <w:r w:rsidR="00BE7BE0">
        <w:rPr>
          <w:rFonts w:cstheme="minorHAnsi"/>
        </w:rPr>
        <w:t xml:space="preserve">Income Country </w:t>
      </w:r>
      <w:r>
        <w:rPr>
          <w:rFonts w:cstheme="minorHAnsi"/>
        </w:rPr>
        <w:t>policy interests</w:t>
      </w:r>
      <w:r w:rsidR="00BE7BE0">
        <w:rPr>
          <w:rFonts w:cstheme="minorHAnsi"/>
        </w:rPr>
        <w:t xml:space="preserve"> than Low</w:t>
      </w:r>
      <w:r w:rsidR="0001217B">
        <w:rPr>
          <w:rFonts w:cstheme="minorHAnsi"/>
        </w:rPr>
        <w:t>- and Middle-</w:t>
      </w:r>
      <w:r w:rsidR="00BE7BE0">
        <w:rPr>
          <w:rFonts w:cstheme="minorHAnsi"/>
        </w:rPr>
        <w:t>Income Country contexts</w:t>
      </w:r>
      <w:r w:rsidR="00694A2B">
        <w:rPr>
          <w:rFonts w:cstheme="minorHAnsi"/>
        </w:rPr>
        <w:t xml:space="preserve"> </w:t>
      </w:r>
      <w:r w:rsidR="00694A2B" w:rsidRPr="00974E66">
        <w:rPr>
          <w:rFonts w:cstheme="minorHAnsi"/>
        </w:rPr>
        <w:t>(</w:t>
      </w:r>
      <w:r w:rsidR="00C21EDF" w:rsidRPr="00974E66">
        <w:rPr>
          <w:rFonts w:cstheme="minorHAnsi"/>
        </w:rPr>
        <w:t>UN</w:t>
      </w:r>
      <w:r w:rsidR="00974E66" w:rsidRPr="00974E66">
        <w:rPr>
          <w:rFonts w:cstheme="minorHAnsi"/>
        </w:rPr>
        <w:t>DESA,</w:t>
      </w:r>
      <w:r w:rsidR="00C21EDF" w:rsidRPr="00974E66">
        <w:rPr>
          <w:rFonts w:cstheme="minorHAnsi"/>
        </w:rPr>
        <w:t xml:space="preserve"> 2019</w:t>
      </w:r>
      <w:r w:rsidR="00694A2B" w:rsidRPr="00974E66">
        <w:rPr>
          <w:rFonts w:cstheme="minorHAnsi"/>
        </w:rPr>
        <w:t>)</w:t>
      </w:r>
      <w:r w:rsidR="00BE7BE0" w:rsidRPr="00974E66">
        <w:rPr>
          <w:rFonts w:cstheme="minorHAnsi"/>
        </w:rPr>
        <w:t>.</w:t>
      </w:r>
    </w:p>
    <w:p w14:paraId="721D17C7" w14:textId="341A7883" w:rsidR="00D06899" w:rsidRPr="00646755" w:rsidRDefault="00D06899" w:rsidP="000371E8">
      <w:pPr>
        <w:spacing w:line="360" w:lineRule="auto"/>
        <w:ind w:firstLine="284"/>
        <w:rPr>
          <w:rFonts w:cstheme="minorHAnsi"/>
        </w:rPr>
      </w:pPr>
      <w:r w:rsidRPr="00646755">
        <w:rPr>
          <w:rFonts w:cstheme="minorHAnsi"/>
        </w:rPr>
        <w:t xml:space="preserve">It is past time that issues concerning ‘the last minority’, as Gorman (1995) labelled older people in development at the turn of the 1990s, </w:t>
      </w:r>
      <w:r w:rsidR="0001217B">
        <w:rPr>
          <w:rFonts w:cstheme="minorHAnsi"/>
        </w:rPr>
        <w:t>is made</w:t>
      </w:r>
      <w:r w:rsidRPr="00646755">
        <w:rPr>
          <w:rFonts w:cstheme="minorHAnsi"/>
        </w:rPr>
        <w:t xml:space="preserve"> visible. Visibility is only part of the problem, as we discuss in the next section of this </w:t>
      </w:r>
      <w:r w:rsidR="00165BB0">
        <w:rPr>
          <w:rFonts w:cstheme="minorHAnsi"/>
        </w:rPr>
        <w:t>article</w:t>
      </w:r>
      <w:r w:rsidRPr="00646755">
        <w:rPr>
          <w:rFonts w:cstheme="minorHAnsi"/>
        </w:rPr>
        <w:t xml:space="preserve">. Centring older people’s perspectives and unsettling stereotypes around their role and participation in development is the harder part. Much more work is needed in this area and the articles in this </w:t>
      </w:r>
      <w:proofErr w:type="spellStart"/>
      <w:r w:rsidRPr="00646755">
        <w:rPr>
          <w:rFonts w:cstheme="minorHAnsi"/>
        </w:rPr>
        <w:t>S</w:t>
      </w:r>
      <w:r w:rsidR="00D32E3F">
        <w:rPr>
          <w:rFonts w:cstheme="minorHAnsi"/>
        </w:rPr>
        <w:t>pecia</w:t>
      </w:r>
      <w:r w:rsidRPr="00646755">
        <w:rPr>
          <w:rFonts w:cstheme="minorHAnsi"/>
        </w:rPr>
        <w:t>I</w:t>
      </w:r>
      <w:proofErr w:type="spellEnd"/>
      <w:r w:rsidR="00D32E3F">
        <w:rPr>
          <w:rFonts w:cstheme="minorHAnsi"/>
        </w:rPr>
        <w:t xml:space="preserve"> Issue</w:t>
      </w:r>
      <w:r w:rsidRPr="00646755">
        <w:rPr>
          <w:rFonts w:cstheme="minorHAnsi"/>
        </w:rPr>
        <w:t xml:space="preserve"> point to potential directions in which an ageing and development lens could take the development agenda. Despite the scale of the task, we are now in a good position to reignite calls for development policy and research to focus on ageing and development, partly due to the global demographic shift: there are now more people aged over 60 than under age five. Later life, in terms of health and care, if not in economic terms, is considerably more visible due to the UN Decade of Healthy Ageing. The Decade’s objective is to ‘foster healthy ageing</w:t>
      </w:r>
      <w:r w:rsidR="00084A00">
        <w:rPr>
          <w:rFonts w:cstheme="minorHAnsi"/>
        </w:rPr>
        <w:t>’</w:t>
      </w:r>
      <w:r w:rsidRPr="00646755">
        <w:rPr>
          <w:rFonts w:cstheme="minorHAnsi"/>
        </w:rPr>
        <w:t xml:space="preserve"> and </w:t>
      </w:r>
      <w:r w:rsidR="00084A00">
        <w:rPr>
          <w:rFonts w:cstheme="minorHAnsi"/>
        </w:rPr>
        <w:t xml:space="preserve">‘to </w:t>
      </w:r>
      <w:r w:rsidRPr="00646755">
        <w:rPr>
          <w:rFonts w:cstheme="minorHAnsi"/>
        </w:rPr>
        <w:t xml:space="preserve">improve </w:t>
      </w:r>
      <w:r w:rsidRPr="00646755">
        <w:rPr>
          <w:rFonts w:cstheme="minorHAnsi"/>
        </w:rPr>
        <w:lastRenderedPageBreak/>
        <w:t>the lives of older people</w:t>
      </w:r>
      <w:r w:rsidR="00084A00">
        <w:rPr>
          <w:rFonts w:cstheme="minorHAnsi"/>
        </w:rPr>
        <w:t>,</w:t>
      </w:r>
      <w:r w:rsidRPr="00646755">
        <w:rPr>
          <w:rFonts w:cstheme="minorHAnsi"/>
        </w:rPr>
        <w:t xml:space="preserve"> their families and </w:t>
      </w:r>
      <w:r w:rsidRPr="00DD195F">
        <w:rPr>
          <w:rFonts w:cstheme="minorHAnsi"/>
        </w:rPr>
        <w:t>communities</w:t>
      </w:r>
      <w:r w:rsidR="00084A00" w:rsidRPr="00DD195F">
        <w:rPr>
          <w:rFonts w:cstheme="minorHAnsi"/>
        </w:rPr>
        <w:t xml:space="preserve"> in which they live</w:t>
      </w:r>
      <w:r w:rsidRPr="00DD195F">
        <w:rPr>
          <w:rFonts w:cstheme="minorHAnsi"/>
        </w:rPr>
        <w:t>’</w:t>
      </w:r>
      <w:r w:rsidR="0001217B">
        <w:rPr>
          <w:rFonts w:cstheme="minorHAnsi"/>
        </w:rPr>
        <w:t xml:space="preserve"> </w:t>
      </w:r>
      <w:r w:rsidR="0001217B" w:rsidRPr="004D2D3A">
        <w:rPr>
          <w:rFonts w:cstheme="minorHAnsi"/>
        </w:rPr>
        <w:t>(UN</w:t>
      </w:r>
      <w:r w:rsidR="004D2D3A" w:rsidRPr="004D2D3A">
        <w:rPr>
          <w:rFonts w:cstheme="minorHAnsi"/>
        </w:rPr>
        <w:t xml:space="preserve"> Decade for Healthy Ageing, undated</w:t>
      </w:r>
      <w:r w:rsidR="0001217B" w:rsidRPr="004D2D3A">
        <w:rPr>
          <w:rFonts w:cstheme="minorHAnsi"/>
        </w:rPr>
        <w:t>)</w:t>
      </w:r>
      <w:r w:rsidRPr="004D2D3A">
        <w:rPr>
          <w:rFonts w:cstheme="minorHAnsi"/>
        </w:rPr>
        <w:t>. In order to meet the central transforma</w:t>
      </w:r>
      <w:r w:rsidR="00DD195F" w:rsidRPr="004D2D3A">
        <w:rPr>
          <w:rFonts w:cstheme="minorHAnsi"/>
        </w:rPr>
        <w:t>tive</w:t>
      </w:r>
      <w:r w:rsidR="00DD195F">
        <w:rPr>
          <w:rFonts w:cstheme="minorHAnsi"/>
        </w:rPr>
        <w:t xml:space="preserve"> promise of the</w:t>
      </w:r>
      <w:r w:rsidRPr="00646755">
        <w:rPr>
          <w:rFonts w:cstheme="minorHAnsi"/>
        </w:rPr>
        <w:t xml:space="preserve"> SDGs’ ‘Leave no one behind’, the UN identifies four areas for action: age-friendly environments, combatting ageism, integrated care, long-term care. This is a welcome initiative </w:t>
      </w:r>
      <w:r w:rsidR="00B308E5">
        <w:rPr>
          <w:rFonts w:cstheme="minorHAnsi"/>
        </w:rPr>
        <w:t xml:space="preserve">in </w:t>
      </w:r>
      <w:r w:rsidRPr="00646755">
        <w:rPr>
          <w:rFonts w:cstheme="minorHAnsi"/>
        </w:rPr>
        <w:t xml:space="preserve">that </w:t>
      </w:r>
      <w:r w:rsidR="00B308E5">
        <w:rPr>
          <w:rFonts w:cstheme="minorHAnsi"/>
        </w:rPr>
        <w:t xml:space="preserve">it </w:t>
      </w:r>
      <w:r w:rsidRPr="00646755">
        <w:rPr>
          <w:rFonts w:cstheme="minorHAnsi"/>
        </w:rPr>
        <w:t>moves the debate on from framing global demographic transition in a crisis-based discourse, positioning older people as a pre</w:t>
      </w:r>
      <w:r w:rsidR="00B308E5">
        <w:rPr>
          <w:rFonts w:cstheme="minorHAnsi"/>
        </w:rPr>
        <w:t>sent and looming burden. Instead, the UN presents</w:t>
      </w:r>
      <w:r w:rsidRPr="00646755">
        <w:rPr>
          <w:rFonts w:cstheme="minorHAnsi"/>
        </w:rPr>
        <w:t xml:space="preserve"> a rights-based framework that locates older people within their families, communities and nation. The most significant call is to reverse ageist stereotyping, prejudice and discrimination at all scales of the development project – from inter-personal relations right through to research, policy formation and implementation. </w:t>
      </w:r>
      <w:r w:rsidR="00B308E5">
        <w:rPr>
          <w:rFonts w:cstheme="minorHAnsi"/>
        </w:rPr>
        <w:t>T</w:t>
      </w:r>
      <w:r w:rsidR="00D32E3F">
        <w:rPr>
          <w:rFonts w:cstheme="minorHAnsi"/>
        </w:rPr>
        <w:t>he SDGs’</w:t>
      </w:r>
      <w:r w:rsidRPr="00646755">
        <w:rPr>
          <w:rFonts w:cstheme="minorHAnsi"/>
        </w:rPr>
        <w:t xml:space="preserve"> call to reverse ageism in the development agenda demands an approach that foregrounds how physical, social and economic environments are themselves drivers of incapacities, vulnerabilities and dependences – the point here being that there is no more uniformity to ageing</w:t>
      </w:r>
      <w:r w:rsidR="00DD195F">
        <w:rPr>
          <w:rFonts w:cstheme="minorHAnsi"/>
        </w:rPr>
        <w:t xml:space="preserve"> than</w:t>
      </w:r>
      <w:r w:rsidRPr="00646755">
        <w:rPr>
          <w:rFonts w:cstheme="minorHAnsi"/>
        </w:rPr>
        <w:t xml:space="preserve"> there is to childhoods, gendered relations and so on. </w:t>
      </w:r>
    </w:p>
    <w:p w14:paraId="108F7765" w14:textId="00611F0E" w:rsidR="00D06899" w:rsidRPr="00646755" w:rsidRDefault="00D06899" w:rsidP="000371E8">
      <w:pPr>
        <w:spacing w:line="360" w:lineRule="auto"/>
        <w:ind w:firstLine="284"/>
        <w:rPr>
          <w:rFonts w:cstheme="minorHAnsi"/>
          <w:highlight w:val="yellow"/>
        </w:rPr>
      </w:pPr>
      <w:r w:rsidRPr="00646755">
        <w:rPr>
          <w:rFonts w:cstheme="minorHAnsi"/>
        </w:rPr>
        <w:t xml:space="preserve">The call to reverse ageist stereotyping necessitates a shift from seeing older people as inevitably vulnerable, passive and dependent. This aligns well with existing and emerging research that </w:t>
      </w:r>
      <w:r w:rsidR="000253C6">
        <w:rPr>
          <w:rFonts w:cstheme="minorHAnsi"/>
        </w:rPr>
        <w:t>unearths</w:t>
      </w:r>
      <w:r w:rsidRPr="00646755">
        <w:rPr>
          <w:rFonts w:cstheme="minorHAnsi"/>
        </w:rPr>
        <w:t xml:space="preserve"> a complex reality. This research finds that many people in later life are resilient, lead active lives and make direct contributions to the survival and wellbeing of their family members as well as to development more broadly, though frequently under conditions of significant hardship (Age International</w:t>
      </w:r>
      <w:r>
        <w:rPr>
          <w:rFonts w:cstheme="minorHAnsi"/>
        </w:rPr>
        <w:t>,</w:t>
      </w:r>
      <w:r w:rsidRPr="00646755">
        <w:rPr>
          <w:rFonts w:cstheme="minorHAnsi"/>
        </w:rPr>
        <w:t xml:space="preserve"> 2018; Bastia</w:t>
      </w:r>
      <w:r>
        <w:rPr>
          <w:rFonts w:cstheme="minorHAnsi"/>
        </w:rPr>
        <w:t>,</w:t>
      </w:r>
      <w:r w:rsidRPr="00646755">
        <w:rPr>
          <w:rFonts w:cstheme="minorHAnsi"/>
        </w:rPr>
        <w:t xml:space="preserve"> 2009; Bastia </w:t>
      </w:r>
      <w:r w:rsidRPr="00646755">
        <w:rPr>
          <w:rFonts w:cstheme="minorHAnsi"/>
          <w:i/>
          <w:iCs/>
        </w:rPr>
        <w:t>et al</w:t>
      </w:r>
      <w:r w:rsidRPr="00646755">
        <w:rPr>
          <w:rFonts w:cstheme="minorHAnsi"/>
        </w:rPr>
        <w:t>.</w:t>
      </w:r>
      <w:r>
        <w:rPr>
          <w:rFonts w:cstheme="minorHAnsi"/>
        </w:rPr>
        <w:t>,</w:t>
      </w:r>
      <w:r w:rsidRPr="00646755">
        <w:rPr>
          <w:rFonts w:cstheme="minorHAnsi"/>
        </w:rPr>
        <w:t xml:space="preserve"> 2021; Bastia </w:t>
      </w:r>
      <w:r w:rsidRPr="00646755">
        <w:rPr>
          <w:rFonts w:cstheme="minorHAnsi"/>
          <w:i/>
        </w:rPr>
        <w:t>et al.</w:t>
      </w:r>
      <w:r>
        <w:rPr>
          <w:rFonts w:cstheme="minorHAnsi"/>
          <w:iCs/>
        </w:rPr>
        <w:t>,</w:t>
      </w:r>
      <w:r w:rsidRPr="00646755">
        <w:rPr>
          <w:rFonts w:cstheme="minorHAnsi"/>
        </w:rPr>
        <w:t xml:space="preserve"> 2022; Harris-White et al</w:t>
      </w:r>
      <w:r>
        <w:rPr>
          <w:rFonts w:cstheme="minorHAnsi"/>
        </w:rPr>
        <w:t>.,</w:t>
      </w:r>
      <w:r w:rsidRPr="00646755">
        <w:rPr>
          <w:rFonts w:cstheme="minorHAnsi"/>
        </w:rPr>
        <w:t xml:space="preserve"> 2013; King </w:t>
      </w:r>
      <w:r w:rsidRPr="00646755">
        <w:rPr>
          <w:rFonts w:cstheme="minorHAnsi"/>
          <w:i/>
          <w:iCs/>
        </w:rPr>
        <w:t>et al</w:t>
      </w:r>
      <w:r w:rsidRPr="00646755">
        <w:rPr>
          <w:rFonts w:cstheme="minorHAnsi"/>
        </w:rPr>
        <w:t>.</w:t>
      </w:r>
      <w:r>
        <w:rPr>
          <w:rFonts w:cstheme="minorHAnsi"/>
        </w:rPr>
        <w:t>,</w:t>
      </w:r>
      <w:r w:rsidRPr="00646755">
        <w:rPr>
          <w:rFonts w:cstheme="minorHAnsi"/>
        </w:rPr>
        <w:t xml:space="preserve"> 2017; Vera-Sanso</w:t>
      </w:r>
      <w:r>
        <w:rPr>
          <w:rFonts w:cstheme="minorHAnsi"/>
        </w:rPr>
        <w:t>,</w:t>
      </w:r>
      <w:r w:rsidRPr="00646755">
        <w:rPr>
          <w:rFonts w:cstheme="minorHAnsi"/>
        </w:rPr>
        <w:t xml:space="preserve"> 2007; 2010; 2012; </w:t>
      </w:r>
      <w:proofErr w:type="spellStart"/>
      <w:r w:rsidRPr="00646755">
        <w:rPr>
          <w:rFonts w:cstheme="minorHAnsi"/>
        </w:rPr>
        <w:t>Yarris</w:t>
      </w:r>
      <w:proofErr w:type="spellEnd"/>
      <w:r>
        <w:rPr>
          <w:rFonts w:cstheme="minorHAnsi"/>
        </w:rPr>
        <w:t>,</w:t>
      </w:r>
      <w:r w:rsidRPr="00646755">
        <w:rPr>
          <w:rFonts w:cstheme="minorHAnsi"/>
        </w:rPr>
        <w:t xml:space="preserve"> 201</w:t>
      </w:r>
      <w:r>
        <w:rPr>
          <w:rFonts w:cstheme="minorHAnsi"/>
        </w:rPr>
        <w:t>7</w:t>
      </w:r>
      <w:r w:rsidRPr="00646755">
        <w:rPr>
          <w:rFonts w:cstheme="minorHAnsi"/>
        </w:rPr>
        <w:t xml:space="preserve">).  </w:t>
      </w:r>
    </w:p>
    <w:p w14:paraId="6E6D56E5" w14:textId="77777777" w:rsidR="00D06899" w:rsidRPr="00646755" w:rsidRDefault="00D06899" w:rsidP="000371E8">
      <w:pPr>
        <w:spacing w:line="360" w:lineRule="auto"/>
        <w:rPr>
          <w:rFonts w:cstheme="minorHAnsi"/>
          <w:b/>
        </w:rPr>
      </w:pPr>
    </w:p>
    <w:p w14:paraId="1F46AFFC" w14:textId="0D69E7CD" w:rsidR="00D06899" w:rsidRPr="00646755" w:rsidRDefault="006D6550" w:rsidP="000371E8">
      <w:pPr>
        <w:spacing w:line="360" w:lineRule="auto"/>
        <w:rPr>
          <w:rFonts w:cstheme="minorHAnsi"/>
          <w:b/>
        </w:rPr>
      </w:pPr>
      <w:r>
        <w:rPr>
          <w:rFonts w:cstheme="minorHAnsi"/>
          <w:b/>
        </w:rPr>
        <w:t>Beyond the</w:t>
      </w:r>
      <w:r w:rsidR="00D06899" w:rsidRPr="00646755">
        <w:rPr>
          <w:rFonts w:cstheme="minorHAnsi"/>
          <w:b/>
        </w:rPr>
        <w:t xml:space="preserve"> Demographic Crisis Approach to Later Life and Development</w:t>
      </w:r>
    </w:p>
    <w:p w14:paraId="579FAABB" w14:textId="54A5AAD8" w:rsidR="00D06899" w:rsidRPr="00646755" w:rsidRDefault="00D06899" w:rsidP="000371E8">
      <w:pPr>
        <w:pStyle w:val="NormalWeb"/>
        <w:spacing w:line="360" w:lineRule="auto"/>
        <w:rPr>
          <w:rFonts w:asciiTheme="minorHAnsi" w:hAnsiTheme="minorHAnsi" w:cstheme="minorHAnsi"/>
        </w:rPr>
      </w:pPr>
      <w:r w:rsidRPr="00646755">
        <w:rPr>
          <w:rFonts w:asciiTheme="minorHAnsi" w:hAnsiTheme="minorHAnsi" w:cstheme="minorHAnsi"/>
        </w:rPr>
        <w:t>Despite the erroneous but widely held belief that an ageing population is mainly a concern for high-income countries, the reverse is true. While the UNDESA (2019) predicts that the number of people aged over 65 will double by 2050 to 1.5 billion people, two-thirds will live i</w:t>
      </w:r>
      <w:r w:rsidR="00DD195F">
        <w:rPr>
          <w:rFonts w:asciiTheme="minorHAnsi" w:hAnsiTheme="minorHAnsi" w:cstheme="minorHAnsi"/>
        </w:rPr>
        <w:t>n less developed countries. These</w:t>
      </w:r>
      <w:r w:rsidRPr="00646755">
        <w:rPr>
          <w:rFonts w:asciiTheme="minorHAnsi" w:hAnsiTheme="minorHAnsi" w:cstheme="minorHAnsi"/>
        </w:rPr>
        <w:t xml:space="preserve"> numbers have given rise </w:t>
      </w:r>
      <w:r w:rsidRPr="00646755">
        <w:rPr>
          <w:rFonts w:asciiTheme="minorHAnsi" w:hAnsiTheme="minorHAnsi" w:cstheme="minorHAnsi"/>
        </w:rPr>
        <w:lastRenderedPageBreak/>
        <w:t xml:space="preserve">to a population crisis approach that can be seen in key texts such as the World Bank’s </w:t>
      </w:r>
      <w:r w:rsidRPr="00646755">
        <w:rPr>
          <w:rFonts w:asciiTheme="minorHAnsi" w:hAnsiTheme="minorHAnsi" w:cstheme="minorHAnsi"/>
          <w:i/>
        </w:rPr>
        <w:t>Averting the Age Old Crisis</w:t>
      </w:r>
      <w:r w:rsidRPr="00646755">
        <w:rPr>
          <w:rFonts w:asciiTheme="minorHAnsi" w:hAnsiTheme="minorHAnsi" w:cstheme="minorHAnsi"/>
        </w:rPr>
        <w:t xml:space="preserve"> (1994). Underpinning the demographic crisis approach to population ageing is the assumption that older people do not and cannot support themselves in later life, that they are a burden on ‘working age’ people, either directly on their families or on the population of workers. However, when we drill down into the literature we find unsettling information. The idea of later life incapacity is the remnant of policy objectives around employment strategies in labour surplus post-war European, labour unions’ pension objectives and capital’s post-war attempt to rejuvenate its labour force (Walker, 1980). In the United States this work/retirement model of the life course is limited to white collar and unionised blue collar. It did not apply to women and minorities whose pa</w:t>
      </w:r>
      <w:r w:rsidR="009F2CEC">
        <w:rPr>
          <w:rFonts w:asciiTheme="minorHAnsi" w:hAnsiTheme="minorHAnsi" w:cstheme="minorHAnsi"/>
        </w:rPr>
        <w:t>id work histories were episodic and</w:t>
      </w:r>
      <w:r w:rsidRPr="00646755">
        <w:rPr>
          <w:rFonts w:asciiTheme="minorHAnsi" w:hAnsiTheme="minorHAnsi" w:cstheme="minorHAnsi"/>
        </w:rPr>
        <w:t xml:space="preserve"> part-time (Moen, 2013). In most parts of the world most people still do not have any pensions and need to work into deep old age (Barrientos, 2009; Vera-Sanso, 2012</w:t>
      </w:r>
      <w:r>
        <w:rPr>
          <w:rFonts w:asciiTheme="minorHAnsi" w:hAnsiTheme="minorHAnsi" w:cstheme="minorHAnsi"/>
        </w:rPr>
        <w:t>;</w:t>
      </w:r>
      <w:r w:rsidRPr="00646755">
        <w:rPr>
          <w:rFonts w:asciiTheme="minorHAnsi" w:hAnsiTheme="minorHAnsi" w:cstheme="minorHAnsi"/>
        </w:rPr>
        <w:t xml:space="preserve"> 2013</w:t>
      </w:r>
      <w:r>
        <w:rPr>
          <w:rFonts w:asciiTheme="minorHAnsi" w:hAnsiTheme="minorHAnsi" w:cstheme="minorHAnsi"/>
        </w:rPr>
        <w:t>;</w:t>
      </w:r>
      <w:r w:rsidRPr="00646755">
        <w:rPr>
          <w:rFonts w:asciiTheme="minorHAnsi" w:hAnsiTheme="minorHAnsi" w:cstheme="minorHAnsi"/>
        </w:rPr>
        <w:t xml:space="preserve"> 2017). Only those who </w:t>
      </w:r>
      <w:r w:rsidR="009F2CEC">
        <w:rPr>
          <w:rFonts w:asciiTheme="minorHAnsi" w:hAnsiTheme="minorHAnsi" w:cstheme="minorHAnsi"/>
        </w:rPr>
        <w:t xml:space="preserve">either have assets themselves </w:t>
      </w:r>
      <w:r w:rsidRPr="00646755">
        <w:rPr>
          <w:rFonts w:asciiTheme="minorHAnsi" w:hAnsiTheme="minorHAnsi" w:cstheme="minorHAnsi"/>
        </w:rPr>
        <w:t>or who have economically secure relatives can retire. The vast majority of the world’s older people have always contributed to family subsistence strategies or been self-supporting through paid and unpaid work, be that by directly earning a living, through manufacturing, agriculture or service work, or indirectly, by looking after children, negotiating loans or representing family interests in community level formal and informal fora (and so on) (Vera-Sanso</w:t>
      </w:r>
      <w:r>
        <w:rPr>
          <w:rFonts w:asciiTheme="minorHAnsi" w:hAnsiTheme="minorHAnsi" w:cstheme="minorHAnsi"/>
        </w:rPr>
        <w:t>,</w:t>
      </w:r>
      <w:r w:rsidRPr="00646755">
        <w:rPr>
          <w:rFonts w:asciiTheme="minorHAnsi" w:hAnsiTheme="minorHAnsi" w:cstheme="minorHAnsi"/>
        </w:rPr>
        <w:t xml:space="preserve"> 2017</w:t>
      </w:r>
      <w:r w:rsidR="009F2CEC">
        <w:rPr>
          <w:rFonts w:asciiTheme="minorHAnsi" w:hAnsiTheme="minorHAnsi" w:cstheme="minorHAnsi"/>
        </w:rPr>
        <w:t xml:space="preserve">; </w:t>
      </w:r>
      <w:r w:rsidR="009F2CEC" w:rsidRPr="009F2CEC">
        <w:rPr>
          <w:rFonts w:asciiTheme="minorHAnsi" w:hAnsiTheme="minorHAnsi" w:cstheme="minorHAnsi"/>
        </w:rPr>
        <w:t>Bastia, 2009;</w:t>
      </w:r>
      <w:r w:rsidR="009F2CEC">
        <w:rPr>
          <w:rFonts w:asciiTheme="minorHAnsi" w:hAnsiTheme="minorHAnsi" w:cstheme="minorHAnsi"/>
        </w:rPr>
        <w:t xml:space="preserve"> Vullnetari, this volume</w:t>
      </w:r>
      <w:r w:rsidRPr="00646755">
        <w:rPr>
          <w:rFonts w:asciiTheme="minorHAnsi" w:hAnsiTheme="minorHAnsi" w:cstheme="minorHAnsi"/>
        </w:rPr>
        <w:t xml:space="preserve">). </w:t>
      </w:r>
    </w:p>
    <w:p w14:paraId="58A3904D" w14:textId="258428C0" w:rsidR="00D06899" w:rsidRPr="00646755" w:rsidRDefault="006D6550" w:rsidP="000371E8">
      <w:pPr>
        <w:pStyle w:val="NormalWeb"/>
        <w:spacing w:line="360" w:lineRule="auto"/>
        <w:ind w:firstLine="284"/>
        <w:rPr>
          <w:rFonts w:asciiTheme="minorHAnsi" w:hAnsiTheme="minorHAnsi" w:cstheme="minorHAnsi"/>
        </w:rPr>
      </w:pPr>
      <w:r>
        <w:rPr>
          <w:rFonts w:asciiTheme="minorHAnsi" w:hAnsiTheme="minorHAnsi" w:cstheme="minorHAnsi"/>
        </w:rPr>
        <w:t>Taking seriously the</w:t>
      </w:r>
      <w:r w:rsidRPr="00646755">
        <w:rPr>
          <w:rFonts w:asciiTheme="minorHAnsi" w:hAnsiTheme="minorHAnsi" w:cstheme="minorHAnsi"/>
        </w:rPr>
        <w:t xml:space="preserve"> SDG objective of ‘Leave no one behind’</w:t>
      </w:r>
      <w:r>
        <w:rPr>
          <w:rFonts w:asciiTheme="minorHAnsi" w:hAnsiTheme="minorHAnsi" w:cstheme="minorHAnsi"/>
        </w:rPr>
        <w:t xml:space="preserve"> requires moving beyond the demographic crisis approach, yet this</w:t>
      </w:r>
      <w:r w:rsidR="00D06899" w:rsidRPr="00646755">
        <w:rPr>
          <w:rFonts w:asciiTheme="minorHAnsi" w:hAnsiTheme="minorHAnsi" w:cstheme="minorHAnsi"/>
        </w:rPr>
        <w:t xml:space="preserve"> is hampered by the paucity of reliably conceptualised ‘data’. The first issue is </w:t>
      </w:r>
      <w:r w:rsidR="00D06899" w:rsidRPr="003C6FAF">
        <w:rPr>
          <w:rFonts w:asciiTheme="minorHAnsi" w:hAnsiTheme="minorHAnsi" w:cstheme="minorHAnsi"/>
        </w:rPr>
        <w:t xml:space="preserve">the </w:t>
      </w:r>
      <w:r w:rsidR="00D06899" w:rsidRPr="003C6FAF">
        <w:rPr>
          <w:rFonts w:asciiTheme="minorHAnsi" w:hAnsiTheme="minorHAnsi" w:cstheme="minorHAnsi"/>
          <w:i/>
          <w:iCs/>
        </w:rPr>
        <w:t>limited conceptualisation of what activity counts as worth counting</w:t>
      </w:r>
      <w:r w:rsidR="00D06899" w:rsidRPr="003C6FAF">
        <w:rPr>
          <w:rFonts w:asciiTheme="minorHAnsi" w:hAnsiTheme="minorHAnsi" w:cstheme="minorHAnsi"/>
        </w:rPr>
        <w:t>.</w:t>
      </w:r>
      <w:r w:rsidR="00D06899" w:rsidRPr="00646755">
        <w:rPr>
          <w:rFonts w:asciiTheme="minorHAnsi" w:hAnsiTheme="minorHAnsi" w:cstheme="minorHAnsi"/>
        </w:rPr>
        <w:t xml:space="preserve"> This is a long-standing issue regarding unpaid work, which erases the value of the work that women, </w:t>
      </w:r>
      <w:proofErr w:type="gramStart"/>
      <w:r w:rsidR="00D06899" w:rsidRPr="00646755">
        <w:rPr>
          <w:rFonts w:asciiTheme="minorHAnsi" w:hAnsiTheme="minorHAnsi" w:cstheme="minorHAnsi"/>
        </w:rPr>
        <w:t>children</w:t>
      </w:r>
      <w:proofErr w:type="gramEnd"/>
      <w:r w:rsidR="00D06899" w:rsidRPr="00646755">
        <w:rPr>
          <w:rFonts w:asciiTheme="minorHAnsi" w:hAnsiTheme="minorHAnsi" w:cstheme="minorHAnsi"/>
        </w:rPr>
        <w:t xml:space="preserve"> and older people put into (re)producing the family, community, labour power and socialised citizens for today, tomorrow and years to come (</w:t>
      </w:r>
      <w:proofErr w:type="spellStart"/>
      <w:r w:rsidR="00D06899" w:rsidRPr="00646755">
        <w:rPr>
          <w:rFonts w:asciiTheme="minorHAnsi" w:hAnsiTheme="minorHAnsi" w:cstheme="minorHAnsi"/>
        </w:rPr>
        <w:t>Razavi</w:t>
      </w:r>
      <w:proofErr w:type="spellEnd"/>
      <w:r w:rsidR="00D06899">
        <w:rPr>
          <w:rFonts w:asciiTheme="minorHAnsi" w:hAnsiTheme="minorHAnsi" w:cstheme="minorHAnsi"/>
        </w:rPr>
        <w:t>,</w:t>
      </w:r>
      <w:r w:rsidR="00D06899" w:rsidRPr="00646755">
        <w:rPr>
          <w:rFonts w:asciiTheme="minorHAnsi" w:hAnsiTheme="minorHAnsi" w:cstheme="minorHAnsi"/>
        </w:rPr>
        <w:t xml:space="preserve"> 2007; </w:t>
      </w:r>
      <w:r w:rsidR="00D06899" w:rsidRPr="00646755">
        <w:rPr>
          <w:rFonts w:asciiTheme="minorHAnsi" w:hAnsiTheme="minorHAnsi" w:cstheme="minorHAnsi"/>
          <w:bCs/>
          <w:noProof/>
        </w:rPr>
        <w:t>Raghuram</w:t>
      </w:r>
      <w:r w:rsidR="00D06899" w:rsidRPr="00646755">
        <w:rPr>
          <w:rFonts w:asciiTheme="minorHAnsi" w:hAnsiTheme="minorHAnsi" w:cstheme="minorHAnsi"/>
          <w:noProof/>
        </w:rPr>
        <w:t>,</w:t>
      </w:r>
      <w:r w:rsidR="00D06899" w:rsidRPr="00646755">
        <w:rPr>
          <w:rFonts w:asciiTheme="minorHAnsi" w:hAnsiTheme="minorHAnsi" w:cstheme="minorHAnsi"/>
          <w:b/>
          <w:bCs/>
          <w:noProof/>
        </w:rPr>
        <w:t xml:space="preserve"> </w:t>
      </w:r>
      <w:r w:rsidR="00D06899" w:rsidRPr="00646755">
        <w:rPr>
          <w:rFonts w:asciiTheme="minorHAnsi" w:hAnsiTheme="minorHAnsi" w:cstheme="minorHAnsi"/>
          <w:noProof/>
        </w:rPr>
        <w:t>2012</w:t>
      </w:r>
      <w:r w:rsidR="00D06899" w:rsidRPr="00646755">
        <w:rPr>
          <w:rFonts w:asciiTheme="minorHAnsi" w:hAnsiTheme="minorHAnsi" w:cstheme="minorHAnsi"/>
        </w:rPr>
        <w:t>)</w:t>
      </w:r>
      <w:r w:rsidR="00AC09A1">
        <w:rPr>
          <w:rFonts w:asciiTheme="minorHAnsi" w:hAnsiTheme="minorHAnsi" w:cstheme="minorHAnsi"/>
        </w:rPr>
        <w:t>, the importance of which was amply demonstrated over the Covid pandemic</w:t>
      </w:r>
      <w:r w:rsidR="00D06899" w:rsidRPr="00646755">
        <w:rPr>
          <w:rFonts w:asciiTheme="minorHAnsi" w:hAnsiTheme="minorHAnsi" w:cstheme="minorHAnsi"/>
        </w:rPr>
        <w:t xml:space="preserve">. This conceptualisation of what counts as work is both sexist and ageist, and clearly discriminatory, contributing </w:t>
      </w:r>
      <w:r w:rsidR="00D06899" w:rsidRPr="00646755">
        <w:rPr>
          <w:rFonts w:asciiTheme="minorHAnsi" w:hAnsiTheme="minorHAnsi" w:cstheme="minorHAnsi"/>
        </w:rPr>
        <w:lastRenderedPageBreak/>
        <w:t xml:space="preserve">heavily to policy and practice that reproduce a deficit model of later </w:t>
      </w:r>
      <w:r w:rsidR="00D06899" w:rsidRPr="008C6F33">
        <w:rPr>
          <w:rFonts w:asciiTheme="minorHAnsi" w:hAnsiTheme="minorHAnsi" w:cstheme="minorHAnsi"/>
        </w:rPr>
        <w:t>life. The SDG demand for better data, which appears to be leading to more data on older people’s paid work, will go some way towards removing some of the erasure, although the social construction of ‘work’ and ‘worker’, versus ‘just passing time’, in later life has yet to</w:t>
      </w:r>
      <w:r w:rsidR="00D06899" w:rsidRPr="00646755">
        <w:rPr>
          <w:rFonts w:asciiTheme="minorHAnsi" w:hAnsiTheme="minorHAnsi" w:cstheme="minorHAnsi"/>
        </w:rPr>
        <w:t xml:space="preserve"> be addressed (Vera-Sanso</w:t>
      </w:r>
      <w:r w:rsidR="00D06899">
        <w:rPr>
          <w:rFonts w:asciiTheme="minorHAnsi" w:hAnsiTheme="minorHAnsi" w:cstheme="minorHAnsi"/>
        </w:rPr>
        <w:t>,</w:t>
      </w:r>
      <w:r w:rsidR="00D06899" w:rsidRPr="00646755">
        <w:rPr>
          <w:rFonts w:asciiTheme="minorHAnsi" w:hAnsiTheme="minorHAnsi" w:cstheme="minorHAnsi"/>
        </w:rPr>
        <w:t xml:space="preserve"> 2012). More work is needed to develop ways of conceptualising and capturing essential areas of activity that are neither acknowledged nor commodified.</w:t>
      </w:r>
    </w:p>
    <w:p w14:paraId="5A20BFDE" w14:textId="77777777" w:rsidR="008C6F33" w:rsidRDefault="00D06899" w:rsidP="000371E8">
      <w:pPr>
        <w:pStyle w:val="NormalWeb"/>
        <w:spacing w:line="360" w:lineRule="auto"/>
        <w:ind w:firstLine="284"/>
        <w:rPr>
          <w:rFonts w:asciiTheme="minorHAnsi" w:hAnsiTheme="minorHAnsi" w:cstheme="minorHAnsi"/>
        </w:rPr>
      </w:pPr>
      <w:r w:rsidRPr="00646755">
        <w:rPr>
          <w:rFonts w:asciiTheme="minorHAnsi" w:hAnsiTheme="minorHAnsi" w:cstheme="minorHAnsi"/>
        </w:rPr>
        <w:t xml:space="preserve">The second issue is </w:t>
      </w:r>
      <w:r w:rsidRPr="000E6806">
        <w:rPr>
          <w:rFonts w:asciiTheme="minorHAnsi" w:hAnsiTheme="minorHAnsi" w:cstheme="minorHAnsi"/>
        </w:rPr>
        <w:t xml:space="preserve">the </w:t>
      </w:r>
      <w:r w:rsidRPr="000E6806">
        <w:rPr>
          <w:rFonts w:asciiTheme="minorHAnsi" w:hAnsiTheme="minorHAnsi" w:cstheme="minorHAnsi"/>
          <w:i/>
          <w:iCs/>
        </w:rPr>
        <w:t>conceptualisation of age</w:t>
      </w:r>
      <w:r w:rsidRPr="000E6806">
        <w:rPr>
          <w:rFonts w:asciiTheme="minorHAnsi" w:hAnsiTheme="minorHAnsi" w:cstheme="minorHAnsi"/>
        </w:rPr>
        <w:t>. As data analysis</w:t>
      </w:r>
      <w:r w:rsidRPr="00646755">
        <w:rPr>
          <w:rFonts w:asciiTheme="minorHAnsi" w:hAnsiTheme="minorHAnsi" w:cstheme="minorHAnsi"/>
        </w:rPr>
        <w:t xml:space="preserve">, policy and implementation practices orientate themselves around chronologically set age boundaries, what should be set as the threshold for later life? It is notable that the threshold has been rising in UN documentation; in 2019 it jumped from 60 to 65 (UNDESA, 2019), a figure </w:t>
      </w:r>
      <w:r w:rsidR="008C6F33">
        <w:rPr>
          <w:rFonts w:asciiTheme="minorHAnsi" w:hAnsiTheme="minorHAnsi" w:cstheme="minorHAnsi"/>
        </w:rPr>
        <w:t>driven by</w:t>
      </w:r>
      <w:r w:rsidRPr="00646755">
        <w:rPr>
          <w:rFonts w:asciiTheme="minorHAnsi" w:hAnsiTheme="minorHAnsi" w:cstheme="minorHAnsi"/>
        </w:rPr>
        <w:t xml:space="preserve"> developed country </w:t>
      </w:r>
      <w:r w:rsidR="008C6F33">
        <w:rPr>
          <w:rFonts w:asciiTheme="minorHAnsi" w:hAnsiTheme="minorHAnsi" w:cstheme="minorHAnsi"/>
        </w:rPr>
        <w:t>concerns about</w:t>
      </w:r>
      <w:r w:rsidRPr="00646755">
        <w:rPr>
          <w:rFonts w:asciiTheme="minorHAnsi" w:hAnsiTheme="minorHAnsi" w:cstheme="minorHAnsi"/>
        </w:rPr>
        <w:t xml:space="preserve"> pension </w:t>
      </w:r>
      <w:r w:rsidR="008C6F33">
        <w:rPr>
          <w:rFonts w:asciiTheme="minorHAnsi" w:hAnsiTheme="minorHAnsi" w:cstheme="minorHAnsi"/>
        </w:rPr>
        <w:t xml:space="preserve">age </w:t>
      </w:r>
      <w:r w:rsidR="00974E66">
        <w:rPr>
          <w:rFonts w:asciiTheme="minorHAnsi" w:hAnsiTheme="minorHAnsi" w:cstheme="minorHAnsi"/>
        </w:rPr>
        <w:t>thresholds</w:t>
      </w:r>
      <w:r w:rsidRPr="00646755">
        <w:rPr>
          <w:rFonts w:asciiTheme="minorHAnsi" w:hAnsiTheme="minorHAnsi" w:cstheme="minorHAnsi"/>
        </w:rPr>
        <w:t>. Not only are births not registered in many developing countries, making chronological data unreliable</w:t>
      </w:r>
      <w:r w:rsidR="008C6F33">
        <w:rPr>
          <w:rFonts w:asciiTheme="minorHAnsi" w:hAnsiTheme="minorHAnsi" w:cstheme="minorHAnsi"/>
        </w:rPr>
        <w:t>,</w:t>
      </w:r>
      <w:r w:rsidRPr="00646755">
        <w:rPr>
          <w:rFonts w:asciiTheme="minorHAnsi" w:hAnsiTheme="minorHAnsi" w:cstheme="minorHAnsi"/>
        </w:rPr>
        <w:t xml:space="preserve"> but there is a social health g</w:t>
      </w:r>
      <w:r w:rsidR="00253DB5">
        <w:rPr>
          <w:rFonts w:asciiTheme="minorHAnsi" w:hAnsiTheme="minorHAnsi" w:cstheme="minorHAnsi"/>
        </w:rPr>
        <w:t>radient evident in every world region</w:t>
      </w:r>
      <w:r w:rsidRPr="00646755">
        <w:rPr>
          <w:rFonts w:asciiTheme="minorHAnsi" w:hAnsiTheme="minorHAnsi" w:cstheme="minorHAnsi"/>
        </w:rPr>
        <w:t>, in that poorer people age faster than people who benefit from better nutrition, healthcare and better living and working conditions (Marmot</w:t>
      </w:r>
      <w:r>
        <w:rPr>
          <w:rFonts w:asciiTheme="minorHAnsi" w:hAnsiTheme="minorHAnsi" w:cstheme="minorHAnsi"/>
        </w:rPr>
        <w:t>,</w:t>
      </w:r>
      <w:r w:rsidR="003C6FAF">
        <w:rPr>
          <w:rFonts w:asciiTheme="minorHAnsi" w:hAnsiTheme="minorHAnsi" w:cstheme="minorHAnsi"/>
        </w:rPr>
        <w:t xml:space="preserve"> 2005). Further, as</w:t>
      </w:r>
      <w:r w:rsidRPr="00646755">
        <w:rPr>
          <w:rFonts w:asciiTheme="minorHAnsi" w:hAnsiTheme="minorHAnsi" w:cstheme="minorHAnsi"/>
        </w:rPr>
        <w:t xml:space="preserve"> age is a relational social status, strong arguments exist for a culturally determined life </w:t>
      </w:r>
      <w:r w:rsidR="003C6FAF">
        <w:rPr>
          <w:rFonts w:asciiTheme="minorHAnsi" w:hAnsiTheme="minorHAnsi" w:cstheme="minorHAnsi"/>
        </w:rPr>
        <w:t xml:space="preserve">stage-based definition of age (Lamb, 2000). </w:t>
      </w:r>
    </w:p>
    <w:p w14:paraId="33B6A310" w14:textId="62331F20" w:rsidR="007D6F72" w:rsidRPr="00646755" w:rsidRDefault="00AC09A1" w:rsidP="000371E8">
      <w:pPr>
        <w:pStyle w:val="NormalWeb"/>
        <w:spacing w:line="360" w:lineRule="auto"/>
        <w:ind w:firstLine="284"/>
        <w:rPr>
          <w:rFonts w:asciiTheme="minorHAnsi" w:hAnsiTheme="minorHAnsi" w:cstheme="minorHAnsi"/>
        </w:rPr>
      </w:pPr>
      <w:r>
        <w:rPr>
          <w:rFonts w:asciiTheme="minorHAnsi" w:hAnsiTheme="minorHAnsi" w:cstheme="minorHAnsi"/>
        </w:rPr>
        <w:t>T</w:t>
      </w:r>
      <w:r w:rsidR="003C6FAF">
        <w:rPr>
          <w:rFonts w:asciiTheme="minorHAnsi" w:hAnsiTheme="minorHAnsi" w:cstheme="minorHAnsi"/>
        </w:rPr>
        <w:t>he social heal</w:t>
      </w:r>
      <w:r w:rsidR="00234724">
        <w:rPr>
          <w:rFonts w:asciiTheme="minorHAnsi" w:hAnsiTheme="minorHAnsi" w:cstheme="minorHAnsi"/>
        </w:rPr>
        <w:t>th gradient and the life staged-</w:t>
      </w:r>
      <w:r w:rsidR="003C6FAF">
        <w:rPr>
          <w:rFonts w:asciiTheme="minorHAnsi" w:hAnsiTheme="minorHAnsi" w:cstheme="minorHAnsi"/>
        </w:rPr>
        <w:t>based definition foreground ageing as a social process</w:t>
      </w:r>
      <w:r w:rsidR="00234724">
        <w:rPr>
          <w:rFonts w:asciiTheme="minorHAnsi" w:hAnsiTheme="minorHAnsi" w:cstheme="minorHAnsi"/>
        </w:rPr>
        <w:t>, the former based on political economy and the latter on social categorisation</w:t>
      </w:r>
      <w:r>
        <w:rPr>
          <w:rFonts w:asciiTheme="minorHAnsi" w:hAnsiTheme="minorHAnsi" w:cstheme="minorHAnsi"/>
        </w:rPr>
        <w:t xml:space="preserve">. </w:t>
      </w:r>
      <w:r w:rsidR="0057453D">
        <w:rPr>
          <w:rFonts w:asciiTheme="minorHAnsi" w:hAnsiTheme="minorHAnsi" w:cstheme="minorHAnsi"/>
        </w:rPr>
        <w:t>These two perspectives warn us that</w:t>
      </w:r>
      <w:r w:rsidR="00234724">
        <w:rPr>
          <w:rFonts w:asciiTheme="minorHAnsi" w:hAnsiTheme="minorHAnsi" w:cstheme="minorHAnsi"/>
        </w:rPr>
        <w:t xml:space="preserve"> we need to be alert to </w:t>
      </w:r>
      <w:r w:rsidR="007D6F72">
        <w:rPr>
          <w:rFonts w:asciiTheme="minorHAnsi" w:hAnsiTheme="minorHAnsi" w:cstheme="minorHAnsi"/>
        </w:rPr>
        <w:t>conceptualisations of</w:t>
      </w:r>
      <w:r w:rsidR="00234724">
        <w:rPr>
          <w:rFonts w:asciiTheme="minorHAnsi" w:hAnsiTheme="minorHAnsi" w:cstheme="minorHAnsi"/>
        </w:rPr>
        <w:t xml:space="preserve"> agi</w:t>
      </w:r>
      <w:r w:rsidR="007D6F72">
        <w:rPr>
          <w:rFonts w:asciiTheme="minorHAnsi" w:hAnsiTheme="minorHAnsi" w:cstheme="minorHAnsi"/>
        </w:rPr>
        <w:t>ng that attempt to generalise a culture-specific or class-specific model.  One such model is the widely used four-</w:t>
      </w:r>
      <w:r w:rsidR="00D06899" w:rsidRPr="00646755">
        <w:rPr>
          <w:rFonts w:asciiTheme="minorHAnsi" w:hAnsiTheme="minorHAnsi" w:cstheme="minorHAnsi"/>
        </w:rPr>
        <w:t>stage model of ageing based on levels of dependence and health</w:t>
      </w:r>
      <w:r w:rsidR="007D6F72">
        <w:rPr>
          <w:rFonts w:asciiTheme="minorHAnsi" w:hAnsiTheme="minorHAnsi" w:cstheme="minorHAnsi"/>
        </w:rPr>
        <w:t>.</w:t>
      </w:r>
      <w:r w:rsidR="00D06899" w:rsidRPr="00646755">
        <w:rPr>
          <w:rFonts w:asciiTheme="minorHAnsi" w:hAnsiTheme="minorHAnsi" w:cstheme="minorHAnsi"/>
        </w:rPr>
        <w:t xml:space="preserve"> The model’s first age is one of dependence (learning), the second of independence (earning), the third age of healthy independence (retirement) and the fourth of ‘final dependence, decrepitude and death’ (</w:t>
      </w:r>
      <w:proofErr w:type="spellStart"/>
      <w:r w:rsidR="00D06899" w:rsidRPr="00646755">
        <w:rPr>
          <w:rFonts w:asciiTheme="minorHAnsi" w:hAnsiTheme="minorHAnsi" w:cstheme="minorHAnsi"/>
        </w:rPr>
        <w:t>Laslett</w:t>
      </w:r>
      <w:proofErr w:type="spellEnd"/>
      <w:r w:rsidR="00D06899">
        <w:rPr>
          <w:rFonts w:asciiTheme="minorHAnsi" w:hAnsiTheme="minorHAnsi" w:cstheme="minorHAnsi"/>
        </w:rPr>
        <w:t>,</w:t>
      </w:r>
      <w:r w:rsidR="00D06899" w:rsidRPr="00646755">
        <w:rPr>
          <w:rFonts w:asciiTheme="minorHAnsi" w:hAnsiTheme="minorHAnsi" w:cstheme="minorHAnsi"/>
        </w:rPr>
        <w:t xml:space="preserve"> 1987: 135). As </w:t>
      </w:r>
      <w:proofErr w:type="spellStart"/>
      <w:r w:rsidR="00D06899" w:rsidRPr="00646755">
        <w:rPr>
          <w:rFonts w:asciiTheme="minorHAnsi" w:hAnsiTheme="minorHAnsi" w:cstheme="minorHAnsi"/>
        </w:rPr>
        <w:t>Laslett</w:t>
      </w:r>
      <w:proofErr w:type="spellEnd"/>
      <w:r w:rsidR="00D06899" w:rsidRPr="00646755">
        <w:rPr>
          <w:rFonts w:asciiTheme="minorHAnsi" w:hAnsiTheme="minorHAnsi" w:cstheme="minorHAnsi"/>
        </w:rPr>
        <w:t xml:space="preserve"> </w:t>
      </w:r>
      <w:r w:rsidR="00D06899">
        <w:rPr>
          <w:rFonts w:asciiTheme="minorHAnsi" w:hAnsiTheme="minorHAnsi" w:cstheme="minorHAnsi"/>
        </w:rPr>
        <w:t xml:space="preserve">(1987) </w:t>
      </w:r>
      <w:r w:rsidR="00D06899" w:rsidRPr="00646755">
        <w:rPr>
          <w:rFonts w:asciiTheme="minorHAnsi" w:hAnsiTheme="minorHAnsi" w:cstheme="minorHAnsi"/>
        </w:rPr>
        <w:t>cogently argues, the capacity to have a Third Age is historically determined. It is only available to a globally privileged minority who have independent means for a good retirement, whose</w:t>
      </w:r>
      <w:r w:rsidR="008C6F33">
        <w:rPr>
          <w:rFonts w:asciiTheme="minorHAnsi" w:hAnsiTheme="minorHAnsi" w:cstheme="minorHAnsi"/>
        </w:rPr>
        <w:t xml:space="preserve"> first and second life stage </w:t>
      </w:r>
      <w:r w:rsidR="008C6F33">
        <w:rPr>
          <w:rFonts w:asciiTheme="minorHAnsi" w:hAnsiTheme="minorHAnsi" w:cstheme="minorHAnsi"/>
        </w:rPr>
        <w:lastRenderedPageBreak/>
        <w:t>has</w:t>
      </w:r>
      <w:r w:rsidR="00D06899" w:rsidRPr="00646755">
        <w:rPr>
          <w:rFonts w:asciiTheme="minorHAnsi" w:hAnsiTheme="minorHAnsi" w:cstheme="minorHAnsi"/>
        </w:rPr>
        <w:t xml:space="preserve"> not sapped their health and wh</w:t>
      </w:r>
      <w:r w:rsidR="007D6F72">
        <w:rPr>
          <w:rFonts w:asciiTheme="minorHAnsi" w:hAnsiTheme="minorHAnsi" w:cstheme="minorHAnsi"/>
        </w:rPr>
        <w:t>ose family do</w:t>
      </w:r>
      <w:r w:rsidR="00D06899" w:rsidRPr="00646755">
        <w:rPr>
          <w:rFonts w:asciiTheme="minorHAnsi" w:hAnsiTheme="minorHAnsi" w:cstheme="minorHAnsi"/>
        </w:rPr>
        <w:t xml:space="preserve"> not rely on their physical and economic support. A large proportion of the world do not experience a Third Age</w:t>
      </w:r>
      <w:r w:rsidR="00D06899">
        <w:rPr>
          <w:rFonts w:asciiTheme="minorHAnsi" w:hAnsiTheme="minorHAnsi" w:cstheme="minorHAnsi"/>
        </w:rPr>
        <w:t>. I</w:t>
      </w:r>
      <w:r w:rsidR="00D06899" w:rsidRPr="00646755">
        <w:rPr>
          <w:rFonts w:asciiTheme="minorHAnsi" w:hAnsiTheme="minorHAnsi" w:cstheme="minorHAnsi"/>
        </w:rPr>
        <w:t>nstead</w:t>
      </w:r>
      <w:r w:rsidR="00D06899">
        <w:rPr>
          <w:rFonts w:asciiTheme="minorHAnsi" w:hAnsiTheme="minorHAnsi" w:cstheme="minorHAnsi"/>
        </w:rPr>
        <w:t>,</w:t>
      </w:r>
      <w:r w:rsidR="00D06899" w:rsidRPr="00646755">
        <w:rPr>
          <w:rFonts w:asciiTheme="minorHAnsi" w:hAnsiTheme="minorHAnsi" w:cstheme="minorHAnsi"/>
        </w:rPr>
        <w:t xml:space="preserve"> they move from the Second Age straight into a short </w:t>
      </w:r>
      <w:r w:rsidR="00D06899">
        <w:rPr>
          <w:rFonts w:asciiTheme="minorHAnsi" w:hAnsiTheme="minorHAnsi" w:cstheme="minorHAnsi"/>
        </w:rPr>
        <w:t>Fourth</w:t>
      </w:r>
      <w:r w:rsidR="00D06899" w:rsidRPr="00646755">
        <w:rPr>
          <w:rFonts w:asciiTheme="minorHAnsi" w:hAnsiTheme="minorHAnsi" w:cstheme="minorHAnsi"/>
        </w:rPr>
        <w:t xml:space="preserve"> Age. </w:t>
      </w:r>
      <w:r w:rsidR="00D06899">
        <w:rPr>
          <w:rFonts w:asciiTheme="minorHAnsi" w:hAnsiTheme="minorHAnsi" w:cstheme="minorHAnsi"/>
        </w:rPr>
        <w:t>Also</w:t>
      </w:r>
      <w:r w:rsidR="00D06899" w:rsidRPr="00646755">
        <w:rPr>
          <w:rFonts w:asciiTheme="minorHAnsi" w:hAnsiTheme="minorHAnsi" w:cstheme="minorHAnsi"/>
        </w:rPr>
        <w:t xml:space="preserve"> questionable </w:t>
      </w:r>
      <w:r w:rsidR="00D06899">
        <w:rPr>
          <w:rFonts w:asciiTheme="minorHAnsi" w:hAnsiTheme="minorHAnsi" w:cstheme="minorHAnsi"/>
        </w:rPr>
        <w:t xml:space="preserve">is </w:t>
      </w:r>
      <w:r w:rsidR="00253DB5">
        <w:rPr>
          <w:rFonts w:asciiTheme="minorHAnsi" w:hAnsiTheme="minorHAnsi" w:cstheme="minorHAnsi"/>
        </w:rPr>
        <w:t>the prop</w:t>
      </w:r>
      <w:r w:rsidR="009C7995">
        <w:rPr>
          <w:rFonts w:asciiTheme="minorHAnsi" w:hAnsiTheme="minorHAnsi" w:cstheme="minorHAnsi"/>
        </w:rPr>
        <w:t>ortion of people in High-</w:t>
      </w:r>
      <w:r w:rsidR="00253DB5">
        <w:rPr>
          <w:rFonts w:asciiTheme="minorHAnsi" w:hAnsiTheme="minorHAnsi" w:cstheme="minorHAnsi"/>
        </w:rPr>
        <w:t>Income C</w:t>
      </w:r>
      <w:r w:rsidR="00D06899" w:rsidRPr="00646755">
        <w:rPr>
          <w:rFonts w:asciiTheme="minorHAnsi" w:hAnsiTheme="minorHAnsi" w:cstheme="minorHAnsi"/>
        </w:rPr>
        <w:t>ountries who manage the ‘fit and fabulous’ leisured independence of the Third Age. The soc</w:t>
      </w:r>
      <w:r w:rsidR="009B7AA3">
        <w:rPr>
          <w:rFonts w:asciiTheme="minorHAnsi" w:hAnsiTheme="minorHAnsi" w:cstheme="minorHAnsi"/>
        </w:rPr>
        <w:t xml:space="preserve">ial gradient in health demands the application of a </w:t>
      </w:r>
      <w:r w:rsidR="00D06899" w:rsidRPr="00646755">
        <w:rPr>
          <w:rFonts w:asciiTheme="minorHAnsi" w:hAnsiTheme="minorHAnsi" w:cstheme="minorHAnsi"/>
        </w:rPr>
        <w:t xml:space="preserve">classed-based, context-specific, intersectional </w:t>
      </w:r>
      <w:r w:rsidR="009B7AA3">
        <w:rPr>
          <w:rFonts w:asciiTheme="minorHAnsi" w:hAnsiTheme="minorHAnsi" w:cstheme="minorHAnsi"/>
        </w:rPr>
        <w:t>lens to later life</w:t>
      </w:r>
      <w:r w:rsidR="00D06899" w:rsidRPr="00646755">
        <w:rPr>
          <w:rFonts w:asciiTheme="minorHAnsi" w:hAnsiTheme="minorHAnsi" w:cstheme="minorHAnsi"/>
        </w:rPr>
        <w:t>, which undermines the notion of a chronologically valid threshold for later life (Vera-Sanso, 2006). This presents a fundamen</w:t>
      </w:r>
      <w:r w:rsidR="00CF0BA1">
        <w:rPr>
          <w:rFonts w:asciiTheme="minorHAnsi" w:hAnsiTheme="minorHAnsi" w:cstheme="minorHAnsi"/>
        </w:rPr>
        <w:t>tal challenge requiring not just new ways of conceptualising age but</w:t>
      </w:r>
      <w:r w:rsidR="00D06899" w:rsidRPr="00646755">
        <w:rPr>
          <w:rFonts w:asciiTheme="minorHAnsi" w:hAnsiTheme="minorHAnsi" w:cstheme="minorHAnsi"/>
        </w:rPr>
        <w:t xml:space="preserve"> of collecting and analysing data. </w:t>
      </w:r>
    </w:p>
    <w:p w14:paraId="35C4BB77" w14:textId="02347B83" w:rsidR="00D06899" w:rsidRPr="00646755" w:rsidRDefault="00D06899" w:rsidP="000371E8">
      <w:pPr>
        <w:pStyle w:val="NormalWeb"/>
        <w:spacing w:line="360" w:lineRule="auto"/>
        <w:ind w:firstLine="284"/>
        <w:rPr>
          <w:rFonts w:asciiTheme="minorHAnsi" w:eastAsia="Times New Roman" w:hAnsiTheme="minorHAnsi" w:cstheme="minorHAnsi"/>
          <w:color w:val="000000"/>
        </w:rPr>
      </w:pPr>
      <w:r w:rsidRPr="00646755">
        <w:rPr>
          <w:rFonts w:asciiTheme="minorHAnsi" w:hAnsiTheme="minorHAnsi" w:cstheme="minorHAnsi"/>
        </w:rPr>
        <w:t xml:space="preserve">Others have tried to circumvent the complexity of determining contextual factors by examining functional age to build internationally comparative data sets. They have found inter-country differentials </w:t>
      </w:r>
      <w:r w:rsidRPr="00646755">
        <w:rPr>
          <w:rFonts w:asciiTheme="minorHAnsi" w:eastAsia="Times New Roman" w:hAnsiTheme="minorHAnsi" w:cstheme="minorHAnsi"/>
          <w:color w:val="000000"/>
        </w:rPr>
        <w:t>of 10 to 20 year age gaps in rates of ‘activities of daily living’ (e.g. independently bathing, dressing and eating) between the best and worst national averages of functional ageing</w:t>
      </w:r>
      <w:r>
        <w:rPr>
          <w:rFonts w:asciiTheme="minorHAnsi" w:eastAsia="Times New Roman" w:hAnsiTheme="minorHAnsi" w:cstheme="minorHAnsi"/>
          <w:color w:val="000000"/>
        </w:rPr>
        <w:t xml:space="preserve"> </w:t>
      </w:r>
      <w:r w:rsidRPr="00646755">
        <w:rPr>
          <w:rFonts w:asciiTheme="minorHAnsi" w:hAnsiTheme="minorHAnsi" w:cstheme="minorHAnsi"/>
        </w:rPr>
        <w:t>(</w:t>
      </w:r>
      <w:proofErr w:type="spellStart"/>
      <w:r w:rsidRPr="00646755">
        <w:rPr>
          <w:rFonts w:asciiTheme="minorHAnsi" w:eastAsia="Times New Roman" w:hAnsiTheme="minorHAnsi" w:cstheme="minorHAnsi"/>
          <w:color w:val="000000"/>
        </w:rPr>
        <w:t>Sudharsanan</w:t>
      </w:r>
      <w:proofErr w:type="spellEnd"/>
      <w:r w:rsidRPr="00646755">
        <w:rPr>
          <w:rFonts w:asciiTheme="minorHAnsi" w:eastAsia="Times New Roman" w:hAnsiTheme="minorHAnsi" w:cstheme="minorHAnsi"/>
          <w:color w:val="000000"/>
        </w:rPr>
        <w:t xml:space="preserve"> and Bloom, 2018). Moreover, there seems to be no association between GNP and functional age, as the United States and Spain do much worse than South Africa and Indonesia </w:t>
      </w:r>
      <w:r w:rsidRPr="00646755">
        <w:rPr>
          <w:rFonts w:asciiTheme="minorHAnsi" w:hAnsiTheme="minorHAnsi" w:cstheme="minorHAnsi"/>
        </w:rPr>
        <w:t>(</w:t>
      </w:r>
      <w:proofErr w:type="spellStart"/>
      <w:r w:rsidRPr="00646755">
        <w:rPr>
          <w:rFonts w:asciiTheme="minorHAnsi" w:eastAsia="Times New Roman" w:hAnsiTheme="minorHAnsi" w:cstheme="minorHAnsi"/>
          <w:color w:val="000000"/>
        </w:rPr>
        <w:t>Sudharsanan</w:t>
      </w:r>
      <w:proofErr w:type="spellEnd"/>
      <w:r w:rsidRPr="00646755">
        <w:rPr>
          <w:rFonts w:asciiTheme="minorHAnsi" w:eastAsia="Times New Roman" w:hAnsiTheme="minorHAnsi" w:cstheme="minorHAnsi"/>
          <w:color w:val="000000"/>
        </w:rPr>
        <w:t xml:space="preserve"> and Bloom, 2018). This clearly </w:t>
      </w:r>
      <w:r w:rsidR="004B3773">
        <w:rPr>
          <w:rFonts w:asciiTheme="minorHAnsi" w:eastAsia="Times New Roman" w:hAnsiTheme="minorHAnsi" w:cstheme="minorHAnsi"/>
          <w:color w:val="000000"/>
        </w:rPr>
        <w:t xml:space="preserve">demonstrates </w:t>
      </w:r>
      <w:r w:rsidRPr="00646755">
        <w:rPr>
          <w:rFonts w:asciiTheme="minorHAnsi" w:eastAsia="Times New Roman" w:hAnsiTheme="minorHAnsi" w:cstheme="minorHAnsi"/>
          <w:color w:val="000000"/>
        </w:rPr>
        <w:t xml:space="preserve">that ageing is not a purely physiological process; it is mediated by social, economic and policy contexts.  </w:t>
      </w:r>
    </w:p>
    <w:p w14:paraId="616D0D85" w14:textId="324EA057" w:rsidR="00D06899" w:rsidRPr="00646755" w:rsidRDefault="004B3773" w:rsidP="000371E8">
      <w:pPr>
        <w:pStyle w:val="NormalWeb"/>
        <w:spacing w:line="360" w:lineRule="auto"/>
        <w:ind w:firstLine="284"/>
        <w:rPr>
          <w:rFonts w:asciiTheme="minorHAnsi" w:hAnsiTheme="minorHAnsi" w:cstheme="minorHAnsi"/>
        </w:rPr>
      </w:pPr>
      <w:r>
        <w:rPr>
          <w:rFonts w:asciiTheme="minorHAnsi" w:eastAsia="Times New Roman" w:hAnsiTheme="minorHAnsi" w:cstheme="minorHAnsi"/>
          <w:color w:val="000000"/>
        </w:rPr>
        <w:t xml:space="preserve">As policies continue to be framed around </w:t>
      </w:r>
      <w:r w:rsidR="00CE403B">
        <w:rPr>
          <w:rFonts w:asciiTheme="minorHAnsi" w:eastAsia="Times New Roman" w:hAnsiTheme="minorHAnsi" w:cstheme="minorHAnsi"/>
          <w:color w:val="000000"/>
        </w:rPr>
        <w:t xml:space="preserve">chronological </w:t>
      </w:r>
      <w:r>
        <w:rPr>
          <w:rFonts w:asciiTheme="minorHAnsi" w:eastAsia="Times New Roman" w:hAnsiTheme="minorHAnsi" w:cstheme="minorHAnsi"/>
          <w:color w:val="000000"/>
        </w:rPr>
        <w:t xml:space="preserve">age thresholds, policy orientated </w:t>
      </w:r>
      <w:r w:rsidR="00D06899" w:rsidRPr="00646755">
        <w:rPr>
          <w:rFonts w:asciiTheme="minorHAnsi" w:eastAsia="Times New Roman" w:hAnsiTheme="minorHAnsi" w:cstheme="minorHAnsi"/>
          <w:color w:val="000000"/>
        </w:rPr>
        <w:t>research with the objective of ‘Leaving No One Behind’</w:t>
      </w:r>
      <w:r>
        <w:rPr>
          <w:rFonts w:asciiTheme="minorHAnsi" w:eastAsia="Times New Roman" w:hAnsiTheme="minorHAnsi" w:cstheme="minorHAnsi"/>
          <w:color w:val="000000"/>
        </w:rPr>
        <w:t xml:space="preserve"> need</w:t>
      </w:r>
      <w:r w:rsidR="0057453D">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to identify</w:t>
      </w:r>
      <w:r w:rsidR="00D06899" w:rsidRPr="00646755">
        <w:rPr>
          <w:rFonts w:asciiTheme="minorHAnsi" w:eastAsia="Times New Roman" w:hAnsiTheme="minorHAnsi" w:cstheme="minorHAnsi"/>
          <w:color w:val="000000"/>
        </w:rPr>
        <w:t xml:space="preserve"> carefully thought</w:t>
      </w:r>
      <w:r w:rsidR="00D06899">
        <w:rPr>
          <w:rFonts w:asciiTheme="minorHAnsi" w:eastAsia="Times New Roman" w:hAnsiTheme="minorHAnsi" w:cstheme="minorHAnsi"/>
          <w:color w:val="000000"/>
        </w:rPr>
        <w:t>-</w:t>
      </w:r>
      <w:r w:rsidR="00D06899" w:rsidRPr="00646755">
        <w:rPr>
          <w:rFonts w:asciiTheme="minorHAnsi" w:eastAsia="Times New Roman" w:hAnsiTheme="minorHAnsi" w:cstheme="minorHAnsi"/>
          <w:color w:val="000000"/>
        </w:rPr>
        <w:t>through, context-specific, intersectional, age thresholds</w:t>
      </w:r>
      <w:r w:rsidR="00CE403B">
        <w:rPr>
          <w:rFonts w:asciiTheme="minorHAnsi" w:eastAsia="Times New Roman" w:hAnsiTheme="minorHAnsi" w:cstheme="minorHAnsi"/>
          <w:color w:val="000000"/>
        </w:rPr>
        <w:t xml:space="preserve"> and determine how tightly or flexibly they are applied</w:t>
      </w:r>
      <w:r w:rsidR="00D06899" w:rsidRPr="00646755">
        <w:rPr>
          <w:rFonts w:asciiTheme="minorHAnsi" w:eastAsia="Times New Roman" w:hAnsiTheme="minorHAnsi" w:cstheme="minorHAnsi"/>
          <w:color w:val="000000"/>
        </w:rPr>
        <w:t>. These thresholds</w:t>
      </w:r>
      <w:r w:rsidR="00CE403B">
        <w:rPr>
          <w:rFonts w:asciiTheme="minorHAnsi" w:eastAsia="Times New Roman" w:hAnsiTheme="minorHAnsi" w:cstheme="minorHAnsi"/>
          <w:color w:val="000000"/>
        </w:rPr>
        <w:t xml:space="preserve"> and their application</w:t>
      </w:r>
      <w:r w:rsidR="00D06899" w:rsidRPr="00646755">
        <w:rPr>
          <w:rFonts w:asciiTheme="minorHAnsi" w:eastAsia="Times New Roman" w:hAnsiTheme="minorHAnsi" w:cstheme="minorHAnsi"/>
          <w:color w:val="000000"/>
        </w:rPr>
        <w:t xml:space="preserve"> must </w:t>
      </w:r>
      <w:r w:rsidR="0057453D">
        <w:rPr>
          <w:rFonts w:asciiTheme="minorHAnsi" w:eastAsia="Times New Roman" w:hAnsiTheme="minorHAnsi" w:cstheme="minorHAnsi"/>
          <w:color w:val="000000"/>
        </w:rPr>
        <w:t>be aimed at</w:t>
      </w:r>
      <w:r w:rsidR="00D06899" w:rsidRPr="00646755">
        <w:rPr>
          <w:rFonts w:asciiTheme="minorHAnsi" w:eastAsia="Times New Roman" w:hAnsiTheme="minorHAnsi" w:cstheme="minorHAnsi"/>
          <w:color w:val="000000"/>
        </w:rPr>
        <w:t xml:space="preserve"> realising objectives on older people’s rights and dignity</w:t>
      </w:r>
      <w:r w:rsidR="001A025B">
        <w:rPr>
          <w:rFonts w:asciiTheme="minorHAnsi" w:eastAsia="Times New Roman" w:hAnsiTheme="minorHAnsi" w:cstheme="minorHAnsi"/>
          <w:color w:val="000000"/>
        </w:rPr>
        <w:t xml:space="preserve">.  </w:t>
      </w:r>
      <w:r w:rsidR="00C40715">
        <w:rPr>
          <w:rFonts w:asciiTheme="minorHAnsi" w:eastAsia="Times New Roman" w:hAnsiTheme="minorHAnsi" w:cstheme="minorHAnsi"/>
          <w:color w:val="000000"/>
        </w:rPr>
        <w:t>These objectives</w:t>
      </w:r>
      <w:r w:rsidR="00CE403B">
        <w:rPr>
          <w:rFonts w:asciiTheme="minorHAnsi" w:eastAsia="Times New Roman" w:hAnsiTheme="minorHAnsi" w:cstheme="minorHAnsi"/>
          <w:color w:val="000000"/>
        </w:rPr>
        <w:t xml:space="preserve"> require</w:t>
      </w:r>
      <w:r w:rsidR="00D06899" w:rsidRPr="00646755">
        <w:rPr>
          <w:rFonts w:asciiTheme="minorHAnsi" w:eastAsia="Times New Roman" w:hAnsiTheme="minorHAnsi" w:cstheme="minorHAnsi"/>
          <w:color w:val="000000"/>
        </w:rPr>
        <w:t xml:space="preserve"> three inter-related approaches. First</w:t>
      </w:r>
      <w:r w:rsidR="00D06899">
        <w:rPr>
          <w:rFonts w:asciiTheme="minorHAnsi" w:eastAsia="Times New Roman" w:hAnsiTheme="minorHAnsi" w:cstheme="minorHAnsi"/>
          <w:color w:val="000000"/>
        </w:rPr>
        <w:t>,</w:t>
      </w:r>
      <w:r w:rsidR="00D06899" w:rsidRPr="00646755">
        <w:rPr>
          <w:rFonts w:asciiTheme="minorHAnsi" w:eastAsia="Times New Roman" w:hAnsiTheme="minorHAnsi" w:cstheme="minorHAnsi"/>
          <w:color w:val="000000"/>
        </w:rPr>
        <w:t xml:space="preserve"> is the tracing of backward and forward linkages of what older people do </w:t>
      </w:r>
      <w:proofErr w:type="gramStart"/>
      <w:r w:rsidR="00D06899" w:rsidRPr="00646755">
        <w:rPr>
          <w:rFonts w:asciiTheme="minorHAnsi" w:eastAsia="Times New Roman" w:hAnsiTheme="minorHAnsi" w:cstheme="minorHAnsi"/>
          <w:color w:val="000000"/>
        </w:rPr>
        <w:t>in order to</w:t>
      </w:r>
      <w:proofErr w:type="gramEnd"/>
      <w:r w:rsidR="00D06899" w:rsidRPr="00646755">
        <w:rPr>
          <w:rFonts w:asciiTheme="minorHAnsi" w:eastAsia="Times New Roman" w:hAnsiTheme="minorHAnsi" w:cstheme="minorHAnsi"/>
          <w:color w:val="000000"/>
        </w:rPr>
        <w:t xml:space="preserve"> foreground and protect their contribution to family, community and national development. This will include identifying obstacles in the physical, social and economic environment that prevent older persons realising their potential. Second, is an attention to intergenerational interdependencies</w:t>
      </w:r>
      <w:r w:rsidR="003B76E6">
        <w:rPr>
          <w:rFonts w:asciiTheme="minorHAnsi" w:eastAsia="Times New Roman" w:hAnsiTheme="minorHAnsi" w:cstheme="minorHAnsi"/>
          <w:color w:val="000000"/>
        </w:rPr>
        <w:t xml:space="preserve">, including younger people’s dependence on older </w:t>
      </w:r>
      <w:r w:rsidR="003B76E6">
        <w:rPr>
          <w:rFonts w:asciiTheme="minorHAnsi" w:eastAsia="Times New Roman" w:hAnsiTheme="minorHAnsi" w:cstheme="minorHAnsi"/>
          <w:color w:val="000000"/>
        </w:rPr>
        <w:lastRenderedPageBreak/>
        <w:t>people</w:t>
      </w:r>
      <w:r w:rsidR="00D06899" w:rsidRPr="00646755">
        <w:rPr>
          <w:rFonts w:asciiTheme="minorHAnsi" w:eastAsia="Times New Roman" w:hAnsiTheme="minorHAnsi" w:cstheme="minorHAnsi"/>
          <w:color w:val="000000"/>
        </w:rPr>
        <w:t>. Third, is an alertness to the consequences for older persons of social inequalities</w:t>
      </w:r>
      <w:r w:rsidR="00D06899">
        <w:rPr>
          <w:rFonts w:asciiTheme="minorHAnsi" w:eastAsia="Times New Roman" w:hAnsiTheme="minorHAnsi" w:cstheme="minorHAnsi"/>
          <w:color w:val="000000"/>
        </w:rPr>
        <w:t>, which</w:t>
      </w:r>
      <w:r w:rsidR="00D06899" w:rsidRPr="00646755">
        <w:rPr>
          <w:rFonts w:asciiTheme="minorHAnsi" w:eastAsia="Times New Roman" w:hAnsiTheme="minorHAnsi" w:cstheme="minorHAnsi"/>
          <w:color w:val="000000"/>
        </w:rPr>
        <w:t xml:space="preserve"> demands a disaggregated approach to later life. Hazardous living and working conditions, poor nutrition and high levels of road accidents</w:t>
      </w:r>
      <w:r w:rsidR="00D06899">
        <w:rPr>
          <w:rFonts w:asciiTheme="minorHAnsi" w:eastAsia="Times New Roman" w:hAnsiTheme="minorHAnsi" w:cstheme="minorHAnsi"/>
          <w:color w:val="000000"/>
        </w:rPr>
        <w:t>,</w:t>
      </w:r>
      <w:r w:rsidR="00D06899" w:rsidRPr="00646755">
        <w:rPr>
          <w:rFonts w:asciiTheme="minorHAnsi" w:eastAsia="Times New Roman" w:hAnsiTheme="minorHAnsi" w:cstheme="minorHAnsi"/>
          <w:color w:val="000000"/>
        </w:rPr>
        <w:t xml:space="preserve"> raise morbidity and mortality rates, punc</w:t>
      </w:r>
      <w:r w:rsidR="00596E28">
        <w:rPr>
          <w:rFonts w:asciiTheme="minorHAnsi" w:eastAsia="Times New Roman" w:hAnsiTheme="minorHAnsi" w:cstheme="minorHAnsi"/>
          <w:color w:val="000000"/>
        </w:rPr>
        <w:t>hing holes into family networks and thereby</w:t>
      </w:r>
      <w:r w:rsidR="00D06899" w:rsidRPr="00646755">
        <w:rPr>
          <w:rFonts w:asciiTheme="minorHAnsi" w:eastAsia="Times New Roman" w:hAnsiTheme="minorHAnsi" w:cstheme="minorHAnsi"/>
          <w:color w:val="000000"/>
        </w:rPr>
        <w:t xml:space="preserve"> constraining their capacity to spread the risks inherent in economic systems that perpetuate insecurity, deprivation and inequality for large proportions of the world (Vera-Sanso, 2022).  These risks can drive negative cycles of unmet needs across generations (</w:t>
      </w:r>
      <w:proofErr w:type="spellStart"/>
      <w:r w:rsidR="00D06899" w:rsidRPr="00646755">
        <w:rPr>
          <w:rFonts w:asciiTheme="minorHAnsi" w:hAnsiTheme="minorHAnsi" w:cstheme="minorHAnsi"/>
        </w:rPr>
        <w:t>Kreager</w:t>
      </w:r>
      <w:proofErr w:type="spellEnd"/>
      <w:r w:rsidR="00D06899" w:rsidRPr="00646755">
        <w:rPr>
          <w:rFonts w:asciiTheme="minorHAnsi" w:hAnsiTheme="minorHAnsi" w:cstheme="minorHAnsi"/>
        </w:rPr>
        <w:t xml:space="preserve"> and Schr</w:t>
      </w:r>
      <w:r w:rsidR="00D06899">
        <w:rPr>
          <w:rFonts w:asciiTheme="minorHAnsi" w:hAnsiTheme="minorHAnsi" w:cstheme="minorHAnsi"/>
        </w:rPr>
        <w:t>oe</w:t>
      </w:r>
      <w:r w:rsidR="00D06899" w:rsidRPr="00646755">
        <w:rPr>
          <w:rFonts w:asciiTheme="minorHAnsi" w:hAnsiTheme="minorHAnsi" w:cstheme="minorHAnsi"/>
        </w:rPr>
        <w:t>der-</w:t>
      </w:r>
      <w:proofErr w:type="spellStart"/>
      <w:r w:rsidR="00D06899" w:rsidRPr="00646755">
        <w:rPr>
          <w:rFonts w:asciiTheme="minorHAnsi" w:hAnsiTheme="minorHAnsi" w:cstheme="minorHAnsi"/>
        </w:rPr>
        <w:t>Butterfill</w:t>
      </w:r>
      <w:proofErr w:type="spellEnd"/>
      <w:r w:rsidR="00D06899">
        <w:rPr>
          <w:rFonts w:asciiTheme="minorHAnsi" w:hAnsiTheme="minorHAnsi" w:cstheme="minorHAnsi"/>
        </w:rPr>
        <w:t>,</w:t>
      </w:r>
      <w:r w:rsidR="00D06899" w:rsidRPr="00646755">
        <w:rPr>
          <w:rFonts w:asciiTheme="minorHAnsi" w:hAnsiTheme="minorHAnsi" w:cstheme="minorHAnsi"/>
        </w:rPr>
        <w:t xml:space="preserve"> 2007) </w:t>
      </w:r>
      <w:r w:rsidR="00D06899" w:rsidRPr="00646755">
        <w:rPr>
          <w:rFonts w:asciiTheme="minorHAnsi" w:eastAsia="Times New Roman" w:hAnsiTheme="minorHAnsi" w:cstheme="minorHAnsi"/>
          <w:color w:val="000000"/>
        </w:rPr>
        <w:t xml:space="preserve">and necessitate older people undertaking physically depleting paid and unpaid work deep into old age. </w:t>
      </w:r>
    </w:p>
    <w:p w14:paraId="33C09E6B" w14:textId="77777777" w:rsidR="00D06899" w:rsidRPr="00646755" w:rsidRDefault="00D06899" w:rsidP="000371E8">
      <w:pPr>
        <w:pStyle w:val="NormalWeb"/>
        <w:spacing w:line="360" w:lineRule="auto"/>
        <w:rPr>
          <w:rStyle w:val="CommentReference"/>
          <w:rFonts w:asciiTheme="minorHAnsi" w:hAnsiTheme="minorHAnsi" w:cstheme="minorHAnsi"/>
          <w:sz w:val="24"/>
          <w:szCs w:val="24"/>
        </w:rPr>
      </w:pPr>
    </w:p>
    <w:p w14:paraId="6FFE0388" w14:textId="7F8A457C" w:rsidR="00D06899" w:rsidRPr="00915BB1" w:rsidRDefault="00D06899" w:rsidP="000371E8">
      <w:pPr>
        <w:pStyle w:val="NormalWeb"/>
        <w:spacing w:line="360" w:lineRule="auto"/>
        <w:rPr>
          <w:rFonts w:asciiTheme="minorHAnsi" w:hAnsiTheme="minorHAnsi" w:cstheme="minorHAnsi"/>
        </w:rPr>
      </w:pPr>
      <w:r w:rsidRPr="00915BB1">
        <w:rPr>
          <w:rStyle w:val="CommentReference"/>
          <w:rFonts w:asciiTheme="minorHAnsi" w:hAnsiTheme="minorHAnsi" w:cstheme="minorHAnsi"/>
          <w:b/>
          <w:bCs/>
          <w:sz w:val="24"/>
          <w:szCs w:val="24"/>
        </w:rPr>
        <w:t>M</w:t>
      </w:r>
      <w:r w:rsidRPr="00915BB1">
        <w:rPr>
          <w:rFonts w:asciiTheme="minorHAnsi" w:hAnsiTheme="minorHAnsi" w:cstheme="minorHAnsi"/>
          <w:b/>
          <w:bCs/>
        </w:rPr>
        <w:t>aking space for older people in development: an intergenerational approach</w:t>
      </w:r>
    </w:p>
    <w:p w14:paraId="4A1374D5" w14:textId="29143EFD" w:rsidR="00D06899" w:rsidRPr="00646755" w:rsidRDefault="00D06899" w:rsidP="000371E8">
      <w:pPr>
        <w:pStyle w:val="xmsonormal"/>
        <w:spacing w:before="0" w:beforeAutospacing="0" w:after="0" w:afterAutospacing="0" w:line="360" w:lineRule="auto"/>
        <w:rPr>
          <w:rFonts w:asciiTheme="minorHAnsi" w:hAnsiTheme="minorHAnsi" w:cstheme="minorHAnsi"/>
        </w:rPr>
      </w:pPr>
      <w:r w:rsidRPr="000E752C">
        <w:rPr>
          <w:rFonts w:asciiTheme="minorHAnsi" w:hAnsiTheme="minorHAnsi" w:cstheme="minorHAnsi"/>
        </w:rPr>
        <w:t xml:space="preserve">The articles in this </w:t>
      </w:r>
      <w:r w:rsidR="000E752C">
        <w:rPr>
          <w:rFonts w:asciiTheme="minorHAnsi" w:hAnsiTheme="minorHAnsi" w:cstheme="minorHAnsi"/>
        </w:rPr>
        <w:t>S</w:t>
      </w:r>
      <w:r w:rsidRPr="000E752C">
        <w:rPr>
          <w:rFonts w:asciiTheme="minorHAnsi" w:hAnsiTheme="minorHAnsi" w:cstheme="minorHAnsi"/>
        </w:rPr>
        <w:t xml:space="preserve">pecial </w:t>
      </w:r>
      <w:r w:rsidR="000E752C">
        <w:rPr>
          <w:rFonts w:asciiTheme="minorHAnsi" w:hAnsiTheme="minorHAnsi" w:cstheme="minorHAnsi"/>
        </w:rPr>
        <w:t>I</w:t>
      </w:r>
      <w:r w:rsidRPr="000E752C">
        <w:rPr>
          <w:rFonts w:asciiTheme="minorHAnsi" w:hAnsiTheme="minorHAnsi" w:cstheme="minorHAnsi"/>
        </w:rPr>
        <w:t xml:space="preserve">ssue offer both individual and collective contributions to advancing the discussion on ageing and development, and more specifically to understanding and appreciating the role of older people in development processes and society more broadly. The </w:t>
      </w:r>
      <w:r w:rsidR="00165BB0" w:rsidRPr="000E752C">
        <w:rPr>
          <w:rFonts w:asciiTheme="minorHAnsi" w:hAnsiTheme="minorHAnsi" w:cstheme="minorHAnsi"/>
        </w:rPr>
        <w:t>article</w:t>
      </w:r>
      <w:r w:rsidRPr="000E752C">
        <w:rPr>
          <w:rFonts w:asciiTheme="minorHAnsi" w:hAnsiTheme="minorHAnsi" w:cstheme="minorHAnsi"/>
        </w:rPr>
        <w:t>s are connected by a common concern that</w:t>
      </w:r>
      <w:r w:rsidRPr="00646755">
        <w:rPr>
          <w:rFonts w:asciiTheme="minorHAnsi" w:hAnsiTheme="minorHAnsi" w:cstheme="minorHAnsi"/>
        </w:rPr>
        <w:t xml:space="preserve"> insufficient attention is being paid to the issue of ageing and older people in development, both in the field of development studies and development policymaking. Where these discussions are present, the voices of older people themselves are rarely heard. The articles centre these concerns and older people’s voices, engaging as they do from a bottom-up approach with older people themselves. All empirical articles draw on research that relies strongly on qualitative methods either singularly, or as part of a mixed-methods approach. We believe this is the best approach to explore older people’s views and experiences, and how they make sense of the world they live in – as part of their families, communities, and indeed the environments they live with and shape (see also Locke and Lloyd-Sherlock</w:t>
      </w:r>
      <w:r>
        <w:rPr>
          <w:rFonts w:asciiTheme="minorHAnsi" w:hAnsiTheme="minorHAnsi" w:cstheme="minorHAnsi"/>
        </w:rPr>
        <w:t>,</w:t>
      </w:r>
      <w:r w:rsidRPr="00646755">
        <w:rPr>
          <w:rFonts w:asciiTheme="minorHAnsi" w:hAnsiTheme="minorHAnsi" w:cstheme="minorHAnsi"/>
          <w:b/>
          <w:bCs/>
        </w:rPr>
        <w:t xml:space="preserve"> </w:t>
      </w:r>
      <w:r w:rsidRPr="00646755">
        <w:rPr>
          <w:rFonts w:asciiTheme="minorHAnsi" w:hAnsiTheme="minorHAnsi" w:cstheme="minorHAnsi"/>
        </w:rPr>
        <w:t xml:space="preserve">2011). This </w:t>
      </w:r>
      <w:r w:rsidRPr="00646755">
        <w:rPr>
          <w:rFonts w:asciiTheme="minorHAnsi" w:hAnsiTheme="minorHAnsi" w:cstheme="minorHAnsi"/>
          <w:i/>
          <w:iCs/>
        </w:rPr>
        <w:t>triple relational, intergenerational and interdependency approach</w:t>
      </w:r>
      <w:r w:rsidRPr="00646755">
        <w:rPr>
          <w:rFonts w:asciiTheme="minorHAnsi" w:hAnsiTheme="minorHAnsi" w:cstheme="minorHAnsi"/>
        </w:rPr>
        <w:t xml:space="preserve"> to analysis is a common thread that runs through the collection, whether in examining why </w:t>
      </w:r>
      <w:proofErr w:type="spellStart"/>
      <w:r w:rsidRPr="00646755">
        <w:rPr>
          <w:rFonts w:asciiTheme="minorHAnsi" w:hAnsiTheme="minorHAnsi" w:cstheme="minorHAnsi"/>
        </w:rPr>
        <w:t>translocality</w:t>
      </w:r>
      <w:proofErr w:type="spellEnd"/>
      <w:r w:rsidRPr="00646755">
        <w:rPr>
          <w:rFonts w:asciiTheme="minorHAnsi" w:hAnsiTheme="minorHAnsi" w:cstheme="minorHAnsi"/>
        </w:rPr>
        <w:t xml:space="preserve"> matters for households headed by older women and men (Walsham) or understanding how intergenerational knowledge transfer on living with a changing </w:t>
      </w:r>
      <w:r w:rsidRPr="00646755">
        <w:rPr>
          <w:rFonts w:asciiTheme="minorHAnsi" w:hAnsiTheme="minorHAnsi" w:cstheme="minorHAnsi"/>
        </w:rPr>
        <w:lastRenderedPageBreak/>
        <w:t xml:space="preserve">environment can be key to climate change adaptation (Beckwith et al.). All the </w:t>
      </w:r>
      <w:r w:rsidR="00165BB0">
        <w:rPr>
          <w:rFonts w:asciiTheme="minorHAnsi" w:hAnsiTheme="minorHAnsi" w:cstheme="minorHAnsi"/>
        </w:rPr>
        <w:t>article</w:t>
      </w:r>
      <w:r w:rsidRPr="00646755">
        <w:rPr>
          <w:rFonts w:asciiTheme="minorHAnsi" w:hAnsiTheme="minorHAnsi" w:cstheme="minorHAnsi"/>
        </w:rPr>
        <w:t>s in the collection have clear policy implications that can help inform public policy around these issues. Perhaps the key one is to take a nuanced approach that is informed by an understanding of the ‘heterogene</w:t>
      </w:r>
      <w:r>
        <w:rPr>
          <w:rFonts w:asciiTheme="minorHAnsi" w:hAnsiTheme="minorHAnsi" w:cstheme="minorHAnsi"/>
        </w:rPr>
        <w:t>ous</w:t>
      </w:r>
      <w:r w:rsidRPr="00646755">
        <w:rPr>
          <w:rFonts w:asciiTheme="minorHAnsi" w:hAnsiTheme="minorHAnsi" w:cstheme="minorHAnsi"/>
        </w:rPr>
        <w:t>, dynamic and context-specific nature of later life</w:t>
      </w:r>
      <w:r>
        <w:rPr>
          <w:rFonts w:asciiTheme="minorHAnsi" w:hAnsiTheme="minorHAnsi" w:cstheme="minorHAnsi"/>
        </w:rPr>
        <w:t>’</w:t>
      </w:r>
      <w:r w:rsidRPr="00646755">
        <w:rPr>
          <w:rFonts w:asciiTheme="minorHAnsi" w:hAnsiTheme="minorHAnsi" w:cstheme="minorHAnsi"/>
        </w:rPr>
        <w:t>, that does not apply one-size-fits-all solutions, but recognises both intergenerational interdependence and the frailty of familial reciprocity, and thus the need for adequate public support (Schr</w:t>
      </w:r>
      <w:r>
        <w:rPr>
          <w:rFonts w:asciiTheme="minorHAnsi" w:hAnsiTheme="minorHAnsi" w:cstheme="minorHAnsi"/>
        </w:rPr>
        <w:t>oe</w:t>
      </w:r>
      <w:r w:rsidR="00B30412">
        <w:rPr>
          <w:rFonts w:asciiTheme="minorHAnsi" w:hAnsiTheme="minorHAnsi" w:cstheme="minorHAnsi"/>
        </w:rPr>
        <w:t>der-Butterfill et al</w:t>
      </w:r>
      <w:r w:rsidR="00864804">
        <w:rPr>
          <w:rFonts w:asciiTheme="minorHAnsi" w:hAnsiTheme="minorHAnsi" w:cstheme="minorHAnsi"/>
        </w:rPr>
        <w:t>, this volume</w:t>
      </w:r>
      <w:r w:rsidRPr="00646755">
        <w:rPr>
          <w:rFonts w:asciiTheme="minorHAnsi" w:hAnsiTheme="minorHAnsi" w:cstheme="minorHAnsi"/>
        </w:rPr>
        <w:t xml:space="preserve">). </w:t>
      </w:r>
    </w:p>
    <w:p w14:paraId="7A0CC846" w14:textId="40EB272E" w:rsidR="00153E14" w:rsidRDefault="00D06899" w:rsidP="000371E8">
      <w:pPr>
        <w:pStyle w:val="xmsonormal"/>
        <w:spacing w:before="0" w:beforeAutospacing="0" w:after="0" w:afterAutospacing="0" w:line="360" w:lineRule="auto"/>
        <w:ind w:firstLine="284"/>
        <w:rPr>
          <w:rFonts w:asciiTheme="minorHAnsi" w:hAnsiTheme="minorHAnsi" w:cstheme="minorHAnsi"/>
        </w:rPr>
      </w:pPr>
      <w:r w:rsidRPr="00646755">
        <w:rPr>
          <w:rFonts w:asciiTheme="minorHAnsi" w:hAnsiTheme="minorHAnsi" w:cstheme="minorHAnsi"/>
        </w:rPr>
        <w:t xml:space="preserve">The authors of the articles </w:t>
      </w:r>
      <w:r w:rsidR="00212E18">
        <w:rPr>
          <w:rFonts w:asciiTheme="minorHAnsi" w:hAnsiTheme="minorHAnsi" w:cstheme="minorHAnsi"/>
        </w:rPr>
        <w:t xml:space="preserve">included in this Special Issue </w:t>
      </w:r>
      <w:r w:rsidRPr="00646755">
        <w:rPr>
          <w:rFonts w:asciiTheme="minorHAnsi" w:hAnsiTheme="minorHAnsi" w:cstheme="minorHAnsi"/>
        </w:rPr>
        <w:t>are scholars at different stages of their career – from early-career researchers to more established academics – from different disciplinary backgrounds such as human geography, international development, anthropology and gerontology, researching in different geographical and development contexts – Uganda, Indonesia, India, Vietnam and Albania.</w:t>
      </w:r>
      <w:r w:rsidR="001C0B29">
        <w:rPr>
          <w:rFonts w:asciiTheme="minorHAnsi" w:hAnsiTheme="minorHAnsi" w:cstheme="minorHAnsi"/>
        </w:rPr>
        <w:t xml:space="preserve"> </w:t>
      </w:r>
      <w:r w:rsidR="00B907C6">
        <w:rPr>
          <w:rFonts w:asciiTheme="minorHAnsi" w:hAnsiTheme="minorHAnsi" w:cstheme="minorHAnsi"/>
        </w:rPr>
        <w:t xml:space="preserve">While we never aimed to have any type of comprehensive geographical coverage, </w:t>
      </w:r>
      <w:r w:rsidR="00C56022">
        <w:rPr>
          <w:rFonts w:asciiTheme="minorHAnsi" w:hAnsiTheme="minorHAnsi" w:cstheme="minorHAnsi"/>
        </w:rPr>
        <w:t xml:space="preserve">the articles do cover countries of different sizes and in different geographical regions. These </w:t>
      </w:r>
      <w:r w:rsidR="00F828FA">
        <w:rPr>
          <w:rFonts w:asciiTheme="minorHAnsi" w:hAnsiTheme="minorHAnsi" w:cstheme="minorHAnsi"/>
        </w:rPr>
        <w:t>articles</w:t>
      </w:r>
      <w:r w:rsidR="00C56022">
        <w:rPr>
          <w:rFonts w:asciiTheme="minorHAnsi" w:hAnsiTheme="minorHAnsi" w:cstheme="minorHAnsi"/>
        </w:rPr>
        <w:t xml:space="preserve">, as discussed above, are an invitation to open up the debate around ageing and older people and development, rather than </w:t>
      </w:r>
      <w:r w:rsidR="00153E14">
        <w:rPr>
          <w:rFonts w:asciiTheme="minorHAnsi" w:hAnsiTheme="minorHAnsi" w:cstheme="minorHAnsi"/>
        </w:rPr>
        <w:t xml:space="preserve">provide a comprehensive representation of older people’s lives in different regions. </w:t>
      </w:r>
    </w:p>
    <w:p w14:paraId="1A82F6D2" w14:textId="0E6E6F3C" w:rsidR="00D06899" w:rsidRPr="00646755" w:rsidRDefault="001C0B29" w:rsidP="000371E8">
      <w:pPr>
        <w:pStyle w:val="xmsonormal"/>
        <w:spacing w:before="0" w:beforeAutospacing="0" w:after="0" w:afterAutospacing="0" w:line="360" w:lineRule="auto"/>
        <w:ind w:firstLine="284"/>
        <w:rPr>
          <w:rFonts w:asciiTheme="minorHAnsi" w:hAnsiTheme="minorHAnsi" w:cstheme="minorHAnsi"/>
        </w:rPr>
      </w:pPr>
      <w:r>
        <w:rPr>
          <w:rFonts w:asciiTheme="minorHAnsi" w:hAnsiTheme="minorHAnsi" w:cstheme="minorHAnsi"/>
        </w:rPr>
        <w:t xml:space="preserve">We organise </w:t>
      </w:r>
      <w:r w:rsidR="00153E14">
        <w:rPr>
          <w:rFonts w:asciiTheme="minorHAnsi" w:hAnsiTheme="minorHAnsi" w:cstheme="minorHAnsi"/>
        </w:rPr>
        <w:t xml:space="preserve">the </w:t>
      </w:r>
      <w:r w:rsidR="00F828FA">
        <w:rPr>
          <w:rFonts w:asciiTheme="minorHAnsi" w:hAnsiTheme="minorHAnsi" w:cstheme="minorHAnsi"/>
        </w:rPr>
        <w:t>articles</w:t>
      </w:r>
      <w:r w:rsidR="00153E14">
        <w:rPr>
          <w:rFonts w:asciiTheme="minorHAnsi" w:hAnsiTheme="minorHAnsi" w:cstheme="minorHAnsi"/>
        </w:rPr>
        <w:t xml:space="preserve"> </w:t>
      </w:r>
      <w:r>
        <w:rPr>
          <w:rFonts w:asciiTheme="minorHAnsi" w:hAnsiTheme="minorHAnsi" w:cstheme="minorHAnsi"/>
        </w:rPr>
        <w:t>so that the</w:t>
      </w:r>
      <w:r w:rsidR="00F828FA">
        <w:rPr>
          <w:rFonts w:asciiTheme="minorHAnsi" w:hAnsiTheme="minorHAnsi" w:cstheme="minorHAnsi"/>
        </w:rPr>
        <w:t>y</w:t>
      </w:r>
      <w:r>
        <w:rPr>
          <w:rFonts w:asciiTheme="minorHAnsi" w:hAnsiTheme="minorHAnsi" w:cstheme="minorHAnsi"/>
        </w:rPr>
        <w:t xml:space="preserve"> begin by addressing </w:t>
      </w:r>
      <w:r w:rsidR="00DA6887">
        <w:rPr>
          <w:rFonts w:asciiTheme="minorHAnsi" w:hAnsiTheme="minorHAnsi" w:cstheme="minorHAnsi"/>
        </w:rPr>
        <w:t>older people and ageing from a policy perspective</w:t>
      </w:r>
      <w:r w:rsidR="00FF4B5B">
        <w:rPr>
          <w:rFonts w:asciiTheme="minorHAnsi" w:hAnsiTheme="minorHAnsi" w:cstheme="minorHAnsi"/>
        </w:rPr>
        <w:t xml:space="preserve"> (Vera-Sanso)</w:t>
      </w:r>
      <w:r w:rsidR="00DA6887">
        <w:rPr>
          <w:rFonts w:asciiTheme="minorHAnsi" w:hAnsiTheme="minorHAnsi" w:cstheme="minorHAnsi"/>
        </w:rPr>
        <w:t xml:space="preserve">, then move on to </w:t>
      </w:r>
      <w:r w:rsidR="00FF4B5B">
        <w:rPr>
          <w:rFonts w:asciiTheme="minorHAnsi" w:hAnsiTheme="minorHAnsi" w:cstheme="minorHAnsi"/>
        </w:rPr>
        <w:t>discuss</w:t>
      </w:r>
      <w:r w:rsidR="00F533F7">
        <w:rPr>
          <w:rFonts w:asciiTheme="minorHAnsi" w:hAnsiTheme="minorHAnsi" w:cstheme="minorHAnsi"/>
        </w:rPr>
        <w:t xml:space="preserve"> how older people and ageing are represented in popular disc</w:t>
      </w:r>
      <w:r w:rsidR="00C64A1C">
        <w:rPr>
          <w:rFonts w:asciiTheme="minorHAnsi" w:hAnsiTheme="minorHAnsi" w:cstheme="minorHAnsi"/>
        </w:rPr>
        <w:t>o</w:t>
      </w:r>
      <w:r w:rsidR="00F533F7">
        <w:rPr>
          <w:rFonts w:asciiTheme="minorHAnsi" w:hAnsiTheme="minorHAnsi" w:cstheme="minorHAnsi"/>
        </w:rPr>
        <w:t>urses</w:t>
      </w:r>
      <w:r w:rsidR="00AA1679">
        <w:rPr>
          <w:rFonts w:asciiTheme="minorHAnsi" w:hAnsiTheme="minorHAnsi" w:cstheme="minorHAnsi"/>
        </w:rPr>
        <w:t xml:space="preserve"> (</w:t>
      </w:r>
      <w:proofErr w:type="spellStart"/>
      <w:r w:rsidR="00AA1679">
        <w:rPr>
          <w:rFonts w:asciiTheme="minorHAnsi" w:hAnsiTheme="minorHAnsi" w:cstheme="minorHAnsi"/>
        </w:rPr>
        <w:t>Shröeder-Butterfil</w:t>
      </w:r>
      <w:proofErr w:type="spellEnd"/>
      <w:r w:rsidR="00AA1679">
        <w:rPr>
          <w:rFonts w:asciiTheme="minorHAnsi" w:hAnsiTheme="minorHAnsi" w:cstheme="minorHAnsi"/>
        </w:rPr>
        <w:t xml:space="preserve"> et al.)</w:t>
      </w:r>
      <w:r w:rsidR="00F533F7">
        <w:rPr>
          <w:rFonts w:asciiTheme="minorHAnsi" w:hAnsiTheme="minorHAnsi" w:cstheme="minorHAnsi"/>
        </w:rPr>
        <w:t xml:space="preserve">, before </w:t>
      </w:r>
      <w:r w:rsidR="00C64A1C">
        <w:rPr>
          <w:rFonts w:asciiTheme="minorHAnsi" w:hAnsiTheme="minorHAnsi" w:cstheme="minorHAnsi"/>
        </w:rPr>
        <w:t>focus</w:t>
      </w:r>
      <w:r w:rsidR="0016743E">
        <w:rPr>
          <w:rFonts w:asciiTheme="minorHAnsi" w:hAnsiTheme="minorHAnsi" w:cstheme="minorHAnsi"/>
        </w:rPr>
        <w:t>sing more specifically on</w:t>
      </w:r>
      <w:r w:rsidR="00F62EE4">
        <w:rPr>
          <w:rFonts w:asciiTheme="minorHAnsi" w:hAnsiTheme="minorHAnsi" w:cstheme="minorHAnsi"/>
        </w:rPr>
        <w:t xml:space="preserve"> older people in </w:t>
      </w:r>
      <w:proofErr w:type="spellStart"/>
      <w:r w:rsidR="00F62EE4">
        <w:rPr>
          <w:rFonts w:asciiTheme="minorHAnsi" w:hAnsiTheme="minorHAnsi" w:cstheme="minorHAnsi"/>
        </w:rPr>
        <w:t>translocal</w:t>
      </w:r>
      <w:proofErr w:type="spellEnd"/>
      <w:r w:rsidR="00F62EE4">
        <w:rPr>
          <w:rFonts w:asciiTheme="minorHAnsi" w:hAnsiTheme="minorHAnsi" w:cstheme="minorHAnsi"/>
        </w:rPr>
        <w:t xml:space="preserve"> and intergenerational households </w:t>
      </w:r>
      <w:r w:rsidR="00C64A1C">
        <w:rPr>
          <w:rFonts w:asciiTheme="minorHAnsi" w:hAnsiTheme="minorHAnsi" w:cstheme="minorHAnsi"/>
        </w:rPr>
        <w:t>(Walsham)</w:t>
      </w:r>
      <w:r w:rsidR="00596634">
        <w:rPr>
          <w:rFonts w:asciiTheme="minorHAnsi" w:hAnsiTheme="minorHAnsi" w:cstheme="minorHAnsi"/>
        </w:rPr>
        <w:t xml:space="preserve">, </w:t>
      </w:r>
      <w:r w:rsidR="0016743E">
        <w:rPr>
          <w:rFonts w:asciiTheme="minorHAnsi" w:hAnsiTheme="minorHAnsi" w:cstheme="minorHAnsi"/>
        </w:rPr>
        <w:t xml:space="preserve">then </w:t>
      </w:r>
      <w:r w:rsidR="00596634">
        <w:rPr>
          <w:rFonts w:asciiTheme="minorHAnsi" w:hAnsiTheme="minorHAnsi" w:cstheme="minorHAnsi"/>
        </w:rPr>
        <w:t>discussi</w:t>
      </w:r>
      <w:r w:rsidR="0016743E">
        <w:rPr>
          <w:rFonts w:asciiTheme="minorHAnsi" w:hAnsiTheme="minorHAnsi" w:cstheme="minorHAnsi"/>
        </w:rPr>
        <w:t>ng</w:t>
      </w:r>
      <w:r w:rsidR="00596634">
        <w:rPr>
          <w:rFonts w:asciiTheme="minorHAnsi" w:hAnsiTheme="minorHAnsi" w:cstheme="minorHAnsi"/>
        </w:rPr>
        <w:t xml:space="preserve"> </w:t>
      </w:r>
      <w:r w:rsidR="00C128CF">
        <w:rPr>
          <w:rFonts w:asciiTheme="minorHAnsi" w:hAnsiTheme="minorHAnsi" w:cstheme="minorHAnsi"/>
        </w:rPr>
        <w:t xml:space="preserve">older people, gender and care </w:t>
      </w:r>
      <w:r w:rsidR="00C64A1C">
        <w:rPr>
          <w:rFonts w:asciiTheme="minorHAnsi" w:hAnsiTheme="minorHAnsi" w:cstheme="minorHAnsi"/>
        </w:rPr>
        <w:t xml:space="preserve">in </w:t>
      </w:r>
      <w:r w:rsidR="00596634">
        <w:rPr>
          <w:rFonts w:asciiTheme="minorHAnsi" w:hAnsiTheme="minorHAnsi" w:cstheme="minorHAnsi"/>
        </w:rPr>
        <w:t xml:space="preserve">a </w:t>
      </w:r>
      <w:r w:rsidR="00C64A1C">
        <w:rPr>
          <w:rFonts w:asciiTheme="minorHAnsi" w:hAnsiTheme="minorHAnsi" w:cstheme="minorHAnsi"/>
        </w:rPr>
        <w:t>context of high out-migration (Vullnetari</w:t>
      </w:r>
      <w:r w:rsidR="00596634">
        <w:rPr>
          <w:rFonts w:asciiTheme="minorHAnsi" w:hAnsiTheme="minorHAnsi" w:cstheme="minorHAnsi"/>
        </w:rPr>
        <w:t>)</w:t>
      </w:r>
      <w:r w:rsidR="0016743E">
        <w:rPr>
          <w:rFonts w:asciiTheme="minorHAnsi" w:hAnsiTheme="minorHAnsi" w:cstheme="minorHAnsi"/>
        </w:rPr>
        <w:t>,</w:t>
      </w:r>
      <w:r w:rsidR="00596634" w:rsidRPr="00596634">
        <w:rPr>
          <w:rFonts w:asciiTheme="minorHAnsi" w:hAnsiTheme="minorHAnsi" w:cstheme="minorHAnsi"/>
        </w:rPr>
        <w:t xml:space="preserve"> </w:t>
      </w:r>
      <w:r w:rsidR="00596634">
        <w:rPr>
          <w:rFonts w:asciiTheme="minorHAnsi" w:hAnsiTheme="minorHAnsi" w:cstheme="minorHAnsi"/>
        </w:rPr>
        <w:t>and final</w:t>
      </w:r>
      <w:r w:rsidR="0016743E">
        <w:rPr>
          <w:rFonts w:asciiTheme="minorHAnsi" w:hAnsiTheme="minorHAnsi" w:cstheme="minorHAnsi"/>
        </w:rPr>
        <w:t>ly considering</w:t>
      </w:r>
      <w:r w:rsidR="00C64A1C">
        <w:rPr>
          <w:rFonts w:asciiTheme="minorHAnsi" w:hAnsiTheme="minorHAnsi" w:cstheme="minorHAnsi"/>
        </w:rPr>
        <w:t xml:space="preserve"> the role that older people play in </w:t>
      </w:r>
      <w:r w:rsidR="009F4508">
        <w:rPr>
          <w:rFonts w:asciiTheme="minorHAnsi" w:hAnsiTheme="minorHAnsi" w:cstheme="minorHAnsi"/>
        </w:rPr>
        <w:t>community initiatives to tackle environmental change (Beckwith et al.)</w:t>
      </w:r>
      <w:r w:rsidR="00C179EE">
        <w:rPr>
          <w:rFonts w:asciiTheme="minorHAnsi" w:hAnsiTheme="minorHAnsi" w:cstheme="minorHAnsi"/>
        </w:rPr>
        <w:t xml:space="preserve">. </w:t>
      </w:r>
      <w:r w:rsidR="00B907C6">
        <w:rPr>
          <w:rFonts w:asciiTheme="minorHAnsi" w:hAnsiTheme="minorHAnsi" w:cstheme="minorHAnsi"/>
        </w:rPr>
        <w:t xml:space="preserve"> </w:t>
      </w:r>
      <w:r w:rsidR="009F4508">
        <w:rPr>
          <w:rFonts w:asciiTheme="minorHAnsi" w:hAnsiTheme="minorHAnsi" w:cstheme="minorHAnsi"/>
        </w:rPr>
        <w:t xml:space="preserve"> </w:t>
      </w:r>
      <w:r w:rsidR="00C64A1C">
        <w:rPr>
          <w:rFonts w:asciiTheme="minorHAnsi" w:hAnsiTheme="minorHAnsi" w:cstheme="minorHAnsi"/>
        </w:rPr>
        <w:t xml:space="preserve"> </w:t>
      </w:r>
    </w:p>
    <w:p w14:paraId="1BB1C340" w14:textId="2EE71CCF" w:rsidR="00D06899" w:rsidRPr="00646755" w:rsidRDefault="00D06899" w:rsidP="000371E8">
      <w:pPr>
        <w:pStyle w:val="xmsonormal"/>
        <w:spacing w:before="0" w:beforeAutospacing="0" w:after="0" w:afterAutospacing="0" w:line="360" w:lineRule="auto"/>
        <w:ind w:firstLine="284"/>
        <w:rPr>
          <w:rFonts w:asciiTheme="minorHAnsi" w:hAnsiTheme="minorHAnsi" w:cstheme="minorHAnsi"/>
        </w:rPr>
      </w:pPr>
      <w:r w:rsidRPr="00646755">
        <w:rPr>
          <w:rFonts w:asciiTheme="minorHAnsi" w:hAnsiTheme="minorHAnsi" w:cstheme="minorHAnsi"/>
          <w:i/>
          <w:iCs/>
        </w:rPr>
        <w:t>Vera-Sanso’s</w:t>
      </w:r>
      <w:r w:rsidRPr="00646755">
        <w:rPr>
          <w:rFonts w:asciiTheme="minorHAnsi" w:hAnsiTheme="minorHAnsi" w:cstheme="minorHAnsi"/>
        </w:rPr>
        <w:t xml:space="preserve"> </w:t>
      </w:r>
      <w:r w:rsidR="00165BB0">
        <w:rPr>
          <w:rFonts w:asciiTheme="minorHAnsi" w:hAnsiTheme="minorHAnsi" w:cstheme="minorHAnsi"/>
        </w:rPr>
        <w:t>article</w:t>
      </w:r>
      <w:r w:rsidRPr="00646755">
        <w:rPr>
          <w:rFonts w:asciiTheme="minorHAnsi" w:hAnsiTheme="minorHAnsi" w:cstheme="minorHAnsi"/>
        </w:rPr>
        <w:t xml:space="preserve"> brings together two multilateral policy arenas, that of ageing policy and the international development agenda, which are coalescing under the rubric of the SDGs and the Decade of Healthy Aging. A historical overview of policy making reveals the shifting discourses underpinning policies on older persons and later life and the stereotypical trail they have left of seeing older people as a target group </w:t>
      </w:r>
      <w:r w:rsidRPr="00646755">
        <w:rPr>
          <w:rFonts w:asciiTheme="minorHAnsi" w:hAnsiTheme="minorHAnsi" w:cstheme="minorHAnsi"/>
        </w:rPr>
        <w:lastRenderedPageBreak/>
        <w:t>disconnected from wider social and economic conditions. From this viewpoint older people’s main issues, identified as health, dependence and loneliness, are derived from the ageing process itself, not distributional, economic and social factors. Using World Health Organisation’s recent, though now underplayed, position that socio-economic factors are the prime determinants of health,</w:t>
      </w:r>
      <w:r w:rsidR="001534CA">
        <w:rPr>
          <w:rFonts w:asciiTheme="minorHAnsi" w:hAnsiTheme="minorHAnsi" w:cstheme="minorHAnsi"/>
        </w:rPr>
        <w:t xml:space="preserve"> known as the Social Determinants of Health,</w:t>
      </w:r>
      <w:r w:rsidRPr="00646755">
        <w:rPr>
          <w:rFonts w:asciiTheme="minorHAnsi" w:hAnsiTheme="minorHAnsi" w:cstheme="minorHAnsi"/>
        </w:rPr>
        <w:t xml:space="preserve"> Vera-Sanso interrogates the SDGs and the Decade of Healthy Aging, to see whether the reliance on the private sector and technology-based solutions to improve health will relieve, or exacerbate, age, gender and class-based inequalities. </w:t>
      </w:r>
    </w:p>
    <w:p w14:paraId="103F0952" w14:textId="3A55769E" w:rsidR="00D06899" w:rsidRPr="00646755" w:rsidRDefault="00D06899" w:rsidP="000371E8">
      <w:pPr>
        <w:pStyle w:val="xmsonormal"/>
        <w:spacing w:before="0" w:beforeAutospacing="0" w:after="0" w:afterAutospacing="0" w:line="360" w:lineRule="auto"/>
        <w:ind w:firstLine="284"/>
        <w:rPr>
          <w:rFonts w:asciiTheme="minorHAnsi" w:hAnsiTheme="minorHAnsi" w:cstheme="minorHAnsi"/>
        </w:rPr>
      </w:pPr>
      <w:r w:rsidRPr="00646755">
        <w:rPr>
          <w:rFonts w:asciiTheme="minorHAnsi" w:hAnsiTheme="minorHAnsi" w:cstheme="minorHAnsi"/>
        </w:rPr>
        <w:t xml:space="preserve">Drawing on long and in-depth research in Indonesia, </w:t>
      </w:r>
      <w:proofErr w:type="spellStart"/>
      <w:r w:rsidRPr="00646755">
        <w:rPr>
          <w:rFonts w:asciiTheme="minorHAnsi" w:hAnsiTheme="minorHAnsi" w:cstheme="minorHAnsi"/>
        </w:rPr>
        <w:t>Schr</w:t>
      </w:r>
      <w:r w:rsidR="00F62EE4">
        <w:rPr>
          <w:rFonts w:asciiTheme="minorHAnsi" w:hAnsiTheme="minorHAnsi" w:cstheme="minorHAnsi"/>
        </w:rPr>
        <w:t>ö</w:t>
      </w:r>
      <w:r>
        <w:rPr>
          <w:rFonts w:asciiTheme="minorHAnsi" w:hAnsiTheme="minorHAnsi" w:cstheme="minorHAnsi"/>
        </w:rPr>
        <w:t>e</w:t>
      </w:r>
      <w:r w:rsidRPr="00646755">
        <w:rPr>
          <w:rFonts w:asciiTheme="minorHAnsi" w:hAnsiTheme="minorHAnsi" w:cstheme="minorHAnsi"/>
        </w:rPr>
        <w:t>der</w:t>
      </w:r>
      <w:r w:rsidRPr="00646755">
        <w:rPr>
          <w:rFonts w:asciiTheme="minorHAnsi" w:hAnsiTheme="minorHAnsi" w:cstheme="minorHAnsi"/>
          <w:i/>
          <w:iCs/>
        </w:rPr>
        <w:t>-Butterfill</w:t>
      </w:r>
      <w:proofErr w:type="spellEnd"/>
      <w:r w:rsidRPr="00646755">
        <w:rPr>
          <w:rFonts w:asciiTheme="minorHAnsi" w:hAnsiTheme="minorHAnsi" w:cstheme="minorHAnsi"/>
          <w:i/>
          <w:iCs/>
        </w:rPr>
        <w:t xml:space="preserve"> </w:t>
      </w:r>
      <w:r w:rsidR="00B30412">
        <w:rPr>
          <w:rFonts w:asciiTheme="minorHAnsi" w:hAnsiTheme="minorHAnsi" w:cstheme="minorHAnsi"/>
          <w:i/>
          <w:iCs/>
        </w:rPr>
        <w:t xml:space="preserve">et al </w:t>
      </w:r>
      <w:r w:rsidRPr="00646755">
        <w:rPr>
          <w:rFonts w:asciiTheme="minorHAnsi" w:hAnsiTheme="minorHAnsi" w:cstheme="minorHAnsi"/>
        </w:rPr>
        <w:t>offer a nuanced discussion of the diverse realities of later life in this country, which they contrast with the</w:t>
      </w:r>
      <w:r w:rsidR="00B30412">
        <w:rPr>
          <w:rFonts w:asciiTheme="minorHAnsi" w:hAnsiTheme="minorHAnsi" w:cstheme="minorHAnsi"/>
        </w:rPr>
        <w:t xml:space="preserve"> two dominant</w:t>
      </w:r>
      <w:r w:rsidRPr="00646755">
        <w:rPr>
          <w:rFonts w:asciiTheme="minorHAnsi" w:hAnsiTheme="minorHAnsi" w:cstheme="minorHAnsi"/>
        </w:rPr>
        <w:t xml:space="preserve"> representations of older age in the media and public policy there. The authors highlight the problematic nature of these binary represe</w:t>
      </w:r>
      <w:r w:rsidR="00B30412">
        <w:rPr>
          <w:rFonts w:asciiTheme="minorHAnsi" w:hAnsiTheme="minorHAnsi" w:cstheme="minorHAnsi"/>
        </w:rPr>
        <w:t xml:space="preserve">ntations. Older people are seen, on the one hand, </w:t>
      </w:r>
      <w:r w:rsidRPr="00646755">
        <w:rPr>
          <w:rFonts w:asciiTheme="minorHAnsi" w:hAnsiTheme="minorHAnsi" w:cstheme="minorHAnsi"/>
        </w:rPr>
        <w:t>as vulnerable</w:t>
      </w:r>
      <w:r w:rsidR="00B30412">
        <w:rPr>
          <w:rFonts w:asciiTheme="minorHAnsi" w:hAnsiTheme="minorHAnsi" w:cstheme="minorHAnsi"/>
        </w:rPr>
        <w:t xml:space="preserve"> and dependent on intergenerational family support and, in rare cases, on generous government pensions.  On the other hand, there is a new preference for portraying older people as active and productive, enjoying healthy ageing.  Both </w:t>
      </w:r>
      <w:r w:rsidRPr="00646755">
        <w:rPr>
          <w:rFonts w:asciiTheme="minorHAnsi" w:hAnsiTheme="minorHAnsi" w:cstheme="minorHAnsi"/>
        </w:rPr>
        <w:t>representations ‘</w:t>
      </w:r>
      <w:proofErr w:type="spellStart"/>
      <w:r w:rsidRPr="00646755">
        <w:rPr>
          <w:rFonts w:asciiTheme="minorHAnsi" w:hAnsiTheme="minorHAnsi" w:cstheme="minorHAnsi"/>
        </w:rPr>
        <w:t>invisibilise</w:t>
      </w:r>
      <w:proofErr w:type="spellEnd"/>
      <w:r w:rsidRPr="00646755">
        <w:rPr>
          <w:rFonts w:asciiTheme="minorHAnsi" w:hAnsiTheme="minorHAnsi" w:cstheme="minorHAnsi"/>
        </w:rPr>
        <w:t xml:space="preserve">’ the experiences of older people who do not fall into either of these stereotypes, but are instead frail, in ill-health, </w:t>
      </w:r>
      <w:r w:rsidR="00B30412">
        <w:rPr>
          <w:rFonts w:asciiTheme="minorHAnsi" w:hAnsiTheme="minorHAnsi" w:cstheme="minorHAnsi"/>
        </w:rPr>
        <w:t>and with</w:t>
      </w:r>
      <w:r w:rsidRPr="00646755">
        <w:rPr>
          <w:rFonts w:asciiTheme="minorHAnsi" w:hAnsiTheme="minorHAnsi" w:cstheme="minorHAnsi"/>
        </w:rPr>
        <w:t xml:space="preserve"> family networks </w:t>
      </w:r>
      <w:r w:rsidR="00B30412">
        <w:rPr>
          <w:rFonts w:asciiTheme="minorHAnsi" w:hAnsiTheme="minorHAnsi" w:cstheme="minorHAnsi"/>
        </w:rPr>
        <w:t xml:space="preserve">which struggle to provide adequate care. </w:t>
      </w:r>
      <w:r w:rsidRPr="00646755">
        <w:rPr>
          <w:rFonts w:asciiTheme="minorHAnsi" w:hAnsiTheme="minorHAnsi" w:cstheme="minorHAnsi"/>
        </w:rPr>
        <w:t xml:space="preserve">This </w:t>
      </w:r>
      <w:r w:rsidR="00165BB0">
        <w:rPr>
          <w:rFonts w:asciiTheme="minorHAnsi" w:hAnsiTheme="minorHAnsi" w:cstheme="minorHAnsi"/>
        </w:rPr>
        <w:t>article</w:t>
      </w:r>
      <w:r w:rsidRPr="00646755">
        <w:rPr>
          <w:rFonts w:asciiTheme="minorHAnsi" w:hAnsiTheme="minorHAnsi" w:cstheme="minorHAnsi"/>
        </w:rPr>
        <w:t xml:space="preserve"> explores the heterogeneity of experiences through an intersectional analysis that considers social class, gender, social position and context-specific macro-factors. </w:t>
      </w:r>
      <w:r w:rsidR="00B30412">
        <w:rPr>
          <w:rFonts w:asciiTheme="minorHAnsi" w:hAnsiTheme="minorHAnsi" w:cstheme="minorHAnsi"/>
        </w:rPr>
        <w:t xml:space="preserve">Making frailty and need in old age visible, the </w:t>
      </w:r>
      <w:r w:rsidRPr="00646755">
        <w:rPr>
          <w:rFonts w:asciiTheme="minorHAnsi" w:hAnsiTheme="minorHAnsi" w:cstheme="minorHAnsi"/>
        </w:rPr>
        <w:t>authors argue, is</w:t>
      </w:r>
      <w:r w:rsidR="00B30412">
        <w:rPr>
          <w:rFonts w:asciiTheme="minorHAnsi" w:hAnsiTheme="minorHAnsi" w:cstheme="minorHAnsi"/>
        </w:rPr>
        <w:t xml:space="preserve"> crucial for ensuring that provision of adequate care becomes a collective responsibility shared by families, communities and the state.  In addition, it would promote the recognition that frailty, decline and dependence – and a caring response to these – are fundamental aspects of the human experience. </w:t>
      </w:r>
    </w:p>
    <w:p w14:paraId="7EDE75A8" w14:textId="755ED09E" w:rsidR="00D06899" w:rsidRPr="00646755" w:rsidRDefault="00D06899" w:rsidP="000371E8">
      <w:pPr>
        <w:pStyle w:val="xmsonormal"/>
        <w:spacing w:before="0" w:beforeAutospacing="0" w:after="0" w:afterAutospacing="0" w:line="360" w:lineRule="auto"/>
        <w:ind w:firstLine="284"/>
        <w:rPr>
          <w:rFonts w:asciiTheme="minorHAnsi" w:hAnsiTheme="minorHAnsi" w:cstheme="minorHAnsi"/>
        </w:rPr>
      </w:pPr>
      <w:r w:rsidRPr="00646755">
        <w:rPr>
          <w:rFonts w:asciiTheme="minorHAnsi" w:hAnsiTheme="minorHAnsi" w:cstheme="minorHAnsi"/>
          <w:i/>
          <w:iCs/>
        </w:rPr>
        <w:t>Walsham</w:t>
      </w:r>
      <w:r>
        <w:rPr>
          <w:rFonts w:asciiTheme="minorHAnsi" w:hAnsiTheme="minorHAnsi" w:cstheme="minorHAnsi"/>
          <w:i/>
          <w:iCs/>
        </w:rPr>
        <w:t>’</w:t>
      </w:r>
      <w:r w:rsidRPr="00646755">
        <w:rPr>
          <w:rFonts w:asciiTheme="minorHAnsi" w:hAnsiTheme="minorHAnsi" w:cstheme="minorHAnsi"/>
          <w:i/>
          <w:iCs/>
        </w:rPr>
        <w:t>s</w:t>
      </w:r>
      <w:r w:rsidRPr="00646755">
        <w:rPr>
          <w:rFonts w:asciiTheme="minorHAnsi" w:hAnsiTheme="minorHAnsi" w:cstheme="minorHAnsi"/>
        </w:rPr>
        <w:t xml:space="preserve"> </w:t>
      </w:r>
      <w:r w:rsidR="00165BB0">
        <w:rPr>
          <w:rFonts w:asciiTheme="minorHAnsi" w:hAnsiTheme="minorHAnsi" w:cstheme="minorHAnsi"/>
        </w:rPr>
        <w:t>article</w:t>
      </w:r>
      <w:r w:rsidRPr="00646755">
        <w:rPr>
          <w:rFonts w:asciiTheme="minorHAnsi" w:hAnsiTheme="minorHAnsi" w:cstheme="minorHAnsi"/>
        </w:rPr>
        <w:t xml:space="preserve"> proposes that we rethink the ‘</w:t>
      </w:r>
      <w:proofErr w:type="spellStart"/>
      <w:r w:rsidRPr="00646755">
        <w:rPr>
          <w:rFonts w:asciiTheme="minorHAnsi" w:hAnsiTheme="minorHAnsi" w:cstheme="minorHAnsi"/>
        </w:rPr>
        <w:t>translocal</w:t>
      </w:r>
      <w:proofErr w:type="spellEnd"/>
      <w:r w:rsidRPr="00646755">
        <w:rPr>
          <w:rFonts w:asciiTheme="minorHAnsi" w:hAnsiTheme="minorHAnsi" w:cstheme="minorHAnsi"/>
        </w:rPr>
        <w:t xml:space="preserve"> household’ and the role of older people in shaping this household – and the concept itself</w:t>
      </w:r>
      <w:r>
        <w:rPr>
          <w:rFonts w:asciiTheme="minorHAnsi" w:hAnsiTheme="minorHAnsi" w:cstheme="minorHAnsi"/>
        </w:rPr>
        <w:t>,</w:t>
      </w:r>
      <w:r w:rsidRPr="00646755">
        <w:rPr>
          <w:rFonts w:asciiTheme="minorHAnsi" w:hAnsiTheme="minorHAnsi" w:cstheme="minorHAnsi"/>
        </w:rPr>
        <w:t xml:space="preserve"> from </w:t>
      </w:r>
      <w:r>
        <w:rPr>
          <w:rFonts w:asciiTheme="minorHAnsi" w:hAnsiTheme="minorHAnsi" w:cstheme="minorHAnsi"/>
        </w:rPr>
        <w:t xml:space="preserve">older people’s </w:t>
      </w:r>
      <w:r w:rsidRPr="00646755">
        <w:rPr>
          <w:rFonts w:asciiTheme="minorHAnsi" w:hAnsiTheme="minorHAnsi" w:cstheme="minorHAnsi"/>
        </w:rPr>
        <w:t xml:space="preserve">perspective. Stemming from his research in the </w:t>
      </w:r>
      <w:proofErr w:type="spellStart"/>
      <w:r w:rsidRPr="00646755">
        <w:rPr>
          <w:rFonts w:asciiTheme="minorHAnsi" w:hAnsiTheme="minorHAnsi" w:cstheme="minorHAnsi"/>
        </w:rPr>
        <w:t>Kiboga</w:t>
      </w:r>
      <w:proofErr w:type="spellEnd"/>
      <w:r w:rsidRPr="00646755">
        <w:rPr>
          <w:rFonts w:asciiTheme="minorHAnsi" w:hAnsiTheme="minorHAnsi" w:cstheme="minorHAnsi"/>
        </w:rPr>
        <w:t xml:space="preserve"> District of Uganda, the </w:t>
      </w:r>
      <w:r w:rsidR="00165BB0">
        <w:rPr>
          <w:rFonts w:asciiTheme="minorHAnsi" w:hAnsiTheme="minorHAnsi" w:cstheme="minorHAnsi"/>
        </w:rPr>
        <w:t>article</w:t>
      </w:r>
      <w:r w:rsidRPr="00646755">
        <w:rPr>
          <w:rFonts w:asciiTheme="minorHAnsi" w:hAnsiTheme="minorHAnsi" w:cstheme="minorHAnsi"/>
        </w:rPr>
        <w:t xml:space="preserve"> </w:t>
      </w:r>
      <w:r w:rsidRPr="00646755">
        <w:rPr>
          <w:rFonts w:asciiTheme="minorHAnsi" w:hAnsiTheme="minorHAnsi" w:cstheme="minorHAnsi"/>
        </w:rPr>
        <w:lastRenderedPageBreak/>
        <w:t xml:space="preserve">examines the connections – and frictions – between older people-headed households and their migrant offspring. Walsham argues for a ‘gendered relational’ approach to studying and understanding intra-household dynamics, which in turn reveals intergenerational interdependencies, themselves understood within a wider socio-economic, political and cultural context of power asymmetries. One of the most important ideas the </w:t>
      </w:r>
      <w:r w:rsidR="00165BB0">
        <w:rPr>
          <w:rFonts w:asciiTheme="minorHAnsi" w:hAnsiTheme="minorHAnsi" w:cstheme="minorHAnsi"/>
        </w:rPr>
        <w:t>article</w:t>
      </w:r>
      <w:r w:rsidRPr="00646755">
        <w:rPr>
          <w:rFonts w:asciiTheme="minorHAnsi" w:hAnsiTheme="minorHAnsi" w:cstheme="minorHAnsi"/>
        </w:rPr>
        <w:t xml:space="preserve"> advances is to move the discussion on older people in development away from a ‘dependence-independence’ binary to explore instead interdependences across localities. </w:t>
      </w:r>
    </w:p>
    <w:p w14:paraId="58D99ABB" w14:textId="72496029" w:rsidR="00D06899" w:rsidRPr="00646755" w:rsidRDefault="00D06899" w:rsidP="002F0B83">
      <w:pPr>
        <w:pStyle w:val="xmsonormal"/>
        <w:spacing w:before="0" w:beforeAutospacing="0" w:after="0" w:afterAutospacing="0" w:line="360" w:lineRule="auto"/>
        <w:ind w:firstLine="284"/>
        <w:rPr>
          <w:rFonts w:asciiTheme="minorHAnsi" w:hAnsiTheme="minorHAnsi" w:cstheme="minorHAnsi"/>
        </w:rPr>
      </w:pPr>
      <w:r w:rsidRPr="00646755">
        <w:rPr>
          <w:rFonts w:asciiTheme="minorHAnsi" w:hAnsiTheme="minorHAnsi" w:cstheme="minorHAnsi"/>
        </w:rPr>
        <w:t xml:space="preserve">Gender is a central aspect that shapes these experiences and lived realities of older age. For example, </w:t>
      </w:r>
      <w:r w:rsidRPr="007222EE">
        <w:rPr>
          <w:rFonts w:asciiTheme="minorHAnsi" w:hAnsiTheme="minorHAnsi" w:cstheme="minorHAnsi"/>
        </w:rPr>
        <w:t xml:space="preserve">Walsham finds gendered differences in how older women and older men </w:t>
      </w:r>
      <w:r w:rsidR="007B178F" w:rsidRPr="007222EE">
        <w:rPr>
          <w:rFonts w:asciiTheme="minorHAnsi" w:hAnsiTheme="minorHAnsi" w:cstheme="minorHAnsi"/>
        </w:rPr>
        <w:t>with migrant children</w:t>
      </w:r>
      <w:r w:rsidR="007B178F">
        <w:rPr>
          <w:rFonts w:asciiTheme="minorHAnsi" w:hAnsiTheme="minorHAnsi" w:cstheme="minorHAnsi"/>
        </w:rPr>
        <w:t xml:space="preserve"> </w:t>
      </w:r>
      <w:r w:rsidR="005409EB">
        <w:rPr>
          <w:rFonts w:asciiTheme="minorHAnsi" w:hAnsiTheme="minorHAnsi" w:cstheme="minorHAnsi"/>
        </w:rPr>
        <w:t>viewe</w:t>
      </w:r>
      <w:r w:rsidRPr="00646755">
        <w:rPr>
          <w:rFonts w:asciiTheme="minorHAnsi" w:hAnsiTheme="minorHAnsi" w:cstheme="minorHAnsi"/>
        </w:rPr>
        <w:t xml:space="preserve">d mutual </w:t>
      </w:r>
      <w:proofErr w:type="spellStart"/>
      <w:r w:rsidRPr="00646755">
        <w:rPr>
          <w:rFonts w:asciiTheme="minorHAnsi" w:hAnsiTheme="minorHAnsi" w:cstheme="minorHAnsi"/>
        </w:rPr>
        <w:t>translocal</w:t>
      </w:r>
      <w:proofErr w:type="spellEnd"/>
      <w:r w:rsidRPr="00646755">
        <w:rPr>
          <w:rFonts w:asciiTheme="minorHAnsi" w:hAnsiTheme="minorHAnsi" w:cstheme="minorHAnsi"/>
        </w:rPr>
        <w:t xml:space="preserve"> support, relationship</w:t>
      </w:r>
      <w:r w:rsidR="005409EB">
        <w:rPr>
          <w:rFonts w:asciiTheme="minorHAnsi" w:hAnsiTheme="minorHAnsi" w:cstheme="minorHAnsi"/>
        </w:rPr>
        <w:t>s</w:t>
      </w:r>
      <w:r w:rsidRPr="00646755">
        <w:rPr>
          <w:rFonts w:asciiTheme="minorHAnsi" w:hAnsiTheme="minorHAnsi" w:cstheme="minorHAnsi"/>
        </w:rPr>
        <w:t xml:space="preserve"> with and caring for their grandchildren, and how they describe their needs and aspirations to others. As such, older men understated the support they received from their migrant children and somewhat highlighted the negative sides of caring for their grandchildren, while older women overstated this support while considering caring for their grandchildren as essential to their wellbeing. This gendered portrayal of </w:t>
      </w:r>
      <w:r w:rsidR="007B178F">
        <w:rPr>
          <w:rFonts w:asciiTheme="minorHAnsi" w:hAnsiTheme="minorHAnsi" w:cstheme="minorHAnsi"/>
        </w:rPr>
        <w:t xml:space="preserve">men as </w:t>
      </w:r>
      <w:r w:rsidR="00BA537A" w:rsidRPr="00BA537A">
        <w:rPr>
          <w:rFonts w:asciiTheme="minorHAnsi" w:hAnsiTheme="minorHAnsi" w:cstheme="minorHAnsi"/>
        </w:rPr>
        <w:t>being</w:t>
      </w:r>
      <w:r w:rsidRPr="00646755">
        <w:rPr>
          <w:rFonts w:asciiTheme="minorHAnsi" w:hAnsiTheme="minorHAnsi" w:cstheme="minorHAnsi"/>
        </w:rPr>
        <w:t xml:space="preserve"> more ‘independent’ </w:t>
      </w:r>
      <w:r w:rsidR="007B178F">
        <w:rPr>
          <w:rFonts w:asciiTheme="minorHAnsi" w:hAnsiTheme="minorHAnsi" w:cstheme="minorHAnsi"/>
        </w:rPr>
        <w:t>and women as more</w:t>
      </w:r>
      <w:r w:rsidRPr="00646755">
        <w:rPr>
          <w:rFonts w:asciiTheme="minorHAnsi" w:hAnsiTheme="minorHAnsi" w:cstheme="minorHAnsi"/>
        </w:rPr>
        <w:t xml:space="preserve"> ‘dependent’ aligned with their traditionally ascribed gendered roles in the local communities. Moving away from ideas of ‘independence’ as the Eurocentric ideal of ‘healthy ageing’, Walsham shows how older women research participants in Uganda </w:t>
      </w:r>
      <w:r w:rsidR="005409EB">
        <w:rPr>
          <w:rFonts w:asciiTheme="minorHAnsi" w:hAnsiTheme="minorHAnsi" w:cstheme="minorHAnsi"/>
        </w:rPr>
        <w:t>felt that</w:t>
      </w:r>
      <w:r w:rsidRPr="00646755">
        <w:rPr>
          <w:rFonts w:asciiTheme="minorHAnsi" w:hAnsiTheme="minorHAnsi" w:cstheme="minorHAnsi"/>
        </w:rPr>
        <w:t xml:space="preserve"> ‘[T]</w:t>
      </w:r>
      <w:proofErr w:type="spellStart"/>
      <w:r w:rsidRPr="00646755">
        <w:rPr>
          <w:rFonts w:asciiTheme="minorHAnsi" w:hAnsiTheme="minorHAnsi" w:cstheme="minorHAnsi"/>
        </w:rPr>
        <w:t>ranslocal</w:t>
      </w:r>
      <w:proofErr w:type="spellEnd"/>
      <w:r w:rsidRPr="00646755">
        <w:rPr>
          <w:rFonts w:asciiTheme="minorHAnsi" w:hAnsiTheme="minorHAnsi" w:cstheme="minorHAnsi"/>
        </w:rPr>
        <w:t xml:space="preserve"> [mutual] relationships of support were fundamental to their wellbeing’ (line 427). The policy implications are clear: </w:t>
      </w:r>
      <w:r w:rsidR="005409EB">
        <w:rPr>
          <w:rFonts w:asciiTheme="minorHAnsi" w:hAnsiTheme="minorHAnsi" w:cstheme="minorHAnsi"/>
        </w:rPr>
        <w:t xml:space="preserve">the </w:t>
      </w:r>
      <w:proofErr w:type="spellStart"/>
      <w:r w:rsidR="005409EB">
        <w:rPr>
          <w:rFonts w:asciiTheme="minorHAnsi" w:hAnsiTheme="minorHAnsi" w:cstheme="minorHAnsi"/>
        </w:rPr>
        <w:t>translocal</w:t>
      </w:r>
      <w:proofErr w:type="spellEnd"/>
      <w:r w:rsidR="005409EB">
        <w:rPr>
          <w:rFonts w:asciiTheme="minorHAnsi" w:hAnsiTheme="minorHAnsi" w:cstheme="minorHAnsi"/>
        </w:rPr>
        <w:t xml:space="preserve"> matters for older people’s wellbeing in ways that are profoundly gendered. Consequently, a</w:t>
      </w:r>
      <w:r w:rsidRPr="00646755">
        <w:rPr>
          <w:rFonts w:asciiTheme="minorHAnsi" w:hAnsiTheme="minorHAnsi" w:cstheme="minorHAnsi"/>
        </w:rPr>
        <w:t>dopting a gendered relational approach to households headed by older men and women</w:t>
      </w:r>
      <w:r w:rsidR="0043649E">
        <w:rPr>
          <w:rFonts w:asciiTheme="minorHAnsi" w:hAnsiTheme="minorHAnsi" w:cstheme="minorHAnsi"/>
        </w:rPr>
        <w:t xml:space="preserve"> which</w:t>
      </w:r>
      <w:r w:rsidR="007222EE" w:rsidRPr="0043649E">
        <w:rPr>
          <w:rFonts w:asciiTheme="minorHAnsi" w:hAnsiTheme="minorHAnsi" w:cstheme="minorHAnsi"/>
        </w:rPr>
        <w:t xml:space="preserve"> accommodates </w:t>
      </w:r>
      <w:proofErr w:type="spellStart"/>
      <w:r w:rsidR="007222EE" w:rsidRPr="0043649E">
        <w:rPr>
          <w:rFonts w:asciiTheme="minorHAnsi" w:hAnsiTheme="minorHAnsi" w:cstheme="minorHAnsi"/>
        </w:rPr>
        <w:t>translocality</w:t>
      </w:r>
      <w:proofErr w:type="spellEnd"/>
      <w:r w:rsidRPr="00646755">
        <w:rPr>
          <w:rFonts w:asciiTheme="minorHAnsi" w:hAnsiTheme="minorHAnsi" w:cstheme="minorHAnsi"/>
        </w:rPr>
        <w:t xml:space="preserve"> is essential if we are to better understand their needs and contribution</w:t>
      </w:r>
      <w:r w:rsidR="005409EB">
        <w:rPr>
          <w:rFonts w:asciiTheme="minorHAnsi" w:hAnsiTheme="minorHAnsi" w:cstheme="minorHAnsi"/>
        </w:rPr>
        <w:t>s</w:t>
      </w:r>
      <w:r w:rsidRPr="00646755">
        <w:rPr>
          <w:rFonts w:asciiTheme="minorHAnsi" w:hAnsiTheme="minorHAnsi" w:cstheme="minorHAnsi"/>
        </w:rPr>
        <w:t xml:space="preserve">, and </w:t>
      </w:r>
      <w:r w:rsidR="005409EB">
        <w:rPr>
          <w:rFonts w:asciiTheme="minorHAnsi" w:hAnsiTheme="minorHAnsi" w:cstheme="minorHAnsi"/>
        </w:rPr>
        <w:t xml:space="preserve">to more effectively </w:t>
      </w:r>
      <w:r w:rsidRPr="00646755">
        <w:rPr>
          <w:rFonts w:asciiTheme="minorHAnsi" w:hAnsiTheme="minorHAnsi" w:cstheme="minorHAnsi"/>
        </w:rPr>
        <w:t>support them through social welfare programmes.</w:t>
      </w:r>
    </w:p>
    <w:p w14:paraId="360A46A1" w14:textId="50E09238" w:rsidR="00D06899" w:rsidRPr="002F0B83" w:rsidRDefault="00D06899" w:rsidP="002F0B83">
      <w:pPr>
        <w:shd w:val="clear" w:color="auto" w:fill="FFFFFF"/>
        <w:spacing w:after="150" w:line="360" w:lineRule="auto"/>
        <w:ind w:firstLine="284"/>
        <w:jc w:val="both"/>
        <w:rPr>
          <w:color w:val="222222"/>
        </w:rPr>
      </w:pPr>
      <w:proofErr w:type="spellStart"/>
      <w:r w:rsidRPr="00646755">
        <w:rPr>
          <w:rFonts w:cstheme="minorHAnsi"/>
          <w:i/>
          <w:iCs/>
        </w:rPr>
        <w:t>Vullnetari’s</w:t>
      </w:r>
      <w:proofErr w:type="spellEnd"/>
      <w:r w:rsidRPr="00646755">
        <w:rPr>
          <w:rFonts w:cstheme="minorHAnsi"/>
        </w:rPr>
        <w:t xml:space="preserve"> </w:t>
      </w:r>
      <w:r w:rsidR="002F0B83">
        <w:t xml:space="preserve">article </w:t>
      </w:r>
      <w:r w:rsidR="002F0B83">
        <w:rPr>
          <w:color w:val="222222"/>
        </w:rPr>
        <w:t xml:space="preserve">contributes to debates around the role of older </w:t>
      </w:r>
      <w:r w:rsidR="00690F7A">
        <w:rPr>
          <w:color w:val="222222"/>
        </w:rPr>
        <w:t xml:space="preserve">generations </w:t>
      </w:r>
      <w:r w:rsidR="002F0B83">
        <w:rPr>
          <w:color w:val="222222"/>
        </w:rPr>
        <w:t xml:space="preserve">in </w:t>
      </w:r>
      <w:r w:rsidR="00690F7A">
        <w:rPr>
          <w:color w:val="222222"/>
        </w:rPr>
        <w:t xml:space="preserve">migration and </w:t>
      </w:r>
      <w:r w:rsidR="002F0B83">
        <w:rPr>
          <w:color w:val="222222"/>
        </w:rPr>
        <w:t>development, focussing on older people who</w:t>
      </w:r>
      <w:r w:rsidR="00690F7A">
        <w:rPr>
          <w:color w:val="222222"/>
        </w:rPr>
        <w:t xml:space="preserve">se sons and daughters have emigrated abroad or internally. </w:t>
      </w:r>
      <w:r w:rsidR="00257E5D">
        <w:rPr>
          <w:rFonts w:cstheme="minorHAnsi"/>
        </w:rPr>
        <w:t xml:space="preserve">Using the concept of ‘invisible economies of care’ (Shah </w:t>
      </w:r>
      <w:r w:rsidR="00257E5D">
        <w:rPr>
          <w:rFonts w:cstheme="minorHAnsi"/>
        </w:rPr>
        <w:lastRenderedPageBreak/>
        <w:t xml:space="preserve">and </w:t>
      </w:r>
      <w:proofErr w:type="spellStart"/>
      <w:r w:rsidR="00257E5D">
        <w:rPr>
          <w:rFonts w:cstheme="minorHAnsi"/>
        </w:rPr>
        <w:t>Lerche’s</w:t>
      </w:r>
      <w:proofErr w:type="spellEnd"/>
      <w:r w:rsidR="00257E5D">
        <w:rPr>
          <w:rFonts w:cstheme="minorHAnsi"/>
        </w:rPr>
        <w:t xml:space="preserve"> 2020) and drawing </w:t>
      </w:r>
      <w:r w:rsidR="008F5043" w:rsidRPr="002E5CD4">
        <w:rPr>
          <w:color w:val="222222"/>
        </w:rPr>
        <w:t>on empirical work in Albania</w:t>
      </w:r>
      <w:r w:rsidR="008F5043">
        <w:rPr>
          <w:color w:val="222222"/>
        </w:rPr>
        <w:t>,</w:t>
      </w:r>
      <w:r w:rsidR="002F0B83">
        <w:t xml:space="preserve"> </w:t>
      </w:r>
      <w:proofErr w:type="spellStart"/>
      <w:r w:rsidR="002F0B83">
        <w:t>Vullnetari’s</w:t>
      </w:r>
      <w:proofErr w:type="spellEnd"/>
      <w:r w:rsidR="002F0B83">
        <w:t xml:space="preserve"> analysis </w:t>
      </w:r>
      <w:r w:rsidR="008F5043">
        <w:t xml:space="preserve">seeks to </w:t>
      </w:r>
      <w:r w:rsidR="007013EA">
        <w:t xml:space="preserve">bring older people’s voices into the </w:t>
      </w:r>
      <w:r w:rsidR="008F5043">
        <w:t xml:space="preserve">centre </w:t>
      </w:r>
      <w:r w:rsidR="007013EA">
        <w:t>of debates around migration and development.</w:t>
      </w:r>
      <w:r w:rsidR="002F0B83">
        <w:t xml:space="preserve"> </w:t>
      </w:r>
      <w:r w:rsidR="009D543D">
        <w:t xml:space="preserve">The article shows the range of </w:t>
      </w:r>
      <w:r w:rsidR="009D543D">
        <w:rPr>
          <w:rFonts w:cstheme="minorHAnsi"/>
          <w:color w:val="000000"/>
        </w:rPr>
        <w:t xml:space="preserve">productive and reproductive </w:t>
      </w:r>
      <w:r w:rsidR="009D543D">
        <w:t xml:space="preserve">activities that migrants’ older parents are engaged in, central to which is childcare. </w:t>
      </w:r>
      <w:r w:rsidR="000D5044">
        <w:rPr>
          <w:rFonts w:cstheme="minorHAnsi"/>
        </w:rPr>
        <w:t xml:space="preserve">Taken together these activities </w:t>
      </w:r>
      <w:r w:rsidR="00E4416F">
        <w:rPr>
          <w:rFonts w:cstheme="minorHAnsi"/>
        </w:rPr>
        <w:t xml:space="preserve">form ‘economies of care’ that </w:t>
      </w:r>
      <w:r w:rsidR="000D5044">
        <w:rPr>
          <w:rFonts w:cstheme="minorHAnsi"/>
        </w:rPr>
        <w:t xml:space="preserve">make a significant contribution to household economies, and by extension, to local and national economies </w:t>
      </w:r>
      <w:r w:rsidR="001031FF">
        <w:rPr>
          <w:rFonts w:cstheme="minorHAnsi"/>
        </w:rPr>
        <w:t xml:space="preserve">and societies </w:t>
      </w:r>
      <w:r w:rsidR="000D5044">
        <w:rPr>
          <w:rFonts w:cstheme="minorHAnsi"/>
        </w:rPr>
        <w:t xml:space="preserve">of </w:t>
      </w:r>
      <w:r w:rsidR="008C04DD">
        <w:rPr>
          <w:rFonts w:cstheme="minorHAnsi"/>
        </w:rPr>
        <w:t xml:space="preserve">migrants’ </w:t>
      </w:r>
      <w:r w:rsidR="000D5044">
        <w:rPr>
          <w:rFonts w:cstheme="minorHAnsi"/>
        </w:rPr>
        <w:t xml:space="preserve">origin </w:t>
      </w:r>
      <w:r w:rsidR="001031FF">
        <w:rPr>
          <w:rFonts w:cstheme="minorHAnsi"/>
        </w:rPr>
        <w:t xml:space="preserve">and destination </w:t>
      </w:r>
      <w:r w:rsidR="000D5044">
        <w:rPr>
          <w:rFonts w:cstheme="minorHAnsi"/>
        </w:rPr>
        <w:t>countries</w:t>
      </w:r>
      <w:r w:rsidR="002F0B83">
        <w:t>.</w:t>
      </w:r>
      <w:r w:rsidR="00E4416F">
        <w:t xml:space="preserve"> </w:t>
      </w:r>
      <w:r w:rsidR="001031FF">
        <w:t>Despite underpinning</w:t>
      </w:r>
      <w:r w:rsidR="008C04DD">
        <w:t xml:space="preserve"> development across the global South-North divide, such </w:t>
      </w:r>
      <w:r w:rsidR="006612E5">
        <w:t>‘</w:t>
      </w:r>
      <w:r w:rsidR="008C04DD">
        <w:t>e</w:t>
      </w:r>
      <w:r w:rsidR="001031FF">
        <w:t>conomies of care</w:t>
      </w:r>
      <w:r w:rsidR="006612E5">
        <w:t>’</w:t>
      </w:r>
      <w:r w:rsidR="001031FF">
        <w:t xml:space="preserve"> are </w:t>
      </w:r>
      <w:r w:rsidR="00E4416F">
        <w:t xml:space="preserve">generally </w:t>
      </w:r>
      <w:proofErr w:type="spellStart"/>
      <w:r w:rsidR="00E4416F">
        <w:t>invisibilised</w:t>
      </w:r>
      <w:proofErr w:type="spellEnd"/>
      <w:r w:rsidR="00E4416F">
        <w:t xml:space="preserve"> in policy and much academic work</w:t>
      </w:r>
      <w:r w:rsidR="001031FF">
        <w:t>, in contr</w:t>
      </w:r>
      <w:r w:rsidR="008C04DD">
        <w:t xml:space="preserve">ast to the celebration of financial remittances that have dominated migration-development debates for decades. This </w:t>
      </w:r>
      <w:proofErr w:type="spellStart"/>
      <w:r w:rsidR="008C04DD">
        <w:t>carework</w:t>
      </w:r>
      <w:proofErr w:type="spellEnd"/>
      <w:r w:rsidR="008C04DD">
        <w:t xml:space="preserve"> by </w:t>
      </w:r>
      <w:r w:rsidR="006612E5">
        <w:t xml:space="preserve">migrants’ </w:t>
      </w:r>
      <w:r w:rsidR="008C04DD">
        <w:t>older parents is gendered with older women carr</w:t>
      </w:r>
      <w:r w:rsidR="006612E5">
        <w:t>ying</w:t>
      </w:r>
      <w:r w:rsidR="008C04DD">
        <w:t xml:space="preserve"> out most of </w:t>
      </w:r>
      <w:r w:rsidR="006612E5">
        <w:t>it</w:t>
      </w:r>
      <w:r w:rsidR="008C04DD">
        <w:t xml:space="preserve">, which in turn – Vullnetari argues – </w:t>
      </w:r>
      <w:r w:rsidR="00407315">
        <w:t>compounds its</w:t>
      </w:r>
      <w:r w:rsidR="008C04DD">
        <w:t xml:space="preserve"> invisibility in much migration-development policy and scholarship. In making this </w:t>
      </w:r>
      <w:proofErr w:type="spellStart"/>
      <w:r w:rsidR="008C04DD">
        <w:t>carework</w:t>
      </w:r>
      <w:proofErr w:type="spellEnd"/>
      <w:r w:rsidR="008C04DD">
        <w:t xml:space="preserve"> visible, Vullnetari unsettles Eurocentric</w:t>
      </w:r>
      <w:r w:rsidR="00174BCB">
        <w:t xml:space="preserve">, </w:t>
      </w:r>
      <w:r w:rsidR="008C04DD">
        <w:t xml:space="preserve">economistic </w:t>
      </w:r>
      <w:r w:rsidR="00174BCB">
        <w:t xml:space="preserve">and ageist </w:t>
      </w:r>
      <w:r w:rsidR="008C04DD">
        <w:t xml:space="preserve">development </w:t>
      </w:r>
      <w:r w:rsidR="00174BCB">
        <w:t>approaches, and in so doing reclaiming the role of older people in migration projects and development processes.</w:t>
      </w:r>
      <w:r w:rsidR="008C04DD">
        <w:t xml:space="preserve"> </w:t>
      </w:r>
    </w:p>
    <w:p w14:paraId="7B15DF54" w14:textId="525652E6" w:rsidR="00D06899" w:rsidRPr="00646755" w:rsidRDefault="00D06899" w:rsidP="00CF0B0C">
      <w:pPr>
        <w:pStyle w:val="xmsonormal"/>
        <w:spacing w:before="0" w:beforeAutospacing="0" w:after="0" w:afterAutospacing="0" w:line="360" w:lineRule="auto"/>
        <w:ind w:firstLine="284"/>
        <w:rPr>
          <w:rFonts w:asciiTheme="minorHAnsi" w:hAnsiTheme="minorHAnsi" w:cstheme="minorHAnsi"/>
        </w:rPr>
      </w:pPr>
      <w:r w:rsidRPr="00646755">
        <w:rPr>
          <w:rFonts w:asciiTheme="minorHAnsi" w:hAnsiTheme="minorHAnsi" w:cstheme="minorHAnsi"/>
        </w:rPr>
        <w:t>The collection</w:t>
      </w:r>
      <w:r w:rsidR="00C179EE">
        <w:rPr>
          <w:rFonts w:asciiTheme="minorHAnsi" w:hAnsiTheme="minorHAnsi" w:cstheme="minorHAnsi"/>
        </w:rPr>
        <w:t xml:space="preserve"> of articles</w:t>
      </w:r>
      <w:r w:rsidRPr="00646755">
        <w:rPr>
          <w:rFonts w:asciiTheme="minorHAnsi" w:hAnsiTheme="minorHAnsi" w:cstheme="minorHAnsi"/>
        </w:rPr>
        <w:t xml:space="preserve"> closes with</w:t>
      </w:r>
      <w:r w:rsidRPr="00646755">
        <w:rPr>
          <w:rFonts w:asciiTheme="minorHAnsi" w:hAnsiTheme="minorHAnsi" w:cstheme="minorHAnsi"/>
          <w:i/>
          <w:iCs/>
        </w:rPr>
        <w:t xml:space="preserve"> Beckwith et al.</w:t>
      </w:r>
      <w:r w:rsidR="002F0B83">
        <w:rPr>
          <w:rFonts w:asciiTheme="minorHAnsi" w:hAnsiTheme="minorHAnsi" w:cstheme="minorHAnsi"/>
        </w:rPr>
        <w:t>’s article</w:t>
      </w:r>
      <w:r w:rsidRPr="00646755">
        <w:rPr>
          <w:rFonts w:asciiTheme="minorHAnsi" w:hAnsiTheme="minorHAnsi" w:cstheme="minorHAnsi"/>
        </w:rPr>
        <w:t xml:space="preserve"> which takes us back to </w:t>
      </w:r>
      <w:proofErr w:type="spellStart"/>
      <w:r w:rsidRPr="00646755">
        <w:rPr>
          <w:rFonts w:asciiTheme="minorHAnsi" w:hAnsiTheme="minorHAnsi" w:cstheme="minorHAnsi"/>
        </w:rPr>
        <w:t>SouthEast</w:t>
      </w:r>
      <w:proofErr w:type="spellEnd"/>
      <w:r w:rsidRPr="00646755">
        <w:rPr>
          <w:rFonts w:asciiTheme="minorHAnsi" w:hAnsiTheme="minorHAnsi" w:cstheme="minorHAnsi"/>
        </w:rPr>
        <w:t xml:space="preserve"> Asia, where the authors explore one of the least discussed, but immensely relevant, topics</w:t>
      </w:r>
      <w:r w:rsidR="00407315">
        <w:rPr>
          <w:rFonts w:asciiTheme="minorHAnsi" w:hAnsiTheme="minorHAnsi" w:cstheme="minorHAnsi"/>
        </w:rPr>
        <w:t>:</w:t>
      </w:r>
      <w:r w:rsidRPr="00646755">
        <w:rPr>
          <w:rFonts w:asciiTheme="minorHAnsi" w:hAnsiTheme="minorHAnsi" w:cstheme="minorHAnsi"/>
        </w:rPr>
        <w:t xml:space="preserve"> that of older people in debates around development and climate change adaptation. Drawing on empirical findings in two rural areas of Vietnam, as part of a larger project on livelihoods in Deltas, the </w:t>
      </w:r>
      <w:r w:rsidR="00165BB0">
        <w:rPr>
          <w:rFonts w:asciiTheme="minorHAnsi" w:hAnsiTheme="minorHAnsi" w:cstheme="minorHAnsi"/>
        </w:rPr>
        <w:t>article</w:t>
      </w:r>
      <w:r w:rsidRPr="00646755">
        <w:rPr>
          <w:rFonts w:asciiTheme="minorHAnsi" w:hAnsiTheme="minorHAnsi" w:cstheme="minorHAnsi"/>
        </w:rPr>
        <w:t xml:space="preserve"> takes a relational and place-based approach to examining local people’s connections to their environment, </w:t>
      </w:r>
      <w:r w:rsidR="004E4951">
        <w:rPr>
          <w:rFonts w:asciiTheme="minorHAnsi" w:hAnsiTheme="minorHAnsi" w:cstheme="minorHAnsi"/>
        </w:rPr>
        <w:t xml:space="preserve">an appreciation of different values </w:t>
      </w:r>
      <w:r w:rsidR="00734FC2">
        <w:rPr>
          <w:rFonts w:asciiTheme="minorHAnsi" w:hAnsiTheme="minorHAnsi" w:cstheme="minorHAnsi"/>
        </w:rPr>
        <w:t xml:space="preserve">of </w:t>
      </w:r>
      <w:r w:rsidR="004E4951">
        <w:rPr>
          <w:rFonts w:asciiTheme="minorHAnsi" w:hAnsiTheme="minorHAnsi" w:cstheme="minorHAnsi"/>
        </w:rPr>
        <w:t>nature</w:t>
      </w:r>
      <w:r w:rsidR="006B0D72">
        <w:rPr>
          <w:rFonts w:asciiTheme="minorHAnsi" w:hAnsiTheme="minorHAnsi" w:cstheme="minorHAnsi"/>
        </w:rPr>
        <w:t xml:space="preserve"> to support more locally-relevant ways of addressing environmental change</w:t>
      </w:r>
      <w:r w:rsidRPr="00646755">
        <w:rPr>
          <w:rFonts w:asciiTheme="minorHAnsi" w:hAnsiTheme="minorHAnsi" w:cstheme="minorHAnsi"/>
        </w:rPr>
        <w:t xml:space="preserve">. Similar to Walsham’s </w:t>
      </w:r>
      <w:r w:rsidR="00165BB0">
        <w:rPr>
          <w:rFonts w:asciiTheme="minorHAnsi" w:hAnsiTheme="minorHAnsi" w:cstheme="minorHAnsi"/>
        </w:rPr>
        <w:t>article</w:t>
      </w:r>
      <w:r w:rsidRPr="00646755">
        <w:rPr>
          <w:rFonts w:asciiTheme="minorHAnsi" w:hAnsiTheme="minorHAnsi" w:cstheme="minorHAnsi"/>
        </w:rPr>
        <w:t xml:space="preserve">, intergenerational relations are key here too to understanding how older and younger people live with, and adapt to, a changing climate. Older men and women play a crucial role in both conservation of the local environment, and transmitting local knowledge on climate change adaptation to the younger generation. By shifting the focus of discussion from vulnerability to recognising older people’s capabilities and contributions, the authors </w:t>
      </w:r>
      <w:r w:rsidRPr="00646755">
        <w:rPr>
          <w:rFonts w:asciiTheme="minorHAnsi" w:hAnsiTheme="minorHAnsi" w:cstheme="minorHAnsi"/>
        </w:rPr>
        <w:lastRenderedPageBreak/>
        <w:t xml:space="preserve">help us appreciate the complex relationship between communities and environments that sustain them. The key message of the </w:t>
      </w:r>
      <w:r w:rsidR="00165BB0">
        <w:rPr>
          <w:rFonts w:asciiTheme="minorHAnsi" w:hAnsiTheme="minorHAnsi" w:cstheme="minorHAnsi"/>
        </w:rPr>
        <w:t>article</w:t>
      </w:r>
      <w:r w:rsidRPr="00646755">
        <w:rPr>
          <w:rFonts w:asciiTheme="minorHAnsi" w:hAnsiTheme="minorHAnsi" w:cstheme="minorHAnsi"/>
        </w:rPr>
        <w:t xml:space="preserve"> for policymakers is clear: ‘locally-led adaptation’ strategies that centre intergenerational cooperation are key to addressing the impacts of climate change on some of the most vulnerable communities in the world, and older people can play an important role in addressing the adverse impacts of climate and environmental change. </w:t>
      </w:r>
    </w:p>
    <w:p w14:paraId="3457459E" w14:textId="0AB746F6" w:rsidR="00ED6551" w:rsidRPr="00EB62DB" w:rsidRDefault="00D06899" w:rsidP="00C179EE">
      <w:pPr>
        <w:spacing w:line="360" w:lineRule="auto"/>
        <w:ind w:firstLine="284"/>
      </w:pPr>
      <w:r w:rsidRPr="00646755">
        <w:rPr>
          <w:rFonts w:cstheme="minorHAnsi"/>
        </w:rPr>
        <w:t>We conclude this introduction by calling on development researchers, policymakers and practitioners to make space for older people in their work</w:t>
      </w:r>
      <w:r w:rsidR="00407315">
        <w:rPr>
          <w:rFonts w:cstheme="minorHAnsi"/>
        </w:rPr>
        <w:t xml:space="preserve">. Further, </w:t>
      </w:r>
      <w:r w:rsidRPr="00646755">
        <w:rPr>
          <w:rFonts w:cstheme="minorHAnsi"/>
        </w:rPr>
        <w:t xml:space="preserve">we advocate </w:t>
      </w:r>
      <w:r w:rsidR="00407315">
        <w:rPr>
          <w:rFonts w:cstheme="minorHAnsi"/>
        </w:rPr>
        <w:t xml:space="preserve">that they do so using </w:t>
      </w:r>
      <w:r w:rsidRPr="00646755">
        <w:rPr>
          <w:rFonts w:cstheme="minorHAnsi"/>
        </w:rPr>
        <w:t>an intergenerational approach. This is not a normative call, but a recognition of a complex reality that has hitherto been studied in splintered ways, as intergenerational connections are not only key to thriving societies, they are the extant reality.</w:t>
      </w:r>
      <w:r w:rsidRPr="00646755">
        <w:rPr>
          <w:rStyle w:val="EndnoteReference"/>
          <w:rFonts w:cstheme="minorHAnsi"/>
        </w:rPr>
        <w:endnoteReference w:id="3"/>
      </w:r>
      <w:r w:rsidRPr="00646755">
        <w:rPr>
          <w:rFonts w:cstheme="minorHAnsi"/>
        </w:rPr>
        <w:t xml:space="preserve"> </w:t>
      </w:r>
      <w:r w:rsidR="00D32888" w:rsidRPr="00646755">
        <w:rPr>
          <w:rFonts w:cstheme="minorHAnsi"/>
        </w:rPr>
        <w:t xml:space="preserve">As such, singling out one group over another in policy initiatives is bound to result in partial solutions. </w:t>
      </w:r>
      <w:r w:rsidR="00407315">
        <w:rPr>
          <w:rFonts w:cstheme="minorHAnsi"/>
        </w:rPr>
        <w:t>T</w:t>
      </w:r>
      <w:r w:rsidR="00D32888" w:rsidRPr="00646755">
        <w:rPr>
          <w:rFonts w:cstheme="minorHAnsi"/>
        </w:rPr>
        <w:t>he field</w:t>
      </w:r>
      <w:r w:rsidR="00263F58" w:rsidRPr="00646755">
        <w:rPr>
          <w:rFonts w:cstheme="minorHAnsi"/>
        </w:rPr>
        <w:t>s</w:t>
      </w:r>
      <w:r w:rsidR="00D32888" w:rsidRPr="00646755">
        <w:rPr>
          <w:rFonts w:cstheme="minorHAnsi"/>
        </w:rPr>
        <w:t xml:space="preserve"> of development studies and development policymaking need to move towards a more integrated approach where generations are seen as interconnected, rather than separated. While we recognise that each group has their own needs and capabilities, </w:t>
      </w:r>
      <w:r w:rsidR="00D67A51">
        <w:rPr>
          <w:rFonts w:cstheme="minorHAnsi"/>
        </w:rPr>
        <w:t xml:space="preserve">they </w:t>
      </w:r>
      <w:r w:rsidR="00D32888" w:rsidRPr="00646755">
        <w:rPr>
          <w:rFonts w:cstheme="minorHAnsi"/>
        </w:rPr>
        <w:t xml:space="preserve">are </w:t>
      </w:r>
      <w:r w:rsidR="00D67A51">
        <w:rPr>
          <w:rFonts w:cstheme="minorHAnsi"/>
        </w:rPr>
        <w:t xml:space="preserve">both </w:t>
      </w:r>
      <w:r w:rsidR="00D32888" w:rsidRPr="00646755">
        <w:rPr>
          <w:rFonts w:cstheme="minorHAnsi"/>
        </w:rPr>
        <w:t>part of interrelated and interdependent communities that</w:t>
      </w:r>
      <w:r w:rsidR="00D67A51">
        <w:rPr>
          <w:rFonts w:cstheme="minorHAnsi"/>
        </w:rPr>
        <w:t xml:space="preserve"> </w:t>
      </w:r>
      <w:r w:rsidR="00D32888" w:rsidRPr="00646755">
        <w:rPr>
          <w:rFonts w:cstheme="minorHAnsi"/>
        </w:rPr>
        <w:t>are permeated by power asymmetries and hierarchies shaped along not just generational, but also gender, ethnic and racial</w:t>
      </w:r>
      <w:r w:rsidR="00EF30FD">
        <w:rPr>
          <w:rFonts w:cstheme="minorHAnsi"/>
        </w:rPr>
        <w:t>ised</w:t>
      </w:r>
      <w:r w:rsidR="00D32888" w:rsidRPr="00646755">
        <w:rPr>
          <w:rFonts w:cstheme="minorHAnsi"/>
        </w:rPr>
        <w:t xml:space="preserve"> lines to mention a few. </w:t>
      </w:r>
      <w:r w:rsidR="009F3AFE" w:rsidRPr="00ED5448">
        <w:rPr>
          <w:rFonts w:cstheme="minorHAnsi"/>
        </w:rPr>
        <w:t>For this reason, we call for attention to ho</w:t>
      </w:r>
      <w:r w:rsidR="00ED5448" w:rsidRPr="00ED5448">
        <w:rPr>
          <w:rFonts w:cstheme="minorHAnsi"/>
        </w:rPr>
        <w:t>w inequalities imp</w:t>
      </w:r>
      <w:r w:rsidR="009F3AFE" w:rsidRPr="00ED5448">
        <w:rPr>
          <w:rFonts w:cstheme="minorHAnsi"/>
        </w:rPr>
        <w:t xml:space="preserve">inge on the interdependence of generations and what this means for older people and their </w:t>
      </w:r>
      <w:r w:rsidR="00ED5448" w:rsidRPr="00ED5448">
        <w:rPr>
          <w:rFonts w:cstheme="minorHAnsi"/>
        </w:rPr>
        <w:t>current and potential contribution</w:t>
      </w:r>
      <w:r w:rsidR="009F3AFE" w:rsidRPr="00ED5448">
        <w:rPr>
          <w:rFonts w:cstheme="minorHAnsi"/>
        </w:rPr>
        <w:t xml:space="preserve"> to </w:t>
      </w:r>
      <w:r w:rsidR="00ED5448" w:rsidRPr="00ED5448">
        <w:rPr>
          <w:rFonts w:cstheme="minorHAnsi"/>
        </w:rPr>
        <w:t xml:space="preserve">and benefit from </w:t>
      </w:r>
      <w:r w:rsidR="009F3AFE" w:rsidRPr="00ED5448">
        <w:rPr>
          <w:rFonts w:cstheme="minorHAnsi"/>
        </w:rPr>
        <w:t xml:space="preserve">development.  </w:t>
      </w:r>
      <w:r w:rsidR="00D67A51">
        <w:rPr>
          <w:rFonts w:cstheme="minorHAnsi"/>
        </w:rPr>
        <w:t xml:space="preserve">In doing so, </w:t>
      </w:r>
      <w:r w:rsidR="00EB62DB" w:rsidRPr="006A601C">
        <w:t>we h</w:t>
      </w:r>
      <w:r w:rsidR="00D67A51">
        <w:t xml:space="preserve">ope to </w:t>
      </w:r>
      <w:r w:rsidR="00EB62DB" w:rsidRPr="006A601C">
        <w:t xml:space="preserve">initiate a conversation around the place of ageing and </w:t>
      </w:r>
      <w:r w:rsidR="00EB62DB">
        <w:t>older people</w:t>
      </w:r>
      <w:r w:rsidR="00EB62DB" w:rsidRPr="006A601C">
        <w:t xml:space="preserve"> in development from a</w:t>
      </w:r>
      <w:r w:rsidR="00EB62DB">
        <w:t xml:space="preserve"> relational and intergenerational perspective; that is from a perspective that is focused around interdependence between older people and wider society rather than one restricted to the dependence of the former on the latter. </w:t>
      </w:r>
      <w:r w:rsidR="000A3183" w:rsidRPr="00646755">
        <w:rPr>
          <w:rFonts w:cstheme="minorHAnsi"/>
        </w:rPr>
        <w:t>W</w:t>
      </w:r>
      <w:r w:rsidR="00D32888" w:rsidRPr="00646755">
        <w:rPr>
          <w:rFonts w:cstheme="minorHAnsi"/>
        </w:rPr>
        <w:t xml:space="preserve">hether one’s development research or policy is focused on ageing or not, understanding the place and role of older people in </w:t>
      </w:r>
      <w:r w:rsidR="00D32888" w:rsidRPr="0080552A">
        <w:rPr>
          <w:rFonts w:cstheme="minorHAnsi"/>
        </w:rPr>
        <w:t>development</w:t>
      </w:r>
      <w:r w:rsidR="0080552A">
        <w:rPr>
          <w:rFonts w:cstheme="minorHAnsi"/>
        </w:rPr>
        <w:t xml:space="preserve"> from their perspective</w:t>
      </w:r>
      <w:r w:rsidR="00D32888" w:rsidRPr="00646755">
        <w:rPr>
          <w:rFonts w:cstheme="minorHAnsi"/>
        </w:rPr>
        <w:t xml:space="preserve"> becomes crucial to progressing broader development agendas</w:t>
      </w:r>
      <w:r w:rsidR="00C01ECA" w:rsidRPr="00646755">
        <w:rPr>
          <w:rFonts w:cstheme="minorHAnsi"/>
        </w:rPr>
        <w:t xml:space="preserve"> worldwide</w:t>
      </w:r>
      <w:r w:rsidR="00D32888" w:rsidRPr="00646755">
        <w:rPr>
          <w:rFonts w:cstheme="minorHAnsi"/>
        </w:rPr>
        <w:t>.</w:t>
      </w:r>
    </w:p>
    <w:p w14:paraId="4B5D67F4" w14:textId="77777777" w:rsidR="0080552A" w:rsidRDefault="0080552A" w:rsidP="000371E8">
      <w:pPr>
        <w:rPr>
          <w:rFonts w:cstheme="minorHAnsi"/>
          <w:b/>
          <w:bCs/>
        </w:rPr>
      </w:pPr>
    </w:p>
    <w:p w14:paraId="0D1D6A40" w14:textId="3EF1552D" w:rsidR="00D06899" w:rsidRDefault="00D06899" w:rsidP="000371E8">
      <w:pPr>
        <w:rPr>
          <w:rFonts w:cstheme="minorHAnsi"/>
          <w:b/>
          <w:bCs/>
        </w:rPr>
      </w:pPr>
      <w:r>
        <w:rPr>
          <w:rFonts w:cstheme="minorHAnsi"/>
          <w:b/>
          <w:bCs/>
        </w:rPr>
        <w:t>Notes</w:t>
      </w:r>
    </w:p>
    <w:sectPr w:rsidR="00D06899" w:rsidSect="00194186">
      <w:headerReference w:type="default" r:id="rId10"/>
      <w:footerReference w:type="even" r:id="rId11"/>
      <w:footerReference w:type="default" r:id="rId12"/>
      <w:endnotePr>
        <w:numFmt w:val="decimal"/>
      </w:endnotePr>
      <w:pgSz w:w="11906" w:h="16838"/>
      <w:pgMar w:top="1440" w:right="1440" w:bottom="1440"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D6DE" w14:textId="77777777" w:rsidR="00934AF9" w:rsidRDefault="00934AF9" w:rsidP="00C6413C">
      <w:r>
        <w:separator/>
      </w:r>
    </w:p>
  </w:endnote>
  <w:endnote w:type="continuationSeparator" w:id="0">
    <w:p w14:paraId="7EE5BA8F" w14:textId="77777777" w:rsidR="00934AF9" w:rsidRDefault="00934AF9" w:rsidP="00C6413C">
      <w:r>
        <w:continuationSeparator/>
      </w:r>
    </w:p>
  </w:endnote>
  <w:endnote w:id="1">
    <w:p w14:paraId="70923656" w14:textId="7167521B" w:rsidR="007222EE" w:rsidRPr="00BA537A" w:rsidRDefault="007222EE" w:rsidP="00BA537A">
      <w:pPr>
        <w:pStyle w:val="EndnoteText"/>
        <w:spacing w:line="360" w:lineRule="auto"/>
        <w:rPr>
          <w:sz w:val="24"/>
          <w:szCs w:val="24"/>
          <w:lang w:val="en-US"/>
        </w:rPr>
      </w:pPr>
      <w:r w:rsidRPr="00804540">
        <w:rPr>
          <w:rStyle w:val="EndnoteReference"/>
          <w:sz w:val="24"/>
          <w:szCs w:val="24"/>
        </w:rPr>
        <w:endnoteRef/>
      </w:r>
      <w:r w:rsidRPr="00804540">
        <w:rPr>
          <w:sz w:val="24"/>
          <w:szCs w:val="24"/>
        </w:rPr>
        <w:t xml:space="preserve"> </w:t>
      </w:r>
      <w:r w:rsidRPr="00BA537A">
        <w:rPr>
          <w:rFonts w:cstheme="minorHAnsi"/>
          <w:sz w:val="24"/>
          <w:szCs w:val="24"/>
        </w:rPr>
        <w:t xml:space="preserve">The Special Issue emerged from a double session organised by Tanja Bastia and </w:t>
      </w:r>
      <w:proofErr w:type="spellStart"/>
      <w:r w:rsidRPr="00BA537A">
        <w:rPr>
          <w:rFonts w:cstheme="minorHAnsi"/>
          <w:sz w:val="24"/>
          <w:szCs w:val="24"/>
        </w:rPr>
        <w:t>JulieVullnetari</w:t>
      </w:r>
      <w:proofErr w:type="spellEnd"/>
      <w:r w:rsidRPr="00BA537A">
        <w:rPr>
          <w:rFonts w:cstheme="minorHAnsi"/>
          <w:sz w:val="24"/>
          <w:szCs w:val="24"/>
        </w:rPr>
        <w:t xml:space="preserve"> at the UK Development Studies Association Annual Conference in July 2021 titled ‘</w:t>
      </w:r>
      <w:r w:rsidRPr="00BA537A">
        <w:rPr>
          <w:rFonts w:cstheme="minorHAnsi"/>
          <w:i/>
          <w:iCs/>
          <w:sz w:val="24"/>
          <w:szCs w:val="24"/>
        </w:rPr>
        <w:t>Ageing and older age: Unsettling development assumptions</w:t>
      </w:r>
      <w:r w:rsidRPr="00BA537A">
        <w:rPr>
          <w:rFonts w:cstheme="minorHAnsi"/>
          <w:sz w:val="24"/>
          <w:szCs w:val="24"/>
        </w:rPr>
        <w:t xml:space="preserve">’, for which Penny Vera-Sanso was a discussant. Four of the empirical articles here were presented at the conference. </w:t>
      </w:r>
    </w:p>
  </w:endnote>
  <w:endnote w:id="2">
    <w:p w14:paraId="19408314" w14:textId="00500618" w:rsidR="007222EE" w:rsidRPr="00BA537A" w:rsidRDefault="007222EE" w:rsidP="00BA537A">
      <w:pPr>
        <w:pStyle w:val="EndnoteText"/>
        <w:spacing w:line="360" w:lineRule="auto"/>
        <w:rPr>
          <w:sz w:val="24"/>
          <w:szCs w:val="24"/>
          <w:lang w:val="en-US"/>
        </w:rPr>
      </w:pPr>
      <w:r w:rsidRPr="00BA537A">
        <w:rPr>
          <w:rStyle w:val="EndnoteReference"/>
          <w:sz w:val="24"/>
          <w:szCs w:val="24"/>
        </w:rPr>
        <w:endnoteRef/>
      </w:r>
      <w:r w:rsidRPr="00BA537A">
        <w:rPr>
          <w:sz w:val="24"/>
          <w:szCs w:val="24"/>
        </w:rPr>
        <w:t xml:space="preserve"> </w:t>
      </w:r>
      <w:r w:rsidRPr="00BA537A">
        <w:rPr>
          <w:sz w:val="24"/>
          <w:szCs w:val="24"/>
          <w:lang w:val="en-US"/>
        </w:rPr>
        <w:t>In many countries improvements in life expectancy at birth reflects reductions in child mortality than improvements in mid or later life expectancy.  For the latter life expectancy at age 60 is needed.</w:t>
      </w:r>
    </w:p>
  </w:endnote>
  <w:endnote w:id="3">
    <w:p w14:paraId="7A1E2DA5" w14:textId="445466DB" w:rsidR="007222EE" w:rsidRDefault="007222EE" w:rsidP="00BA537A">
      <w:pPr>
        <w:pStyle w:val="EndnoteText"/>
        <w:spacing w:line="360" w:lineRule="auto"/>
        <w:rPr>
          <w:sz w:val="24"/>
          <w:szCs w:val="24"/>
        </w:rPr>
      </w:pPr>
      <w:r w:rsidRPr="00BA537A">
        <w:rPr>
          <w:rStyle w:val="EndnoteReference"/>
          <w:sz w:val="24"/>
          <w:szCs w:val="24"/>
        </w:rPr>
        <w:endnoteRef/>
      </w:r>
      <w:r w:rsidRPr="00BA537A">
        <w:rPr>
          <w:sz w:val="24"/>
          <w:szCs w:val="24"/>
        </w:rPr>
        <w:t xml:space="preserve"> See, for example, the newly launched (2022) ESCR-funded centre on ‘Connecting Generations’ at the University of Southampton, available at: </w:t>
      </w:r>
      <w:hyperlink r:id="rId1" w:anchor="Current" w:history="1">
        <w:r w:rsidRPr="00BA537A">
          <w:rPr>
            <w:rStyle w:val="Hyperlink"/>
            <w:sz w:val="24"/>
            <w:szCs w:val="24"/>
          </w:rPr>
          <w:t>http://www.cpc.ac.uk/research_programme/connecting_generations/#Current</w:t>
        </w:r>
      </w:hyperlink>
      <w:r w:rsidRPr="00BA537A">
        <w:rPr>
          <w:sz w:val="24"/>
          <w:szCs w:val="24"/>
        </w:rPr>
        <w:t xml:space="preserve"> [last accessed 7 Dec. 22</w:t>
      </w:r>
      <w:r w:rsidRPr="00804540">
        <w:rPr>
          <w:sz w:val="24"/>
          <w:szCs w:val="24"/>
        </w:rPr>
        <w:t>]</w:t>
      </w:r>
    </w:p>
    <w:p w14:paraId="76B8780A" w14:textId="77777777" w:rsidR="007222EE" w:rsidRDefault="007222EE" w:rsidP="00804540">
      <w:pPr>
        <w:pStyle w:val="EndnoteText"/>
        <w:spacing w:line="360" w:lineRule="auto"/>
        <w:rPr>
          <w:sz w:val="24"/>
          <w:szCs w:val="24"/>
        </w:rPr>
      </w:pPr>
    </w:p>
    <w:p w14:paraId="1DE2215A" w14:textId="07264E25" w:rsidR="007222EE" w:rsidRPr="008C352E" w:rsidRDefault="007222EE" w:rsidP="00804540">
      <w:pPr>
        <w:pStyle w:val="EndnoteText"/>
        <w:spacing w:line="360" w:lineRule="auto"/>
        <w:rPr>
          <w:b/>
          <w:sz w:val="24"/>
          <w:szCs w:val="24"/>
        </w:rPr>
      </w:pPr>
      <w:r w:rsidRPr="008C352E">
        <w:rPr>
          <w:b/>
          <w:sz w:val="24"/>
          <w:szCs w:val="24"/>
        </w:rPr>
        <w:t>Acknowledgements</w:t>
      </w:r>
    </w:p>
    <w:p w14:paraId="74FACB9A" w14:textId="76C77580" w:rsidR="007222EE" w:rsidRDefault="007222EE" w:rsidP="00804540">
      <w:pPr>
        <w:pStyle w:val="EndnoteText"/>
        <w:spacing w:line="360" w:lineRule="auto"/>
        <w:rPr>
          <w:sz w:val="24"/>
          <w:szCs w:val="24"/>
        </w:rPr>
      </w:pPr>
      <w:r>
        <w:rPr>
          <w:sz w:val="24"/>
          <w:szCs w:val="24"/>
        </w:rPr>
        <w:t>We thank the anonymous reviewers for their helpful comments on this article and the Special Issue overall.</w:t>
      </w:r>
    </w:p>
    <w:p w14:paraId="134563CA" w14:textId="3D60FD89" w:rsidR="007222EE" w:rsidRPr="008C352E" w:rsidRDefault="007222EE" w:rsidP="008C352E">
      <w:pPr>
        <w:shd w:val="clear" w:color="auto" w:fill="FFFFFF"/>
        <w:rPr>
          <w:rFonts w:ascii="Calibri" w:hAnsi="Calibri" w:cs="Times New Roman"/>
          <w:color w:val="242424"/>
          <w:sz w:val="22"/>
          <w:szCs w:val="22"/>
        </w:rPr>
      </w:pPr>
      <w:r>
        <w:rPr>
          <w:rFonts w:ascii="Calibri" w:hAnsi="Calibri" w:cs="Times New Roman"/>
          <w:i/>
          <w:iCs/>
          <w:color w:val="323E4F"/>
          <w:sz w:val="22"/>
          <w:szCs w:val="22"/>
          <w:bdr w:val="none" w:sz="0" w:space="0" w:color="auto" w:frame="1"/>
        </w:rPr>
        <w:t>F</w:t>
      </w:r>
      <w:r w:rsidRPr="008C352E">
        <w:rPr>
          <w:rFonts w:ascii="Calibri" w:hAnsi="Calibri" w:cs="Times New Roman"/>
          <w:i/>
          <w:iCs/>
          <w:color w:val="323E4F"/>
          <w:sz w:val="22"/>
          <w:szCs w:val="22"/>
          <w:bdr w:val="none" w:sz="0" w:space="0" w:color="auto" w:frame="1"/>
        </w:rPr>
        <w:t>or the purposes of open access, the author</w:t>
      </w:r>
      <w:r>
        <w:rPr>
          <w:rFonts w:ascii="Calibri" w:hAnsi="Calibri" w:cs="Times New Roman"/>
          <w:i/>
          <w:iCs/>
          <w:color w:val="323E4F"/>
          <w:sz w:val="22"/>
          <w:szCs w:val="22"/>
          <w:bdr w:val="none" w:sz="0" w:space="0" w:color="auto" w:frame="1"/>
        </w:rPr>
        <w:t>s have</w:t>
      </w:r>
      <w:r w:rsidRPr="008C352E">
        <w:rPr>
          <w:rFonts w:ascii="Calibri" w:hAnsi="Calibri" w:cs="Times New Roman"/>
          <w:i/>
          <w:iCs/>
          <w:color w:val="323E4F"/>
          <w:sz w:val="22"/>
          <w:szCs w:val="22"/>
          <w:bdr w:val="none" w:sz="0" w:space="0" w:color="auto" w:frame="1"/>
        </w:rPr>
        <w:t xml:space="preserve"> applied a CC BY public copyright licence to any author accepted manuscript version arising from this submission</w:t>
      </w:r>
      <w:r w:rsidRPr="008C352E">
        <w:rPr>
          <w:rFonts w:ascii="Calibri" w:hAnsi="Calibri" w:cs="Times New Roman"/>
          <w:color w:val="323E4F"/>
          <w:sz w:val="22"/>
          <w:szCs w:val="22"/>
          <w:bdr w:val="none" w:sz="0" w:space="0" w:color="auto" w:frame="1"/>
        </w:rPr>
        <w:t>.</w:t>
      </w:r>
    </w:p>
    <w:p w14:paraId="6811F421" w14:textId="77777777" w:rsidR="007222EE" w:rsidRPr="008C352E" w:rsidRDefault="007222EE" w:rsidP="008C352E">
      <w:pPr>
        <w:shd w:val="clear" w:color="auto" w:fill="FFFFFF"/>
        <w:rPr>
          <w:rFonts w:ascii="Calibri" w:hAnsi="Calibri" w:cs="Times New Roman"/>
          <w:color w:val="242424"/>
          <w:sz w:val="22"/>
          <w:szCs w:val="22"/>
        </w:rPr>
      </w:pPr>
      <w:r w:rsidRPr="008C352E">
        <w:rPr>
          <w:rFonts w:ascii="Calibri" w:hAnsi="Calibri" w:cs="Times New Roman"/>
          <w:color w:val="323E4F"/>
          <w:sz w:val="22"/>
          <w:szCs w:val="22"/>
          <w:bdr w:val="none" w:sz="0" w:space="0" w:color="auto" w:frame="1"/>
        </w:rPr>
        <w:t> </w:t>
      </w:r>
    </w:p>
    <w:p w14:paraId="08ECDEFC" w14:textId="77777777" w:rsidR="003C6ED4" w:rsidRDefault="003C6ED4" w:rsidP="00804540">
      <w:pPr>
        <w:pStyle w:val="xmsonormal"/>
        <w:spacing w:before="0" w:beforeAutospacing="0" w:after="0" w:afterAutospacing="0" w:line="360" w:lineRule="auto"/>
        <w:rPr>
          <w:rFonts w:asciiTheme="minorHAnsi" w:hAnsiTheme="minorHAnsi" w:cstheme="minorHAnsi"/>
          <w:b/>
          <w:bCs/>
        </w:rPr>
      </w:pPr>
    </w:p>
    <w:p w14:paraId="6F5252E6" w14:textId="44C9B335" w:rsidR="007222EE" w:rsidRPr="00804540" w:rsidRDefault="007222EE" w:rsidP="00804540">
      <w:pPr>
        <w:pStyle w:val="xmsonormal"/>
        <w:spacing w:before="0" w:beforeAutospacing="0" w:after="0" w:afterAutospacing="0" w:line="360" w:lineRule="auto"/>
        <w:rPr>
          <w:rFonts w:asciiTheme="minorHAnsi" w:hAnsiTheme="minorHAnsi" w:cstheme="minorHAnsi"/>
          <w:b/>
          <w:bCs/>
        </w:rPr>
      </w:pPr>
      <w:r w:rsidRPr="00804540">
        <w:rPr>
          <w:rFonts w:asciiTheme="minorHAnsi" w:hAnsiTheme="minorHAnsi" w:cstheme="minorHAnsi"/>
          <w:b/>
          <w:bCs/>
        </w:rPr>
        <w:t>References</w:t>
      </w:r>
    </w:p>
    <w:p w14:paraId="4443401C" w14:textId="77777777" w:rsidR="007222EE" w:rsidRPr="00804540" w:rsidRDefault="007222EE" w:rsidP="003C6ED4">
      <w:pPr>
        <w:spacing w:line="360" w:lineRule="auto"/>
        <w:ind w:left="567" w:hanging="567"/>
        <w:rPr>
          <w:rFonts w:cstheme="minorHAnsi"/>
          <w:bCs/>
        </w:rPr>
      </w:pPr>
      <w:r w:rsidRPr="00804540">
        <w:rPr>
          <w:rFonts w:cstheme="minorHAnsi"/>
          <w:b/>
        </w:rPr>
        <w:t>Age International.</w:t>
      </w:r>
      <w:r w:rsidRPr="00804540">
        <w:rPr>
          <w:rFonts w:cstheme="minorHAnsi"/>
          <w:bCs/>
        </w:rPr>
        <w:t xml:space="preserve"> 2015:</w:t>
      </w:r>
      <w:r w:rsidRPr="00804540">
        <w:rPr>
          <w:rFonts w:cstheme="minorHAnsi"/>
          <w:b/>
          <w:bCs/>
        </w:rPr>
        <w:t xml:space="preserve"> </w:t>
      </w:r>
      <w:r w:rsidRPr="00804540">
        <w:rPr>
          <w:rFonts w:cstheme="minorHAnsi"/>
          <w:bCs/>
          <w:i/>
        </w:rPr>
        <w:t>Facing the Facts: The Truth about Ageing and Development</w:t>
      </w:r>
      <w:r w:rsidRPr="00804540">
        <w:rPr>
          <w:rFonts w:cstheme="minorHAnsi"/>
          <w:bCs/>
          <w:iCs/>
        </w:rPr>
        <w:t>.</w:t>
      </w:r>
      <w:r w:rsidRPr="00804540">
        <w:rPr>
          <w:rFonts w:cstheme="minorHAnsi"/>
          <w:bCs/>
        </w:rPr>
        <w:t xml:space="preserve"> London: Age International.</w:t>
      </w:r>
    </w:p>
    <w:p w14:paraId="62FF4411" w14:textId="12AD73E5" w:rsidR="007222EE" w:rsidRPr="00804540" w:rsidRDefault="007222EE" w:rsidP="003C6ED4">
      <w:pPr>
        <w:spacing w:line="360" w:lineRule="auto"/>
        <w:ind w:left="567" w:hanging="567"/>
        <w:rPr>
          <w:rFonts w:cstheme="minorHAnsi"/>
        </w:rPr>
      </w:pPr>
      <w:r w:rsidRPr="00804540">
        <w:rPr>
          <w:rFonts w:cstheme="minorHAnsi"/>
          <w:b/>
          <w:bCs/>
        </w:rPr>
        <w:t>Age International.</w:t>
      </w:r>
      <w:r w:rsidRPr="00804540">
        <w:rPr>
          <w:rFonts w:cstheme="minorHAnsi"/>
        </w:rPr>
        <w:t xml:space="preserve"> 2018: </w:t>
      </w:r>
      <w:r w:rsidRPr="00804540">
        <w:rPr>
          <w:rFonts w:cstheme="minorHAnsi"/>
          <w:i/>
          <w:iCs/>
        </w:rPr>
        <w:t>Who Cares? Why older women’s economic empowerment matters for the Sustainable Development Goals</w:t>
      </w:r>
      <w:r w:rsidRPr="00804540">
        <w:rPr>
          <w:rFonts w:cstheme="minorHAnsi"/>
        </w:rPr>
        <w:t>. London: Age International Briefing Article.</w:t>
      </w:r>
    </w:p>
    <w:p w14:paraId="75E32E78" w14:textId="77777777" w:rsidR="007222EE" w:rsidRPr="00804540" w:rsidRDefault="007222EE" w:rsidP="003C6ED4">
      <w:pPr>
        <w:spacing w:line="360" w:lineRule="auto"/>
        <w:ind w:left="567" w:hanging="567"/>
        <w:rPr>
          <w:rFonts w:cstheme="minorHAnsi"/>
        </w:rPr>
      </w:pPr>
      <w:r w:rsidRPr="00804540">
        <w:rPr>
          <w:rFonts w:cstheme="minorHAnsi"/>
          <w:b/>
        </w:rPr>
        <w:t>Alam, M. and Barrientos, A</w:t>
      </w:r>
      <w:r w:rsidRPr="00804540">
        <w:rPr>
          <w:rFonts w:cstheme="minorHAnsi"/>
          <w:bCs/>
        </w:rPr>
        <w:t>.</w:t>
      </w:r>
      <w:r w:rsidRPr="00804540">
        <w:rPr>
          <w:rFonts w:cstheme="minorHAnsi"/>
        </w:rPr>
        <w:t xml:space="preserve"> 2010: </w:t>
      </w:r>
      <w:r w:rsidRPr="00804540">
        <w:rPr>
          <w:rFonts w:cstheme="minorHAnsi"/>
          <w:i/>
        </w:rPr>
        <w:t>Demographics, Employment and Old Age Security: Emerging Trends and Challenges in South Asia</w:t>
      </w:r>
      <w:r w:rsidRPr="00804540">
        <w:rPr>
          <w:rFonts w:cstheme="minorHAnsi"/>
        </w:rPr>
        <w:t xml:space="preserve">. New Delhi: Macmillan. </w:t>
      </w:r>
    </w:p>
    <w:p w14:paraId="277A99D2" w14:textId="77777777" w:rsidR="007222EE" w:rsidRPr="00804540" w:rsidRDefault="007222EE" w:rsidP="003C6ED4">
      <w:pPr>
        <w:spacing w:line="360" w:lineRule="auto"/>
        <w:ind w:left="567" w:hanging="567"/>
        <w:rPr>
          <w:rFonts w:cstheme="minorHAnsi"/>
        </w:rPr>
      </w:pPr>
      <w:r w:rsidRPr="00804540">
        <w:rPr>
          <w:rFonts w:cstheme="minorHAnsi"/>
          <w:b/>
        </w:rPr>
        <w:t>Bailey, A.J.</w:t>
      </w:r>
      <w:r w:rsidRPr="00804540">
        <w:rPr>
          <w:rFonts w:cstheme="minorHAnsi"/>
        </w:rPr>
        <w:t xml:space="preserve"> 2009: Population geography: </w:t>
      </w:r>
      <w:proofErr w:type="spellStart"/>
      <w:r w:rsidRPr="00804540">
        <w:rPr>
          <w:rFonts w:cstheme="minorHAnsi"/>
        </w:rPr>
        <w:t>Lifecourse</w:t>
      </w:r>
      <w:proofErr w:type="spellEnd"/>
      <w:r w:rsidRPr="00804540">
        <w:rPr>
          <w:rFonts w:cstheme="minorHAnsi"/>
        </w:rPr>
        <w:t xml:space="preserve"> matters. </w:t>
      </w:r>
      <w:r w:rsidRPr="00804540">
        <w:rPr>
          <w:rFonts w:cstheme="minorHAnsi"/>
          <w:i/>
          <w:iCs/>
        </w:rPr>
        <w:t xml:space="preserve">Progress in Human Geography </w:t>
      </w:r>
      <w:r w:rsidRPr="00804540">
        <w:rPr>
          <w:rFonts w:cstheme="minorHAnsi"/>
        </w:rPr>
        <w:t>33(3): 407–418.</w:t>
      </w:r>
    </w:p>
    <w:p w14:paraId="256BDA3E" w14:textId="77777777" w:rsidR="007222EE" w:rsidRPr="00804540" w:rsidRDefault="007222EE" w:rsidP="003C6ED4">
      <w:pPr>
        <w:spacing w:line="360" w:lineRule="auto"/>
        <w:ind w:left="567" w:hanging="567"/>
        <w:rPr>
          <w:rFonts w:cstheme="minorHAnsi"/>
        </w:rPr>
      </w:pPr>
      <w:r w:rsidRPr="00804540">
        <w:rPr>
          <w:rFonts w:cstheme="minorHAnsi"/>
          <w:b/>
        </w:rPr>
        <w:t>Barrientos, A.</w:t>
      </w:r>
      <w:r w:rsidRPr="00804540">
        <w:rPr>
          <w:rFonts w:cstheme="minorHAnsi"/>
        </w:rPr>
        <w:t xml:space="preserve"> 2009. Social pensions in low-income countries. In: </w:t>
      </w:r>
      <w:proofErr w:type="spellStart"/>
      <w:r w:rsidRPr="00804540">
        <w:rPr>
          <w:rFonts w:cstheme="minorHAnsi"/>
        </w:rPr>
        <w:t>Holzmann</w:t>
      </w:r>
      <w:proofErr w:type="spellEnd"/>
      <w:r w:rsidRPr="00804540">
        <w:rPr>
          <w:rFonts w:cstheme="minorHAnsi"/>
        </w:rPr>
        <w:t xml:space="preserve">, R., </w:t>
      </w:r>
      <w:proofErr w:type="spellStart"/>
      <w:r w:rsidRPr="00804540">
        <w:rPr>
          <w:rFonts w:cstheme="minorHAnsi"/>
        </w:rPr>
        <w:t>Robalino</w:t>
      </w:r>
      <w:proofErr w:type="spellEnd"/>
      <w:r w:rsidRPr="00804540">
        <w:rPr>
          <w:rFonts w:cstheme="minorHAnsi"/>
        </w:rPr>
        <w:t xml:space="preserve">, D.A. and Takayama, N., editors, </w:t>
      </w:r>
      <w:r w:rsidRPr="00804540">
        <w:rPr>
          <w:rFonts w:cstheme="minorHAnsi"/>
          <w:i/>
        </w:rPr>
        <w:t>Closing the Coverage Gap: The Role of Social Pensions and Other Retirement Income Transfers</w:t>
      </w:r>
      <w:r w:rsidRPr="00804540">
        <w:rPr>
          <w:rFonts w:cstheme="minorHAnsi"/>
        </w:rPr>
        <w:t>. Washington, D.C.: World Bank, 73-83.</w:t>
      </w:r>
    </w:p>
    <w:p w14:paraId="35A044E8" w14:textId="77777777" w:rsidR="007222EE" w:rsidRPr="00804540" w:rsidRDefault="007222EE" w:rsidP="003C6ED4">
      <w:pPr>
        <w:spacing w:line="360" w:lineRule="auto"/>
        <w:ind w:left="567" w:hanging="567"/>
        <w:rPr>
          <w:rFonts w:cstheme="minorHAnsi"/>
        </w:rPr>
      </w:pPr>
      <w:r w:rsidRPr="00804540">
        <w:rPr>
          <w:rFonts w:cstheme="minorHAnsi"/>
          <w:b/>
        </w:rPr>
        <w:t xml:space="preserve">Bastia, T. </w:t>
      </w:r>
      <w:r w:rsidRPr="00804540">
        <w:rPr>
          <w:rFonts w:cstheme="minorHAnsi"/>
          <w:bCs/>
        </w:rPr>
        <w:t>2009:</w:t>
      </w:r>
      <w:r w:rsidRPr="00804540">
        <w:rPr>
          <w:rFonts w:cstheme="minorHAnsi"/>
        </w:rPr>
        <w:t xml:space="preserve"> Women’s migration and the crisis of care: Grandmothers caring for grandchildren in urban Bolivia. </w:t>
      </w:r>
      <w:r w:rsidRPr="00804540">
        <w:rPr>
          <w:rFonts w:cstheme="minorHAnsi"/>
          <w:i/>
          <w:iCs/>
        </w:rPr>
        <w:t xml:space="preserve">Gender and Development </w:t>
      </w:r>
      <w:r w:rsidRPr="00804540">
        <w:rPr>
          <w:rFonts w:cstheme="minorHAnsi"/>
        </w:rPr>
        <w:t>17(1): 389-401.</w:t>
      </w:r>
    </w:p>
    <w:p w14:paraId="60803D97" w14:textId="77777777" w:rsidR="007222EE" w:rsidRPr="00804540" w:rsidRDefault="007222EE" w:rsidP="003C6ED4">
      <w:pPr>
        <w:spacing w:line="360" w:lineRule="auto"/>
        <w:ind w:left="567" w:hanging="567"/>
        <w:rPr>
          <w:rFonts w:cstheme="minorHAnsi"/>
        </w:rPr>
      </w:pPr>
      <w:r w:rsidRPr="00804540">
        <w:rPr>
          <w:rFonts w:cstheme="minorHAnsi"/>
          <w:b/>
          <w:bCs/>
        </w:rPr>
        <w:t xml:space="preserve">Bastia, T., Valenzuela, C.C. </w:t>
      </w:r>
      <w:r w:rsidRPr="00804540">
        <w:rPr>
          <w:rFonts w:cstheme="minorHAnsi"/>
        </w:rPr>
        <w:t>and</w:t>
      </w:r>
      <w:r w:rsidRPr="00804540">
        <w:rPr>
          <w:rFonts w:cstheme="minorHAnsi"/>
          <w:b/>
          <w:bCs/>
        </w:rPr>
        <w:t xml:space="preserve"> </w:t>
      </w:r>
      <w:proofErr w:type="spellStart"/>
      <w:r w:rsidRPr="00804540">
        <w:rPr>
          <w:rFonts w:cstheme="minorHAnsi"/>
          <w:b/>
          <w:bCs/>
        </w:rPr>
        <w:t>Pozo</w:t>
      </w:r>
      <w:proofErr w:type="spellEnd"/>
      <w:r w:rsidRPr="00804540">
        <w:rPr>
          <w:rFonts w:cstheme="minorHAnsi"/>
          <w:b/>
          <w:bCs/>
        </w:rPr>
        <w:t>, M.E</w:t>
      </w:r>
      <w:r w:rsidRPr="00804540">
        <w:rPr>
          <w:rFonts w:cstheme="minorHAnsi"/>
        </w:rPr>
        <w:t xml:space="preserve">. 2021: Entrepreneurial grannies: Migration and ‘older left-behind’ in Cochabamba, Bolivia. </w:t>
      </w:r>
      <w:r w:rsidRPr="00804540">
        <w:rPr>
          <w:rFonts w:cstheme="minorHAnsi"/>
          <w:i/>
          <w:iCs/>
        </w:rPr>
        <w:t>Global Networks</w:t>
      </w:r>
      <w:r w:rsidRPr="00804540">
        <w:rPr>
          <w:rFonts w:cstheme="minorHAnsi"/>
        </w:rPr>
        <w:t xml:space="preserve"> 21(2): 29-43.</w:t>
      </w:r>
    </w:p>
    <w:p w14:paraId="32C7A45F" w14:textId="77777777" w:rsidR="007222EE" w:rsidRPr="00804540" w:rsidRDefault="007222EE" w:rsidP="003C6ED4">
      <w:pPr>
        <w:spacing w:line="360" w:lineRule="auto"/>
        <w:ind w:left="567" w:hanging="567"/>
        <w:rPr>
          <w:rFonts w:cstheme="minorHAnsi"/>
        </w:rPr>
      </w:pPr>
      <w:r w:rsidRPr="00804540">
        <w:rPr>
          <w:rFonts w:cstheme="minorHAnsi"/>
          <w:b/>
        </w:rPr>
        <w:t xml:space="preserve">Bastia, T., </w:t>
      </w:r>
      <w:proofErr w:type="spellStart"/>
      <w:r w:rsidRPr="00804540">
        <w:rPr>
          <w:rFonts w:cstheme="minorHAnsi"/>
          <w:b/>
        </w:rPr>
        <w:t>Lulle</w:t>
      </w:r>
      <w:proofErr w:type="spellEnd"/>
      <w:r w:rsidRPr="00804540">
        <w:rPr>
          <w:rFonts w:cstheme="minorHAnsi"/>
          <w:b/>
        </w:rPr>
        <w:t xml:space="preserve">, A. </w:t>
      </w:r>
      <w:r w:rsidRPr="00804540">
        <w:rPr>
          <w:rFonts w:cstheme="minorHAnsi"/>
          <w:bCs/>
        </w:rPr>
        <w:t>and</w:t>
      </w:r>
      <w:r w:rsidRPr="00804540">
        <w:rPr>
          <w:rFonts w:cstheme="minorHAnsi"/>
          <w:b/>
        </w:rPr>
        <w:t xml:space="preserve"> King, R.</w:t>
      </w:r>
      <w:r w:rsidRPr="00804540">
        <w:rPr>
          <w:rFonts w:cstheme="minorHAnsi"/>
        </w:rPr>
        <w:t xml:space="preserve"> 2022: Migration and development: The overlooked roles of older people and ageing. </w:t>
      </w:r>
      <w:r w:rsidRPr="00804540">
        <w:rPr>
          <w:rFonts w:cstheme="minorHAnsi"/>
          <w:i/>
        </w:rPr>
        <w:t xml:space="preserve">Progress in Human Geography </w:t>
      </w:r>
      <w:r w:rsidRPr="00804540">
        <w:rPr>
          <w:rFonts w:cstheme="minorHAnsi"/>
        </w:rPr>
        <w:t>46(4): 1009-1027.</w:t>
      </w:r>
    </w:p>
    <w:p w14:paraId="2FF9942C" w14:textId="77777777" w:rsidR="007222EE" w:rsidRPr="00804540" w:rsidRDefault="007222EE" w:rsidP="003C6ED4">
      <w:pPr>
        <w:pStyle w:val="EndNoteBibliography"/>
        <w:ind w:left="567" w:hanging="567"/>
        <w:rPr>
          <w:rFonts w:asciiTheme="minorHAnsi" w:eastAsiaTheme="minorEastAsia" w:hAnsiTheme="minorHAnsi" w:cstheme="minorHAnsi"/>
          <w:noProof/>
          <w:lang w:eastAsia="zh-CN"/>
        </w:rPr>
      </w:pPr>
      <w:r w:rsidRPr="00804540">
        <w:rPr>
          <w:rFonts w:asciiTheme="minorHAnsi" w:hAnsiTheme="minorHAnsi" w:cstheme="minorHAnsi"/>
          <w:b/>
          <w:bCs/>
          <w:noProof/>
          <w:lang w:val="en-GB"/>
        </w:rPr>
        <w:t xml:space="preserve">Bourdillon, M.F.C. </w:t>
      </w:r>
      <w:r w:rsidRPr="00804540">
        <w:rPr>
          <w:rFonts w:asciiTheme="minorHAnsi" w:hAnsiTheme="minorHAnsi" w:cstheme="minorHAnsi"/>
          <w:noProof/>
          <w:lang w:val="en-GB"/>
        </w:rPr>
        <w:t>2004:</w:t>
      </w:r>
      <w:r w:rsidRPr="00804540">
        <w:rPr>
          <w:rFonts w:asciiTheme="minorHAnsi" w:hAnsiTheme="minorHAnsi" w:cstheme="minorHAnsi"/>
          <w:b/>
          <w:bCs/>
          <w:noProof/>
          <w:lang w:val="en-GB"/>
        </w:rPr>
        <w:t xml:space="preserve"> </w:t>
      </w:r>
      <w:r w:rsidRPr="00804540">
        <w:rPr>
          <w:rFonts w:asciiTheme="minorHAnsi" w:hAnsiTheme="minorHAnsi" w:cstheme="minorHAnsi"/>
          <w:noProof/>
          <w:lang w:val="en-GB"/>
        </w:rPr>
        <w:t xml:space="preserve">Children in development. </w:t>
      </w:r>
      <w:r w:rsidRPr="00804540">
        <w:rPr>
          <w:rFonts w:asciiTheme="minorHAnsi" w:eastAsiaTheme="minorEastAsia" w:hAnsiTheme="minorHAnsi" w:cstheme="minorHAnsi"/>
          <w:i/>
          <w:iCs/>
          <w:noProof/>
          <w:lang w:eastAsia="zh-CN"/>
        </w:rPr>
        <w:t xml:space="preserve">Progress in Development Studies </w:t>
      </w:r>
      <w:r w:rsidRPr="00804540">
        <w:rPr>
          <w:rFonts w:asciiTheme="minorHAnsi" w:eastAsiaTheme="minorEastAsia" w:hAnsiTheme="minorHAnsi" w:cstheme="minorHAnsi"/>
          <w:noProof/>
          <w:lang w:eastAsia="zh-CN"/>
        </w:rPr>
        <w:t>4(2): 99-113.</w:t>
      </w:r>
    </w:p>
    <w:p w14:paraId="72E7906D" w14:textId="058D2198" w:rsidR="007222EE" w:rsidRPr="00804540" w:rsidRDefault="007222EE" w:rsidP="003C6ED4">
      <w:pPr>
        <w:pStyle w:val="EndNoteBibliography"/>
        <w:ind w:left="567" w:hanging="567"/>
        <w:rPr>
          <w:rFonts w:asciiTheme="minorHAnsi" w:hAnsiTheme="minorHAnsi"/>
        </w:rPr>
      </w:pPr>
      <w:r w:rsidRPr="00804540">
        <w:rPr>
          <w:rFonts w:asciiTheme="minorHAnsi" w:hAnsiTheme="minorHAnsi"/>
          <w:b/>
        </w:rPr>
        <w:t>Cook, I. G</w:t>
      </w:r>
      <w:r w:rsidRPr="00804540">
        <w:rPr>
          <w:rFonts w:asciiTheme="minorHAnsi" w:hAnsiTheme="minorHAnsi"/>
        </w:rPr>
        <w:t xml:space="preserve">. and </w:t>
      </w:r>
      <w:r w:rsidRPr="00804540">
        <w:rPr>
          <w:rFonts w:asciiTheme="minorHAnsi" w:hAnsiTheme="minorHAnsi"/>
          <w:b/>
        </w:rPr>
        <w:t>Halsall, J. P.</w:t>
      </w:r>
      <w:r w:rsidRPr="00804540">
        <w:rPr>
          <w:rFonts w:asciiTheme="minorHAnsi" w:hAnsiTheme="minorHAnsi"/>
        </w:rPr>
        <w:t xml:space="preserve"> (2011). </w:t>
      </w:r>
      <w:r w:rsidRPr="00804540">
        <w:rPr>
          <w:rFonts w:asciiTheme="minorHAnsi" w:hAnsiTheme="minorHAnsi"/>
          <w:i/>
          <w:iCs/>
        </w:rPr>
        <w:t>Aging in comparative perspective: Processes and policies</w:t>
      </w:r>
      <w:r w:rsidRPr="00804540">
        <w:rPr>
          <w:rFonts w:asciiTheme="minorHAnsi" w:hAnsiTheme="minorHAnsi"/>
        </w:rPr>
        <w:t>. Springer</w:t>
      </w:r>
    </w:p>
    <w:p w14:paraId="2FC691F8" w14:textId="7CFF61F3" w:rsidR="007222EE" w:rsidRPr="00690F7A" w:rsidRDefault="007222EE" w:rsidP="003C6ED4">
      <w:pPr>
        <w:pStyle w:val="EndNoteBibliography"/>
        <w:ind w:left="567" w:hanging="567"/>
        <w:rPr>
          <w:rFonts w:asciiTheme="minorHAnsi" w:hAnsiTheme="minorHAnsi"/>
          <w:b/>
        </w:rPr>
      </w:pPr>
      <w:r w:rsidRPr="00690F7A">
        <w:rPr>
          <w:rFonts w:asciiTheme="minorHAnsi" w:hAnsiTheme="minorHAnsi"/>
          <w:b/>
        </w:rPr>
        <w:t>Desai</w:t>
      </w:r>
      <w:r>
        <w:rPr>
          <w:rFonts w:asciiTheme="minorHAnsi" w:hAnsiTheme="minorHAnsi"/>
          <w:b/>
        </w:rPr>
        <w:t xml:space="preserve">, V. </w:t>
      </w:r>
      <w:r w:rsidRPr="001E2410">
        <w:rPr>
          <w:rFonts w:asciiTheme="minorHAnsi" w:hAnsiTheme="minorHAnsi"/>
        </w:rPr>
        <w:t>(2014</w:t>
      </w:r>
      <w:proofErr w:type="gramStart"/>
      <w:r w:rsidRPr="001E2410">
        <w:rPr>
          <w:rFonts w:asciiTheme="minorHAnsi" w:hAnsiTheme="minorHAnsi"/>
        </w:rPr>
        <w:t xml:space="preserve">)  </w:t>
      </w:r>
      <w:r>
        <w:rPr>
          <w:rFonts w:asciiTheme="minorHAnsi" w:hAnsiTheme="minorHAnsi"/>
        </w:rPr>
        <w:t>Ageing</w:t>
      </w:r>
      <w:proofErr w:type="gramEnd"/>
      <w:r>
        <w:rPr>
          <w:rFonts w:asciiTheme="minorHAnsi" w:hAnsiTheme="minorHAnsi"/>
        </w:rPr>
        <w:t xml:space="preserve"> and Poverty, in V. Desai </w:t>
      </w:r>
      <w:r w:rsidRPr="00690F7A">
        <w:rPr>
          <w:rFonts w:asciiTheme="minorHAnsi" w:hAnsiTheme="minorHAnsi"/>
          <w:bCs/>
        </w:rPr>
        <w:t>and</w:t>
      </w:r>
      <w:r w:rsidRPr="001E2410">
        <w:rPr>
          <w:rFonts w:asciiTheme="minorHAnsi" w:hAnsiTheme="minorHAnsi"/>
        </w:rPr>
        <w:t xml:space="preserve"> R. B. Potter</w:t>
      </w:r>
      <w:r>
        <w:rPr>
          <w:rFonts w:asciiTheme="minorHAnsi" w:hAnsiTheme="minorHAnsi"/>
          <w:b/>
        </w:rPr>
        <w:t xml:space="preserve"> </w:t>
      </w:r>
      <w:r>
        <w:rPr>
          <w:rFonts w:asciiTheme="minorHAnsi" w:hAnsiTheme="minorHAnsi"/>
          <w:bCs/>
        </w:rPr>
        <w:t xml:space="preserve">(2014) </w:t>
      </w:r>
      <w:r>
        <w:rPr>
          <w:rFonts w:asciiTheme="minorHAnsi" w:hAnsiTheme="minorHAnsi"/>
          <w:bCs/>
          <w:i/>
          <w:iCs/>
        </w:rPr>
        <w:t xml:space="preserve">The Companion to Development Studies, </w:t>
      </w:r>
      <w:r>
        <w:rPr>
          <w:rFonts w:asciiTheme="minorHAnsi" w:hAnsiTheme="minorHAnsi"/>
          <w:bCs/>
        </w:rPr>
        <w:t>Third Edition, Abingdon</w:t>
      </w:r>
      <w:r>
        <w:rPr>
          <w:rFonts w:asciiTheme="minorHAnsi" w:hAnsiTheme="minorHAnsi"/>
          <w:b/>
        </w:rPr>
        <w:t xml:space="preserve">: </w:t>
      </w:r>
      <w:r>
        <w:rPr>
          <w:rFonts w:asciiTheme="minorHAnsi" w:hAnsiTheme="minorHAnsi"/>
          <w:bCs/>
        </w:rPr>
        <w:t>Routledge pp457-461</w:t>
      </w:r>
    </w:p>
    <w:p w14:paraId="34887CCE" w14:textId="3D1D2266" w:rsidR="007222EE" w:rsidRPr="00804540" w:rsidRDefault="007222EE" w:rsidP="003C6ED4">
      <w:pPr>
        <w:pStyle w:val="EndNoteBibliography"/>
        <w:ind w:left="567" w:hanging="567"/>
        <w:rPr>
          <w:rFonts w:asciiTheme="minorHAnsi" w:eastAsiaTheme="minorEastAsia" w:hAnsiTheme="minorHAnsi" w:cstheme="minorHAnsi"/>
          <w:noProof/>
          <w:lang w:eastAsia="zh-CN"/>
        </w:rPr>
      </w:pPr>
      <w:r w:rsidRPr="00804540">
        <w:rPr>
          <w:rFonts w:asciiTheme="minorHAnsi" w:hAnsiTheme="minorHAnsi"/>
          <w:b/>
        </w:rPr>
        <w:t xml:space="preserve">Field, J., Burke, R.J. </w:t>
      </w:r>
      <w:r w:rsidRPr="00804540">
        <w:rPr>
          <w:rFonts w:asciiTheme="minorHAnsi" w:hAnsiTheme="minorHAnsi"/>
        </w:rPr>
        <w:t xml:space="preserve">and </w:t>
      </w:r>
      <w:r w:rsidRPr="00804540">
        <w:rPr>
          <w:rFonts w:asciiTheme="minorHAnsi" w:hAnsiTheme="minorHAnsi"/>
          <w:b/>
        </w:rPr>
        <w:t>Cooper, CL (</w:t>
      </w:r>
      <w:r w:rsidRPr="00804540">
        <w:rPr>
          <w:rFonts w:asciiTheme="minorHAnsi" w:hAnsiTheme="minorHAnsi"/>
        </w:rPr>
        <w:t xml:space="preserve">2013) </w:t>
      </w:r>
      <w:r w:rsidRPr="00804540">
        <w:rPr>
          <w:rFonts w:asciiTheme="minorHAnsi" w:hAnsiTheme="minorHAnsi"/>
          <w:i/>
        </w:rPr>
        <w:t>The SAGE Handbook of Aging, Work and Society</w:t>
      </w:r>
      <w:r w:rsidRPr="00804540">
        <w:rPr>
          <w:rFonts w:asciiTheme="minorHAnsi" w:hAnsiTheme="minorHAnsi"/>
        </w:rPr>
        <w:t xml:space="preserve">, London: Sage </w:t>
      </w:r>
    </w:p>
    <w:p w14:paraId="2D5B4FE7" w14:textId="77777777" w:rsidR="007222EE" w:rsidRPr="00804540" w:rsidRDefault="00000000" w:rsidP="003C6ED4">
      <w:pPr>
        <w:pStyle w:val="EndNoteBibliography"/>
        <w:ind w:left="567" w:hanging="567"/>
        <w:rPr>
          <w:rFonts w:asciiTheme="minorHAnsi" w:hAnsiTheme="minorHAnsi" w:cstheme="minorHAnsi"/>
        </w:rPr>
      </w:pPr>
      <w:hyperlink r:id="rId2" w:history="1">
        <w:r w:rsidR="007222EE" w:rsidRPr="00804540">
          <w:rPr>
            <w:rStyle w:val="Hyperlink"/>
            <w:rFonts w:asciiTheme="minorHAnsi" w:hAnsiTheme="minorHAnsi" w:cstheme="minorHAnsi"/>
            <w:b/>
            <w:bCs/>
            <w:color w:val="auto"/>
            <w:u w:val="none"/>
          </w:rPr>
          <w:t>Glennie</w:t>
        </w:r>
      </w:hyperlink>
      <w:r w:rsidR="007222EE" w:rsidRPr="00804540">
        <w:rPr>
          <w:rFonts w:asciiTheme="minorHAnsi" w:hAnsiTheme="minorHAnsi" w:cstheme="minorHAnsi"/>
          <w:b/>
          <w:bCs/>
        </w:rPr>
        <w:t>, J</w:t>
      </w:r>
      <w:r w:rsidR="007222EE" w:rsidRPr="00804540">
        <w:rPr>
          <w:rFonts w:asciiTheme="minorHAnsi" w:hAnsiTheme="minorHAnsi" w:cstheme="minorHAnsi"/>
        </w:rPr>
        <w:t xml:space="preserve">. 2015: ‘Why don't we care about older people as much as children?’, The Guardian, 2 February 2015, available at: </w:t>
      </w:r>
      <w:hyperlink r:id="rId3" w:history="1">
        <w:r w:rsidR="007222EE" w:rsidRPr="00804540">
          <w:rPr>
            <w:rStyle w:val="Hyperlink"/>
            <w:rFonts w:asciiTheme="minorHAnsi" w:hAnsiTheme="minorHAnsi" w:cstheme="minorHAnsi"/>
            <w:color w:val="auto"/>
          </w:rPr>
          <w:t>https://www.theguardian.com/global-development/2015/feb/02/older-people-elderly-children-development-goals</w:t>
        </w:r>
      </w:hyperlink>
      <w:r w:rsidR="007222EE" w:rsidRPr="00804540">
        <w:rPr>
          <w:rFonts w:asciiTheme="minorHAnsi" w:hAnsiTheme="minorHAnsi" w:cstheme="minorHAnsi"/>
        </w:rPr>
        <w:t xml:space="preserve"> [last accessed 5 December 2022]</w:t>
      </w:r>
    </w:p>
    <w:p w14:paraId="23152357" w14:textId="77777777" w:rsidR="007222EE" w:rsidRPr="00804540" w:rsidRDefault="007222EE" w:rsidP="003C6ED4">
      <w:pPr>
        <w:pStyle w:val="EndNoteBibliography"/>
        <w:ind w:left="567" w:hanging="567"/>
        <w:rPr>
          <w:rFonts w:asciiTheme="minorHAnsi" w:hAnsiTheme="minorHAnsi" w:cstheme="minorHAnsi"/>
          <w:noProof/>
        </w:rPr>
      </w:pPr>
      <w:r w:rsidRPr="00804540">
        <w:rPr>
          <w:rFonts w:asciiTheme="minorHAnsi" w:hAnsiTheme="minorHAnsi" w:cstheme="minorHAnsi"/>
          <w:b/>
          <w:bCs/>
          <w:noProof/>
        </w:rPr>
        <w:t>Gorman, M.</w:t>
      </w:r>
      <w:r w:rsidRPr="00804540">
        <w:rPr>
          <w:rFonts w:asciiTheme="minorHAnsi" w:hAnsiTheme="minorHAnsi" w:cstheme="minorHAnsi"/>
          <w:noProof/>
        </w:rPr>
        <w:t xml:space="preserve"> 1995:</w:t>
      </w:r>
      <w:r w:rsidRPr="00804540">
        <w:rPr>
          <w:rFonts w:asciiTheme="minorHAnsi" w:hAnsiTheme="minorHAnsi" w:cstheme="minorHAnsi"/>
          <w:noProof/>
          <w:lang w:val="en-GB"/>
        </w:rPr>
        <w:t xml:space="preserve"> Older people and development: The last minority?. </w:t>
      </w:r>
      <w:r w:rsidRPr="00804540">
        <w:rPr>
          <w:rFonts w:asciiTheme="minorHAnsi" w:hAnsiTheme="minorHAnsi" w:cstheme="minorHAnsi"/>
          <w:i/>
          <w:iCs/>
          <w:noProof/>
          <w:lang w:val="en-GB"/>
        </w:rPr>
        <w:t>Development in Practice</w:t>
      </w:r>
      <w:r w:rsidRPr="00804540">
        <w:rPr>
          <w:rFonts w:asciiTheme="minorHAnsi" w:hAnsiTheme="minorHAnsi" w:cstheme="minorHAnsi"/>
          <w:noProof/>
          <w:lang w:val="en-GB"/>
        </w:rPr>
        <w:t xml:space="preserve"> 5(2): 117-127.</w:t>
      </w:r>
    </w:p>
    <w:p w14:paraId="7CF992F3" w14:textId="77777777" w:rsidR="007222EE" w:rsidRPr="00804540" w:rsidRDefault="007222EE" w:rsidP="003C6ED4">
      <w:pPr>
        <w:spacing w:line="360" w:lineRule="auto"/>
        <w:ind w:left="567" w:hanging="567"/>
        <w:rPr>
          <w:rFonts w:cstheme="minorHAnsi"/>
        </w:rPr>
      </w:pPr>
      <w:r w:rsidRPr="00804540">
        <w:rPr>
          <w:rFonts w:cstheme="minorHAnsi"/>
          <w:b/>
        </w:rPr>
        <w:t xml:space="preserve">Harris-White, B., Olsen, W., Vera-Sanso, P. </w:t>
      </w:r>
      <w:r w:rsidRPr="00804540">
        <w:rPr>
          <w:rFonts w:cstheme="minorHAnsi"/>
          <w:bCs/>
        </w:rPr>
        <w:t>and</w:t>
      </w:r>
      <w:r w:rsidRPr="00804540">
        <w:rPr>
          <w:rFonts w:cstheme="minorHAnsi"/>
          <w:b/>
        </w:rPr>
        <w:t xml:space="preserve"> Suresh, V.</w:t>
      </w:r>
      <w:r w:rsidRPr="00804540">
        <w:rPr>
          <w:rFonts w:cstheme="minorHAnsi"/>
        </w:rPr>
        <w:t xml:space="preserve"> 2013: Multiple shocks and slum household economies in South India. </w:t>
      </w:r>
      <w:r w:rsidRPr="00804540">
        <w:rPr>
          <w:rFonts w:cstheme="minorHAnsi"/>
          <w:i/>
        </w:rPr>
        <w:t>Economy and Society</w:t>
      </w:r>
      <w:r w:rsidRPr="00804540">
        <w:rPr>
          <w:rFonts w:cstheme="minorHAnsi"/>
        </w:rPr>
        <w:t xml:space="preserve"> 43(3): 398-429.</w:t>
      </w:r>
    </w:p>
    <w:p w14:paraId="35EE5628" w14:textId="637A1FA3" w:rsidR="007222EE" w:rsidRPr="00804540" w:rsidRDefault="007222EE" w:rsidP="003C6ED4">
      <w:pPr>
        <w:spacing w:line="360" w:lineRule="auto"/>
        <w:ind w:left="567" w:hanging="567"/>
        <w:rPr>
          <w:rFonts w:cstheme="minorHAnsi"/>
        </w:rPr>
      </w:pPr>
      <w:r w:rsidRPr="00804540">
        <w:rPr>
          <w:rFonts w:cstheme="minorHAnsi"/>
          <w:b/>
        </w:rPr>
        <w:t xml:space="preserve">HelpAge International, </w:t>
      </w:r>
      <w:r w:rsidRPr="00804540">
        <w:rPr>
          <w:rFonts w:cstheme="minorHAnsi"/>
        </w:rPr>
        <w:t xml:space="preserve">Undated: Global Age Watch Index 2015 at a glance, </w:t>
      </w:r>
      <w:hyperlink r:id="rId4" w:history="1">
        <w:r w:rsidRPr="00804540">
          <w:rPr>
            <w:rStyle w:val="Hyperlink"/>
            <w:rFonts w:cstheme="minorHAnsi"/>
          </w:rPr>
          <w:t>https://www.helpage.org/global-agewatch/population-ageing-data/infographic-index-at-a-glance/</w:t>
        </w:r>
      </w:hyperlink>
      <w:r w:rsidRPr="00804540">
        <w:rPr>
          <w:rFonts w:cstheme="minorHAnsi"/>
        </w:rPr>
        <w:t xml:space="preserve"> </w:t>
      </w:r>
    </w:p>
    <w:p w14:paraId="0D876606" w14:textId="77777777" w:rsidR="007222EE" w:rsidRPr="00804540" w:rsidRDefault="007222EE" w:rsidP="003C6ED4">
      <w:pPr>
        <w:spacing w:line="360" w:lineRule="auto"/>
        <w:ind w:left="567" w:hanging="567"/>
        <w:rPr>
          <w:rFonts w:eastAsiaTheme="minorEastAsia" w:cstheme="minorHAnsi"/>
          <w:noProof/>
          <w:lang w:eastAsia="zh-CN"/>
        </w:rPr>
      </w:pPr>
      <w:r w:rsidRPr="00804540">
        <w:rPr>
          <w:rFonts w:eastAsiaTheme="minorEastAsia" w:cstheme="minorHAnsi"/>
          <w:b/>
          <w:bCs/>
          <w:noProof/>
          <w:lang w:val="en-US" w:eastAsia="zh-CN"/>
        </w:rPr>
        <w:t>Jones, G.A.</w:t>
      </w:r>
      <w:r w:rsidRPr="00804540">
        <w:rPr>
          <w:rFonts w:eastAsiaTheme="minorEastAsia" w:cstheme="minorHAnsi"/>
          <w:noProof/>
          <w:lang w:val="en-US" w:eastAsia="zh-CN"/>
        </w:rPr>
        <w:t xml:space="preserve"> 2005: </w:t>
      </w:r>
      <w:r w:rsidRPr="00804540">
        <w:rPr>
          <w:rFonts w:eastAsiaTheme="minorEastAsia" w:cstheme="minorHAnsi"/>
          <w:noProof/>
          <w:lang w:eastAsia="zh-CN"/>
        </w:rPr>
        <w:t>Children and development: Rights, globalization and poverty.</w:t>
      </w:r>
      <w:r w:rsidRPr="00804540">
        <w:rPr>
          <w:rFonts w:eastAsiaTheme="minorEastAsia" w:cstheme="minorHAnsi"/>
          <w:i/>
          <w:iCs/>
          <w:noProof/>
          <w:lang w:eastAsia="zh-CN"/>
        </w:rPr>
        <w:t xml:space="preserve"> Progress in Development Studies </w:t>
      </w:r>
      <w:r w:rsidRPr="00804540">
        <w:rPr>
          <w:rFonts w:eastAsiaTheme="minorEastAsia" w:cstheme="minorHAnsi"/>
          <w:noProof/>
          <w:lang w:eastAsia="zh-CN"/>
        </w:rPr>
        <w:t xml:space="preserve">5(4): 336–342. </w:t>
      </w:r>
      <w:r w:rsidRPr="00804540">
        <w:rPr>
          <w:rFonts w:eastAsiaTheme="minorEastAsia" w:cstheme="minorHAnsi"/>
          <w:b/>
          <w:bCs/>
          <w:noProof/>
          <w:lang w:eastAsia="zh-CN"/>
        </w:rPr>
        <w:t xml:space="preserve"> </w:t>
      </w:r>
    </w:p>
    <w:p w14:paraId="1E619D78" w14:textId="77777777" w:rsidR="007222EE" w:rsidRPr="00804540" w:rsidRDefault="007222EE" w:rsidP="003C6ED4">
      <w:pPr>
        <w:spacing w:line="360" w:lineRule="auto"/>
        <w:ind w:left="567" w:hanging="567"/>
        <w:rPr>
          <w:rFonts w:eastAsiaTheme="minorEastAsia" w:cstheme="minorHAnsi"/>
          <w:noProof/>
          <w:lang w:eastAsia="zh-CN"/>
        </w:rPr>
      </w:pPr>
      <w:r w:rsidRPr="00804540">
        <w:rPr>
          <w:rFonts w:eastAsiaTheme="minorEastAsia" w:cstheme="minorHAnsi"/>
          <w:b/>
          <w:bCs/>
          <w:noProof/>
          <w:lang w:val="en-US" w:eastAsia="zh-CN"/>
        </w:rPr>
        <w:t>Jones, G.A</w:t>
      </w:r>
      <w:r w:rsidRPr="00804540">
        <w:rPr>
          <w:rFonts w:eastAsiaTheme="minorEastAsia" w:cstheme="minorHAnsi"/>
          <w:noProof/>
          <w:lang w:val="en-US" w:eastAsia="zh-CN"/>
        </w:rPr>
        <w:t xml:space="preserve">. 2008: </w:t>
      </w:r>
      <w:r w:rsidRPr="00804540">
        <w:rPr>
          <w:rFonts w:eastAsiaTheme="minorEastAsia" w:cstheme="minorHAnsi"/>
          <w:noProof/>
          <w:lang w:eastAsia="zh-CN"/>
        </w:rPr>
        <w:t>Children and development II: ‘youth’, violence and juvenile justice.</w:t>
      </w:r>
      <w:r w:rsidRPr="00804540">
        <w:rPr>
          <w:rFonts w:eastAsiaTheme="minorEastAsia" w:cstheme="minorHAnsi"/>
          <w:i/>
          <w:iCs/>
          <w:noProof/>
          <w:lang w:eastAsia="zh-CN"/>
        </w:rPr>
        <w:t xml:space="preserve"> Progress in Development Studies </w:t>
      </w:r>
      <w:r w:rsidRPr="00804540">
        <w:rPr>
          <w:rFonts w:eastAsiaTheme="minorEastAsia" w:cstheme="minorHAnsi"/>
          <w:noProof/>
          <w:lang w:eastAsia="zh-CN"/>
        </w:rPr>
        <w:t xml:space="preserve">8(4): 345–48. </w:t>
      </w:r>
    </w:p>
    <w:p w14:paraId="21E2BB4B" w14:textId="77777777" w:rsidR="007222EE" w:rsidRPr="00804540" w:rsidRDefault="007222EE" w:rsidP="003C6ED4">
      <w:pPr>
        <w:spacing w:line="360" w:lineRule="auto"/>
        <w:ind w:left="567" w:hanging="567"/>
        <w:rPr>
          <w:rFonts w:eastAsiaTheme="minorEastAsia" w:cstheme="minorHAnsi"/>
          <w:noProof/>
          <w:lang w:val="en-US" w:eastAsia="zh-CN"/>
        </w:rPr>
      </w:pPr>
      <w:r w:rsidRPr="00804540">
        <w:rPr>
          <w:rFonts w:eastAsiaTheme="minorEastAsia" w:cstheme="minorHAnsi"/>
          <w:b/>
          <w:bCs/>
          <w:noProof/>
          <w:lang w:val="en-US" w:eastAsia="zh-CN"/>
        </w:rPr>
        <w:t>Jones, G.A.</w:t>
      </w:r>
      <w:r w:rsidRPr="00804540">
        <w:rPr>
          <w:rFonts w:eastAsiaTheme="minorEastAsia" w:cstheme="minorHAnsi"/>
          <w:noProof/>
          <w:lang w:val="en-US" w:eastAsia="zh-CN"/>
        </w:rPr>
        <w:t xml:space="preserve"> 2011: </w:t>
      </w:r>
      <w:r w:rsidRPr="00804540">
        <w:rPr>
          <w:rFonts w:eastAsiaTheme="minorEastAsia" w:cstheme="minorHAnsi"/>
          <w:noProof/>
          <w:lang w:eastAsia="zh-CN"/>
        </w:rPr>
        <w:t xml:space="preserve">Children and development III: making space for young people. </w:t>
      </w:r>
      <w:r w:rsidRPr="00804540">
        <w:rPr>
          <w:rFonts w:eastAsiaTheme="minorEastAsia" w:cstheme="minorHAnsi"/>
          <w:i/>
          <w:iCs/>
          <w:noProof/>
          <w:lang w:eastAsia="zh-CN"/>
        </w:rPr>
        <w:t xml:space="preserve">Progress in Development Studies </w:t>
      </w:r>
      <w:r w:rsidRPr="00804540">
        <w:rPr>
          <w:rFonts w:eastAsiaTheme="minorEastAsia" w:cstheme="minorHAnsi"/>
          <w:noProof/>
          <w:lang w:eastAsia="zh-CN"/>
        </w:rPr>
        <w:t>11(2): 145–49.</w:t>
      </w:r>
    </w:p>
    <w:p w14:paraId="1237F6A7" w14:textId="77777777" w:rsidR="007222EE" w:rsidRPr="00804540" w:rsidRDefault="007222EE" w:rsidP="003C6ED4">
      <w:pPr>
        <w:spacing w:line="360" w:lineRule="auto"/>
        <w:ind w:left="567" w:hanging="567"/>
        <w:rPr>
          <w:rFonts w:eastAsiaTheme="minorEastAsia" w:cstheme="minorHAnsi"/>
          <w:noProof/>
          <w:lang w:val="en-US" w:eastAsia="zh-CN"/>
        </w:rPr>
      </w:pPr>
      <w:r w:rsidRPr="00804540">
        <w:rPr>
          <w:rFonts w:eastAsiaTheme="minorEastAsia" w:cstheme="minorHAnsi"/>
          <w:b/>
          <w:bCs/>
          <w:noProof/>
          <w:lang w:val="en-US" w:eastAsia="zh-CN"/>
        </w:rPr>
        <w:t xml:space="preserve">King, R., Lulle, A., Sampaio, D. </w:t>
      </w:r>
      <w:r w:rsidRPr="00804540">
        <w:rPr>
          <w:rFonts w:eastAsiaTheme="minorEastAsia" w:cstheme="minorHAnsi"/>
          <w:noProof/>
          <w:lang w:val="en-US" w:eastAsia="zh-CN"/>
        </w:rPr>
        <w:t xml:space="preserve">and </w:t>
      </w:r>
      <w:r w:rsidRPr="00804540">
        <w:rPr>
          <w:rFonts w:eastAsiaTheme="minorEastAsia" w:cstheme="minorHAnsi"/>
          <w:b/>
          <w:bCs/>
          <w:noProof/>
          <w:lang w:val="en-US" w:eastAsia="zh-CN"/>
        </w:rPr>
        <w:t>Vullnetari, J.</w:t>
      </w:r>
      <w:r w:rsidRPr="00804540">
        <w:rPr>
          <w:rFonts w:eastAsiaTheme="minorEastAsia" w:cstheme="minorHAnsi"/>
          <w:noProof/>
          <w:lang w:val="en-US" w:eastAsia="zh-CN"/>
        </w:rPr>
        <w:t xml:space="preserve"> 2017: Unpacking the ageing–migration nexus and challenging the vulnerability trope. </w:t>
      </w:r>
      <w:r w:rsidRPr="00804540">
        <w:rPr>
          <w:rFonts w:eastAsiaTheme="minorEastAsia" w:cstheme="minorHAnsi"/>
          <w:i/>
          <w:iCs/>
          <w:noProof/>
          <w:lang w:val="en-US" w:eastAsia="zh-CN"/>
        </w:rPr>
        <w:t>Journal of Ethnic and Migration Studies</w:t>
      </w:r>
      <w:r w:rsidRPr="00804540">
        <w:rPr>
          <w:rFonts w:eastAsiaTheme="minorEastAsia" w:cstheme="minorHAnsi"/>
          <w:noProof/>
          <w:lang w:val="en-US" w:eastAsia="zh-CN"/>
        </w:rPr>
        <w:t xml:space="preserve"> 43(2): 182-198.</w:t>
      </w:r>
    </w:p>
    <w:p w14:paraId="07FE264F" w14:textId="77777777" w:rsidR="007222EE" w:rsidRPr="00804540" w:rsidRDefault="007222EE" w:rsidP="003C6ED4">
      <w:pPr>
        <w:spacing w:line="360" w:lineRule="auto"/>
        <w:ind w:left="567" w:hanging="567"/>
        <w:rPr>
          <w:rFonts w:cstheme="minorHAnsi"/>
        </w:rPr>
      </w:pPr>
      <w:proofErr w:type="spellStart"/>
      <w:r w:rsidRPr="00804540">
        <w:rPr>
          <w:rFonts w:cstheme="minorHAnsi"/>
          <w:b/>
        </w:rPr>
        <w:t>Kreager</w:t>
      </w:r>
      <w:proofErr w:type="spellEnd"/>
      <w:r w:rsidRPr="00804540">
        <w:rPr>
          <w:rFonts w:cstheme="minorHAnsi"/>
          <w:b/>
        </w:rPr>
        <w:t xml:space="preserve">, P. </w:t>
      </w:r>
      <w:r w:rsidRPr="00804540">
        <w:rPr>
          <w:rFonts w:cstheme="minorHAnsi"/>
          <w:bCs/>
        </w:rPr>
        <w:t>and</w:t>
      </w:r>
      <w:r w:rsidRPr="00804540">
        <w:rPr>
          <w:rFonts w:cstheme="minorHAnsi"/>
          <w:b/>
        </w:rPr>
        <w:t xml:space="preserve"> E. Schroeder-Butterfill.</w:t>
      </w:r>
      <w:r w:rsidRPr="00804540">
        <w:rPr>
          <w:rFonts w:cstheme="minorHAnsi"/>
        </w:rPr>
        <w:t xml:space="preserve"> 2007: Gaps in the family networks of older people in three Indonesian communities. </w:t>
      </w:r>
      <w:r w:rsidRPr="00804540">
        <w:rPr>
          <w:rFonts w:cstheme="minorHAnsi"/>
          <w:i/>
        </w:rPr>
        <w:t>Journal of Cross-Cultural Gerontology</w:t>
      </w:r>
      <w:r w:rsidRPr="00804540">
        <w:rPr>
          <w:rFonts w:cstheme="minorHAnsi"/>
        </w:rPr>
        <w:t xml:space="preserve"> 22(1): 1-25.</w:t>
      </w:r>
    </w:p>
    <w:p w14:paraId="3C105CAC" w14:textId="77777777" w:rsidR="007222EE" w:rsidRPr="00804540" w:rsidRDefault="007222EE" w:rsidP="003C6ED4">
      <w:pPr>
        <w:spacing w:line="360" w:lineRule="auto"/>
        <w:ind w:left="567" w:hanging="567"/>
        <w:rPr>
          <w:rFonts w:cstheme="minorHAnsi"/>
        </w:rPr>
      </w:pPr>
      <w:r w:rsidRPr="00804540">
        <w:rPr>
          <w:rFonts w:cstheme="minorHAnsi"/>
          <w:b/>
          <w:bCs/>
        </w:rPr>
        <w:t>Lamb, S.</w:t>
      </w:r>
      <w:r w:rsidRPr="00804540">
        <w:rPr>
          <w:rFonts w:cstheme="minorHAnsi"/>
        </w:rPr>
        <w:t xml:space="preserve"> 2000: </w:t>
      </w:r>
      <w:r w:rsidRPr="00804540">
        <w:rPr>
          <w:rFonts w:cstheme="minorHAnsi"/>
          <w:i/>
          <w:iCs/>
        </w:rPr>
        <w:t>White Saris and Sweet Mangoes: Aging, Gender, and Body in North India</w:t>
      </w:r>
      <w:r w:rsidRPr="00804540">
        <w:rPr>
          <w:rFonts w:cstheme="minorHAnsi"/>
        </w:rPr>
        <w:t>. Berkeley: University of California Press.</w:t>
      </w:r>
    </w:p>
    <w:p w14:paraId="5AC00042" w14:textId="77777777" w:rsidR="007222EE" w:rsidRPr="00804540" w:rsidRDefault="007222EE" w:rsidP="003C6ED4">
      <w:pPr>
        <w:spacing w:line="360" w:lineRule="auto"/>
        <w:ind w:left="567" w:hanging="567"/>
      </w:pPr>
      <w:proofErr w:type="spellStart"/>
      <w:r w:rsidRPr="00804540">
        <w:rPr>
          <w:rFonts w:cstheme="minorHAnsi"/>
          <w:b/>
          <w:bCs/>
        </w:rPr>
        <w:t>Laslett</w:t>
      </w:r>
      <w:proofErr w:type="spellEnd"/>
      <w:r w:rsidRPr="00804540">
        <w:rPr>
          <w:rFonts w:cstheme="minorHAnsi"/>
          <w:b/>
          <w:bCs/>
        </w:rPr>
        <w:t>, P.</w:t>
      </w:r>
      <w:r w:rsidRPr="00804540">
        <w:rPr>
          <w:rFonts w:cstheme="minorHAnsi"/>
        </w:rPr>
        <w:t xml:space="preserve"> 1987: The emergence of the Third Age. </w:t>
      </w:r>
      <w:r w:rsidRPr="00804540">
        <w:rPr>
          <w:rFonts w:cstheme="minorHAnsi"/>
          <w:i/>
          <w:iCs/>
        </w:rPr>
        <w:t>Ageing and Society</w:t>
      </w:r>
      <w:r w:rsidRPr="00804540">
        <w:rPr>
          <w:rFonts w:cstheme="minorHAnsi"/>
        </w:rPr>
        <w:t xml:space="preserve"> </w:t>
      </w:r>
      <w:r w:rsidRPr="00804540">
        <w:t>7(2): 133-160.</w:t>
      </w:r>
    </w:p>
    <w:p w14:paraId="12D6D2A6" w14:textId="77777777" w:rsidR="007222EE" w:rsidRPr="00804540" w:rsidRDefault="007222EE" w:rsidP="003C6ED4">
      <w:pPr>
        <w:spacing w:after="160" w:line="360" w:lineRule="auto"/>
        <w:ind w:left="567" w:hanging="567"/>
        <w:rPr>
          <w:rFonts w:cstheme="minorHAnsi"/>
        </w:rPr>
      </w:pPr>
      <w:r w:rsidRPr="00804540">
        <w:rPr>
          <w:rFonts w:cstheme="minorHAnsi"/>
          <w:b/>
        </w:rPr>
        <w:t xml:space="preserve">Lloyd-Sherlock, P., </w:t>
      </w:r>
      <w:r w:rsidRPr="00804540">
        <w:rPr>
          <w:rFonts w:cstheme="minorHAnsi"/>
          <w:bCs/>
        </w:rPr>
        <w:t>editor,</w:t>
      </w:r>
      <w:r w:rsidRPr="00804540">
        <w:rPr>
          <w:rFonts w:cstheme="minorHAnsi"/>
        </w:rPr>
        <w:t xml:space="preserve"> 2004a: </w:t>
      </w:r>
      <w:r w:rsidRPr="00804540">
        <w:rPr>
          <w:rFonts w:cstheme="minorHAnsi"/>
          <w:i/>
        </w:rPr>
        <w:t xml:space="preserve">Living longer: ageing, development and social protection. </w:t>
      </w:r>
      <w:r w:rsidRPr="00804540">
        <w:rPr>
          <w:rFonts w:cstheme="minorHAnsi"/>
        </w:rPr>
        <w:t>London: Zed books.</w:t>
      </w:r>
    </w:p>
    <w:p w14:paraId="565BE8A5" w14:textId="77777777" w:rsidR="007222EE" w:rsidRPr="00804540" w:rsidRDefault="007222EE" w:rsidP="003C6ED4">
      <w:pPr>
        <w:spacing w:line="360" w:lineRule="auto"/>
        <w:ind w:left="567" w:hanging="567"/>
        <w:rPr>
          <w:rFonts w:cstheme="minorHAnsi"/>
        </w:rPr>
      </w:pPr>
      <w:r w:rsidRPr="00804540">
        <w:rPr>
          <w:rFonts w:cstheme="minorHAnsi"/>
          <w:b/>
        </w:rPr>
        <w:t>Lloyd-Sherlock, P.</w:t>
      </w:r>
      <w:r w:rsidRPr="00804540">
        <w:rPr>
          <w:rFonts w:cstheme="minorHAnsi"/>
        </w:rPr>
        <w:t xml:space="preserve"> 2004b: Ageing, development and social protection: Generalizations, myths and stereotypes. In: </w:t>
      </w:r>
      <w:proofErr w:type="spellStart"/>
      <w:r w:rsidRPr="00804540">
        <w:rPr>
          <w:rFonts w:cstheme="minorHAnsi"/>
        </w:rPr>
        <w:t>Hujo</w:t>
      </w:r>
      <w:proofErr w:type="spellEnd"/>
      <w:r w:rsidRPr="00804540">
        <w:rPr>
          <w:rFonts w:cstheme="minorHAnsi"/>
        </w:rPr>
        <w:t xml:space="preserve">, K. and Yi, I., editors, </w:t>
      </w:r>
      <w:r w:rsidRPr="00804540">
        <w:rPr>
          <w:rFonts w:cstheme="minorHAnsi"/>
          <w:i/>
        </w:rPr>
        <w:t>Social Policy and Inclusive Development</w:t>
      </w:r>
      <w:r w:rsidRPr="00804540">
        <w:rPr>
          <w:rFonts w:cstheme="minorHAnsi"/>
          <w:iCs/>
        </w:rPr>
        <w:t>. Geneva:</w:t>
      </w:r>
      <w:r w:rsidRPr="00804540">
        <w:rPr>
          <w:rFonts w:cstheme="minorHAnsi"/>
          <w:i/>
        </w:rPr>
        <w:t xml:space="preserve"> </w:t>
      </w:r>
      <w:r w:rsidRPr="00804540">
        <w:rPr>
          <w:rFonts w:cstheme="minorHAnsi"/>
        </w:rPr>
        <w:t>UNRISD, 309-321.</w:t>
      </w:r>
    </w:p>
    <w:p w14:paraId="1EF8E094" w14:textId="77777777" w:rsidR="007222EE" w:rsidRPr="00804540" w:rsidRDefault="007222EE" w:rsidP="003C6ED4">
      <w:pPr>
        <w:spacing w:after="160" w:line="360" w:lineRule="auto"/>
        <w:ind w:left="567" w:hanging="567"/>
        <w:rPr>
          <w:rFonts w:cstheme="minorHAnsi"/>
        </w:rPr>
      </w:pPr>
      <w:r w:rsidRPr="00804540">
        <w:rPr>
          <w:rFonts w:cstheme="minorHAnsi"/>
          <w:b/>
        </w:rPr>
        <w:t>Lloyd-Sherlock, P.</w:t>
      </w:r>
      <w:r w:rsidRPr="00804540">
        <w:rPr>
          <w:rFonts w:cstheme="minorHAnsi"/>
        </w:rPr>
        <w:t xml:space="preserve"> 2006: Ageing and Development. In: Clark, D.A., editor, </w:t>
      </w:r>
      <w:r w:rsidRPr="00804540">
        <w:rPr>
          <w:rFonts w:cstheme="minorHAnsi"/>
          <w:i/>
          <w:iCs/>
        </w:rPr>
        <w:t>The Elgar Companion to Development Studies</w:t>
      </w:r>
      <w:r w:rsidRPr="00804540">
        <w:rPr>
          <w:rFonts w:cstheme="minorHAnsi"/>
        </w:rPr>
        <w:t>. Cheltenham: Edward Elgar, 1-4.</w:t>
      </w:r>
    </w:p>
    <w:p w14:paraId="4CCC510D" w14:textId="77777777" w:rsidR="007222EE" w:rsidRPr="00804540" w:rsidRDefault="007222EE" w:rsidP="003C6ED4">
      <w:pPr>
        <w:spacing w:line="360" w:lineRule="auto"/>
        <w:ind w:left="567" w:hanging="567"/>
        <w:rPr>
          <w:rFonts w:cstheme="minorHAnsi"/>
        </w:rPr>
      </w:pPr>
      <w:r w:rsidRPr="00804540">
        <w:rPr>
          <w:rFonts w:cstheme="minorHAnsi"/>
          <w:b/>
          <w:bCs/>
        </w:rPr>
        <w:t>Lloyd-Sherlock, P.</w:t>
      </w:r>
      <w:r w:rsidRPr="00804540">
        <w:rPr>
          <w:rFonts w:cstheme="minorHAnsi"/>
        </w:rPr>
        <w:t xml:space="preserve"> 2010: </w:t>
      </w:r>
      <w:r w:rsidRPr="00804540">
        <w:rPr>
          <w:rFonts w:cstheme="minorHAnsi"/>
          <w:i/>
        </w:rPr>
        <w:t>Population Ageing and International Development: From Generalisation to Evidence</w:t>
      </w:r>
      <w:r w:rsidRPr="00804540">
        <w:rPr>
          <w:rFonts w:cstheme="minorHAnsi"/>
        </w:rPr>
        <w:t>. Bristol: Policy Press.</w:t>
      </w:r>
    </w:p>
    <w:p w14:paraId="554E3DE8" w14:textId="77777777" w:rsidR="007222EE" w:rsidRPr="00804540" w:rsidRDefault="007222EE" w:rsidP="003C6ED4">
      <w:pPr>
        <w:spacing w:line="360" w:lineRule="auto"/>
        <w:ind w:left="567" w:hanging="567"/>
        <w:rPr>
          <w:rFonts w:cstheme="minorHAnsi"/>
        </w:rPr>
      </w:pPr>
      <w:r w:rsidRPr="00804540">
        <w:rPr>
          <w:rFonts w:cstheme="minorHAnsi"/>
          <w:b/>
          <w:bCs/>
        </w:rPr>
        <w:t xml:space="preserve">Lloyd-Sherlock, P. </w:t>
      </w:r>
      <w:r w:rsidRPr="00804540">
        <w:rPr>
          <w:rFonts w:cstheme="minorHAnsi"/>
        </w:rPr>
        <w:t>and</w:t>
      </w:r>
      <w:r w:rsidRPr="00804540">
        <w:rPr>
          <w:rFonts w:cstheme="minorHAnsi"/>
          <w:b/>
          <w:bCs/>
        </w:rPr>
        <w:t xml:space="preserve"> Locke, C.</w:t>
      </w:r>
      <w:r w:rsidRPr="00804540">
        <w:rPr>
          <w:rFonts w:cstheme="minorHAnsi"/>
        </w:rPr>
        <w:t xml:space="preserve"> 2008: Vulnerable relations: </w:t>
      </w:r>
      <w:proofErr w:type="spellStart"/>
      <w:r w:rsidRPr="00804540">
        <w:rPr>
          <w:rFonts w:cstheme="minorHAnsi"/>
        </w:rPr>
        <w:t>Lifecourse</w:t>
      </w:r>
      <w:proofErr w:type="spellEnd"/>
      <w:r w:rsidRPr="00804540">
        <w:rPr>
          <w:rFonts w:cstheme="minorHAnsi"/>
        </w:rPr>
        <w:t xml:space="preserve">, wellbeing and social exclusion in Buenos Aires, Argentina. </w:t>
      </w:r>
      <w:r w:rsidRPr="00804540">
        <w:rPr>
          <w:rFonts w:cstheme="minorHAnsi"/>
          <w:i/>
          <w:iCs/>
        </w:rPr>
        <w:t>Ageing and Society</w:t>
      </w:r>
      <w:r w:rsidRPr="00804540">
        <w:rPr>
          <w:rFonts w:cstheme="minorHAnsi"/>
        </w:rPr>
        <w:t xml:space="preserve"> 28(8): 1177-1201.</w:t>
      </w:r>
    </w:p>
    <w:p w14:paraId="35A9D37C" w14:textId="77777777" w:rsidR="007222EE" w:rsidRPr="00804540" w:rsidRDefault="007222EE" w:rsidP="003C6ED4">
      <w:pPr>
        <w:spacing w:line="360" w:lineRule="auto"/>
        <w:ind w:left="567" w:hanging="567"/>
        <w:rPr>
          <w:rFonts w:cstheme="minorHAnsi"/>
        </w:rPr>
      </w:pPr>
      <w:r w:rsidRPr="00804540">
        <w:rPr>
          <w:rFonts w:cstheme="minorHAnsi"/>
          <w:b/>
          <w:bCs/>
        </w:rPr>
        <w:t xml:space="preserve">Locke, C. </w:t>
      </w:r>
      <w:r w:rsidRPr="00804540">
        <w:rPr>
          <w:rFonts w:cstheme="minorHAnsi"/>
        </w:rPr>
        <w:t>and</w:t>
      </w:r>
      <w:r w:rsidRPr="00804540">
        <w:rPr>
          <w:rFonts w:cstheme="minorHAnsi"/>
          <w:b/>
          <w:bCs/>
        </w:rPr>
        <w:t xml:space="preserve"> Lloyd-Sherlock, P. </w:t>
      </w:r>
      <w:r w:rsidRPr="00804540">
        <w:rPr>
          <w:rFonts w:cstheme="minorHAnsi"/>
        </w:rPr>
        <w:t xml:space="preserve">2011: Qualitative Life Course methodologies: Critical reflections from Development Studies. </w:t>
      </w:r>
      <w:r w:rsidRPr="00804540">
        <w:rPr>
          <w:rFonts w:cstheme="minorHAnsi"/>
          <w:i/>
          <w:iCs/>
        </w:rPr>
        <w:t>Development and Change</w:t>
      </w:r>
      <w:r w:rsidRPr="00804540">
        <w:rPr>
          <w:rFonts w:cstheme="minorHAnsi"/>
        </w:rPr>
        <w:t xml:space="preserve"> 42(5): 1131–1152. </w:t>
      </w:r>
    </w:p>
    <w:p w14:paraId="4F230C98" w14:textId="77777777" w:rsidR="007222EE" w:rsidRPr="00804540" w:rsidRDefault="007222EE" w:rsidP="003C6ED4">
      <w:pPr>
        <w:spacing w:line="360" w:lineRule="auto"/>
        <w:ind w:left="567" w:hanging="567"/>
        <w:rPr>
          <w:rFonts w:eastAsia="Times New Roman" w:cstheme="minorHAnsi"/>
        </w:rPr>
      </w:pPr>
      <w:r w:rsidRPr="00804540">
        <w:rPr>
          <w:rFonts w:cstheme="minorHAnsi"/>
          <w:b/>
        </w:rPr>
        <w:t>Marmot, M.</w:t>
      </w:r>
      <w:r w:rsidRPr="00804540">
        <w:rPr>
          <w:rFonts w:cstheme="minorHAnsi"/>
          <w:bCs/>
        </w:rPr>
        <w:t xml:space="preserve"> </w:t>
      </w:r>
      <w:r w:rsidRPr="00804540">
        <w:rPr>
          <w:rFonts w:eastAsia="Times New Roman" w:cstheme="minorHAnsi"/>
        </w:rPr>
        <w:t>2005:</w:t>
      </w:r>
      <w:r w:rsidRPr="00804540">
        <w:rPr>
          <w:rFonts w:cstheme="minorHAnsi"/>
          <w:bCs/>
        </w:rPr>
        <w:t> </w:t>
      </w:r>
      <w:r w:rsidRPr="00804540">
        <w:rPr>
          <w:rFonts w:eastAsia="Times New Roman" w:cstheme="minorHAnsi"/>
        </w:rPr>
        <w:t>Social determinants of health inequalities.</w:t>
      </w:r>
      <w:r w:rsidRPr="00804540">
        <w:rPr>
          <w:rFonts w:cstheme="minorHAnsi"/>
        </w:rPr>
        <w:t> </w:t>
      </w:r>
      <w:r w:rsidRPr="00804540">
        <w:rPr>
          <w:rFonts w:eastAsia="Times New Roman" w:cstheme="minorHAnsi"/>
          <w:i/>
        </w:rPr>
        <w:t>The Lancet</w:t>
      </w:r>
      <w:r w:rsidRPr="00804540">
        <w:rPr>
          <w:rFonts w:cstheme="minorHAnsi"/>
          <w:i/>
          <w:iCs/>
        </w:rPr>
        <w:t> </w:t>
      </w:r>
      <w:r w:rsidRPr="00804540">
        <w:rPr>
          <w:rFonts w:eastAsia="Times New Roman" w:cstheme="minorHAnsi"/>
        </w:rPr>
        <w:t>365: 1099–104</w:t>
      </w:r>
    </w:p>
    <w:p w14:paraId="0EA7072D" w14:textId="77777777" w:rsidR="007222EE" w:rsidRPr="00804540" w:rsidRDefault="007222EE" w:rsidP="003C6ED4">
      <w:pPr>
        <w:spacing w:line="360" w:lineRule="auto"/>
        <w:ind w:left="567" w:hanging="567"/>
        <w:rPr>
          <w:rFonts w:eastAsiaTheme="minorEastAsia" w:cstheme="minorHAnsi"/>
          <w:noProof/>
          <w:lang w:eastAsia="zh-CN"/>
        </w:rPr>
      </w:pPr>
      <w:r w:rsidRPr="00804540">
        <w:rPr>
          <w:rFonts w:cstheme="minorHAnsi"/>
          <w:b/>
          <w:bCs/>
        </w:rPr>
        <w:t xml:space="preserve">Mayo, M. </w:t>
      </w:r>
      <w:r w:rsidRPr="00804540">
        <w:rPr>
          <w:rFonts w:cstheme="minorHAnsi"/>
        </w:rPr>
        <w:t>2001: Children’s and young people’s participation in development in the South and in urban regeneration in the North</w:t>
      </w:r>
      <w:r w:rsidRPr="00804540">
        <w:rPr>
          <w:rFonts w:eastAsia="Times New Roman" w:cstheme="minorHAnsi"/>
          <w:i/>
          <w:iCs/>
          <w:lang w:eastAsia="en-GB"/>
        </w:rPr>
        <w:t xml:space="preserve">. </w:t>
      </w:r>
      <w:r w:rsidRPr="00804540">
        <w:rPr>
          <w:rFonts w:eastAsiaTheme="minorEastAsia" w:cstheme="minorHAnsi"/>
          <w:i/>
          <w:iCs/>
          <w:noProof/>
          <w:lang w:eastAsia="zh-CN"/>
        </w:rPr>
        <w:t xml:space="preserve">Progress in Development Studies </w:t>
      </w:r>
      <w:r w:rsidRPr="00804540">
        <w:rPr>
          <w:rFonts w:eastAsiaTheme="minorEastAsia" w:cstheme="minorHAnsi"/>
          <w:noProof/>
          <w:lang w:eastAsia="zh-CN"/>
        </w:rPr>
        <w:t>1(4): 279–370.</w:t>
      </w:r>
    </w:p>
    <w:p w14:paraId="38CB08AA" w14:textId="77777777" w:rsidR="007222EE" w:rsidRPr="00804540" w:rsidRDefault="007222EE" w:rsidP="003C6ED4">
      <w:pPr>
        <w:spacing w:line="360" w:lineRule="auto"/>
        <w:ind w:left="567" w:hanging="567"/>
        <w:rPr>
          <w:rFonts w:eastAsia="Times New Roman" w:cstheme="minorHAnsi"/>
        </w:rPr>
      </w:pPr>
      <w:r w:rsidRPr="00804540">
        <w:rPr>
          <w:rFonts w:cstheme="minorHAnsi"/>
          <w:b/>
        </w:rPr>
        <w:t>Moen, P.</w:t>
      </w:r>
      <w:r w:rsidRPr="00804540">
        <w:rPr>
          <w:rFonts w:cstheme="minorHAnsi"/>
          <w:bCs/>
        </w:rPr>
        <w:t xml:space="preserve"> 2013:</w:t>
      </w:r>
      <w:r w:rsidRPr="00804540">
        <w:rPr>
          <w:rFonts w:eastAsia="Times New Roman" w:cstheme="minorHAnsi"/>
          <w:shd w:val="clear" w:color="auto" w:fill="FFFFFF"/>
        </w:rPr>
        <w:t xml:space="preserve"> Constrained choices: The shifting institutional contexts of aging and the life course. In: Waite, L.J. and Plewes, T.J., editors, </w:t>
      </w:r>
      <w:r w:rsidRPr="00804540">
        <w:rPr>
          <w:rFonts w:eastAsia="Times New Roman" w:cstheme="minorHAnsi"/>
          <w:i/>
          <w:iCs/>
          <w:shd w:val="clear" w:color="auto" w:fill="FFFFFF"/>
        </w:rPr>
        <w:t>New Directions in the Sociology of Aging</w:t>
      </w:r>
      <w:r w:rsidRPr="00804540">
        <w:rPr>
          <w:rFonts w:eastAsia="Times New Roman" w:cstheme="minorHAnsi"/>
          <w:shd w:val="clear" w:color="auto" w:fill="FFFFFF"/>
        </w:rPr>
        <w:t xml:space="preserve">. Washington, D.C.: National Academies Press. </w:t>
      </w:r>
    </w:p>
    <w:p w14:paraId="601827E4" w14:textId="77777777" w:rsidR="007222EE" w:rsidRPr="00804540" w:rsidRDefault="007222EE" w:rsidP="003C6ED4">
      <w:pPr>
        <w:spacing w:line="360" w:lineRule="auto"/>
        <w:ind w:left="567" w:hanging="567"/>
        <w:rPr>
          <w:rFonts w:eastAsiaTheme="minorEastAsia" w:cstheme="minorHAnsi"/>
          <w:noProof/>
          <w:lang w:eastAsia="zh-CN"/>
        </w:rPr>
      </w:pPr>
      <w:r w:rsidRPr="00804540">
        <w:rPr>
          <w:rFonts w:cstheme="minorHAnsi"/>
          <w:b/>
          <w:bCs/>
          <w:noProof/>
        </w:rPr>
        <w:t>Raghuram, P.</w:t>
      </w:r>
      <w:r w:rsidRPr="00804540">
        <w:rPr>
          <w:rFonts w:cstheme="minorHAnsi"/>
          <w:noProof/>
        </w:rPr>
        <w:t xml:space="preserve"> 2012: Global care, local configurations: Challenges to conceptualizations of care. </w:t>
      </w:r>
      <w:r w:rsidRPr="00804540">
        <w:rPr>
          <w:rFonts w:cstheme="minorHAnsi"/>
          <w:i/>
          <w:iCs/>
          <w:noProof/>
        </w:rPr>
        <w:t>Global Networks</w:t>
      </w:r>
      <w:r w:rsidRPr="00804540">
        <w:rPr>
          <w:rFonts w:cstheme="minorHAnsi"/>
          <w:noProof/>
        </w:rPr>
        <w:t xml:space="preserve"> 12(2): 155–74. </w:t>
      </w:r>
    </w:p>
    <w:p w14:paraId="19BF3045" w14:textId="77777777" w:rsidR="007222EE" w:rsidRPr="00804540" w:rsidRDefault="007222EE" w:rsidP="003C6ED4">
      <w:pPr>
        <w:spacing w:line="360" w:lineRule="auto"/>
        <w:ind w:left="567" w:hanging="567"/>
        <w:rPr>
          <w:rFonts w:eastAsia="MyriadPro-Regular" w:cstheme="minorHAnsi"/>
        </w:rPr>
      </w:pPr>
      <w:r w:rsidRPr="00804540">
        <w:rPr>
          <w:rFonts w:eastAsia="MyriadPro-Regular" w:cstheme="minorHAnsi"/>
          <w:b/>
        </w:rPr>
        <w:t xml:space="preserve">Randel, J., German, T. </w:t>
      </w:r>
      <w:r w:rsidRPr="00804540">
        <w:rPr>
          <w:rFonts w:eastAsia="MyriadPro-Regular" w:cstheme="minorHAnsi"/>
          <w:bCs/>
        </w:rPr>
        <w:t xml:space="preserve">and </w:t>
      </w:r>
      <w:r w:rsidRPr="00804540">
        <w:rPr>
          <w:rFonts w:eastAsia="MyriadPro-Regular" w:cstheme="minorHAnsi"/>
          <w:b/>
        </w:rPr>
        <w:t>Ewing, D.</w:t>
      </w:r>
      <w:r w:rsidRPr="00804540">
        <w:rPr>
          <w:rFonts w:eastAsia="MyriadPro-Regular" w:cstheme="minorHAnsi"/>
        </w:rPr>
        <w:t xml:space="preserve"> 1999: </w:t>
      </w:r>
      <w:r w:rsidRPr="00804540">
        <w:rPr>
          <w:rFonts w:eastAsia="MyriadPro-Regular" w:cstheme="minorHAnsi"/>
          <w:i/>
        </w:rPr>
        <w:t>The Ageing and Development Report: Poverty, Independence and the World’s Older People</w:t>
      </w:r>
      <w:r w:rsidRPr="00804540">
        <w:rPr>
          <w:rFonts w:eastAsia="MyriadPro-Regular" w:cstheme="minorHAnsi"/>
          <w:iCs/>
        </w:rPr>
        <w:t>.</w:t>
      </w:r>
      <w:r w:rsidRPr="00804540">
        <w:rPr>
          <w:rFonts w:eastAsia="MyriadPro-Regular" w:cstheme="minorHAnsi"/>
          <w:i/>
        </w:rPr>
        <w:t xml:space="preserve"> </w:t>
      </w:r>
      <w:r w:rsidRPr="00804540">
        <w:rPr>
          <w:rFonts w:eastAsia="MyriadPro-Regular" w:cstheme="minorHAnsi"/>
        </w:rPr>
        <w:t>London: HelpAge International.</w:t>
      </w:r>
    </w:p>
    <w:p w14:paraId="56AB83C2" w14:textId="77777777" w:rsidR="007222EE" w:rsidRPr="00804540" w:rsidRDefault="007222EE" w:rsidP="003C6ED4">
      <w:pPr>
        <w:spacing w:line="360" w:lineRule="auto"/>
        <w:ind w:left="567" w:hanging="567"/>
        <w:rPr>
          <w:rFonts w:cstheme="minorHAnsi"/>
        </w:rPr>
      </w:pPr>
      <w:proofErr w:type="spellStart"/>
      <w:r w:rsidRPr="00804540">
        <w:rPr>
          <w:rFonts w:cstheme="minorHAnsi"/>
          <w:b/>
        </w:rPr>
        <w:t>Razavi</w:t>
      </w:r>
      <w:proofErr w:type="spellEnd"/>
      <w:r w:rsidRPr="00804540">
        <w:rPr>
          <w:rFonts w:cstheme="minorHAnsi"/>
          <w:b/>
        </w:rPr>
        <w:t>, S.</w:t>
      </w:r>
      <w:r w:rsidRPr="00804540">
        <w:rPr>
          <w:rFonts w:cstheme="minorHAnsi"/>
        </w:rPr>
        <w:t xml:space="preserve"> 2007: </w:t>
      </w:r>
      <w:r w:rsidRPr="00804540">
        <w:rPr>
          <w:rFonts w:cstheme="minorHAnsi"/>
          <w:i/>
        </w:rPr>
        <w:t xml:space="preserve">The Political and Social Economy of Care in a Development Context: Conceptual Issues, Research Questions and Policy Options. </w:t>
      </w:r>
      <w:r w:rsidRPr="00804540">
        <w:rPr>
          <w:rFonts w:cstheme="minorHAnsi"/>
        </w:rPr>
        <w:t xml:space="preserve">Geneva: UNRISD. </w:t>
      </w:r>
    </w:p>
    <w:p w14:paraId="142FEF38" w14:textId="2087CEFA" w:rsidR="007222EE" w:rsidRPr="00804540" w:rsidRDefault="007222EE" w:rsidP="003C6ED4">
      <w:pPr>
        <w:spacing w:line="360" w:lineRule="auto"/>
        <w:ind w:left="567" w:hanging="567"/>
        <w:rPr>
          <w:rFonts w:cstheme="minorHAnsi"/>
        </w:rPr>
      </w:pPr>
      <w:proofErr w:type="spellStart"/>
      <w:r w:rsidRPr="00804540">
        <w:rPr>
          <w:rFonts w:cstheme="minorHAnsi"/>
          <w:b/>
        </w:rPr>
        <w:t>Reygan</w:t>
      </w:r>
      <w:proofErr w:type="spellEnd"/>
      <w:r w:rsidRPr="00804540">
        <w:rPr>
          <w:rFonts w:cstheme="minorHAnsi"/>
          <w:b/>
        </w:rPr>
        <w:t>, F.</w:t>
      </w:r>
      <w:r w:rsidRPr="00804540">
        <w:rPr>
          <w:rFonts w:cstheme="minorHAnsi"/>
        </w:rPr>
        <w:t xml:space="preserve"> and </w:t>
      </w:r>
      <w:r w:rsidRPr="00804540">
        <w:rPr>
          <w:rFonts w:cstheme="minorHAnsi"/>
          <w:b/>
        </w:rPr>
        <w:t>Henderson, N</w:t>
      </w:r>
      <w:r w:rsidRPr="00804540">
        <w:rPr>
          <w:rFonts w:cstheme="minorHAnsi"/>
        </w:rPr>
        <w:t xml:space="preserve">. All Bad? Experiences of Aging Among LGBT Elders in South Africa, </w:t>
      </w:r>
      <w:r w:rsidRPr="00804540">
        <w:rPr>
          <w:rFonts w:cstheme="minorHAnsi"/>
          <w:i/>
        </w:rPr>
        <w:t>International Journal of Aging and Human Development</w:t>
      </w:r>
      <w:r w:rsidRPr="00804540">
        <w:rPr>
          <w:rFonts w:cstheme="minorHAnsi"/>
        </w:rPr>
        <w:t>, 88(4): 405-421.</w:t>
      </w:r>
    </w:p>
    <w:p w14:paraId="0CEA8844" w14:textId="7E16AC31" w:rsidR="007222EE" w:rsidRPr="00804540" w:rsidRDefault="007222EE" w:rsidP="003C6ED4">
      <w:pPr>
        <w:spacing w:line="360" w:lineRule="auto"/>
        <w:ind w:left="567" w:hanging="567"/>
        <w:rPr>
          <w:rFonts w:cstheme="minorHAnsi"/>
        </w:rPr>
      </w:pPr>
      <w:proofErr w:type="spellStart"/>
      <w:r w:rsidRPr="00804540">
        <w:rPr>
          <w:rFonts w:cstheme="minorHAnsi"/>
          <w:b/>
          <w:bCs/>
        </w:rPr>
        <w:t>Sudharsanan</w:t>
      </w:r>
      <w:proofErr w:type="spellEnd"/>
      <w:r w:rsidRPr="00804540">
        <w:rPr>
          <w:rFonts w:cstheme="minorHAnsi"/>
          <w:b/>
          <w:bCs/>
        </w:rPr>
        <w:t xml:space="preserve">, N. </w:t>
      </w:r>
      <w:r w:rsidRPr="00804540">
        <w:rPr>
          <w:rFonts w:cstheme="minorHAnsi"/>
        </w:rPr>
        <w:t xml:space="preserve">and </w:t>
      </w:r>
      <w:r w:rsidRPr="00804540">
        <w:rPr>
          <w:rFonts w:cstheme="minorHAnsi"/>
          <w:b/>
          <w:bCs/>
        </w:rPr>
        <w:t xml:space="preserve">Bloom, D.E. </w:t>
      </w:r>
      <w:r w:rsidRPr="00804540">
        <w:rPr>
          <w:rFonts w:cstheme="minorHAnsi"/>
        </w:rPr>
        <w:t xml:space="preserve">2019: The demography of aging in low- and middle-income countries: Chronological versus functional perspectives. In: </w:t>
      </w:r>
      <w:r w:rsidRPr="00804540">
        <w:rPr>
          <w:rFonts w:cstheme="minorHAnsi"/>
          <w:i/>
          <w:iCs/>
        </w:rPr>
        <w:t>Future Directions for the Demography of Ageing: Proceedings of a Workshop (2018). PGDA Working Article No. 175</w:t>
      </w:r>
      <w:r w:rsidRPr="00804540">
        <w:rPr>
          <w:rFonts w:cstheme="minorHAnsi"/>
        </w:rPr>
        <w:t>. Harvard: Program on the Global Demography of Ageing at Harvard University.</w:t>
      </w:r>
    </w:p>
    <w:p w14:paraId="49F83C45" w14:textId="49352020" w:rsidR="007222EE" w:rsidRPr="007F75CF" w:rsidRDefault="007222EE" w:rsidP="003C6ED4">
      <w:pPr>
        <w:pStyle w:val="EndnoteText"/>
        <w:spacing w:line="360" w:lineRule="auto"/>
        <w:ind w:left="567" w:hanging="567"/>
        <w:rPr>
          <w:sz w:val="24"/>
          <w:szCs w:val="24"/>
        </w:rPr>
      </w:pPr>
      <w:r w:rsidRPr="00804540">
        <w:rPr>
          <w:rFonts w:cstheme="minorHAnsi"/>
          <w:b/>
          <w:bCs/>
          <w:sz w:val="24"/>
          <w:szCs w:val="24"/>
        </w:rPr>
        <w:t>UN Decade for Healthy Ageing.</w:t>
      </w:r>
      <w:r w:rsidRPr="00804540">
        <w:rPr>
          <w:rFonts w:cstheme="minorHAnsi"/>
          <w:sz w:val="24"/>
          <w:szCs w:val="24"/>
        </w:rPr>
        <w:t xml:space="preserve">  Undated: </w:t>
      </w:r>
      <w:r w:rsidRPr="00804540">
        <w:rPr>
          <w:sz w:val="24"/>
          <w:szCs w:val="24"/>
        </w:rPr>
        <w:t xml:space="preserve">‘What is the UN Decade of Healthy Ageing (2021–2030)? </w:t>
      </w:r>
      <w:hyperlink r:id="rId5" w:history="1">
        <w:r w:rsidRPr="00804540">
          <w:rPr>
            <w:rStyle w:val="Hyperlink"/>
            <w:sz w:val="24"/>
            <w:szCs w:val="24"/>
          </w:rPr>
          <w:t>https://www.decadeofhealthyageing.org/about/about-us/what-is-the-decade</w:t>
        </w:r>
      </w:hyperlink>
      <w:r w:rsidRPr="00804540">
        <w:rPr>
          <w:sz w:val="24"/>
          <w:szCs w:val="24"/>
        </w:rPr>
        <w:t xml:space="preserve"> </w:t>
      </w:r>
    </w:p>
    <w:p w14:paraId="5F1CA3FA" w14:textId="2F579EDB" w:rsidR="007222EE" w:rsidRPr="00804540" w:rsidRDefault="007222EE" w:rsidP="003C6ED4">
      <w:pPr>
        <w:spacing w:line="360" w:lineRule="auto"/>
        <w:ind w:left="567" w:hanging="567"/>
        <w:rPr>
          <w:rFonts w:cstheme="minorHAnsi"/>
        </w:rPr>
      </w:pPr>
      <w:r w:rsidRPr="00804540">
        <w:rPr>
          <w:rFonts w:cstheme="minorHAnsi"/>
          <w:b/>
          <w:bCs/>
        </w:rPr>
        <w:t>UNECE.</w:t>
      </w:r>
      <w:r w:rsidRPr="00804540">
        <w:rPr>
          <w:rFonts w:cstheme="minorHAnsi"/>
        </w:rPr>
        <w:t xml:space="preserve"> Undated: Active Ageing Index, </w:t>
      </w:r>
      <w:hyperlink r:id="rId6" w:anchor=":~:text=It%20measures%20the%20level%20of,their%20capacity%20to%20actively%20age" w:history="1">
        <w:r w:rsidRPr="00804540">
          <w:rPr>
            <w:rStyle w:val="Hyperlink"/>
            <w:rFonts w:cstheme="minorHAnsi"/>
          </w:rPr>
          <w:t>https://unece.org/population/active-ageing-index#:~:text=It%20measures%20the%20level%20of,their%20capacity%20to%20actively%20age</w:t>
        </w:r>
      </w:hyperlink>
      <w:r w:rsidRPr="00804540">
        <w:rPr>
          <w:rFonts w:cstheme="minorHAnsi"/>
        </w:rPr>
        <w:t xml:space="preserve">. </w:t>
      </w:r>
    </w:p>
    <w:p w14:paraId="41FEECB1" w14:textId="7CB7CD7E" w:rsidR="007222EE" w:rsidRPr="00804540" w:rsidRDefault="007222EE" w:rsidP="003C6ED4">
      <w:pPr>
        <w:spacing w:line="360" w:lineRule="auto"/>
        <w:ind w:left="567" w:hanging="567"/>
        <w:rPr>
          <w:rFonts w:cstheme="minorHAnsi"/>
        </w:rPr>
      </w:pPr>
      <w:r w:rsidRPr="00804540">
        <w:rPr>
          <w:rFonts w:cstheme="minorHAnsi"/>
          <w:b/>
          <w:bCs/>
        </w:rPr>
        <w:t>UNESCO.</w:t>
      </w:r>
      <w:r w:rsidRPr="00804540">
        <w:rPr>
          <w:rFonts w:cstheme="minorHAnsi"/>
        </w:rPr>
        <w:t xml:space="preserve"> Undated: Youth: Because Youth Matter </w:t>
      </w:r>
      <w:hyperlink r:id="rId7" w:anchor=":~:text=For%20statistical%20purposes%2C%20the%20United,youth'%20as%20a%20flexible%20category" w:history="1">
        <w:r w:rsidRPr="00804540">
          <w:rPr>
            <w:rStyle w:val="Hyperlink"/>
            <w:rFonts w:cstheme="minorHAnsi"/>
          </w:rPr>
          <w:t>https://www.unesco.org/en/youth#:~:text=For%20statistical%20purposes%2C%20the%20United,youth'%20as%20a%20flexible%20category</w:t>
        </w:r>
      </w:hyperlink>
      <w:r w:rsidRPr="00804540">
        <w:rPr>
          <w:rFonts w:cstheme="minorHAnsi"/>
        </w:rPr>
        <w:t xml:space="preserve">. </w:t>
      </w:r>
    </w:p>
    <w:p w14:paraId="1C7A4391" w14:textId="77777777" w:rsidR="007222EE" w:rsidRPr="00804540" w:rsidRDefault="007222EE" w:rsidP="003C6ED4">
      <w:pPr>
        <w:spacing w:line="360" w:lineRule="auto"/>
        <w:ind w:left="567" w:hanging="567"/>
        <w:rPr>
          <w:rFonts w:cstheme="minorHAnsi"/>
        </w:rPr>
      </w:pPr>
      <w:r w:rsidRPr="00804540">
        <w:rPr>
          <w:rFonts w:cstheme="minorHAnsi"/>
          <w:b/>
          <w:bCs/>
        </w:rPr>
        <w:t xml:space="preserve">UNDESA. </w:t>
      </w:r>
      <w:r w:rsidRPr="00804540">
        <w:rPr>
          <w:rFonts w:cstheme="minorHAnsi"/>
        </w:rPr>
        <w:t xml:space="preserve">2019: </w:t>
      </w:r>
      <w:r w:rsidRPr="00804540">
        <w:rPr>
          <w:rFonts w:cstheme="minorHAnsi"/>
          <w:i/>
          <w:iCs/>
        </w:rPr>
        <w:t>World Population Ageing</w:t>
      </w:r>
      <w:r w:rsidRPr="00804540">
        <w:rPr>
          <w:rFonts w:cstheme="minorHAnsi"/>
        </w:rPr>
        <w:t>. New York:</w:t>
      </w:r>
      <w:r w:rsidRPr="00804540">
        <w:rPr>
          <w:rFonts w:cstheme="minorHAnsi"/>
          <w:b/>
          <w:bCs/>
        </w:rPr>
        <w:t xml:space="preserve"> </w:t>
      </w:r>
      <w:r w:rsidRPr="00804540">
        <w:rPr>
          <w:rFonts w:cstheme="minorHAnsi"/>
        </w:rPr>
        <w:t xml:space="preserve">United Nations, Department of Economic and Social Affairs (UNDESA), Population Division. </w:t>
      </w:r>
    </w:p>
    <w:p w14:paraId="7787460B" w14:textId="2985C6C3" w:rsidR="007222EE" w:rsidRPr="00804540" w:rsidRDefault="007222EE" w:rsidP="003C6ED4">
      <w:pPr>
        <w:spacing w:line="360" w:lineRule="auto"/>
        <w:ind w:left="567" w:hanging="567"/>
        <w:rPr>
          <w:rFonts w:cstheme="minorHAnsi"/>
        </w:rPr>
      </w:pPr>
      <w:r w:rsidRPr="00804540">
        <w:rPr>
          <w:rFonts w:cstheme="minorHAnsi"/>
          <w:b/>
          <w:bCs/>
        </w:rPr>
        <w:t>UNDESA.</w:t>
      </w:r>
      <w:r w:rsidRPr="00804540">
        <w:rPr>
          <w:rFonts w:cstheme="minorHAnsi"/>
        </w:rPr>
        <w:t xml:space="preserve"> 2022: </w:t>
      </w:r>
      <w:r w:rsidRPr="00804540">
        <w:rPr>
          <w:rFonts w:cstheme="minorHAnsi"/>
          <w:i/>
          <w:iCs/>
        </w:rPr>
        <w:t>World Population Prospects 2022</w:t>
      </w:r>
      <w:r w:rsidRPr="00804540">
        <w:rPr>
          <w:rFonts w:cstheme="minorHAnsi"/>
        </w:rPr>
        <w:t>. New York:</w:t>
      </w:r>
      <w:r w:rsidRPr="00804540">
        <w:rPr>
          <w:rFonts w:cstheme="minorHAnsi"/>
          <w:b/>
          <w:bCs/>
        </w:rPr>
        <w:t xml:space="preserve"> </w:t>
      </w:r>
      <w:r w:rsidRPr="00804540">
        <w:rPr>
          <w:rFonts w:cstheme="minorHAnsi"/>
        </w:rPr>
        <w:t>United Nations, Department of Economic and Social Affairs (UNDESA), Population Division</w:t>
      </w:r>
    </w:p>
    <w:p w14:paraId="197EC142" w14:textId="77777777" w:rsidR="007222EE" w:rsidRPr="00804540" w:rsidRDefault="007222EE" w:rsidP="003C6ED4">
      <w:pPr>
        <w:spacing w:line="360" w:lineRule="auto"/>
        <w:ind w:left="567" w:hanging="567"/>
        <w:rPr>
          <w:rFonts w:cstheme="minorHAnsi"/>
          <w:b/>
          <w:bCs/>
          <w:i/>
          <w:iCs/>
        </w:rPr>
      </w:pPr>
      <w:r w:rsidRPr="00804540">
        <w:rPr>
          <w:rFonts w:cstheme="minorHAnsi"/>
          <w:b/>
          <w:bCs/>
        </w:rPr>
        <w:t>UNFPA</w:t>
      </w:r>
      <w:r w:rsidRPr="00804540">
        <w:rPr>
          <w:rFonts w:cstheme="minorHAnsi"/>
        </w:rPr>
        <w:t>. 2012:</w:t>
      </w:r>
      <w:r w:rsidRPr="00804540">
        <w:rPr>
          <w:rFonts w:cstheme="minorHAnsi"/>
          <w:b/>
          <w:bCs/>
        </w:rPr>
        <w:t xml:space="preserve"> </w:t>
      </w:r>
      <w:r w:rsidRPr="00804540">
        <w:rPr>
          <w:rFonts w:cstheme="minorHAnsi"/>
          <w:i/>
          <w:iCs/>
        </w:rPr>
        <w:t>Ageing in the Twenty-First Century: A Celebration and A Challenge</w:t>
      </w:r>
      <w:r w:rsidRPr="00804540">
        <w:rPr>
          <w:rFonts w:cstheme="minorHAnsi"/>
        </w:rPr>
        <w:t>. New York: United Nations Population Fund (UNFPA) and HelpAge International.</w:t>
      </w:r>
      <w:r w:rsidRPr="00804540">
        <w:rPr>
          <w:rFonts w:cstheme="minorHAnsi"/>
          <w:b/>
          <w:bCs/>
          <w:i/>
          <w:iCs/>
        </w:rPr>
        <w:t xml:space="preserve"> </w:t>
      </w:r>
    </w:p>
    <w:p w14:paraId="2EC8C191" w14:textId="77777777" w:rsidR="007222EE" w:rsidRPr="00804540" w:rsidRDefault="007222EE" w:rsidP="003C6ED4">
      <w:pPr>
        <w:spacing w:line="360" w:lineRule="auto"/>
        <w:ind w:left="567" w:hanging="567"/>
        <w:rPr>
          <w:rFonts w:cstheme="minorHAnsi"/>
        </w:rPr>
      </w:pPr>
      <w:r w:rsidRPr="00804540">
        <w:rPr>
          <w:rFonts w:cstheme="minorHAnsi"/>
          <w:b/>
        </w:rPr>
        <w:t>Vera-Sanso, P.</w:t>
      </w:r>
      <w:r w:rsidRPr="00804540">
        <w:rPr>
          <w:rFonts w:cstheme="minorHAnsi"/>
        </w:rPr>
        <w:t xml:space="preserve"> 2006: Experiences in old age: A south Indian example of how functional age is socially structured. </w:t>
      </w:r>
      <w:r w:rsidRPr="00804540">
        <w:rPr>
          <w:rFonts w:cstheme="minorHAnsi"/>
          <w:i/>
        </w:rPr>
        <w:t>Oxford Development Studies</w:t>
      </w:r>
      <w:r w:rsidRPr="00804540">
        <w:rPr>
          <w:rFonts w:cstheme="minorHAnsi"/>
        </w:rPr>
        <w:t xml:space="preserve"> 34(4): 457-472.</w:t>
      </w:r>
    </w:p>
    <w:p w14:paraId="66B6A12E" w14:textId="77777777" w:rsidR="007222EE" w:rsidRPr="00804540" w:rsidRDefault="007222EE" w:rsidP="003C6ED4">
      <w:pPr>
        <w:spacing w:line="360" w:lineRule="auto"/>
        <w:ind w:left="567" w:hanging="567"/>
        <w:rPr>
          <w:rFonts w:cstheme="minorHAnsi"/>
        </w:rPr>
      </w:pPr>
      <w:r w:rsidRPr="00804540">
        <w:rPr>
          <w:rFonts w:cstheme="minorHAnsi"/>
          <w:b/>
        </w:rPr>
        <w:t>Vera-Sanso, P.</w:t>
      </w:r>
      <w:r w:rsidRPr="00804540">
        <w:rPr>
          <w:rFonts w:cstheme="minorHAnsi"/>
        </w:rPr>
        <w:t xml:space="preserve"> 2007: Increasing consumption, decreasing support: A multi-generational study of family relations among South Indian </w:t>
      </w:r>
      <w:proofErr w:type="spellStart"/>
      <w:r w:rsidRPr="00804540">
        <w:rPr>
          <w:rFonts w:cstheme="minorHAnsi"/>
        </w:rPr>
        <w:t>Chakkliyars</w:t>
      </w:r>
      <w:proofErr w:type="spellEnd"/>
      <w:r w:rsidRPr="00804540">
        <w:rPr>
          <w:rFonts w:cstheme="minorHAnsi"/>
        </w:rPr>
        <w:t xml:space="preserve">. </w:t>
      </w:r>
      <w:r w:rsidRPr="00804540">
        <w:rPr>
          <w:rFonts w:cstheme="minorHAnsi"/>
          <w:i/>
          <w:iCs/>
        </w:rPr>
        <w:t xml:space="preserve">Contributions to Indian Sociology </w:t>
      </w:r>
      <w:r w:rsidRPr="00804540">
        <w:rPr>
          <w:rFonts w:cstheme="minorHAnsi"/>
        </w:rPr>
        <w:t>41(2): 225-248.</w:t>
      </w:r>
    </w:p>
    <w:p w14:paraId="075242D2" w14:textId="77777777" w:rsidR="007222EE" w:rsidRPr="00804540" w:rsidRDefault="007222EE" w:rsidP="003C6ED4">
      <w:pPr>
        <w:spacing w:line="360" w:lineRule="auto"/>
        <w:ind w:left="567" w:hanging="567"/>
        <w:rPr>
          <w:rFonts w:cstheme="minorHAnsi"/>
        </w:rPr>
      </w:pPr>
      <w:r w:rsidRPr="00804540">
        <w:rPr>
          <w:rFonts w:cstheme="minorHAnsi"/>
          <w:b/>
          <w:bCs/>
        </w:rPr>
        <w:t>Vera-Sanso, P.</w:t>
      </w:r>
      <w:r w:rsidRPr="00804540">
        <w:rPr>
          <w:rFonts w:cstheme="minorHAnsi"/>
        </w:rPr>
        <w:t xml:space="preserve"> 2010: Gender, urban poverty and ageing in India: Conceptual and policy issues. In: Chant, S., editor</w:t>
      </w:r>
      <w:r w:rsidRPr="00386611">
        <w:rPr>
          <w:rFonts w:cstheme="minorHAnsi"/>
          <w:i/>
        </w:rPr>
        <w:t xml:space="preserve">, </w:t>
      </w:r>
      <w:hyperlink r:id="rId8" w:history="1">
        <w:r w:rsidRPr="00386611">
          <w:rPr>
            <w:rStyle w:val="Hyperlink"/>
            <w:i/>
            <w:color w:val="auto"/>
            <w:u w:val="none"/>
          </w:rPr>
          <w:t>The International Handbook of Gender and Poverty</w:t>
        </w:r>
      </w:hyperlink>
      <w:r w:rsidRPr="00386611">
        <w:rPr>
          <w:i/>
        </w:rPr>
        <w:t>:</w:t>
      </w:r>
      <w:r w:rsidRPr="00804540">
        <w:rPr>
          <w:rFonts w:cstheme="minorHAnsi"/>
          <w:i/>
          <w:iCs/>
        </w:rPr>
        <w:t xml:space="preserve"> Concepts, Research, Policy</w:t>
      </w:r>
      <w:r w:rsidRPr="00804540">
        <w:rPr>
          <w:rFonts w:cstheme="minorHAnsi"/>
        </w:rPr>
        <w:t>. Cheltenham: Elgar, 220-226.</w:t>
      </w:r>
    </w:p>
    <w:p w14:paraId="79DA3559" w14:textId="77777777" w:rsidR="007222EE" w:rsidRPr="00804540" w:rsidRDefault="007222EE" w:rsidP="003C6ED4">
      <w:pPr>
        <w:spacing w:line="360" w:lineRule="auto"/>
        <w:ind w:left="567" w:hanging="567"/>
        <w:rPr>
          <w:rFonts w:cstheme="minorHAnsi"/>
        </w:rPr>
      </w:pPr>
      <w:r w:rsidRPr="00804540">
        <w:rPr>
          <w:rFonts w:cstheme="minorHAnsi"/>
          <w:b/>
          <w:bCs/>
        </w:rPr>
        <w:t>Vera-Sanso, P.</w:t>
      </w:r>
      <w:r w:rsidRPr="00804540">
        <w:rPr>
          <w:rFonts w:cstheme="minorHAnsi"/>
        </w:rPr>
        <w:t xml:space="preserve"> 2012: Gender, poverty and old-age livelihoods in urban South India in an era of globalisation. </w:t>
      </w:r>
      <w:r w:rsidRPr="00804540">
        <w:rPr>
          <w:rFonts w:cstheme="minorHAnsi"/>
          <w:i/>
          <w:iCs/>
        </w:rPr>
        <w:t>Oxford Development Studies</w:t>
      </w:r>
      <w:r w:rsidRPr="00804540">
        <w:rPr>
          <w:rFonts w:cstheme="minorHAnsi"/>
        </w:rPr>
        <w:t xml:space="preserve"> 40(3): 324-340.</w:t>
      </w:r>
    </w:p>
    <w:p w14:paraId="433D86FA" w14:textId="77777777" w:rsidR="007222EE" w:rsidRPr="00804540" w:rsidRDefault="007222EE" w:rsidP="003C6ED4">
      <w:pPr>
        <w:spacing w:line="360" w:lineRule="auto"/>
        <w:ind w:left="567" w:hanging="567"/>
        <w:rPr>
          <w:rFonts w:cstheme="minorHAnsi"/>
        </w:rPr>
      </w:pPr>
      <w:r w:rsidRPr="00804540">
        <w:rPr>
          <w:rFonts w:cstheme="minorHAnsi"/>
          <w:b/>
          <w:bCs/>
        </w:rPr>
        <w:t xml:space="preserve">Vera-Sanso, P. </w:t>
      </w:r>
      <w:r w:rsidRPr="00804540">
        <w:rPr>
          <w:rFonts w:cstheme="minorHAnsi"/>
        </w:rPr>
        <w:t>2013:</w:t>
      </w:r>
      <w:r w:rsidRPr="00804540">
        <w:rPr>
          <w:rFonts w:cstheme="minorHAnsi"/>
          <w:b/>
          <w:bCs/>
        </w:rPr>
        <w:t xml:space="preserve"> </w:t>
      </w:r>
      <w:r w:rsidRPr="00804540">
        <w:rPr>
          <w:rFonts w:cstheme="minorHAnsi"/>
        </w:rPr>
        <w:t xml:space="preserve">Aging, work and the demographic dividend in South Asia. In: Field, J., Burke, R. and Cooper, C., editors, </w:t>
      </w:r>
      <w:r w:rsidRPr="00804540">
        <w:rPr>
          <w:rFonts w:cstheme="minorHAnsi"/>
          <w:i/>
          <w:iCs/>
        </w:rPr>
        <w:t>Sage Handbook on Aging, Work and Society</w:t>
      </w:r>
      <w:r w:rsidRPr="00804540">
        <w:rPr>
          <w:rFonts w:cstheme="minorHAnsi"/>
        </w:rPr>
        <w:t>. London: Sage, 170-185.</w:t>
      </w:r>
    </w:p>
    <w:p w14:paraId="2A6FF12D" w14:textId="77777777" w:rsidR="007222EE" w:rsidRPr="00804540" w:rsidRDefault="007222EE" w:rsidP="003C6ED4">
      <w:pPr>
        <w:spacing w:line="360" w:lineRule="auto"/>
        <w:ind w:left="567" w:hanging="567"/>
        <w:rPr>
          <w:rFonts w:cstheme="minorHAnsi"/>
        </w:rPr>
      </w:pPr>
      <w:r w:rsidRPr="00804540">
        <w:rPr>
          <w:rFonts w:cstheme="minorHAnsi"/>
          <w:b/>
        </w:rPr>
        <w:t>Vera-Sanso, P.</w:t>
      </w:r>
      <w:r w:rsidRPr="00804540">
        <w:rPr>
          <w:rFonts w:cstheme="minorHAnsi"/>
        </w:rPr>
        <w:t xml:space="preserve"> 2016: What is preventing India from developing an inclusive national framework for older people? </w:t>
      </w:r>
      <w:r w:rsidRPr="00804540">
        <w:rPr>
          <w:rStyle w:val="Emphasis"/>
          <w:rFonts w:cstheme="minorHAnsi"/>
        </w:rPr>
        <w:t>Population Horizons</w:t>
      </w:r>
      <w:r w:rsidRPr="00804540">
        <w:rPr>
          <w:rFonts w:cstheme="minorHAnsi"/>
        </w:rPr>
        <w:t> 12(2): 77-87.</w:t>
      </w:r>
    </w:p>
    <w:p w14:paraId="23840259" w14:textId="77777777" w:rsidR="007222EE" w:rsidRPr="00804540" w:rsidRDefault="007222EE" w:rsidP="003C6ED4">
      <w:pPr>
        <w:spacing w:line="360" w:lineRule="auto"/>
        <w:ind w:left="567" w:hanging="567"/>
        <w:rPr>
          <w:rFonts w:cstheme="minorHAnsi"/>
        </w:rPr>
      </w:pPr>
      <w:r w:rsidRPr="00804540">
        <w:rPr>
          <w:rFonts w:cstheme="minorHAnsi"/>
          <w:b/>
        </w:rPr>
        <w:t>Vera-Sanso, P.</w:t>
      </w:r>
      <w:r w:rsidRPr="00804540">
        <w:rPr>
          <w:rFonts w:cstheme="minorHAnsi"/>
        </w:rPr>
        <w:t xml:space="preserve"> 2017: Reconceiving the impact of population change: A class and gender based analysis of ageing in poverty in urban South India. In: </w:t>
      </w:r>
      <w:proofErr w:type="spellStart"/>
      <w:r w:rsidRPr="00804540">
        <w:rPr>
          <w:rFonts w:cstheme="minorHAnsi"/>
        </w:rPr>
        <w:t>Gooptu</w:t>
      </w:r>
      <w:proofErr w:type="spellEnd"/>
      <w:r w:rsidRPr="00804540">
        <w:rPr>
          <w:rFonts w:cstheme="minorHAnsi"/>
        </w:rPr>
        <w:t xml:space="preserve">, N. and Parry, J., editors, </w:t>
      </w:r>
      <w:r w:rsidRPr="00804540">
        <w:rPr>
          <w:rFonts w:cstheme="minorHAnsi"/>
          <w:i/>
          <w:iCs/>
        </w:rPr>
        <w:t>The Persistence of Poverty in India</w:t>
      </w:r>
      <w:r w:rsidRPr="00804540">
        <w:rPr>
          <w:rFonts w:cstheme="minorHAnsi"/>
        </w:rPr>
        <w:t>.</w:t>
      </w:r>
      <w:r w:rsidRPr="00804540">
        <w:rPr>
          <w:rFonts w:cstheme="minorHAnsi"/>
          <w:i/>
          <w:iCs/>
        </w:rPr>
        <w:t xml:space="preserve"> </w:t>
      </w:r>
      <w:r w:rsidRPr="00804540">
        <w:rPr>
          <w:rFonts w:cstheme="minorHAnsi"/>
        </w:rPr>
        <w:t>New Delhi: Social Science Press</w:t>
      </w:r>
      <w:r w:rsidRPr="00804540">
        <w:rPr>
          <w:rFonts w:cstheme="minorHAnsi"/>
          <w:i/>
          <w:iCs/>
        </w:rPr>
        <w:t xml:space="preserve">, </w:t>
      </w:r>
      <w:r w:rsidRPr="00804540">
        <w:rPr>
          <w:rFonts w:cstheme="minorHAnsi"/>
        </w:rPr>
        <w:t>99-126.</w:t>
      </w:r>
    </w:p>
    <w:p w14:paraId="1A5AD040" w14:textId="77777777" w:rsidR="007222EE" w:rsidRPr="00804540" w:rsidRDefault="007222EE" w:rsidP="003C6ED4">
      <w:pPr>
        <w:spacing w:line="360" w:lineRule="auto"/>
        <w:ind w:left="567" w:hanging="567"/>
        <w:rPr>
          <w:rFonts w:cstheme="minorHAnsi"/>
        </w:rPr>
      </w:pPr>
      <w:r w:rsidRPr="00804540">
        <w:rPr>
          <w:rFonts w:cstheme="minorHAnsi"/>
          <w:b/>
        </w:rPr>
        <w:t>Vera-Sanso</w:t>
      </w:r>
      <w:r w:rsidRPr="00804540">
        <w:rPr>
          <w:rFonts w:cstheme="minorHAnsi"/>
        </w:rPr>
        <w:t xml:space="preserve">, P. 2022: Population Ageing and Development: Time to drop ageist </w:t>
      </w:r>
      <w:proofErr w:type="spellStart"/>
      <w:r w:rsidRPr="00804540">
        <w:rPr>
          <w:rFonts w:cstheme="minorHAnsi"/>
        </w:rPr>
        <w:t>demographies</w:t>
      </w:r>
      <w:proofErr w:type="spellEnd"/>
      <w:r w:rsidRPr="00804540">
        <w:rPr>
          <w:rFonts w:cstheme="minorHAnsi"/>
        </w:rPr>
        <w:t xml:space="preserve"> for a critical, decolonial, sociology of ageing. In: Sims, K., Banks, N., Engel, S., Hodge, P., </w:t>
      </w:r>
      <w:proofErr w:type="spellStart"/>
      <w:r w:rsidRPr="00804540">
        <w:rPr>
          <w:rFonts w:cstheme="minorHAnsi"/>
        </w:rPr>
        <w:t>Makuwira</w:t>
      </w:r>
      <w:proofErr w:type="spellEnd"/>
      <w:r w:rsidRPr="00804540">
        <w:rPr>
          <w:rFonts w:cstheme="minorHAnsi"/>
        </w:rPr>
        <w:t xml:space="preserve">, J., </w:t>
      </w:r>
      <w:proofErr w:type="spellStart"/>
      <w:r w:rsidRPr="00804540">
        <w:rPr>
          <w:rFonts w:cstheme="minorHAnsi"/>
        </w:rPr>
        <w:t>Mawdsley</w:t>
      </w:r>
      <w:proofErr w:type="spellEnd"/>
      <w:r w:rsidRPr="00804540">
        <w:rPr>
          <w:rFonts w:cstheme="minorHAnsi"/>
        </w:rPr>
        <w:t xml:space="preserve">, E., Nakamura, N., Rigg, J., Salamanca, A. and </w:t>
      </w:r>
      <w:proofErr w:type="spellStart"/>
      <w:r w:rsidRPr="00804540">
        <w:rPr>
          <w:rFonts w:cstheme="minorHAnsi"/>
        </w:rPr>
        <w:t>Yeophantong</w:t>
      </w:r>
      <w:proofErr w:type="spellEnd"/>
      <w:r w:rsidRPr="00804540">
        <w:rPr>
          <w:rFonts w:cstheme="minorHAnsi"/>
        </w:rPr>
        <w:t xml:space="preserve">, P., editors, </w:t>
      </w:r>
      <w:r w:rsidRPr="00804540">
        <w:rPr>
          <w:rFonts w:cstheme="minorHAnsi"/>
          <w:i/>
        </w:rPr>
        <w:t>Routledge Handbook of Contemporary Global Development: Problems, Possibilities and Pedagogy</w:t>
      </w:r>
      <w:r w:rsidRPr="00804540">
        <w:rPr>
          <w:rFonts w:cstheme="minorHAnsi"/>
          <w:iCs/>
        </w:rPr>
        <w:t>. London</w:t>
      </w:r>
      <w:r w:rsidRPr="00804540">
        <w:rPr>
          <w:rFonts w:cstheme="minorHAnsi"/>
        </w:rPr>
        <w:t>: Routledge.</w:t>
      </w:r>
    </w:p>
    <w:p w14:paraId="28F3D868" w14:textId="77777777" w:rsidR="007222EE" w:rsidRPr="00804540" w:rsidRDefault="007222EE" w:rsidP="003C6ED4">
      <w:pPr>
        <w:spacing w:line="360" w:lineRule="auto"/>
        <w:ind w:left="567" w:hanging="567"/>
        <w:rPr>
          <w:rFonts w:cstheme="minorHAnsi"/>
        </w:rPr>
      </w:pPr>
      <w:r w:rsidRPr="00804540">
        <w:rPr>
          <w:rFonts w:cstheme="minorHAnsi"/>
          <w:b/>
          <w:bCs/>
        </w:rPr>
        <w:t xml:space="preserve">Vera-Sanso, P. </w:t>
      </w:r>
      <w:r w:rsidRPr="00804540">
        <w:rPr>
          <w:rFonts w:cstheme="minorHAnsi"/>
        </w:rPr>
        <w:t>and</w:t>
      </w:r>
      <w:r w:rsidRPr="00804540">
        <w:rPr>
          <w:rFonts w:cstheme="minorHAnsi"/>
          <w:b/>
          <w:bCs/>
        </w:rPr>
        <w:t xml:space="preserve"> Sweetman, C. </w:t>
      </w:r>
      <w:r w:rsidRPr="00804540">
        <w:rPr>
          <w:rFonts w:cstheme="minorHAnsi"/>
        </w:rPr>
        <w:t xml:space="preserve">2009: Editorial. </w:t>
      </w:r>
      <w:r w:rsidRPr="00804540">
        <w:rPr>
          <w:rFonts w:cstheme="minorHAnsi"/>
          <w:i/>
          <w:iCs/>
        </w:rPr>
        <w:t xml:space="preserve">Gender &amp; Development </w:t>
      </w:r>
      <w:r w:rsidRPr="00804540">
        <w:rPr>
          <w:rFonts w:cstheme="minorHAnsi"/>
        </w:rPr>
        <w:t>17(3): 365–76.</w:t>
      </w:r>
    </w:p>
    <w:p w14:paraId="2DC1C741" w14:textId="77777777" w:rsidR="007222EE" w:rsidRPr="00804540" w:rsidRDefault="007222EE" w:rsidP="003C6ED4">
      <w:pPr>
        <w:spacing w:line="360" w:lineRule="auto"/>
        <w:ind w:left="567" w:hanging="567"/>
        <w:rPr>
          <w:rFonts w:eastAsia="Times New Roman" w:cstheme="minorHAnsi"/>
        </w:rPr>
      </w:pPr>
      <w:r w:rsidRPr="00804540">
        <w:rPr>
          <w:rFonts w:cstheme="minorHAnsi"/>
          <w:b/>
        </w:rPr>
        <w:t>Walker, A.</w:t>
      </w:r>
      <w:r w:rsidRPr="00804540">
        <w:rPr>
          <w:rFonts w:cstheme="minorHAnsi"/>
          <w:bCs/>
        </w:rPr>
        <w:t xml:space="preserve"> 1980: </w:t>
      </w:r>
      <w:r w:rsidRPr="00804540">
        <w:rPr>
          <w:rFonts w:eastAsia="Times New Roman" w:cstheme="minorHAnsi"/>
        </w:rPr>
        <w:t>The social creation of poverty and dependency in old age. </w:t>
      </w:r>
      <w:r w:rsidRPr="00804540">
        <w:rPr>
          <w:rFonts w:cstheme="minorHAnsi"/>
          <w:i/>
          <w:iCs/>
        </w:rPr>
        <w:t>Journal of Social Policy</w:t>
      </w:r>
      <w:r w:rsidRPr="00804540">
        <w:rPr>
          <w:rFonts w:eastAsia="Times New Roman" w:cstheme="minorHAnsi"/>
          <w:i/>
          <w:iCs/>
        </w:rPr>
        <w:t> </w:t>
      </w:r>
      <w:r w:rsidRPr="00804540">
        <w:rPr>
          <w:rFonts w:eastAsia="Times New Roman" w:cstheme="minorHAnsi"/>
        </w:rPr>
        <w:t>9(1): 49-75.</w:t>
      </w:r>
    </w:p>
    <w:p w14:paraId="7E05C84D" w14:textId="77777777" w:rsidR="007222EE" w:rsidRPr="00804540" w:rsidRDefault="007222EE" w:rsidP="003C6ED4">
      <w:pPr>
        <w:spacing w:line="360" w:lineRule="auto"/>
        <w:ind w:left="567" w:hanging="567"/>
        <w:rPr>
          <w:rFonts w:cstheme="minorHAnsi"/>
        </w:rPr>
      </w:pPr>
      <w:r w:rsidRPr="00804540">
        <w:rPr>
          <w:rFonts w:cstheme="minorHAnsi"/>
          <w:b/>
          <w:bCs/>
        </w:rPr>
        <w:t xml:space="preserve">World Bank. </w:t>
      </w:r>
      <w:r w:rsidRPr="00804540">
        <w:rPr>
          <w:rFonts w:cstheme="minorHAnsi"/>
        </w:rPr>
        <w:t>1994:</w:t>
      </w:r>
      <w:r w:rsidRPr="00804540">
        <w:rPr>
          <w:rFonts w:cstheme="minorHAnsi"/>
          <w:b/>
          <w:bCs/>
        </w:rPr>
        <w:t xml:space="preserve"> </w:t>
      </w:r>
      <w:r w:rsidRPr="00804540">
        <w:rPr>
          <w:rFonts w:cstheme="minorHAnsi"/>
          <w:i/>
          <w:iCs/>
        </w:rPr>
        <w:t>Averting the Old Age Crisis: Policies to Protect the Old and Promote Growth</w:t>
      </w:r>
      <w:r w:rsidRPr="00804540">
        <w:rPr>
          <w:rFonts w:cstheme="minorHAnsi"/>
        </w:rPr>
        <w:t>. Washington, D.C.: World Bank Group</w:t>
      </w:r>
      <w:r w:rsidRPr="00804540">
        <w:rPr>
          <w:rFonts w:cstheme="minorHAnsi"/>
          <w:b/>
          <w:bCs/>
        </w:rPr>
        <w:t>.</w:t>
      </w:r>
    </w:p>
    <w:p w14:paraId="0330A231" w14:textId="77777777" w:rsidR="007222EE" w:rsidRPr="00804540" w:rsidRDefault="007222EE" w:rsidP="003C6ED4">
      <w:pPr>
        <w:spacing w:line="360" w:lineRule="auto"/>
        <w:ind w:left="567" w:hanging="567"/>
        <w:rPr>
          <w:rFonts w:cstheme="minorHAnsi"/>
        </w:rPr>
      </w:pPr>
      <w:r w:rsidRPr="00804540">
        <w:rPr>
          <w:rFonts w:eastAsia="MyriadPro-Regular" w:cstheme="minorHAnsi"/>
          <w:b/>
        </w:rPr>
        <w:t>Wright, K.</w:t>
      </w:r>
      <w:r w:rsidRPr="00804540">
        <w:rPr>
          <w:rFonts w:eastAsia="MyriadPro-Regular" w:cstheme="minorHAnsi"/>
        </w:rPr>
        <w:t xml:space="preserve"> 2012: </w:t>
      </w:r>
      <w:r w:rsidRPr="00804540">
        <w:rPr>
          <w:rFonts w:eastAsia="MyriadPro-Regular" w:cstheme="minorHAnsi"/>
          <w:i/>
          <w:iCs/>
        </w:rPr>
        <w:t>International Migration, Development and Human Wellbeing</w:t>
      </w:r>
      <w:r w:rsidRPr="00804540">
        <w:rPr>
          <w:rFonts w:eastAsia="MyriadPro-Regular" w:cstheme="minorHAnsi"/>
        </w:rPr>
        <w:t>. Basingstoke: Palgrave Macmillan.</w:t>
      </w:r>
    </w:p>
    <w:p w14:paraId="7BCAD0F8" w14:textId="77777777" w:rsidR="007222EE" w:rsidRPr="00804540" w:rsidRDefault="007222EE" w:rsidP="003C6ED4">
      <w:pPr>
        <w:spacing w:line="360" w:lineRule="auto"/>
        <w:ind w:left="567" w:hanging="567"/>
        <w:rPr>
          <w:rFonts w:cstheme="minorHAnsi"/>
        </w:rPr>
      </w:pPr>
      <w:proofErr w:type="spellStart"/>
      <w:r w:rsidRPr="00804540">
        <w:rPr>
          <w:rFonts w:cstheme="minorHAnsi"/>
          <w:b/>
        </w:rPr>
        <w:t>Yarris</w:t>
      </w:r>
      <w:proofErr w:type="spellEnd"/>
      <w:r w:rsidRPr="00804540">
        <w:rPr>
          <w:rFonts w:cstheme="minorHAnsi"/>
          <w:b/>
        </w:rPr>
        <w:t>. K.E.</w:t>
      </w:r>
      <w:r w:rsidRPr="00804540">
        <w:rPr>
          <w:rFonts w:cstheme="minorHAnsi"/>
        </w:rPr>
        <w:t xml:space="preserve"> 2017: </w:t>
      </w:r>
      <w:r w:rsidRPr="00804540">
        <w:rPr>
          <w:rFonts w:cstheme="minorHAnsi"/>
          <w:i/>
        </w:rPr>
        <w:t>Care Across Generations: Solidarity and Sacrifice in Transnational Families</w:t>
      </w:r>
      <w:r w:rsidRPr="00804540">
        <w:rPr>
          <w:rFonts w:cstheme="minorHAnsi"/>
        </w:rPr>
        <w:t>. Stanford: Stanford University Press.</w:t>
      </w:r>
    </w:p>
    <w:p w14:paraId="2A508D88" w14:textId="77777777" w:rsidR="007222EE" w:rsidRPr="00804540" w:rsidRDefault="007222EE" w:rsidP="003C6ED4">
      <w:pPr>
        <w:pStyle w:val="EndnoteText"/>
        <w:spacing w:line="360" w:lineRule="auto"/>
        <w:ind w:hanging="567"/>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MyriadPro-Regular">
    <w:altName w:val="Yu Gothic"/>
    <w:panose1 w:val="020B0604020202020204"/>
    <w:charset w:val="80"/>
    <w:family w:val="swiss"/>
    <w:notTrueType/>
    <w:pitch w:val="default"/>
    <w:sig w:usb0="00000001" w:usb1="08070000" w:usb2="00000010" w:usb3="00000000" w:csb0="00020000"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1348093"/>
      <w:docPartObj>
        <w:docPartGallery w:val="Page Numbers (Bottom of Page)"/>
        <w:docPartUnique/>
      </w:docPartObj>
    </w:sdtPr>
    <w:sdtContent>
      <w:p w14:paraId="7A894FA9" w14:textId="2B988EF5" w:rsidR="007222EE" w:rsidRDefault="007222EE" w:rsidP="005F0C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89CCFA" w14:textId="77777777" w:rsidR="007222EE" w:rsidRDefault="007222EE" w:rsidP="00C641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495565"/>
      <w:docPartObj>
        <w:docPartGallery w:val="Page Numbers (Bottom of Page)"/>
        <w:docPartUnique/>
      </w:docPartObj>
    </w:sdtPr>
    <w:sdtContent>
      <w:p w14:paraId="3F342F0F" w14:textId="16C5438D" w:rsidR="007222EE" w:rsidRDefault="007222EE" w:rsidP="005F0C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10C3">
          <w:rPr>
            <w:rStyle w:val="PageNumber"/>
            <w:noProof/>
          </w:rPr>
          <w:t>21</w:t>
        </w:r>
        <w:r>
          <w:rPr>
            <w:rStyle w:val="PageNumber"/>
          </w:rPr>
          <w:fldChar w:fldCharType="end"/>
        </w:r>
      </w:p>
    </w:sdtContent>
  </w:sdt>
  <w:p w14:paraId="00CFCE91" w14:textId="77777777" w:rsidR="007222EE" w:rsidRDefault="007222EE" w:rsidP="00C641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F35B" w14:textId="77777777" w:rsidR="00934AF9" w:rsidRDefault="00934AF9" w:rsidP="00C6413C">
      <w:r>
        <w:separator/>
      </w:r>
    </w:p>
  </w:footnote>
  <w:footnote w:type="continuationSeparator" w:id="0">
    <w:p w14:paraId="3A2B3B2F" w14:textId="77777777" w:rsidR="00934AF9" w:rsidRDefault="00934AF9" w:rsidP="00C6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5D01" w14:textId="20D54057" w:rsidR="001179C2" w:rsidRPr="007705DD" w:rsidRDefault="001179C2" w:rsidP="001179C2">
    <w:pPr>
      <w:pStyle w:val="NormalWeb"/>
      <w:rPr>
        <w:rFonts w:asciiTheme="minorHAnsi" w:hAnsiTheme="minorHAnsi" w:cstheme="minorHAnsi"/>
      </w:rPr>
    </w:pPr>
    <w:r w:rsidRPr="00D1067F">
      <w:rPr>
        <w:rFonts w:asciiTheme="minorHAnsi" w:hAnsiTheme="minorHAnsi" w:cstheme="minorHAnsi"/>
      </w:rPr>
      <w:t xml:space="preserve">Accepted Manuscript (AM) of </w:t>
    </w:r>
    <w:r>
      <w:rPr>
        <w:rFonts w:asciiTheme="minorHAnsi" w:hAnsiTheme="minorHAnsi" w:cstheme="minorHAnsi"/>
      </w:rPr>
      <w:t xml:space="preserve">Vera-Sanso, P., Vullnetari, J. and Bastia, T. </w:t>
    </w:r>
    <w:r w:rsidRPr="00D1067F">
      <w:rPr>
        <w:rFonts w:asciiTheme="minorHAnsi" w:hAnsiTheme="minorHAnsi" w:cstheme="minorHAnsi"/>
      </w:rPr>
      <w:t xml:space="preserve">(2023) </w:t>
    </w:r>
    <w:r>
      <w:rPr>
        <w:rFonts w:asciiTheme="minorHAnsi" w:hAnsiTheme="minorHAnsi" w:cstheme="minorHAnsi"/>
        <w:bCs/>
      </w:rPr>
      <w:t>Ageing and later life: Unsettling development assumptions</w:t>
    </w:r>
    <w:r w:rsidRPr="00D1067F">
      <w:rPr>
        <w:rFonts w:asciiTheme="minorHAnsi" w:hAnsiTheme="minorHAnsi" w:cstheme="minorHAnsi"/>
      </w:rPr>
      <w:t xml:space="preserve">. </w:t>
    </w:r>
    <w:r w:rsidRPr="00D1067F">
      <w:rPr>
        <w:rFonts w:asciiTheme="minorHAnsi" w:hAnsiTheme="minorHAnsi" w:cstheme="minorHAnsi"/>
        <w:i/>
        <w:iCs/>
      </w:rPr>
      <w:t xml:space="preserve">Progress in Development Studies </w:t>
    </w:r>
    <w:r w:rsidRPr="00D1067F">
      <w:rPr>
        <w:rFonts w:asciiTheme="minorHAnsi" w:hAnsiTheme="minorHAnsi" w:cstheme="minorHAnsi"/>
      </w:rPr>
      <w:t xml:space="preserve">23(4): </w:t>
    </w:r>
    <w:r>
      <w:rPr>
        <w:rFonts w:asciiTheme="minorHAnsi" w:hAnsiTheme="minorHAnsi" w:cstheme="minorHAnsi"/>
      </w:rPr>
      <w:t xml:space="preserve">379-390. </w:t>
    </w:r>
    <w:r w:rsidRPr="00D1067F">
      <w:rPr>
        <w:rFonts w:asciiTheme="minorHAnsi" w:hAnsiTheme="minorHAnsi" w:cstheme="minorHAnsi"/>
      </w:rPr>
      <w:t>[I</w:t>
    </w:r>
    <w:r>
      <w:rPr>
        <w:rFonts w:asciiTheme="minorHAnsi" w:hAnsiTheme="minorHAnsi" w:cstheme="minorHAnsi"/>
      </w:rPr>
      <w:t xml:space="preserve">ntroduction to </w:t>
    </w:r>
    <w:r w:rsidRPr="00D1067F">
      <w:rPr>
        <w:rFonts w:asciiTheme="minorHAnsi" w:hAnsiTheme="minorHAnsi" w:cstheme="minorHAnsi"/>
      </w:rPr>
      <w:t xml:space="preserve">the Special Issue </w:t>
    </w:r>
    <w:r w:rsidRPr="00D1067F">
      <w:rPr>
        <w:rFonts w:asciiTheme="minorHAnsi" w:hAnsiTheme="minorHAnsi" w:cstheme="minorHAnsi"/>
        <w:i/>
        <w:iCs/>
      </w:rPr>
      <w:t>Ageing and Development</w:t>
    </w:r>
    <w:r w:rsidRPr="00D1067F">
      <w:rPr>
        <w:rFonts w:asciiTheme="minorHAnsi" w:hAnsiTheme="minorHAnsi" w:cstheme="minorHAnsi"/>
      </w:rPr>
      <w:t xml:space="preserve">; accepted 28 July 2023]. </w:t>
    </w:r>
    <w:r w:rsidRPr="00583269">
      <w:rPr>
        <w:rFonts w:asciiTheme="minorHAnsi" w:hAnsiTheme="minorHAnsi" w:cstheme="minorHAnsi"/>
        <w:lang w:val="sv-SE"/>
      </w:rPr>
      <w:t>Copyright © [</w:t>
    </w:r>
    <w:r w:rsidRPr="00D1067F">
      <w:rPr>
        <w:rFonts w:asciiTheme="minorHAnsi" w:hAnsiTheme="minorHAnsi" w:cstheme="minorHAnsi"/>
        <w:lang w:val="sv-SE"/>
      </w:rPr>
      <w:t>2023</w:t>
    </w:r>
    <w:r w:rsidRPr="00583269">
      <w:rPr>
        <w:rFonts w:asciiTheme="minorHAnsi" w:hAnsiTheme="minorHAnsi" w:cstheme="minorHAnsi"/>
        <w:lang w:val="sv-SE"/>
      </w:rPr>
      <w:t xml:space="preserve">] (SAGE </w:t>
    </w:r>
    <w:proofErr w:type="spellStart"/>
    <w:r w:rsidRPr="00583269">
      <w:rPr>
        <w:rFonts w:asciiTheme="minorHAnsi" w:hAnsiTheme="minorHAnsi" w:cstheme="minorHAnsi"/>
        <w:lang w:val="sv-SE"/>
      </w:rPr>
      <w:t>Publications</w:t>
    </w:r>
    <w:proofErr w:type="spellEnd"/>
    <w:r w:rsidRPr="00583269">
      <w:rPr>
        <w:rFonts w:asciiTheme="minorHAnsi" w:hAnsiTheme="minorHAnsi" w:cstheme="minorHAnsi"/>
        <w:lang w:val="sv-SE"/>
      </w:rPr>
      <w:t xml:space="preserve"> India Private </w:t>
    </w:r>
    <w:proofErr w:type="spellStart"/>
    <w:r w:rsidRPr="00583269">
      <w:rPr>
        <w:rFonts w:asciiTheme="minorHAnsi" w:hAnsiTheme="minorHAnsi" w:cstheme="minorHAnsi"/>
        <w:lang w:val="sv-SE"/>
      </w:rPr>
      <w:t>Limited</w:t>
    </w:r>
    <w:proofErr w:type="spellEnd"/>
    <w:r w:rsidRPr="00583269">
      <w:rPr>
        <w:rFonts w:asciiTheme="minorHAnsi" w:hAnsiTheme="minorHAnsi" w:cstheme="minorHAnsi"/>
        <w:lang w:val="sv-SE"/>
      </w:rPr>
      <w:t xml:space="preserve">). </w:t>
    </w:r>
    <w:proofErr w:type="spellStart"/>
    <w:r w:rsidRPr="00583269">
      <w:rPr>
        <w:rFonts w:asciiTheme="minorHAnsi" w:hAnsiTheme="minorHAnsi" w:cstheme="minorHAnsi"/>
        <w:lang w:val="sv-SE"/>
      </w:rPr>
      <w:t>Reprinted</w:t>
    </w:r>
    <w:proofErr w:type="spellEnd"/>
    <w:r w:rsidRPr="00583269">
      <w:rPr>
        <w:rFonts w:asciiTheme="minorHAnsi" w:hAnsiTheme="minorHAnsi" w:cstheme="minorHAnsi"/>
        <w:lang w:val="sv-SE"/>
      </w:rPr>
      <w:t xml:space="preserve"> by permission </w:t>
    </w:r>
    <w:proofErr w:type="spellStart"/>
    <w:r w:rsidRPr="00583269">
      <w:rPr>
        <w:rFonts w:asciiTheme="minorHAnsi" w:hAnsiTheme="minorHAnsi" w:cstheme="minorHAnsi"/>
        <w:lang w:val="sv-SE"/>
      </w:rPr>
      <w:t>of</w:t>
    </w:r>
    <w:proofErr w:type="spellEnd"/>
    <w:r w:rsidRPr="00583269">
      <w:rPr>
        <w:rFonts w:asciiTheme="minorHAnsi" w:hAnsiTheme="minorHAnsi" w:cstheme="minorHAnsi"/>
        <w:lang w:val="sv-SE"/>
      </w:rPr>
      <w:t xml:space="preserve"> SAGE </w:t>
    </w:r>
    <w:proofErr w:type="spellStart"/>
    <w:r w:rsidRPr="00583269">
      <w:rPr>
        <w:rFonts w:asciiTheme="minorHAnsi" w:hAnsiTheme="minorHAnsi" w:cstheme="minorHAnsi"/>
        <w:lang w:val="sv-SE"/>
      </w:rPr>
      <w:t>Publications</w:t>
    </w:r>
    <w:proofErr w:type="spellEnd"/>
    <w:r w:rsidRPr="00583269">
      <w:rPr>
        <w:rFonts w:asciiTheme="minorHAnsi" w:hAnsiTheme="minorHAnsi" w:cstheme="minorHAnsi"/>
        <w:lang w:val="sv-SE"/>
      </w:rPr>
      <w:t xml:space="preserve"> India Private </w:t>
    </w:r>
    <w:proofErr w:type="spellStart"/>
    <w:r w:rsidRPr="00583269">
      <w:rPr>
        <w:rFonts w:asciiTheme="minorHAnsi" w:hAnsiTheme="minorHAnsi" w:cstheme="minorHAnsi"/>
        <w:lang w:val="sv-SE"/>
      </w:rPr>
      <w:t>Limited</w:t>
    </w:r>
    <w:proofErr w:type="spellEnd"/>
    <w:r w:rsidRPr="00D1067F">
      <w:rPr>
        <w:rFonts w:asciiTheme="minorHAnsi" w:hAnsiTheme="minorHAnsi" w:cstheme="minorHAnsi"/>
        <w:lang w:val="sv-SE"/>
      </w:rPr>
      <w:t xml:space="preserve">. </w:t>
    </w:r>
    <w:r w:rsidRPr="00D1067F">
      <w:rPr>
        <w:rFonts w:asciiTheme="minorHAnsi" w:hAnsiTheme="minorHAnsi" w:cstheme="minorHAnsi"/>
        <w:bCs/>
      </w:rPr>
      <w:t xml:space="preserve">[The Version of Record of this manuscript </w:t>
    </w:r>
    <w:r>
      <w:rPr>
        <w:rFonts w:asciiTheme="minorHAnsi" w:hAnsiTheme="minorHAnsi" w:cstheme="minorHAnsi"/>
        <w:bCs/>
      </w:rPr>
      <w:t xml:space="preserve">can be accessed through: </w:t>
    </w:r>
    <w:proofErr w:type="spellStart"/>
    <w:r w:rsidRPr="001179C2">
      <w:rPr>
        <w:rFonts w:asciiTheme="minorHAnsi" w:hAnsiTheme="minorHAnsi" w:cstheme="minorHAnsi"/>
        <w:bCs/>
      </w:rPr>
      <w:t>doi</w:t>
    </w:r>
    <w:proofErr w:type="spellEnd"/>
    <w:r w:rsidRPr="001179C2">
      <w:rPr>
        <w:rFonts w:asciiTheme="minorHAnsi" w:hAnsiTheme="minorHAnsi" w:cstheme="minorHAnsi"/>
        <w:bCs/>
      </w:rPr>
      <w:t>/10.1177/14649934231197348</w:t>
    </w:r>
    <w:r w:rsidRPr="00D1067F">
      <w:rPr>
        <w:rFonts w:asciiTheme="minorHAnsi" w:hAnsiTheme="minorHAnsi" w:cstheme="minorHAnsi"/>
        <w:bCs/>
      </w:rPr>
      <w:t>]</w:t>
    </w:r>
    <w:r>
      <w:rPr>
        <w:rFonts w:asciiTheme="minorHAnsi" w:hAnsiTheme="minorHAnsi" w:cstheme="minorHAnsi"/>
        <w:bCs/>
      </w:rPr>
      <w:t>.</w:t>
    </w:r>
  </w:p>
  <w:p w14:paraId="75B821B6" w14:textId="77777777" w:rsidR="001179C2" w:rsidRDefault="00117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A7AB4"/>
    <w:multiLevelType w:val="hybridMultilevel"/>
    <w:tmpl w:val="E67CCAEE"/>
    <w:lvl w:ilvl="0" w:tplc="1BFCF426">
      <w:numFmt w:val="bullet"/>
      <w:lvlText w:val=""/>
      <w:lvlJc w:val="left"/>
      <w:pPr>
        <w:ind w:left="720" w:hanging="360"/>
      </w:pPr>
      <w:rPr>
        <w:rFonts w:ascii="Symbol" w:eastAsia="Times New Roman" w:hAnsi="Symbol" w:cs="Calibr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E87932"/>
    <w:multiLevelType w:val="multilevel"/>
    <w:tmpl w:val="ACB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644507"/>
    <w:multiLevelType w:val="multilevel"/>
    <w:tmpl w:val="B840F7FA"/>
    <w:lvl w:ilvl="0">
      <w:start w:val="4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652420"/>
    <w:multiLevelType w:val="hybridMultilevel"/>
    <w:tmpl w:val="3FB8E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0199F"/>
    <w:multiLevelType w:val="hybridMultilevel"/>
    <w:tmpl w:val="38020C5E"/>
    <w:lvl w:ilvl="0" w:tplc="4FAE2B94">
      <w:numFmt w:val="bullet"/>
      <w:lvlText w:val=""/>
      <w:lvlJc w:val="left"/>
      <w:pPr>
        <w:ind w:left="720" w:hanging="360"/>
      </w:pPr>
      <w:rPr>
        <w:rFonts w:ascii="Symbol" w:eastAsia="PMingLiU" w:hAnsi="Symbol" w:cstheme="minorHAns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195999">
    <w:abstractNumId w:val="1"/>
  </w:num>
  <w:num w:numId="2" w16cid:durableId="1524510217">
    <w:abstractNumId w:val="4"/>
  </w:num>
  <w:num w:numId="3" w16cid:durableId="552732922">
    <w:abstractNumId w:val="2"/>
  </w:num>
  <w:num w:numId="4" w16cid:durableId="958222372">
    <w:abstractNumId w:val="0"/>
  </w:num>
  <w:num w:numId="5" w16cid:durableId="2112623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2A"/>
    <w:rsid w:val="000017C3"/>
    <w:rsid w:val="00002385"/>
    <w:rsid w:val="00002ABE"/>
    <w:rsid w:val="0000457F"/>
    <w:rsid w:val="00004B3E"/>
    <w:rsid w:val="00010019"/>
    <w:rsid w:val="0001217B"/>
    <w:rsid w:val="000125E9"/>
    <w:rsid w:val="00022380"/>
    <w:rsid w:val="0002327B"/>
    <w:rsid w:val="00024759"/>
    <w:rsid w:val="000253C6"/>
    <w:rsid w:val="00026393"/>
    <w:rsid w:val="00034A92"/>
    <w:rsid w:val="00034C1D"/>
    <w:rsid w:val="00035FD2"/>
    <w:rsid w:val="000371E8"/>
    <w:rsid w:val="00042D1C"/>
    <w:rsid w:val="000432CE"/>
    <w:rsid w:val="00047290"/>
    <w:rsid w:val="00060E06"/>
    <w:rsid w:val="000611E2"/>
    <w:rsid w:val="000639D4"/>
    <w:rsid w:val="000666BB"/>
    <w:rsid w:val="0006750F"/>
    <w:rsid w:val="0007386B"/>
    <w:rsid w:val="0008293A"/>
    <w:rsid w:val="00084A00"/>
    <w:rsid w:val="00086A03"/>
    <w:rsid w:val="000907EA"/>
    <w:rsid w:val="0009133C"/>
    <w:rsid w:val="00094843"/>
    <w:rsid w:val="00094ADD"/>
    <w:rsid w:val="00095358"/>
    <w:rsid w:val="000972E1"/>
    <w:rsid w:val="000A08A5"/>
    <w:rsid w:val="000A3183"/>
    <w:rsid w:val="000A609B"/>
    <w:rsid w:val="000C2CAA"/>
    <w:rsid w:val="000C2DA6"/>
    <w:rsid w:val="000C7B74"/>
    <w:rsid w:val="000D5044"/>
    <w:rsid w:val="000D6325"/>
    <w:rsid w:val="000E425B"/>
    <w:rsid w:val="000E6806"/>
    <w:rsid w:val="000E752C"/>
    <w:rsid w:val="000F04CE"/>
    <w:rsid w:val="000F1312"/>
    <w:rsid w:val="000F1980"/>
    <w:rsid w:val="000F23C8"/>
    <w:rsid w:val="000F40DB"/>
    <w:rsid w:val="000F680A"/>
    <w:rsid w:val="00101B9E"/>
    <w:rsid w:val="001031FF"/>
    <w:rsid w:val="001058FB"/>
    <w:rsid w:val="001069B3"/>
    <w:rsid w:val="00112F40"/>
    <w:rsid w:val="001165A5"/>
    <w:rsid w:val="001179C2"/>
    <w:rsid w:val="00121E29"/>
    <w:rsid w:val="00122398"/>
    <w:rsid w:val="00123E05"/>
    <w:rsid w:val="00125FC0"/>
    <w:rsid w:val="0013279C"/>
    <w:rsid w:val="001328A0"/>
    <w:rsid w:val="00142B5C"/>
    <w:rsid w:val="00151DAC"/>
    <w:rsid w:val="001534CA"/>
    <w:rsid w:val="00153E14"/>
    <w:rsid w:val="00153FA7"/>
    <w:rsid w:val="00154A44"/>
    <w:rsid w:val="00154F04"/>
    <w:rsid w:val="00162165"/>
    <w:rsid w:val="0016549E"/>
    <w:rsid w:val="00165BB0"/>
    <w:rsid w:val="0016743E"/>
    <w:rsid w:val="001705EF"/>
    <w:rsid w:val="00174BCB"/>
    <w:rsid w:val="00175B8D"/>
    <w:rsid w:val="00181EAF"/>
    <w:rsid w:val="00182757"/>
    <w:rsid w:val="00185182"/>
    <w:rsid w:val="0018545F"/>
    <w:rsid w:val="00186836"/>
    <w:rsid w:val="0018771D"/>
    <w:rsid w:val="00192873"/>
    <w:rsid w:val="00194186"/>
    <w:rsid w:val="00197A93"/>
    <w:rsid w:val="001A025B"/>
    <w:rsid w:val="001A239A"/>
    <w:rsid w:val="001A2F04"/>
    <w:rsid w:val="001A550D"/>
    <w:rsid w:val="001A7B7F"/>
    <w:rsid w:val="001B6863"/>
    <w:rsid w:val="001B7AD8"/>
    <w:rsid w:val="001C0B29"/>
    <w:rsid w:val="001C2417"/>
    <w:rsid w:val="001C2FEA"/>
    <w:rsid w:val="001C3EE1"/>
    <w:rsid w:val="001C6733"/>
    <w:rsid w:val="001D2856"/>
    <w:rsid w:val="001D5950"/>
    <w:rsid w:val="001E2410"/>
    <w:rsid w:val="001F042A"/>
    <w:rsid w:val="001F3ADE"/>
    <w:rsid w:val="00200C1F"/>
    <w:rsid w:val="0020221F"/>
    <w:rsid w:val="00211BCF"/>
    <w:rsid w:val="00212E18"/>
    <w:rsid w:val="00214590"/>
    <w:rsid w:val="00214E16"/>
    <w:rsid w:val="00216AFE"/>
    <w:rsid w:val="0021702D"/>
    <w:rsid w:val="0022024C"/>
    <w:rsid w:val="00223B77"/>
    <w:rsid w:val="00230C67"/>
    <w:rsid w:val="00231AFE"/>
    <w:rsid w:val="00232015"/>
    <w:rsid w:val="00232141"/>
    <w:rsid w:val="00233C6B"/>
    <w:rsid w:val="00234724"/>
    <w:rsid w:val="00235086"/>
    <w:rsid w:val="00235151"/>
    <w:rsid w:val="0024247C"/>
    <w:rsid w:val="0024451E"/>
    <w:rsid w:val="002452E0"/>
    <w:rsid w:val="002519B5"/>
    <w:rsid w:val="00253DB5"/>
    <w:rsid w:val="0025575D"/>
    <w:rsid w:val="00257E5D"/>
    <w:rsid w:val="002614E1"/>
    <w:rsid w:val="002616C9"/>
    <w:rsid w:val="0026239A"/>
    <w:rsid w:val="00263F58"/>
    <w:rsid w:val="002661B3"/>
    <w:rsid w:val="00266E28"/>
    <w:rsid w:val="00272DBF"/>
    <w:rsid w:val="00274E48"/>
    <w:rsid w:val="0027562D"/>
    <w:rsid w:val="00275927"/>
    <w:rsid w:val="00275C11"/>
    <w:rsid w:val="0028471D"/>
    <w:rsid w:val="00285A8C"/>
    <w:rsid w:val="00287997"/>
    <w:rsid w:val="00290093"/>
    <w:rsid w:val="002905A2"/>
    <w:rsid w:val="00290D49"/>
    <w:rsid w:val="00293862"/>
    <w:rsid w:val="002A2886"/>
    <w:rsid w:val="002A378E"/>
    <w:rsid w:val="002A3BEC"/>
    <w:rsid w:val="002A40B8"/>
    <w:rsid w:val="002A4ABA"/>
    <w:rsid w:val="002A73D8"/>
    <w:rsid w:val="002A7A78"/>
    <w:rsid w:val="002B095C"/>
    <w:rsid w:val="002B48FF"/>
    <w:rsid w:val="002B62EB"/>
    <w:rsid w:val="002C2874"/>
    <w:rsid w:val="002D5096"/>
    <w:rsid w:val="002D55A7"/>
    <w:rsid w:val="002F0B83"/>
    <w:rsid w:val="002F0B87"/>
    <w:rsid w:val="002F1B34"/>
    <w:rsid w:val="002F2C3A"/>
    <w:rsid w:val="002F4B8B"/>
    <w:rsid w:val="002F6FD9"/>
    <w:rsid w:val="00304A82"/>
    <w:rsid w:val="00307167"/>
    <w:rsid w:val="00310BEE"/>
    <w:rsid w:val="00311B0F"/>
    <w:rsid w:val="0031606F"/>
    <w:rsid w:val="00322DFF"/>
    <w:rsid w:val="003342B1"/>
    <w:rsid w:val="003357A1"/>
    <w:rsid w:val="00341964"/>
    <w:rsid w:val="00351F9E"/>
    <w:rsid w:val="00360A27"/>
    <w:rsid w:val="003640B2"/>
    <w:rsid w:val="00364464"/>
    <w:rsid w:val="00366037"/>
    <w:rsid w:val="00367068"/>
    <w:rsid w:val="0036748F"/>
    <w:rsid w:val="0037344F"/>
    <w:rsid w:val="00386611"/>
    <w:rsid w:val="00390DBD"/>
    <w:rsid w:val="00390F97"/>
    <w:rsid w:val="00392C7D"/>
    <w:rsid w:val="00395103"/>
    <w:rsid w:val="003961A2"/>
    <w:rsid w:val="003A414C"/>
    <w:rsid w:val="003A5843"/>
    <w:rsid w:val="003A7232"/>
    <w:rsid w:val="003B104A"/>
    <w:rsid w:val="003B4FDF"/>
    <w:rsid w:val="003B57F0"/>
    <w:rsid w:val="003B76E6"/>
    <w:rsid w:val="003C3304"/>
    <w:rsid w:val="003C5CC2"/>
    <w:rsid w:val="003C6ED4"/>
    <w:rsid w:val="003C6FAF"/>
    <w:rsid w:val="003C701C"/>
    <w:rsid w:val="003D14A0"/>
    <w:rsid w:val="003D180B"/>
    <w:rsid w:val="003D4325"/>
    <w:rsid w:val="003D79EE"/>
    <w:rsid w:val="003E0BA8"/>
    <w:rsid w:val="003E0C15"/>
    <w:rsid w:val="003E1F3D"/>
    <w:rsid w:val="003E2D03"/>
    <w:rsid w:val="003E3966"/>
    <w:rsid w:val="003F1205"/>
    <w:rsid w:val="0040457D"/>
    <w:rsid w:val="004048F9"/>
    <w:rsid w:val="00404A38"/>
    <w:rsid w:val="00406665"/>
    <w:rsid w:val="00407315"/>
    <w:rsid w:val="00412556"/>
    <w:rsid w:val="00412B09"/>
    <w:rsid w:val="004147FE"/>
    <w:rsid w:val="004222C4"/>
    <w:rsid w:val="00424EC8"/>
    <w:rsid w:val="00425361"/>
    <w:rsid w:val="00426F16"/>
    <w:rsid w:val="00431F71"/>
    <w:rsid w:val="0043649E"/>
    <w:rsid w:val="004367A5"/>
    <w:rsid w:val="00437AC5"/>
    <w:rsid w:val="00444C02"/>
    <w:rsid w:val="004511F1"/>
    <w:rsid w:val="00453E2B"/>
    <w:rsid w:val="00453F02"/>
    <w:rsid w:val="004548AF"/>
    <w:rsid w:val="004551F5"/>
    <w:rsid w:val="00455E29"/>
    <w:rsid w:val="00455EA5"/>
    <w:rsid w:val="00456A5C"/>
    <w:rsid w:val="00473AFB"/>
    <w:rsid w:val="00473FC2"/>
    <w:rsid w:val="004824C4"/>
    <w:rsid w:val="004850A0"/>
    <w:rsid w:val="00492173"/>
    <w:rsid w:val="004A0FF4"/>
    <w:rsid w:val="004A10C2"/>
    <w:rsid w:val="004A3D9F"/>
    <w:rsid w:val="004A5062"/>
    <w:rsid w:val="004A581E"/>
    <w:rsid w:val="004A76EF"/>
    <w:rsid w:val="004B3773"/>
    <w:rsid w:val="004B79FC"/>
    <w:rsid w:val="004C03F5"/>
    <w:rsid w:val="004C2A27"/>
    <w:rsid w:val="004C2EF6"/>
    <w:rsid w:val="004D2D3A"/>
    <w:rsid w:val="004D7B95"/>
    <w:rsid w:val="004E067B"/>
    <w:rsid w:val="004E3407"/>
    <w:rsid w:val="004E47DE"/>
    <w:rsid w:val="004E4951"/>
    <w:rsid w:val="004E5EFC"/>
    <w:rsid w:val="004F0FF8"/>
    <w:rsid w:val="004F22B2"/>
    <w:rsid w:val="004F74B5"/>
    <w:rsid w:val="00502887"/>
    <w:rsid w:val="005116DB"/>
    <w:rsid w:val="00515DA6"/>
    <w:rsid w:val="00516887"/>
    <w:rsid w:val="00520229"/>
    <w:rsid w:val="00523DCD"/>
    <w:rsid w:val="00533A5B"/>
    <w:rsid w:val="005408E5"/>
    <w:rsid w:val="005409EB"/>
    <w:rsid w:val="00543EED"/>
    <w:rsid w:val="00544502"/>
    <w:rsid w:val="00551343"/>
    <w:rsid w:val="005539D5"/>
    <w:rsid w:val="00557209"/>
    <w:rsid w:val="00566FDE"/>
    <w:rsid w:val="0057453D"/>
    <w:rsid w:val="005835CE"/>
    <w:rsid w:val="005936D9"/>
    <w:rsid w:val="00595022"/>
    <w:rsid w:val="00596634"/>
    <w:rsid w:val="00596E28"/>
    <w:rsid w:val="005A28B4"/>
    <w:rsid w:val="005A410C"/>
    <w:rsid w:val="005B1845"/>
    <w:rsid w:val="005B1EC5"/>
    <w:rsid w:val="005B25EC"/>
    <w:rsid w:val="005B2B47"/>
    <w:rsid w:val="005C2806"/>
    <w:rsid w:val="005D080E"/>
    <w:rsid w:val="005D46ED"/>
    <w:rsid w:val="005D7120"/>
    <w:rsid w:val="005E09C9"/>
    <w:rsid w:val="005E1566"/>
    <w:rsid w:val="005E4E17"/>
    <w:rsid w:val="005E64E9"/>
    <w:rsid w:val="005E6C28"/>
    <w:rsid w:val="005F0884"/>
    <w:rsid w:val="005F0C53"/>
    <w:rsid w:val="005F1A0A"/>
    <w:rsid w:val="005F49B5"/>
    <w:rsid w:val="005F5549"/>
    <w:rsid w:val="005F6026"/>
    <w:rsid w:val="005F70D4"/>
    <w:rsid w:val="0060190B"/>
    <w:rsid w:val="00602106"/>
    <w:rsid w:val="00602740"/>
    <w:rsid w:val="006031A8"/>
    <w:rsid w:val="00607B4E"/>
    <w:rsid w:val="00610237"/>
    <w:rsid w:val="006110F0"/>
    <w:rsid w:val="00612146"/>
    <w:rsid w:val="00616362"/>
    <w:rsid w:val="00620F8D"/>
    <w:rsid w:val="006266BD"/>
    <w:rsid w:val="00637085"/>
    <w:rsid w:val="00646755"/>
    <w:rsid w:val="006511CF"/>
    <w:rsid w:val="0065463A"/>
    <w:rsid w:val="00657CDD"/>
    <w:rsid w:val="0066046B"/>
    <w:rsid w:val="006612E5"/>
    <w:rsid w:val="00661654"/>
    <w:rsid w:val="0066401A"/>
    <w:rsid w:val="0066444A"/>
    <w:rsid w:val="00665BDF"/>
    <w:rsid w:val="006677A0"/>
    <w:rsid w:val="006679D7"/>
    <w:rsid w:val="00671581"/>
    <w:rsid w:val="00673C8C"/>
    <w:rsid w:val="00675AC1"/>
    <w:rsid w:val="00677A18"/>
    <w:rsid w:val="00681330"/>
    <w:rsid w:val="0068299F"/>
    <w:rsid w:val="00682F6C"/>
    <w:rsid w:val="00683BBB"/>
    <w:rsid w:val="00683FFE"/>
    <w:rsid w:val="0068684C"/>
    <w:rsid w:val="00690F7A"/>
    <w:rsid w:val="00694A2B"/>
    <w:rsid w:val="006967B8"/>
    <w:rsid w:val="006975EE"/>
    <w:rsid w:val="006977A6"/>
    <w:rsid w:val="00697A8D"/>
    <w:rsid w:val="006A6594"/>
    <w:rsid w:val="006A6D2C"/>
    <w:rsid w:val="006B0D72"/>
    <w:rsid w:val="006B7E16"/>
    <w:rsid w:val="006C0037"/>
    <w:rsid w:val="006C2C13"/>
    <w:rsid w:val="006C326D"/>
    <w:rsid w:val="006C53B3"/>
    <w:rsid w:val="006C5CF7"/>
    <w:rsid w:val="006D0048"/>
    <w:rsid w:val="006D1A95"/>
    <w:rsid w:val="006D267A"/>
    <w:rsid w:val="006D3FF2"/>
    <w:rsid w:val="006D4FC9"/>
    <w:rsid w:val="006D5FEA"/>
    <w:rsid w:val="006D6550"/>
    <w:rsid w:val="006D78DE"/>
    <w:rsid w:val="006E0215"/>
    <w:rsid w:val="006E123D"/>
    <w:rsid w:val="006E6889"/>
    <w:rsid w:val="006F3C9B"/>
    <w:rsid w:val="006F4BDD"/>
    <w:rsid w:val="007013EA"/>
    <w:rsid w:val="00710C8E"/>
    <w:rsid w:val="00713C8B"/>
    <w:rsid w:val="00717338"/>
    <w:rsid w:val="007204A5"/>
    <w:rsid w:val="007222EE"/>
    <w:rsid w:val="00722A3D"/>
    <w:rsid w:val="0073032E"/>
    <w:rsid w:val="007340C9"/>
    <w:rsid w:val="00734DE2"/>
    <w:rsid w:val="00734FC2"/>
    <w:rsid w:val="00742362"/>
    <w:rsid w:val="00743B87"/>
    <w:rsid w:val="00745F0D"/>
    <w:rsid w:val="0075399D"/>
    <w:rsid w:val="00753CE6"/>
    <w:rsid w:val="007563BF"/>
    <w:rsid w:val="00756ED3"/>
    <w:rsid w:val="0076585D"/>
    <w:rsid w:val="0076755E"/>
    <w:rsid w:val="00772503"/>
    <w:rsid w:val="00773B2F"/>
    <w:rsid w:val="00784466"/>
    <w:rsid w:val="0078608D"/>
    <w:rsid w:val="00786C7F"/>
    <w:rsid w:val="0079233D"/>
    <w:rsid w:val="00794300"/>
    <w:rsid w:val="00794B6C"/>
    <w:rsid w:val="00797619"/>
    <w:rsid w:val="007A0E8C"/>
    <w:rsid w:val="007A3E02"/>
    <w:rsid w:val="007A69BD"/>
    <w:rsid w:val="007A7F6D"/>
    <w:rsid w:val="007B178F"/>
    <w:rsid w:val="007B41E9"/>
    <w:rsid w:val="007B6853"/>
    <w:rsid w:val="007B68A5"/>
    <w:rsid w:val="007C1847"/>
    <w:rsid w:val="007C5B26"/>
    <w:rsid w:val="007D071F"/>
    <w:rsid w:val="007D0880"/>
    <w:rsid w:val="007D6F72"/>
    <w:rsid w:val="007D75BA"/>
    <w:rsid w:val="007E3371"/>
    <w:rsid w:val="007E5E7D"/>
    <w:rsid w:val="007E77C1"/>
    <w:rsid w:val="007F0B0F"/>
    <w:rsid w:val="007F3C2A"/>
    <w:rsid w:val="007F4DFD"/>
    <w:rsid w:val="007F636E"/>
    <w:rsid w:val="007F75CF"/>
    <w:rsid w:val="007F7D7A"/>
    <w:rsid w:val="00804540"/>
    <w:rsid w:val="0080552A"/>
    <w:rsid w:val="00806A3F"/>
    <w:rsid w:val="00812E44"/>
    <w:rsid w:val="00817E59"/>
    <w:rsid w:val="008218B4"/>
    <w:rsid w:val="00821981"/>
    <w:rsid w:val="008219E5"/>
    <w:rsid w:val="00824FC2"/>
    <w:rsid w:val="008407B8"/>
    <w:rsid w:val="008465B4"/>
    <w:rsid w:val="008548CC"/>
    <w:rsid w:val="00855E5D"/>
    <w:rsid w:val="008566F1"/>
    <w:rsid w:val="0085791B"/>
    <w:rsid w:val="008607E4"/>
    <w:rsid w:val="00862893"/>
    <w:rsid w:val="00864804"/>
    <w:rsid w:val="00866250"/>
    <w:rsid w:val="00867A58"/>
    <w:rsid w:val="00871555"/>
    <w:rsid w:val="00873BC0"/>
    <w:rsid w:val="00875500"/>
    <w:rsid w:val="00875F2E"/>
    <w:rsid w:val="0088075A"/>
    <w:rsid w:val="008901D4"/>
    <w:rsid w:val="00894135"/>
    <w:rsid w:val="008A1FCF"/>
    <w:rsid w:val="008A28CC"/>
    <w:rsid w:val="008A3B94"/>
    <w:rsid w:val="008B19F9"/>
    <w:rsid w:val="008B43B5"/>
    <w:rsid w:val="008B4CEB"/>
    <w:rsid w:val="008C04DD"/>
    <w:rsid w:val="008C352E"/>
    <w:rsid w:val="008C4C83"/>
    <w:rsid w:val="008C6F33"/>
    <w:rsid w:val="008E0AD2"/>
    <w:rsid w:val="008E58E2"/>
    <w:rsid w:val="008F2CF3"/>
    <w:rsid w:val="008F5043"/>
    <w:rsid w:val="00902D8E"/>
    <w:rsid w:val="00903987"/>
    <w:rsid w:val="00911B47"/>
    <w:rsid w:val="00912E85"/>
    <w:rsid w:val="00913241"/>
    <w:rsid w:val="00915BB1"/>
    <w:rsid w:val="00932F3F"/>
    <w:rsid w:val="00934AF9"/>
    <w:rsid w:val="00940E38"/>
    <w:rsid w:val="00941CC7"/>
    <w:rsid w:val="00943D5D"/>
    <w:rsid w:val="00947A12"/>
    <w:rsid w:val="00947D01"/>
    <w:rsid w:val="00951170"/>
    <w:rsid w:val="009511FA"/>
    <w:rsid w:val="00960DD1"/>
    <w:rsid w:val="0096178A"/>
    <w:rsid w:val="00961B6E"/>
    <w:rsid w:val="00965D7C"/>
    <w:rsid w:val="009721CA"/>
    <w:rsid w:val="00974E66"/>
    <w:rsid w:val="00984C22"/>
    <w:rsid w:val="0099094C"/>
    <w:rsid w:val="00993875"/>
    <w:rsid w:val="009957F4"/>
    <w:rsid w:val="00996B5A"/>
    <w:rsid w:val="00996EC2"/>
    <w:rsid w:val="0099764E"/>
    <w:rsid w:val="009A3F57"/>
    <w:rsid w:val="009A5F97"/>
    <w:rsid w:val="009B051A"/>
    <w:rsid w:val="009B5BDE"/>
    <w:rsid w:val="009B5D41"/>
    <w:rsid w:val="009B6654"/>
    <w:rsid w:val="009B7AA3"/>
    <w:rsid w:val="009C1331"/>
    <w:rsid w:val="009C24D6"/>
    <w:rsid w:val="009C4119"/>
    <w:rsid w:val="009C7995"/>
    <w:rsid w:val="009D543D"/>
    <w:rsid w:val="009D5B57"/>
    <w:rsid w:val="009D5FAC"/>
    <w:rsid w:val="009D7C7D"/>
    <w:rsid w:val="009D7D71"/>
    <w:rsid w:val="009E0481"/>
    <w:rsid w:val="009E05D1"/>
    <w:rsid w:val="009E06A9"/>
    <w:rsid w:val="009E2086"/>
    <w:rsid w:val="009E267E"/>
    <w:rsid w:val="009F0647"/>
    <w:rsid w:val="009F0A6D"/>
    <w:rsid w:val="009F1A8C"/>
    <w:rsid w:val="009F2CEC"/>
    <w:rsid w:val="009F3AFE"/>
    <w:rsid w:val="009F3F2C"/>
    <w:rsid w:val="009F4508"/>
    <w:rsid w:val="00A00658"/>
    <w:rsid w:val="00A03AD0"/>
    <w:rsid w:val="00A03D86"/>
    <w:rsid w:val="00A044F6"/>
    <w:rsid w:val="00A05572"/>
    <w:rsid w:val="00A077BA"/>
    <w:rsid w:val="00A10C6A"/>
    <w:rsid w:val="00A11461"/>
    <w:rsid w:val="00A132FE"/>
    <w:rsid w:val="00A21EA9"/>
    <w:rsid w:val="00A27809"/>
    <w:rsid w:val="00A2788E"/>
    <w:rsid w:val="00A314CE"/>
    <w:rsid w:val="00A33479"/>
    <w:rsid w:val="00A33B2B"/>
    <w:rsid w:val="00A36DC3"/>
    <w:rsid w:val="00A41F0D"/>
    <w:rsid w:val="00A42154"/>
    <w:rsid w:val="00A5696F"/>
    <w:rsid w:val="00A56992"/>
    <w:rsid w:val="00A6255C"/>
    <w:rsid w:val="00A67629"/>
    <w:rsid w:val="00A71F3A"/>
    <w:rsid w:val="00A72AF2"/>
    <w:rsid w:val="00A7641E"/>
    <w:rsid w:val="00A76F14"/>
    <w:rsid w:val="00A816B8"/>
    <w:rsid w:val="00A81778"/>
    <w:rsid w:val="00A82DA8"/>
    <w:rsid w:val="00A87382"/>
    <w:rsid w:val="00A910CB"/>
    <w:rsid w:val="00A92828"/>
    <w:rsid w:val="00AA0DD1"/>
    <w:rsid w:val="00AA125C"/>
    <w:rsid w:val="00AA1679"/>
    <w:rsid w:val="00AA35CD"/>
    <w:rsid w:val="00AB5982"/>
    <w:rsid w:val="00AC09A1"/>
    <w:rsid w:val="00AD15A4"/>
    <w:rsid w:val="00AD1D03"/>
    <w:rsid w:val="00AD1E38"/>
    <w:rsid w:val="00AD33BD"/>
    <w:rsid w:val="00AD59C4"/>
    <w:rsid w:val="00AD62F9"/>
    <w:rsid w:val="00AD762F"/>
    <w:rsid w:val="00AE2F72"/>
    <w:rsid w:val="00AF108C"/>
    <w:rsid w:val="00AF10C3"/>
    <w:rsid w:val="00AF567E"/>
    <w:rsid w:val="00AF6281"/>
    <w:rsid w:val="00B00F11"/>
    <w:rsid w:val="00B1472A"/>
    <w:rsid w:val="00B30412"/>
    <w:rsid w:val="00B308E5"/>
    <w:rsid w:val="00B31100"/>
    <w:rsid w:val="00B32254"/>
    <w:rsid w:val="00B351C5"/>
    <w:rsid w:val="00B368DD"/>
    <w:rsid w:val="00B40029"/>
    <w:rsid w:val="00B44B8D"/>
    <w:rsid w:val="00B458E3"/>
    <w:rsid w:val="00B57C17"/>
    <w:rsid w:val="00B6100C"/>
    <w:rsid w:val="00B610C1"/>
    <w:rsid w:val="00B632BF"/>
    <w:rsid w:val="00B6694A"/>
    <w:rsid w:val="00B714FC"/>
    <w:rsid w:val="00B71695"/>
    <w:rsid w:val="00B8126A"/>
    <w:rsid w:val="00B86C94"/>
    <w:rsid w:val="00B907C6"/>
    <w:rsid w:val="00B90A93"/>
    <w:rsid w:val="00B94CB4"/>
    <w:rsid w:val="00B95230"/>
    <w:rsid w:val="00B95A21"/>
    <w:rsid w:val="00B96703"/>
    <w:rsid w:val="00BA1A61"/>
    <w:rsid w:val="00BA2CF7"/>
    <w:rsid w:val="00BA537A"/>
    <w:rsid w:val="00BB0289"/>
    <w:rsid w:val="00BB1B80"/>
    <w:rsid w:val="00BB235D"/>
    <w:rsid w:val="00BC0481"/>
    <w:rsid w:val="00BC0623"/>
    <w:rsid w:val="00BC302A"/>
    <w:rsid w:val="00BC567B"/>
    <w:rsid w:val="00BC5958"/>
    <w:rsid w:val="00BC6638"/>
    <w:rsid w:val="00BD1584"/>
    <w:rsid w:val="00BD3403"/>
    <w:rsid w:val="00BD79E5"/>
    <w:rsid w:val="00BE3767"/>
    <w:rsid w:val="00BE7BE0"/>
    <w:rsid w:val="00BE7E00"/>
    <w:rsid w:val="00BF672B"/>
    <w:rsid w:val="00C01ECA"/>
    <w:rsid w:val="00C1030F"/>
    <w:rsid w:val="00C12077"/>
    <w:rsid w:val="00C128CF"/>
    <w:rsid w:val="00C14EE7"/>
    <w:rsid w:val="00C16060"/>
    <w:rsid w:val="00C1618B"/>
    <w:rsid w:val="00C164EF"/>
    <w:rsid w:val="00C179EE"/>
    <w:rsid w:val="00C21EDF"/>
    <w:rsid w:val="00C22B05"/>
    <w:rsid w:val="00C24D0C"/>
    <w:rsid w:val="00C252B2"/>
    <w:rsid w:val="00C3200B"/>
    <w:rsid w:val="00C3246C"/>
    <w:rsid w:val="00C33092"/>
    <w:rsid w:val="00C35C4F"/>
    <w:rsid w:val="00C40715"/>
    <w:rsid w:val="00C4149B"/>
    <w:rsid w:val="00C43D4C"/>
    <w:rsid w:val="00C43EFB"/>
    <w:rsid w:val="00C45AE7"/>
    <w:rsid w:val="00C474D0"/>
    <w:rsid w:val="00C51650"/>
    <w:rsid w:val="00C540B3"/>
    <w:rsid w:val="00C56022"/>
    <w:rsid w:val="00C5610B"/>
    <w:rsid w:val="00C6284F"/>
    <w:rsid w:val="00C6413C"/>
    <w:rsid w:val="00C647D4"/>
    <w:rsid w:val="00C64A1C"/>
    <w:rsid w:val="00C719B4"/>
    <w:rsid w:val="00C77765"/>
    <w:rsid w:val="00C81F57"/>
    <w:rsid w:val="00C82E61"/>
    <w:rsid w:val="00C858AB"/>
    <w:rsid w:val="00C86567"/>
    <w:rsid w:val="00C87458"/>
    <w:rsid w:val="00C91680"/>
    <w:rsid w:val="00C92860"/>
    <w:rsid w:val="00C95EEC"/>
    <w:rsid w:val="00CA4DBB"/>
    <w:rsid w:val="00CA5FA4"/>
    <w:rsid w:val="00CA7DA1"/>
    <w:rsid w:val="00CB05F5"/>
    <w:rsid w:val="00CB24B4"/>
    <w:rsid w:val="00CC06FB"/>
    <w:rsid w:val="00CC1A32"/>
    <w:rsid w:val="00CC52CB"/>
    <w:rsid w:val="00CD0BBB"/>
    <w:rsid w:val="00CD1BD7"/>
    <w:rsid w:val="00CD7499"/>
    <w:rsid w:val="00CE24FC"/>
    <w:rsid w:val="00CE403B"/>
    <w:rsid w:val="00CE4668"/>
    <w:rsid w:val="00CF0B0C"/>
    <w:rsid w:val="00CF0BA1"/>
    <w:rsid w:val="00CF64ED"/>
    <w:rsid w:val="00D05C31"/>
    <w:rsid w:val="00D06899"/>
    <w:rsid w:val="00D1109C"/>
    <w:rsid w:val="00D123D5"/>
    <w:rsid w:val="00D13B44"/>
    <w:rsid w:val="00D16ACE"/>
    <w:rsid w:val="00D214BB"/>
    <w:rsid w:val="00D23E68"/>
    <w:rsid w:val="00D32888"/>
    <w:rsid w:val="00D32E3F"/>
    <w:rsid w:val="00D36154"/>
    <w:rsid w:val="00D37540"/>
    <w:rsid w:val="00D456ED"/>
    <w:rsid w:val="00D47334"/>
    <w:rsid w:val="00D51671"/>
    <w:rsid w:val="00D51DDA"/>
    <w:rsid w:val="00D53302"/>
    <w:rsid w:val="00D54549"/>
    <w:rsid w:val="00D60E5F"/>
    <w:rsid w:val="00D67A51"/>
    <w:rsid w:val="00D700E2"/>
    <w:rsid w:val="00D7384B"/>
    <w:rsid w:val="00D74271"/>
    <w:rsid w:val="00D74980"/>
    <w:rsid w:val="00D74B19"/>
    <w:rsid w:val="00D80886"/>
    <w:rsid w:val="00D80A3A"/>
    <w:rsid w:val="00D84764"/>
    <w:rsid w:val="00D935C5"/>
    <w:rsid w:val="00D96B82"/>
    <w:rsid w:val="00DA3238"/>
    <w:rsid w:val="00DA6887"/>
    <w:rsid w:val="00DB391F"/>
    <w:rsid w:val="00DC21D6"/>
    <w:rsid w:val="00DC6C42"/>
    <w:rsid w:val="00DC742C"/>
    <w:rsid w:val="00DD0D8F"/>
    <w:rsid w:val="00DD195F"/>
    <w:rsid w:val="00DE32E3"/>
    <w:rsid w:val="00DE6B36"/>
    <w:rsid w:val="00DE6C20"/>
    <w:rsid w:val="00DF029F"/>
    <w:rsid w:val="00DF5186"/>
    <w:rsid w:val="00E00299"/>
    <w:rsid w:val="00E00905"/>
    <w:rsid w:val="00E0353C"/>
    <w:rsid w:val="00E0538C"/>
    <w:rsid w:val="00E1367F"/>
    <w:rsid w:val="00E13E9E"/>
    <w:rsid w:val="00E1523A"/>
    <w:rsid w:val="00E21735"/>
    <w:rsid w:val="00E24EFA"/>
    <w:rsid w:val="00E26AE2"/>
    <w:rsid w:val="00E35F2B"/>
    <w:rsid w:val="00E41569"/>
    <w:rsid w:val="00E4416F"/>
    <w:rsid w:val="00E502EE"/>
    <w:rsid w:val="00E539C4"/>
    <w:rsid w:val="00E53BB1"/>
    <w:rsid w:val="00E540BE"/>
    <w:rsid w:val="00E551CA"/>
    <w:rsid w:val="00E5553B"/>
    <w:rsid w:val="00E604AD"/>
    <w:rsid w:val="00E65043"/>
    <w:rsid w:val="00E70228"/>
    <w:rsid w:val="00E802C7"/>
    <w:rsid w:val="00E81923"/>
    <w:rsid w:val="00E9423A"/>
    <w:rsid w:val="00E952C7"/>
    <w:rsid w:val="00E96639"/>
    <w:rsid w:val="00E97D29"/>
    <w:rsid w:val="00EA04C0"/>
    <w:rsid w:val="00EA05BD"/>
    <w:rsid w:val="00EA0FFD"/>
    <w:rsid w:val="00EA1AB3"/>
    <w:rsid w:val="00EA2135"/>
    <w:rsid w:val="00EA45E6"/>
    <w:rsid w:val="00EA7745"/>
    <w:rsid w:val="00EB2E15"/>
    <w:rsid w:val="00EB62DB"/>
    <w:rsid w:val="00EC0B1B"/>
    <w:rsid w:val="00EC0B38"/>
    <w:rsid w:val="00EC1280"/>
    <w:rsid w:val="00EC6A46"/>
    <w:rsid w:val="00ED0E0E"/>
    <w:rsid w:val="00ED410D"/>
    <w:rsid w:val="00ED5448"/>
    <w:rsid w:val="00ED548E"/>
    <w:rsid w:val="00ED6551"/>
    <w:rsid w:val="00EF2298"/>
    <w:rsid w:val="00EF30FD"/>
    <w:rsid w:val="00EF793D"/>
    <w:rsid w:val="00F100C3"/>
    <w:rsid w:val="00F11171"/>
    <w:rsid w:val="00F11F3F"/>
    <w:rsid w:val="00F121C1"/>
    <w:rsid w:val="00F17E6D"/>
    <w:rsid w:val="00F20458"/>
    <w:rsid w:val="00F232E5"/>
    <w:rsid w:val="00F23DB0"/>
    <w:rsid w:val="00F241D7"/>
    <w:rsid w:val="00F26161"/>
    <w:rsid w:val="00F346E3"/>
    <w:rsid w:val="00F35B07"/>
    <w:rsid w:val="00F43367"/>
    <w:rsid w:val="00F50653"/>
    <w:rsid w:val="00F529C1"/>
    <w:rsid w:val="00F533F7"/>
    <w:rsid w:val="00F53FDC"/>
    <w:rsid w:val="00F54D7A"/>
    <w:rsid w:val="00F558BB"/>
    <w:rsid w:val="00F56756"/>
    <w:rsid w:val="00F56C2A"/>
    <w:rsid w:val="00F60B35"/>
    <w:rsid w:val="00F62EE4"/>
    <w:rsid w:val="00F70721"/>
    <w:rsid w:val="00F721C9"/>
    <w:rsid w:val="00F742E8"/>
    <w:rsid w:val="00F75B76"/>
    <w:rsid w:val="00F823C2"/>
    <w:rsid w:val="00F828FA"/>
    <w:rsid w:val="00F876A7"/>
    <w:rsid w:val="00F902AF"/>
    <w:rsid w:val="00F93E00"/>
    <w:rsid w:val="00F95CAC"/>
    <w:rsid w:val="00FA1755"/>
    <w:rsid w:val="00FA52D5"/>
    <w:rsid w:val="00FB0501"/>
    <w:rsid w:val="00FB2049"/>
    <w:rsid w:val="00FB2172"/>
    <w:rsid w:val="00FC745E"/>
    <w:rsid w:val="00FD1907"/>
    <w:rsid w:val="00FD21F9"/>
    <w:rsid w:val="00FE022C"/>
    <w:rsid w:val="00FE0B2C"/>
    <w:rsid w:val="00FE1F70"/>
    <w:rsid w:val="00FE26BB"/>
    <w:rsid w:val="00FE2A6B"/>
    <w:rsid w:val="00FE42AD"/>
    <w:rsid w:val="00FE55CF"/>
    <w:rsid w:val="00FF0B42"/>
    <w:rsid w:val="00FF0D47"/>
    <w:rsid w:val="00FF4B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2966C"/>
  <w15:docId w15:val="{23D36AC6-310E-6E48-A2D3-FC568E05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413C"/>
    <w:pPr>
      <w:tabs>
        <w:tab w:val="center" w:pos="4513"/>
        <w:tab w:val="right" w:pos="9026"/>
      </w:tabs>
    </w:pPr>
  </w:style>
  <w:style w:type="character" w:customStyle="1" w:styleId="FooterChar">
    <w:name w:val="Footer Char"/>
    <w:basedOn w:val="DefaultParagraphFont"/>
    <w:link w:val="Footer"/>
    <w:uiPriority w:val="99"/>
    <w:rsid w:val="00C6413C"/>
  </w:style>
  <w:style w:type="character" w:styleId="PageNumber">
    <w:name w:val="page number"/>
    <w:basedOn w:val="DefaultParagraphFont"/>
    <w:uiPriority w:val="99"/>
    <w:semiHidden/>
    <w:unhideWhenUsed/>
    <w:rsid w:val="00C6413C"/>
  </w:style>
  <w:style w:type="character" w:styleId="Hyperlink">
    <w:name w:val="Hyperlink"/>
    <w:basedOn w:val="DefaultParagraphFont"/>
    <w:uiPriority w:val="99"/>
    <w:unhideWhenUsed/>
    <w:rsid w:val="00C6413C"/>
    <w:rPr>
      <w:color w:val="0563C1" w:themeColor="hyperlink"/>
      <w:u w:val="single"/>
    </w:rPr>
  </w:style>
  <w:style w:type="character" w:customStyle="1" w:styleId="UnresolvedMention1">
    <w:name w:val="Unresolved Mention1"/>
    <w:basedOn w:val="DefaultParagraphFont"/>
    <w:uiPriority w:val="99"/>
    <w:semiHidden/>
    <w:unhideWhenUsed/>
    <w:rsid w:val="00C6413C"/>
    <w:rPr>
      <w:color w:val="605E5C"/>
      <w:shd w:val="clear" w:color="auto" w:fill="E1DFDD"/>
    </w:rPr>
  </w:style>
  <w:style w:type="character" w:styleId="FollowedHyperlink">
    <w:name w:val="FollowedHyperlink"/>
    <w:basedOn w:val="DefaultParagraphFont"/>
    <w:uiPriority w:val="99"/>
    <w:semiHidden/>
    <w:unhideWhenUsed/>
    <w:rsid w:val="00C6413C"/>
    <w:rPr>
      <w:color w:val="954F72" w:themeColor="followedHyperlink"/>
      <w:u w:val="single"/>
    </w:rPr>
  </w:style>
  <w:style w:type="paragraph" w:customStyle="1" w:styleId="EndNoteBibliography">
    <w:name w:val="EndNote Bibliography"/>
    <w:basedOn w:val="Normal"/>
    <w:link w:val="EndNoteBibliographyChar"/>
    <w:rsid w:val="00AA35CD"/>
    <w:pPr>
      <w:widowControl w:val="0"/>
      <w:spacing w:line="360" w:lineRule="auto"/>
    </w:pPr>
    <w:rPr>
      <w:rFonts w:ascii="Arial" w:eastAsia="Times New Roman" w:hAnsi="Arial" w:cs="Arial"/>
      <w:snapToGrid w:val="0"/>
      <w:lang w:val="en-US"/>
    </w:rPr>
  </w:style>
  <w:style w:type="paragraph" w:styleId="NormalWeb">
    <w:name w:val="Normal (Web)"/>
    <w:basedOn w:val="Normal"/>
    <w:uiPriority w:val="99"/>
    <w:unhideWhenUsed/>
    <w:rsid w:val="00E65043"/>
    <w:rPr>
      <w:rFonts w:ascii="Times New Roman" w:hAnsi="Times New Roman" w:cs="Times New Roman"/>
    </w:rPr>
  </w:style>
  <w:style w:type="paragraph" w:styleId="FootnoteText">
    <w:name w:val="footnote text"/>
    <w:basedOn w:val="Normal"/>
    <w:link w:val="FootnoteTextChar"/>
    <w:uiPriority w:val="99"/>
    <w:unhideWhenUsed/>
    <w:rsid w:val="00BE3767"/>
    <w:rPr>
      <w:sz w:val="20"/>
      <w:szCs w:val="20"/>
    </w:rPr>
  </w:style>
  <w:style w:type="character" w:customStyle="1" w:styleId="FootnoteTextChar">
    <w:name w:val="Footnote Text Char"/>
    <w:basedOn w:val="DefaultParagraphFont"/>
    <w:link w:val="FootnoteText"/>
    <w:uiPriority w:val="99"/>
    <w:rsid w:val="00BE3767"/>
    <w:rPr>
      <w:sz w:val="20"/>
      <w:szCs w:val="20"/>
    </w:rPr>
  </w:style>
  <w:style w:type="character" w:styleId="FootnoteReference">
    <w:name w:val="footnote reference"/>
    <w:basedOn w:val="DefaultParagraphFont"/>
    <w:uiPriority w:val="99"/>
    <w:unhideWhenUsed/>
    <w:rsid w:val="00BE3767"/>
    <w:rPr>
      <w:vertAlign w:val="superscript"/>
    </w:rPr>
  </w:style>
  <w:style w:type="paragraph" w:styleId="ListParagraph">
    <w:name w:val="List Paragraph"/>
    <w:basedOn w:val="Normal"/>
    <w:uiPriority w:val="34"/>
    <w:qFormat/>
    <w:rsid w:val="005B1EC5"/>
    <w:pPr>
      <w:spacing w:after="160" w:line="259" w:lineRule="auto"/>
      <w:ind w:left="720"/>
      <w:contextualSpacing/>
    </w:pPr>
    <w:rPr>
      <w:rFonts w:eastAsia="PMingLiU"/>
      <w:sz w:val="22"/>
      <w:szCs w:val="22"/>
      <w:lang w:eastAsia="zh-TW"/>
    </w:rPr>
  </w:style>
  <w:style w:type="paragraph" w:customStyle="1" w:styleId="xmsonormal">
    <w:name w:val="x_msonormal"/>
    <w:basedOn w:val="Normal"/>
    <w:rsid w:val="004367A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367A5"/>
  </w:style>
  <w:style w:type="character" w:customStyle="1" w:styleId="EndNoteBibliographyChar">
    <w:name w:val="EndNote Bibliography Char"/>
    <w:basedOn w:val="DefaultParagraphFont"/>
    <w:link w:val="EndNoteBibliography"/>
    <w:rsid w:val="0024451E"/>
    <w:rPr>
      <w:rFonts w:ascii="Arial" w:eastAsia="Times New Roman" w:hAnsi="Arial" w:cs="Arial"/>
      <w:snapToGrid w:val="0"/>
      <w:lang w:val="en-US"/>
    </w:rPr>
  </w:style>
  <w:style w:type="character" w:styleId="CommentReference">
    <w:name w:val="annotation reference"/>
    <w:basedOn w:val="DefaultParagraphFont"/>
    <w:uiPriority w:val="99"/>
    <w:semiHidden/>
    <w:unhideWhenUsed/>
    <w:rsid w:val="0040457D"/>
    <w:rPr>
      <w:sz w:val="16"/>
      <w:szCs w:val="16"/>
    </w:rPr>
  </w:style>
  <w:style w:type="paragraph" w:styleId="CommentText">
    <w:name w:val="annotation text"/>
    <w:basedOn w:val="Normal"/>
    <w:link w:val="CommentTextChar"/>
    <w:uiPriority w:val="99"/>
    <w:unhideWhenUsed/>
    <w:rsid w:val="0040457D"/>
    <w:rPr>
      <w:sz w:val="20"/>
      <w:szCs w:val="20"/>
    </w:rPr>
  </w:style>
  <w:style w:type="character" w:customStyle="1" w:styleId="CommentTextChar">
    <w:name w:val="Comment Text Char"/>
    <w:basedOn w:val="DefaultParagraphFont"/>
    <w:link w:val="CommentText"/>
    <w:uiPriority w:val="99"/>
    <w:rsid w:val="0040457D"/>
    <w:rPr>
      <w:sz w:val="20"/>
      <w:szCs w:val="20"/>
    </w:rPr>
  </w:style>
  <w:style w:type="paragraph" w:styleId="CommentSubject">
    <w:name w:val="annotation subject"/>
    <w:basedOn w:val="CommentText"/>
    <w:next w:val="CommentText"/>
    <w:link w:val="CommentSubjectChar"/>
    <w:uiPriority w:val="99"/>
    <w:semiHidden/>
    <w:unhideWhenUsed/>
    <w:rsid w:val="0040457D"/>
    <w:rPr>
      <w:b/>
      <w:bCs/>
    </w:rPr>
  </w:style>
  <w:style w:type="character" w:customStyle="1" w:styleId="CommentSubjectChar">
    <w:name w:val="Comment Subject Char"/>
    <w:basedOn w:val="CommentTextChar"/>
    <w:link w:val="CommentSubject"/>
    <w:uiPriority w:val="99"/>
    <w:semiHidden/>
    <w:rsid w:val="0040457D"/>
    <w:rPr>
      <w:b/>
      <w:bCs/>
      <w:sz w:val="20"/>
      <w:szCs w:val="20"/>
    </w:rPr>
  </w:style>
  <w:style w:type="paragraph" w:styleId="Revision">
    <w:name w:val="Revision"/>
    <w:hidden/>
    <w:uiPriority w:val="99"/>
    <w:semiHidden/>
    <w:rsid w:val="00D53302"/>
  </w:style>
  <w:style w:type="paragraph" w:styleId="BalloonText">
    <w:name w:val="Balloon Text"/>
    <w:basedOn w:val="Normal"/>
    <w:link w:val="BalloonTextChar"/>
    <w:uiPriority w:val="99"/>
    <w:semiHidden/>
    <w:unhideWhenUsed/>
    <w:rsid w:val="006D5F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FEA"/>
    <w:rPr>
      <w:rFonts w:ascii="Segoe UI" w:hAnsi="Segoe UI" w:cs="Segoe UI"/>
      <w:sz w:val="18"/>
      <w:szCs w:val="18"/>
    </w:rPr>
  </w:style>
  <w:style w:type="character" w:styleId="Emphasis">
    <w:name w:val="Emphasis"/>
    <w:basedOn w:val="DefaultParagraphFont"/>
    <w:uiPriority w:val="20"/>
    <w:qFormat/>
    <w:rsid w:val="00661654"/>
    <w:rPr>
      <w:i/>
      <w:iCs/>
    </w:rPr>
  </w:style>
  <w:style w:type="character" w:customStyle="1" w:styleId="authors">
    <w:name w:val="authors"/>
    <w:basedOn w:val="DefaultParagraphFont"/>
    <w:rsid w:val="00661654"/>
  </w:style>
  <w:style w:type="character" w:customStyle="1" w:styleId="Date1">
    <w:name w:val="Date1"/>
    <w:basedOn w:val="DefaultParagraphFont"/>
    <w:rsid w:val="00661654"/>
  </w:style>
  <w:style w:type="character" w:customStyle="1" w:styleId="arttitle">
    <w:name w:val="art_title"/>
    <w:basedOn w:val="DefaultParagraphFont"/>
    <w:rsid w:val="00661654"/>
  </w:style>
  <w:style w:type="character" w:customStyle="1" w:styleId="serialtitle">
    <w:name w:val="serial_title"/>
    <w:basedOn w:val="DefaultParagraphFont"/>
    <w:rsid w:val="00661654"/>
  </w:style>
  <w:style w:type="character" w:customStyle="1" w:styleId="volumeissue">
    <w:name w:val="volume_issue"/>
    <w:basedOn w:val="DefaultParagraphFont"/>
    <w:rsid w:val="00661654"/>
  </w:style>
  <w:style w:type="character" w:customStyle="1" w:styleId="pagerange">
    <w:name w:val="page_range"/>
    <w:basedOn w:val="DefaultParagraphFont"/>
    <w:rsid w:val="00661654"/>
  </w:style>
  <w:style w:type="character" w:customStyle="1" w:styleId="doilink">
    <w:name w:val="doi_link"/>
    <w:basedOn w:val="DefaultParagraphFont"/>
    <w:rsid w:val="00661654"/>
  </w:style>
  <w:style w:type="character" w:customStyle="1" w:styleId="Date2">
    <w:name w:val="Date2"/>
    <w:basedOn w:val="DefaultParagraphFont"/>
    <w:rsid w:val="00661654"/>
  </w:style>
  <w:style w:type="character" w:customStyle="1" w:styleId="s3">
    <w:name w:val="s3"/>
    <w:basedOn w:val="DefaultParagraphFont"/>
    <w:rsid w:val="003D4325"/>
  </w:style>
  <w:style w:type="character" w:customStyle="1" w:styleId="s48">
    <w:name w:val="s48"/>
    <w:basedOn w:val="DefaultParagraphFont"/>
    <w:rsid w:val="003D4325"/>
  </w:style>
  <w:style w:type="character" w:customStyle="1" w:styleId="s49">
    <w:name w:val="s49"/>
    <w:basedOn w:val="DefaultParagraphFont"/>
    <w:rsid w:val="003D4325"/>
  </w:style>
  <w:style w:type="character" w:customStyle="1" w:styleId="bkciteavail">
    <w:name w:val="bk_cite_avail"/>
    <w:basedOn w:val="DefaultParagraphFont"/>
    <w:rsid w:val="003E3966"/>
  </w:style>
  <w:style w:type="character" w:customStyle="1" w:styleId="author">
    <w:name w:val="author"/>
    <w:basedOn w:val="DefaultParagraphFont"/>
    <w:rsid w:val="001D5950"/>
  </w:style>
  <w:style w:type="character" w:customStyle="1" w:styleId="pubyear">
    <w:name w:val="pubyear"/>
    <w:basedOn w:val="DefaultParagraphFont"/>
    <w:rsid w:val="001D5950"/>
  </w:style>
  <w:style w:type="character" w:customStyle="1" w:styleId="booktitle">
    <w:name w:val="booktitle"/>
    <w:basedOn w:val="DefaultParagraphFont"/>
    <w:rsid w:val="001D5950"/>
  </w:style>
  <w:style w:type="character" w:customStyle="1" w:styleId="s16">
    <w:name w:val="s16"/>
    <w:basedOn w:val="DefaultParagraphFont"/>
    <w:rsid w:val="00682F6C"/>
  </w:style>
  <w:style w:type="character" w:customStyle="1" w:styleId="s17">
    <w:name w:val="s17"/>
    <w:basedOn w:val="DefaultParagraphFont"/>
    <w:rsid w:val="00682F6C"/>
  </w:style>
  <w:style w:type="paragraph" w:styleId="EndnoteText">
    <w:name w:val="endnote text"/>
    <w:basedOn w:val="Normal"/>
    <w:link w:val="EndnoteTextChar"/>
    <w:uiPriority w:val="99"/>
    <w:unhideWhenUsed/>
    <w:rsid w:val="00D06899"/>
    <w:rPr>
      <w:sz w:val="20"/>
      <w:szCs w:val="20"/>
    </w:rPr>
  </w:style>
  <w:style w:type="character" w:customStyle="1" w:styleId="EndnoteTextChar">
    <w:name w:val="Endnote Text Char"/>
    <w:basedOn w:val="DefaultParagraphFont"/>
    <w:link w:val="EndnoteText"/>
    <w:uiPriority w:val="99"/>
    <w:rsid w:val="00D06899"/>
    <w:rPr>
      <w:sz w:val="20"/>
      <w:szCs w:val="20"/>
    </w:rPr>
  </w:style>
  <w:style w:type="character" w:styleId="EndnoteReference">
    <w:name w:val="endnote reference"/>
    <w:basedOn w:val="DefaultParagraphFont"/>
    <w:uiPriority w:val="99"/>
    <w:semiHidden/>
    <w:unhideWhenUsed/>
    <w:rsid w:val="00D06899"/>
    <w:rPr>
      <w:vertAlign w:val="superscript"/>
    </w:rPr>
  </w:style>
  <w:style w:type="character" w:customStyle="1" w:styleId="UnresolvedMention2">
    <w:name w:val="Unresolved Mention2"/>
    <w:basedOn w:val="DefaultParagraphFont"/>
    <w:uiPriority w:val="99"/>
    <w:semiHidden/>
    <w:unhideWhenUsed/>
    <w:rsid w:val="0060190B"/>
    <w:rPr>
      <w:color w:val="605E5C"/>
      <w:shd w:val="clear" w:color="auto" w:fill="E1DFDD"/>
    </w:rPr>
  </w:style>
  <w:style w:type="paragraph" w:styleId="Header">
    <w:name w:val="header"/>
    <w:basedOn w:val="Normal"/>
    <w:link w:val="HeaderChar"/>
    <w:uiPriority w:val="99"/>
    <w:unhideWhenUsed/>
    <w:rsid w:val="001179C2"/>
    <w:pPr>
      <w:tabs>
        <w:tab w:val="center" w:pos="4513"/>
        <w:tab w:val="right" w:pos="9026"/>
      </w:tabs>
    </w:pPr>
  </w:style>
  <w:style w:type="character" w:customStyle="1" w:styleId="HeaderChar">
    <w:name w:val="Header Char"/>
    <w:basedOn w:val="DefaultParagraphFont"/>
    <w:link w:val="Header"/>
    <w:uiPriority w:val="99"/>
    <w:rsid w:val="0011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9380">
      <w:bodyDiv w:val="1"/>
      <w:marLeft w:val="0"/>
      <w:marRight w:val="0"/>
      <w:marTop w:val="0"/>
      <w:marBottom w:val="0"/>
      <w:divBdr>
        <w:top w:val="none" w:sz="0" w:space="0" w:color="auto"/>
        <w:left w:val="none" w:sz="0" w:space="0" w:color="auto"/>
        <w:bottom w:val="none" w:sz="0" w:space="0" w:color="auto"/>
        <w:right w:val="none" w:sz="0" w:space="0" w:color="auto"/>
      </w:divBdr>
    </w:div>
    <w:div w:id="29693433">
      <w:bodyDiv w:val="1"/>
      <w:marLeft w:val="0"/>
      <w:marRight w:val="0"/>
      <w:marTop w:val="0"/>
      <w:marBottom w:val="0"/>
      <w:divBdr>
        <w:top w:val="none" w:sz="0" w:space="0" w:color="auto"/>
        <w:left w:val="none" w:sz="0" w:space="0" w:color="auto"/>
        <w:bottom w:val="none" w:sz="0" w:space="0" w:color="auto"/>
        <w:right w:val="none" w:sz="0" w:space="0" w:color="auto"/>
      </w:divBdr>
      <w:divsChild>
        <w:div w:id="1465006858">
          <w:marLeft w:val="0"/>
          <w:marRight w:val="0"/>
          <w:marTop w:val="0"/>
          <w:marBottom w:val="0"/>
          <w:divBdr>
            <w:top w:val="none" w:sz="0" w:space="0" w:color="auto"/>
            <w:left w:val="none" w:sz="0" w:space="0" w:color="auto"/>
            <w:bottom w:val="none" w:sz="0" w:space="0" w:color="auto"/>
            <w:right w:val="none" w:sz="0" w:space="0" w:color="auto"/>
          </w:divBdr>
          <w:divsChild>
            <w:div w:id="621422160">
              <w:marLeft w:val="0"/>
              <w:marRight w:val="0"/>
              <w:marTop w:val="0"/>
              <w:marBottom w:val="0"/>
              <w:divBdr>
                <w:top w:val="none" w:sz="0" w:space="0" w:color="auto"/>
                <w:left w:val="none" w:sz="0" w:space="0" w:color="auto"/>
                <w:bottom w:val="none" w:sz="0" w:space="0" w:color="auto"/>
                <w:right w:val="none" w:sz="0" w:space="0" w:color="auto"/>
              </w:divBdr>
              <w:divsChild>
                <w:div w:id="9559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2204">
      <w:bodyDiv w:val="1"/>
      <w:marLeft w:val="0"/>
      <w:marRight w:val="0"/>
      <w:marTop w:val="0"/>
      <w:marBottom w:val="0"/>
      <w:divBdr>
        <w:top w:val="none" w:sz="0" w:space="0" w:color="auto"/>
        <w:left w:val="none" w:sz="0" w:space="0" w:color="auto"/>
        <w:bottom w:val="none" w:sz="0" w:space="0" w:color="auto"/>
        <w:right w:val="none" w:sz="0" w:space="0" w:color="auto"/>
      </w:divBdr>
      <w:divsChild>
        <w:div w:id="226189682">
          <w:marLeft w:val="0"/>
          <w:marRight w:val="0"/>
          <w:marTop w:val="0"/>
          <w:marBottom w:val="0"/>
          <w:divBdr>
            <w:top w:val="none" w:sz="0" w:space="0" w:color="auto"/>
            <w:left w:val="none" w:sz="0" w:space="0" w:color="auto"/>
            <w:bottom w:val="none" w:sz="0" w:space="0" w:color="auto"/>
            <w:right w:val="none" w:sz="0" w:space="0" w:color="auto"/>
          </w:divBdr>
          <w:divsChild>
            <w:div w:id="728579123">
              <w:marLeft w:val="0"/>
              <w:marRight w:val="0"/>
              <w:marTop w:val="0"/>
              <w:marBottom w:val="0"/>
              <w:divBdr>
                <w:top w:val="none" w:sz="0" w:space="0" w:color="auto"/>
                <w:left w:val="none" w:sz="0" w:space="0" w:color="auto"/>
                <w:bottom w:val="none" w:sz="0" w:space="0" w:color="auto"/>
                <w:right w:val="none" w:sz="0" w:space="0" w:color="auto"/>
              </w:divBdr>
              <w:divsChild>
                <w:div w:id="2059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410">
      <w:bodyDiv w:val="1"/>
      <w:marLeft w:val="0"/>
      <w:marRight w:val="0"/>
      <w:marTop w:val="0"/>
      <w:marBottom w:val="0"/>
      <w:divBdr>
        <w:top w:val="none" w:sz="0" w:space="0" w:color="auto"/>
        <w:left w:val="none" w:sz="0" w:space="0" w:color="auto"/>
        <w:bottom w:val="none" w:sz="0" w:space="0" w:color="auto"/>
        <w:right w:val="none" w:sz="0" w:space="0" w:color="auto"/>
      </w:divBdr>
      <w:divsChild>
        <w:div w:id="1000625478">
          <w:marLeft w:val="0"/>
          <w:marRight w:val="0"/>
          <w:marTop w:val="0"/>
          <w:marBottom w:val="0"/>
          <w:divBdr>
            <w:top w:val="none" w:sz="0" w:space="0" w:color="auto"/>
            <w:left w:val="none" w:sz="0" w:space="0" w:color="auto"/>
            <w:bottom w:val="none" w:sz="0" w:space="0" w:color="auto"/>
            <w:right w:val="none" w:sz="0" w:space="0" w:color="auto"/>
          </w:divBdr>
          <w:divsChild>
            <w:div w:id="1471946989">
              <w:marLeft w:val="0"/>
              <w:marRight w:val="0"/>
              <w:marTop w:val="0"/>
              <w:marBottom w:val="0"/>
              <w:divBdr>
                <w:top w:val="none" w:sz="0" w:space="0" w:color="auto"/>
                <w:left w:val="none" w:sz="0" w:space="0" w:color="auto"/>
                <w:bottom w:val="none" w:sz="0" w:space="0" w:color="auto"/>
                <w:right w:val="none" w:sz="0" w:space="0" w:color="auto"/>
              </w:divBdr>
              <w:divsChild>
                <w:div w:id="20406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1222">
      <w:bodyDiv w:val="1"/>
      <w:marLeft w:val="0"/>
      <w:marRight w:val="0"/>
      <w:marTop w:val="0"/>
      <w:marBottom w:val="0"/>
      <w:divBdr>
        <w:top w:val="none" w:sz="0" w:space="0" w:color="auto"/>
        <w:left w:val="none" w:sz="0" w:space="0" w:color="auto"/>
        <w:bottom w:val="none" w:sz="0" w:space="0" w:color="auto"/>
        <w:right w:val="none" w:sz="0" w:space="0" w:color="auto"/>
      </w:divBdr>
      <w:divsChild>
        <w:div w:id="153424247">
          <w:marLeft w:val="0"/>
          <w:marRight w:val="0"/>
          <w:marTop w:val="0"/>
          <w:marBottom w:val="0"/>
          <w:divBdr>
            <w:top w:val="none" w:sz="0" w:space="0" w:color="auto"/>
            <w:left w:val="none" w:sz="0" w:space="0" w:color="auto"/>
            <w:bottom w:val="none" w:sz="0" w:space="0" w:color="auto"/>
            <w:right w:val="none" w:sz="0" w:space="0" w:color="auto"/>
          </w:divBdr>
          <w:divsChild>
            <w:div w:id="1080565135">
              <w:marLeft w:val="0"/>
              <w:marRight w:val="0"/>
              <w:marTop w:val="0"/>
              <w:marBottom w:val="0"/>
              <w:divBdr>
                <w:top w:val="none" w:sz="0" w:space="0" w:color="auto"/>
                <w:left w:val="none" w:sz="0" w:space="0" w:color="auto"/>
                <w:bottom w:val="none" w:sz="0" w:space="0" w:color="auto"/>
                <w:right w:val="none" w:sz="0" w:space="0" w:color="auto"/>
              </w:divBdr>
              <w:divsChild>
                <w:div w:id="1796554992">
                  <w:marLeft w:val="0"/>
                  <w:marRight w:val="0"/>
                  <w:marTop w:val="0"/>
                  <w:marBottom w:val="0"/>
                  <w:divBdr>
                    <w:top w:val="none" w:sz="0" w:space="0" w:color="auto"/>
                    <w:left w:val="none" w:sz="0" w:space="0" w:color="auto"/>
                    <w:bottom w:val="none" w:sz="0" w:space="0" w:color="auto"/>
                    <w:right w:val="none" w:sz="0" w:space="0" w:color="auto"/>
                  </w:divBdr>
                  <w:divsChild>
                    <w:div w:id="15102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120531">
      <w:bodyDiv w:val="1"/>
      <w:marLeft w:val="0"/>
      <w:marRight w:val="0"/>
      <w:marTop w:val="0"/>
      <w:marBottom w:val="0"/>
      <w:divBdr>
        <w:top w:val="none" w:sz="0" w:space="0" w:color="auto"/>
        <w:left w:val="none" w:sz="0" w:space="0" w:color="auto"/>
        <w:bottom w:val="none" w:sz="0" w:space="0" w:color="auto"/>
        <w:right w:val="none" w:sz="0" w:space="0" w:color="auto"/>
      </w:divBdr>
    </w:div>
    <w:div w:id="256332871">
      <w:bodyDiv w:val="1"/>
      <w:marLeft w:val="0"/>
      <w:marRight w:val="0"/>
      <w:marTop w:val="0"/>
      <w:marBottom w:val="0"/>
      <w:divBdr>
        <w:top w:val="none" w:sz="0" w:space="0" w:color="auto"/>
        <w:left w:val="none" w:sz="0" w:space="0" w:color="auto"/>
        <w:bottom w:val="none" w:sz="0" w:space="0" w:color="auto"/>
        <w:right w:val="none" w:sz="0" w:space="0" w:color="auto"/>
      </w:divBdr>
      <w:divsChild>
        <w:div w:id="244076163">
          <w:marLeft w:val="0"/>
          <w:marRight w:val="0"/>
          <w:marTop w:val="0"/>
          <w:marBottom w:val="0"/>
          <w:divBdr>
            <w:top w:val="none" w:sz="0" w:space="0" w:color="auto"/>
            <w:left w:val="none" w:sz="0" w:space="0" w:color="auto"/>
            <w:bottom w:val="none" w:sz="0" w:space="0" w:color="auto"/>
            <w:right w:val="none" w:sz="0" w:space="0" w:color="auto"/>
          </w:divBdr>
          <w:divsChild>
            <w:div w:id="830566395">
              <w:marLeft w:val="0"/>
              <w:marRight w:val="0"/>
              <w:marTop w:val="0"/>
              <w:marBottom w:val="0"/>
              <w:divBdr>
                <w:top w:val="none" w:sz="0" w:space="0" w:color="auto"/>
                <w:left w:val="none" w:sz="0" w:space="0" w:color="auto"/>
                <w:bottom w:val="none" w:sz="0" w:space="0" w:color="auto"/>
                <w:right w:val="none" w:sz="0" w:space="0" w:color="auto"/>
              </w:divBdr>
              <w:divsChild>
                <w:div w:id="490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9688">
      <w:bodyDiv w:val="1"/>
      <w:marLeft w:val="0"/>
      <w:marRight w:val="0"/>
      <w:marTop w:val="0"/>
      <w:marBottom w:val="0"/>
      <w:divBdr>
        <w:top w:val="none" w:sz="0" w:space="0" w:color="auto"/>
        <w:left w:val="none" w:sz="0" w:space="0" w:color="auto"/>
        <w:bottom w:val="none" w:sz="0" w:space="0" w:color="auto"/>
        <w:right w:val="none" w:sz="0" w:space="0" w:color="auto"/>
      </w:divBdr>
    </w:div>
    <w:div w:id="435180169">
      <w:bodyDiv w:val="1"/>
      <w:marLeft w:val="0"/>
      <w:marRight w:val="0"/>
      <w:marTop w:val="0"/>
      <w:marBottom w:val="0"/>
      <w:divBdr>
        <w:top w:val="none" w:sz="0" w:space="0" w:color="auto"/>
        <w:left w:val="none" w:sz="0" w:space="0" w:color="auto"/>
        <w:bottom w:val="none" w:sz="0" w:space="0" w:color="auto"/>
        <w:right w:val="none" w:sz="0" w:space="0" w:color="auto"/>
      </w:divBdr>
      <w:divsChild>
        <w:div w:id="245000520">
          <w:marLeft w:val="-15"/>
          <w:marRight w:val="-15"/>
          <w:marTop w:val="0"/>
          <w:marBottom w:val="0"/>
          <w:divBdr>
            <w:top w:val="none" w:sz="0" w:space="0" w:color="auto"/>
            <w:left w:val="none" w:sz="0" w:space="0" w:color="auto"/>
            <w:bottom w:val="none" w:sz="0" w:space="0" w:color="auto"/>
            <w:right w:val="none" w:sz="0" w:space="0" w:color="auto"/>
          </w:divBdr>
        </w:div>
        <w:div w:id="2030720106">
          <w:marLeft w:val="0"/>
          <w:marRight w:val="0"/>
          <w:marTop w:val="0"/>
          <w:marBottom w:val="0"/>
          <w:divBdr>
            <w:top w:val="none" w:sz="0" w:space="0" w:color="auto"/>
            <w:left w:val="none" w:sz="0" w:space="0" w:color="auto"/>
            <w:bottom w:val="none" w:sz="0" w:space="0" w:color="auto"/>
            <w:right w:val="none" w:sz="0" w:space="0" w:color="auto"/>
          </w:divBdr>
          <w:divsChild>
            <w:div w:id="5513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01624">
      <w:bodyDiv w:val="1"/>
      <w:marLeft w:val="0"/>
      <w:marRight w:val="0"/>
      <w:marTop w:val="0"/>
      <w:marBottom w:val="0"/>
      <w:divBdr>
        <w:top w:val="none" w:sz="0" w:space="0" w:color="auto"/>
        <w:left w:val="none" w:sz="0" w:space="0" w:color="auto"/>
        <w:bottom w:val="none" w:sz="0" w:space="0" w:color="auto"/>
        <w:right w:val="none" w:sz="0" w:space="0" w:color="auto"/>
      </w:divBdr>
      <w:divsChild>
        <w:div w:id="335888079">
          <w:marLeft w:val="0"/>
          <w:marRight w:val="0"/>
          <w:marTop w:val="0"/>
          <w:marBottom w:val="0"/>
          <w:divBdr>
            <w:top w:val="none" w:sz="0" w:space="0" w:color="auto"/>
            <w:left w:val="none" w:sz="0" w:space="0" w:color="auto"/>
            <w:bottom w:val="none" w:sz="0" w:space="0" w:color="auto"/>
            <w:right w:val="none" w:sz="0" w:space="0" w:color="auto"/>
          </w:divBdr>
          <w:divsChild>
            <w:div w:id="2105150509">
              <w:marLeft w:val="0"/>
              <w:marRight w:val="0"/>
              <w:marTop w:val="0"/>
              <w:marBottom w:val="0"/>
              <w:divBdr>
                <w:top w:val="none" w:sz="0" w:space="0" w:color="auto"/>
                <w:left w:val="none" w:sz="0" w:space="0" w:color="auto"/>
                <w:bottom w:val="none" w:sz="0" w:space="0" w:color="auto"/>
                <w:right w:val="none" w:sz="0" w:space="0" w:color="auto"/>
              </w:divBdr>
              <w:divsChild>
                <w:div w:id="479344877">
                  <w:marLeft w:val="0"/>
                  <w:marRight w:val="0"/>
                  <w:marTop w:val="0"/>
                  <w:marBottom w:val="0"/>
                  <w:divBdr>
                    <w:top w:val="none" w:sz="0" w:space="0" w:color="auto"/>
                    <w:left w:val="none" w:sz="0" w:space="0" w:color="auto"/>
                    <w:bottom w:val="none" w:sz="0" w:space="0" w:color="auto"/>
                    <w:right w:val="none" w:sz="0" w:space="0" w:color="auto"/>
                  </w:divBdr>
                  <w:divsChild>
                    <w:div w:id="5974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82700">
      <w:bodyDiv w:val="1"/>
      <w:marLeft w:val="0"/>
      <w:marRight w:val="0"/>
      <w:marTop w:val="0"/>
      <w:marBottom w:val="0"/>
      <w:divBdr>
        <w:top w:val="none" w:sz="0" w:space="0" w:color="auto"/>
        <w:left w:val="none" w:sz="0" w:space="0" w:color="auto"/>
        <w:bottom w:val="none" w:sz="0" w:space="0" w:color="auto"/>
        <w:right w:val="none" w:sz="0" w:space="0" w:color="auto"/>
      </w:divBdr>
      <w:divsChild>
        <w:div w:id="256063312">
          <w:marLeft w:val="0"/>
          <w:marRight w:val="0"/>
          <w:marTop w:val="0"/>
          <w:marBottom w:val="0"/>
          <w:divBdr>
            <w:top w:val="none" w:sz="0" w:space="0" w:color="auto"/>
            <w:left w:val="none" w:sz="0" w:space="0" w:color="auto"/>
            <w:bottom w:val="none" w:sz="0" w:space="0" w:color="auto"/>
            <w:right w:val="none" w:sz="0" w:space="0" w:color="auto"/>
          </w:divBdr>
          <w:divsChild>
            <w:div w:id="1337418919">
              <w:marLeft w:val="0"/>
              <w:marRight w:val="0"/>
              <w:marTop w:val="0"/>
              <w:marBottom w:val="0"/>
              <w:divBdr>
                <w:top w:val="none" w:sz="0" w:space="0" w:color="auto"/>
                <w:left w:val="none" w:sz="0" w:space="0" w:color="auto"/>
                <w:bottom w:val="none" w:sz="0" w:space="0" w:color="auto"/>
                <w:right w:val="none" w:sz="0" w:space="0" w:color="auto"/>
              </w:divBdr>
              <w:divsChild>
                <w:div w:id="1358848980">
                  <w:marLeft w:val="0"/>
                  <w:marRight w:val="0"/>
                  <w:marTop w:val="0"/>
                  <w:marBottom w:val="0"/>
                  <w:divBdr>
                    <w:top w:val="none" w:sz="0" w:space="0" w:color="auto"/>
                    <w:left w:val="none" w:sz="0" w:space="0" w:color="auto"/>
                    <w:bottom w:val="none" w:sz="0" w:space="0" w:color="auto"/>
                    <w:right w:val="none" w:sz="0" w:space="0" w:color="auto"/>
                  </w:divBdr>
                  <w:divsChild>
                    <w:div w:id="14110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80446">
      <w:bodyDiv w:val="1"/>
      <w:marLeft w:val="0"/>
      <w:marRight w:val="0"/>
      <w:marTop w:val="0"/>
      <w:marBottom w:val="0"/>
      <w:divBdr>
        <w:top w:val="none" w:sz="0" w:space="0" w:color="auto"/>
        <w:left w:val="none" w:sz="0" w:space="0" w:color="auto"/>
        <w:bottom w:val="none" w:sz="0" w:space="0" w:color="auto"/>
        <w:right w:val="none" w:sz="0" w:space="0" w:color="auto"/>
      </w:divBdr>
      <w:divsChild>
        <w:div w:id="2096051325">
          <w:marLeft w:val="0"/>
          <w:marRight w:val="0"/>
          <w:marTop w:val="0"/>
          <w:marBottom w:val="0"/>
          <w:divBdr>
            <w:top w:val="none" w:sz="0" w:space="0" w:color="auto"/>
            <w:left w:val="none" w:sz="0" w:space="0" w:color="auto"/>
            <w:bottom w:val="none" w:sz="0" w:space="0" w:color="auto"/>
            <w:right w:val="none" w:sz="0" w:space="0" w:color="auto"/>
          </w:divBdr>
          <w:divsChild>
            <w:div w:id="1861771711">
              <w:marLeft w:val="0"/>
              <w:marRight w:val="0"/>
              <w:marTop w:val="0"/>
              <w:marBottom w:val="0"/>
              <w:divBdr>
                <w:top w:val="none" w:sz="0" w:space="0" w:color="auto"/>
                <w:left w:val="none" w:sz="0" w:space="0" w:color="auto"/>
                <w:bottom w:val="none" w:sz="0" w:space="0" w:color="auto"/>
                <w:right w:val="none" w:sz="0" w:space="0" w:color="auto"/>
              </w:divBdr>
              <w:divsChild>
                <w:div w:id="12993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97481">
      <w:bodyDiv w:val="1"/>
      <w:marLeft w:val="0"/>
      <w:marRight w:val="0"/>
      <w:marTop w:val="0"/>
      <w:marBottom w:val="0"/>
      <w:divBdr>
        <w:top w:val="none" w:sz="0" w:space="0" w:color="auto"/>
        <w:left w:val="none" w:sz="0" w:space="0" w:color="auto"/>
        <w:bottom w:val="none" w:sz="0" w:space="0" w:color="auto"/>
        <w:right w:val="none" w:sz="0" w:space="0" w:color="auto"/>
      </w:divBdr>
      <w:divsChild>
        <w:div w:id="32581479">
          <w:marLeft w:val="0"/>
          <w:marRight w:val="0"/>
          <w:marTop w:val="0"/>
          <w:marBottom w:val="0"/>
          <w:divBdr>
            <w:top w:val="none" w:sz="0" w:space="0" w:color="auto"/>
            <w:left w:val="none" w:sz="0" w:space="0" w:color="auto"/>
            <w:bottom w:val="none" w:sz="0" w:space="0" w:color="auto"/>
            <w:right w:val="none" w:sz="0" w:space="0" w:color="auto"/>
          </w:divBdr>
          <w:divsChild>
            <w:div w:id="250238882">
              <w:marLeft w:val="0"/>
              <w:marRight w:val="0"/>
              <w:marTop w:val="0"/>
              <w:marBottom w:val="0"/>
              <w:divBdr>
                <w:top w:val="none" w:sz="0" w:space="0" w:color="auto"/>
                <w:left w:val="none" w:sz="0" w:space="0" w:color="auto"/>
                <w:bottom w:val="none" w:sz="0" w:space="0" w:color="auto"/>
                <w:right w:val="none" w:sz="0" w:space="0" w:color="auto"/>
              </w:divBdr>
              <w:divsChild>
                <w:div w:id="1352684457">
                  <w:marLeft w:val="0"/>
                  <w:marRight w:val="0"/>
                  <w:marTop w:val="0"/>
                  <w:marBottom w:val="0"/>
                  <w:divBdr>
                    <w:top w:val="none" w:sz="0" w:space="0" w:color="auto"/>
                    <w:left w:val="none" w:sz="0" w:space="0" w:color="auto"/>
                    <w:bottom w:val="none" w:sz="0" w:space="0" w:color="auto"/>
                    <w:right w:val="none" w:sz="0" w:space="0" w:color="auto"/>
                  </w:divBdr>
                  <w:divsChild>
                    <w:div w:id="10269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456976">
      <w:bodyDiv w:val="1"/>
      <w:marLeft w:val="0"/>
      <w:marRight w:val="0"/>
      <w:marTop w:val="0"/>
      <w:marBottom w:val="0"/>
      <w:divBdr>
        <w:top w:val="none" w:sz="0" w:space="0" w:color="auto"/>
        <w:left w:val="none" w:sz="0" w:space="0" w:color="auto"/>
        <w:bottom w:val="none" w:sz="0" w:space="0" w:color="auto"/>
        <w:right w:val="none" w:sz="0" w:space="0" w:color="auto"/>
      </w:divBdr>
      <w:divsChild>
        <w:div w:id="1268847772">
          <w:marLeft w:val="0"/>
          <w:marRight w:val="0"/>
          <w:marTop w:val="0"/>
          <w:marBottom w:val="0"/>
          <w:divBdr>
            <w:top w:val="none" w:sz="0" w:space="0" w:color="auto"/>
            <w:left w:val="none" w:sz="0" w:space="0" w:color="auto"/>
            <w:bottom w:val="none" w:sz="0" w:space="0" w:color="auto"/>
            <w:right w:val="none" w:sz="0" w:space="0" w:color="auto"/>
          </w:divBdr>
          <w:divsChild>
            <w:div w:id="1746142947">
              <w:marLeft w:val="0"/>
              <w:marRight w:val="0"/>
              <w:marTop w:val="0"/>
              <w:marBottom w:val="0"/>
              <w:divBdr>
                <w:top w:val="none" w:sz="0" w:space="0" w:color="auto"/>
                <w:left w:val="none" w:sz="0" w:space="0" w:color="auto"/>
                <w:bottom w:val="none" w:sz="0" w:space="0" w:color="auto"/>
                <w:right w:val="none" w:sz="0" w:space="0" w:color="auto"/>
              </w:divBdr>
              <w:divsChild>
                <w:div w:id="5364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06296">
      <w:bodyDiv w:val="1"/>
      <w:marLeft w:val="0"/>
      <w:marRight w:val="0"/>
      <w:marTop w:val="0"/>
      <w:marBottom w:val="0"/>
      <w:divBdr>
        <w:top w:val="none" w:sz="0" w:space="0" w:color="auto"/>
        <w:left w:val="none" w:sz="0" w:space="0" w:color="auto"/>
        <w:bottom w:val="none" w:sz="0" w:space="0" w:color="auto"/>
        <w:right w:val="none" w:sz="0" w:space="0" w:color="auto"/>
      </w:divBdr>
      <w:divsChild>
        <w:div w:id="1925189788">
          <w:marLeft w:val="0"/>
          <w:marRight w:val="0"/>
          <w:marTop w:val="0"/>
          <w:marBottom w:val="0"/>
          <w:divBdr>
            <w:top w:val="none" w:sz="0" w:space="0" w:color="auto"/>
            <w:left w:val="none" w:sz="0" w:space="0" w:color="auto"/>
            <w:bottom w:val="none" w:sz="0" w:space="0" w:color="auto"/>
            <w:right w:val="none" w:sz="0" w:space="0" w:color="auto"/>
          </w:divBdr>
          <w:divsChild>
            <w:div w:id="1022517608">
              <w:marLeft w:val="0"/>
              <w:marRight w:val="0"/>
              <w:marTop w:val="0"/>
              <w:marBottom w:val="0"/>
              <w:divBdr>
                <w:top w:val="none" w:sz="0" w:space="0" w:color="auto"/>
                <w:left w:val="none" w:sz="0" w:space="0" w:color="auto"/>
                <w:bottom w:val="none" w:sz="0" w:space="0" w:color="auto"/>
                <w:right w:val="none" w:sz="0" w:space="0" w:color="auto"/>
              </w:divBdr>
              <w:divsChild>
                <w:div w:id="5506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0952">
      <w:bodyDiv w:val="1"/>
      <w:marLeft w:val="0"/>
      <w:marRight w:val="0"/>
      <w:marTop w:val="0"/>
      <w:marBottom w:val="0"/>
      <w:divBdr>
        <w:top w:val="none" w:sz="0" w:space="0" w:color="auto"/>
        <w:left w:val="none" w:sz="0" w:space="0" w:color="auto"/>
        <w:bottom w:val="none" w:sz="0" w:space="0" w:color="auto"/>
        <w:right w:val="none" w:sz="0" w:space="0" w:color="auto"/>
      </w:divBdr>
      <w:divsChild>
        <w:div w:id="548952505">
          <w:marLeft w:val="0"/>
          <w:marRight w:val="0"/>
          <w:marTop w:val="0"/>
          <w:marBottom w:val="0"/>
          <w:divBdr>
            <w:top w:val="none" w:sz="0" w:space="0" w:color="auto"/>
            <w:left w:val="none" w:sz="0" w:space="0" w:color="auto"/>
            <w:bottom w:val="none" w:sz="0" w:space="0" w:color="auto"/>
            <w:right w:val="none" w:sz="0" w:space="0" w:color="auto"/>
          </w:divBdr>
          <w:divsChild>
            <w:div w:id="956447776">
              <w:marLeft w:val="0"/>
              <w:marRight w:val="0"/>
              <w:marTop w:val="0"/>
              <w:marBottom w:val="0"/>
              <w:divBdr>
                <w:top w:val="none" w:sz="0" w:space="0" w:color="auto"/>
                <w:left w:val="none" w:sz="0" w:space="0" w:color="auto"/>
                <w:bottom w:val="none" w:sz="0" w:space="0" w:color="auto"/>
                <w:right w:val="none" w:sz="0" w:space="0" w:color="auto"/>
              </w:divBdr>
              <w:divsChild>
                <w:div w:id="17193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94545">
      <w:bodyDiv w:val="1"/>
      <w:marLeft w:val="0"/>
      <w:marRight w:val="0"/>
      <w:marTop w:val="0"/>
      <w:marBottom w:val="0"/>
      <w:divBdr>
        <w:top w:val="none" w:sz="0" w:space="0" w:color="auto"/>
        <w:left w:val="none" w:sz="0" w:space="0" w:color="auto"/>
        <w:bottom w:val="none" w:sz="0" w:space="0" w:color="auto"/>
        <w:right w:val="none" w:sz="0" w:space="0" w:color="auto"/>
      </w:divBdr>
    </w:div>
    <w:div w:id="781144670">
      <w:bodyDiv w:val="1"/>
      <w:marLeft w:val="0"/>
      <w:marRight w:val="0"/>
      <w:marTop w:val="0"/>
      <w:marBottom w:val="0"/>
      <w:divBdr>
        <w:top w:val="none" w:sz="0" w:space="0" w:color="auto"/>
        <w:left w:val="none" w:sz="0" w:space="0" w:color="auto"/>
        <w:bottom w:val="none" w:sz="0" w:space="0" w:color="auto"/>
        <w:right w:val="none" w:sz="0" w:space="0" w:color="auto"/>
      </w:divBdr>
      <w:divsChild>
        <w:div w:id="1540125221">
          <w:marLeft w:val="0"/>
          <w:marRight w:val="0"/>
          <w:marTop w:val="0"/>
          <w:marBottom w:val="0"/>
          <w:divBdr>
            <w:top w:val="none" w:sz="0" w:space="0" w:color="auto"/>
            <w:left w:val="none" w:sz="0" w:space="0" w:color="auto"/>
            <w:bottom w:val="none" w:sz="0" w:space="0" w:color="auto"/>
            <w:right w:val="none" w:sz="0" w:space="0" w:color="auto"/>
          </w:divBdr>
          <w:divsChild>
            <w:div w:id="1502964762">
              <w:marLeft w:val="0"/>
              <w:marRight w:val="0"/>
              <w:marTop w:val="0"/>
              <w:marBottom w:val="0"/>
              <w:divBdr>
                <w:top w:val="none" w:sz="0" w:space="0" w:color="auto"/>
                <w:left w:val="none" w:sz="0" w:space="0" w:color="auto"/>
                <w:bottom w:val="none" w:sz="0" w:space="0" w:color="auto"/>
                <w:right w:val="none" w:sz="0" w:space="0" w:color="auto"/>
              </w:divBdr>
              <w:divsChild>
                <w:div w:id="2011635913">
                  <w:marLeft w:val="0"/>
                  <w:marRight w:val="0"/>
                  <w:marTop w:val="0"/>
                  <w:marBottom w:val="0"/>
                  <w:divBdr>
                    <w:top w:val="none" w:sz="0" w:space="0" w:color="auto"/>
                    <w:left w:val="none" w:sz="0" w:space="0" w:color="auto"/>
                    <w:bottom w:val="none" w:sz="0" w:space="0" w:color="auto"/>
                    <w:right w:val="none" w:sz="0" w:space="0" w:color="auto"/>
                  </w:divBdr>
                  <w:divsChild>
                    <w:div w:id="5801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17501">
      <w:bodyDiv w:val="1"/>
      <w:marLeft w:val="0"/>
      <w:marRight w:val="0"/>
      <w:marTop w:val="0"/>
      <w:marBottom w:val="0"/>
      <w:divBdr>
        <w:top w:val="none" w:sz="0" w:space="0" w:color="auto"/>
        <w:left w:val="none" w:sz="0" w:space="0" w:color="auto"/>
        <w:bottom w:val="none" w:sz="0" w:space="0" w:color="auto"/>
        <w:right w:val="none" w:sz="0" w:space="0" w:color="auto"/>
      </w:divBdr>
      <w:divsChild>
        <w:div w:id="425469098">
          <w:marLeft w:val="0"/>
          <w:marRight w:val="0"/>
          <w:marTop w:val="0"/>
          <w:marBottom w:val="0"/>
          <w:divBdr>
            <w:top w:val="none" w:sz="0" w:space="0" w:color="auto"/>
            <w:left w:val="none" w:sz="0" w:space="0" w:color="auto"/>
            <w:bottom w:val="none" w:sz="0" w:space="0" w:color="auto"/>
            <w:right w:val="none" w:sz="0" w:space="0" w:color="auto"/>
          </w:divBdr>
          <w:divsChild>
            <w:div w:id="704211903">
              <w:marLeft w:val="0"/>
              <w:marRight w:val="0"/>
              <w:marTop w:val="0"/>
              <w:marBottom w:val="0"/>
              <w:divBdr>
                <w:top w:val="none" w:sz="0" w:space="0" w:color="auto"/>
                <w:left w:val="none" w:sz="0" w:space="0" w:color="auto"/>
                <w:bottom w:val="none" w:sz="0" w:space="0" w:color="auto"/>
                <w:right w:val="none" w:sz="0" w:space="0" w:color="auto"/>
              </w:divBdr>
              <w:divsChild>
                <w:div w:id="588539048">
                  <w:marLeft w:val="0"/>
                  <w:marRight w:val="0"/>
                  <w:marTop w:val="0"/>
                  <w:marBottom w:val="0"/>
                  <w:divBdr>
                    <w:top w:val="none" w:sz="0" w:space="0" w:color="auto"/>
                    <w:left w:val="none" w:sz="0" w:space="0" w:color="auto"/>
                    <w:bottom w:val="none" w:sz="0" w:space="0" w:color="auto"/>
                    <w:right w:val="none" w:sz="0" w:space="0" w:color="auto"/>
                  </w:divBdr>
                  <w:divsChild>
                    <w:div w:id="58183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7004">
      <w:bodyDiv w:val="1"/>
      <w:marLeft w:val="0"/>
      <w:marRight w:val="0"/>
      <w:marTop w:val="0"/>
      <w:marBottom w:val="0"/>
      <w:divBdr>
        <w:top w:val="none" w:sz="0" w:space="0" w:color="auto"/>
        <w:left w:val="none" w:sz="0" w:space="0" w:color="auto"/>
        <w:bottom w:val="none" w:sz="0" w:space="0" w:color="auto"/>
        <w:right w:val="none" w:sz="0" w:space="0" w:color="auto"/>
      </w:divBdr>
    </w:div>
    <w:div w:id="888565048">
      <w:bodyDiv w:val="1"/>
      <w:marLeft w:val="0"/>
      <w:marRight w:val="0"/>
      <w:marTop w:val="0"/>
      <w:marBottom w:val="0"/>
      <w:divBdr>
        <w:top w:val="none" w:sz="0" w:space="0" w:color="auto"/>
        <w:left w:val="none" w:sz="0" w:space="0" w:color="auto"/>
        <w:bottom w:val="none" w:sz="0" w:space="0" w:color="auto"/>
        <w:right w:val="none" w:sz="0" w:space="0" w:color="auto"/>
      </w:divBdr>
      <w:divsChild>
        <w:div w:id="1024287162">
          <w:marLeft w:val="0"/>
          <w:marRight w:val="0"/>
          <w:marTop w:val="0"/>
          <w:marBottom w:val="0"/>
          <w:divBdr>
            <w:top w:val="none" w:sz="0" w:space="0" w:color="auto"/>
            <w:left w:val="none" w:sz="0" w:space="0" w:color="auto"/>
            <w:bottom w:val="none" w:sz="0" w:space="0" w:color="auto"/>
            <w:right w:val="none" w:sz="0" w:space="0" w:color="auto"/>
          </w:divBdr>
          <w:divsChild>
            <w:div w:id="768089208">
              <w:marLeft w:val="0"/>
              <w:marRight w:val="0"/>
              <w:marTop w:val="0"/>
              <w:marBottom w:val="0"/>
              <w:divBdr>
                <w:top w:val="none" w:sz="0" w:space="0" w:color="auto"/>
                <w:left w:val="none" w:sz="0" w:space="0" w:color="auto"/>
                <w:bottom w:val="none" w:sz="0" w:space="0" w:color="auto"/>
                <w:right w:val="none" w:sz="0" w:space="0" w:color="auto"/>
              </w:divBdr>
              <w:divsChild>
                <w:div w:id="8992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2608">
      <w:bodyDiv w:val="1"/>
      <w:marLeft w:val="0"/>
      <w:marRight w:val="0"/>
      <w:marTop w:val="0"/>
      <w:marBottom w:val="0"/>
      <w:divBdr>
        <w:top w:val="none" w:sz="0" w:space="0" w:color="auto"/>
        <w:left w:val="none" w:sz="0" w:space="0" w:color="auto"/>
        <w:bottom w:val="none" w:sz="0" w:space="0" w:color="auto"/>
        <w:right w:val="none" w:sz="0" w:space="0" w:color="auto"/>
      </w:divBdr>
    </w:div>
    <w:div w:id="944578363">
      <w:bodyDiv w:val="1"/>
      <w:marLeft w:val="0"/>
      <w:marRight w:val="0"/>
      <w:marTop w:val="0"/>
      <w:marBottom w:val="0"/>
      <w:divBdr>
        <w:top w:val="none" w:sz="0" w:space="0" w:color="auto"/>
        <w:left w:val="none" w:sz="0" w:space="0" w:color="auto"/>
        <w:bottom w:val="none" w:sz="0" w:space="0" w:color="auto"/>
        <w:right w:val="none" w:sz="0" w:space="0" w:color="auto"/>
      </w:divBdr>
      <w:divsChild>
        <w:div w:id="1171069798">
          <w:marLeft w:val="0"/>
          <w:marRight w:val="0"/>
          <w:marTop w:val="0"/>
          <w:marBottom w:val="0"/>
          <w:divBdr>
            <w:top w:val="none" w:sz="0" w:space="0" w:color="auto"/>
            <w:left w:val="none" w:sz="0" w:space="0" w:color="auto"/>
            <w:bottom w:val="none" w:sz="0" w:space="0" w:color="auto"/>
            <w:right w:val="none" w:sz="0" w:space="0" w:color="auto"/>
          </w:divBdr>
          <w:divsChild>
            <w:div w:id="480772475">
              <w:marLeft w:val="0"/>
              <w:marRight w:val="0"/>
              <w:marTop w:val="0"/>
              <w:marBottom w:val="0"/>
              <w:divBdr>
                <w:top w:val="none" w:sz="0" w:space="0" w:color="auto"/>
                <w:left w:val="none" w:sz="0" w:space="0" w:color="auto"/>
                <w:bottom w:val="none" w:sz="0" w:space="0" w:color="auto"/>
                <w:right w:val="none" w:sz="0" w:space="0" w:color="auto"/>
              </w:divBdr>
              <w:divsChild>
                <w:div w:id="4789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4396">
      <w:bodyDiv w:val="1"/>
      <w:marLeft w:val="0"/>
      <w:marRight w:val="0"/>
      <w:marTop w:val="0"/>
      <w:marBottom w:val="0"/>
      <w:divBdr>
        <w:top w:val="none" w:sz="0" w:space="0" w:color="auto"/>
        <w:left w:val="none" w:sz="0" w:space="0" w:color="auto"/>
        <w:bottom w:val="none" w:sz="0" w:space="0" w:color="auto"/>
        <w:right w:val="none" w:sz="0" w:space="0" w:color="auto"/>
      </w:divBdr>
      <w:divsChild>
        <w:div w:id="1497573250">
          <w:marLeft w:val="0"/>
          <w:marRight w:val="0"/>
          <w:marTop w:val="0"/>
          <w:marBottom w:val="0"/>
          <w:divBdr>
            <w:top w:val="none" w:sz="0" w:space="0" w:color="auto"/>
            <w:left w:val="none" w:sz="0" w:space="0" w:color="auto"/>
            <w:bottom w:val="none" w:sz="0" w:space="0" w:color="auto"/>
            <w:right w:val="none" w:sz="0" w:space="0" w:color="auto"/>
          </w:divBdr>
          <w:divsChild>
            <w:div w:id="45109192">
              <w:marLeft w:val="0"/>
              <w:marRight w:val="0"/>
              <w:marTop w:val="0"/>
              <w:marBottom w:val="0"/>
              <w:divBdr>
                <w:top w:val="none" w:sz="0" w:space="0" w:color="auto"/>
                <w:left w:val="none" w:sz="0" w:space="0" w:color="auto"/>
                <w:bottom w:val="none" w:sz="0" w:space="0" w:color="auto"/>
                <w:right w:val="none" w:sz="0" w:space="0" w:color="auto"/>
              </w:divBdr>
              <w:divsChild>
                <w:div w:id="12436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48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913">
          <w:marLeft w:val="0"/>
          <w:marRight w:val="0"/>
          <w:marTop w:val="0"/>
          <w:marBottom w:val="0"/>
          <w:divBdr>
            <w:top w:val="none" w:sz="0" w:space="0" w:color="auto"/>
            <w:left w:val="none" w:sz="0" w:space="0" w:color="auto"/>
            <w:bottom w:val="none" w:sz="0" w:space="0" w:color="auto"/>
            <w:right w:val="none" w:sz="0" w:space="0" w:color="auto"/>
          </w:divBdr>
          <w:divsChild>
            <w:div w:id="848953634">
              <w:marLeft w:val="0"/>
              <w:marRight w:val="0"/>
              <w:marTop w:val="0"/>
              <w:marBottom w:val="0"/>
              <w:divBdr>
                <w:top w:val="none" w:sz="0" w:space="0" w:color="auto"/>
                <w:left w:val="none" w:sz="0" w:space="0" w:color="auto"/>
                <w:bottom w:val="none" w:sz="0" w:space="0" w:color="auto"/>
                <w:right w:val="none" w:sz="0" w:space="0" w:color="auto"/>
              </w:divBdr>
              <w:divsChild>
                <w:div w:id="1851489026">
                  <w:marLeft w:val="0"/>
                  <w:marRight w:val="0"/>
                  <w:marTop w:val="0"/>
                  <w:marBottom w:val="0"/>
                  <w:divBdr>
                    <w:top w:val="none" w:sz="0" w:space="0" w:color="auto"/>
                    <w:left w:val="none" w:sz="0" w:space="0" w:color="auto"/>
                    <w:bottom w:val="none" w:sz="0" w:space="0" w:color="auto"/>
                    <w:right w:val="none" w:sz="0" w:space="0" w:color="auto"/>
                  </w:divBdr>
                  <w:divsChild>
                    <w:div w:id="17733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89827">
      <w:bodyDiv w:val="1"/>
      <w:marLeft w:val="0"/>
      <w:marRight w:val="0"/>
      <w:marTop w:val="0"/>
      <w:marBottom w:val="0"/>
      <w:divBdr>
        <w:top w:val="none" w:sz="0" w:space="0" w:color="auto"/>
        <w:left w:val="none" w:sz="0" w:space="0" w:color="auto"/>
        <w:bottom w:val="none" w:sz="0" w:space="0" w:color="auto"/>
        <w:right w:val="none" w:sz="0" w:space="0" w:color="auto"/>
      </w:divBdr>
    </w:div>
    <w:div w:id="1203254278">
      <w:bodyDiv w:val="1"/>
      <w:marLeft w:val="0"/>
      <w:marRight w:val="0"/>
      <w:marTop w:val="0"/>
      <w:marBottom w:val="0"/>
      <w:divBdr>
        <w:top w:val="none" w:sz="0" w:space="0" w:color="auto"/>
        <w:left w:val="none" w:sz="0" w:space="0" w:color="auto"/>
        <w:bottom w:val="none" w:sz="0" w:space="0" w:color="auto"/>
        <w:right w:val="none" w:sz="0" w:space="0" w:color="auto"/>
      </w:divBdr>
      <w:divsChild>
        <w:div w:id="613749660">
          <w:marLeft w:val="0"/>
          <w:marRight w:val="0"/>
          <w:marTop w:val="0"/>
          <w:marBottom w:val="0"/>
          <w:divBdr>
            <w:top w:val="none" w:sz="0" w:space="0" w:color="auto"/>
            <w:left w:val="none" w:sz="0" w:space="0" w:color="auto"/>
            <w:bottom w:val="none" w:sz="0" w:space="0" w:color="auto"/>
            <w:right w:val="none" w:sz="0" w:space="0" w:color="auto"/>
          </w:divBdr>
          <w:divsChild>
            <w:div w:id="1145002084">
              <w:marLeft w:val="0"/>
              <w:marRight w:val="0"/>
              <w:marTop w:val="0"/>
              <w:marBottom w:val="0"/>
              <w:divBdr>
                <w:top w:val="none" w:sz="0" w:space="0" w:color="auto"/>
                <w:left w:val="none" w:sz="0" w:space="0" w:color="auto"/>
                <w:bottom w:val="none" w:sz="0" w:space="0" w:color="auto"/>
                <w:right w:val="none" w:sz="0" w:space="0" w:color="auto"/>
              </w:divBdr>
              <w:divsChild>
                <w:div w:id="12082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5322">
      <w:bodyDiv w:val="1"/>
      <w:marLeft w:val="0"/>
      <w:marRight w:val="0"/>
      <w:marTop w:val="0"/>
      <w:marBottom w:val="0"/>
      <w:divBdr>
        <w:top w:val="none" w:sz="0" w:space="0" w:color="auto"/>
        <w:left w:val="none" w:sz="0" w:space="0" w:color="auto"/>
        <w:bottom w:val="none" w:sz="0" w:space="0" w:color="auto"/>
        <w:right w:val="none" w:sz="0" w:space="0" w:color="auto"/>
      </w:divBdr>
      <w:divsChild>
        <w:div w:id="1235630343">
          <w:marLeft w:val="0"/>
          <w:marRight w:val="0"/>
          <w:marTop w:val="0"/>
          <w:marBottom w:val="0"/>
          <w:divBdr>
            <w:top w:val="none" w:sz="0" w:space="0" w:color="auto"/>
            <w:left w:val="none" w:sz="0" w:space="0" w:color="auto"/>
            <w:bottom w:val="none" w:sz="0" w:space="0" w:color="auto"/>
            <w:right w:val="none" w:sz="0" w:space="0" w:color="auto"/>
          </w:divBdr>
          <w:divsChild>
            <w:div w:id="1208108239">
              <w:marLeft w:val="0"/>
              <w:marRight w:val="0"/>
              <w:marTop w:val="0"/>
              <w:marBottom w:val="0"/>
              <w:divBdr>
                <w:top w:val="none" w:sz="0" w:space="0" w:color="auto"/>
                <w:left w:val="none" w:sz="0" w:space="0" w:color="auto"/>
                <w:bottom w:val="none" w:sz="0" w:space="0" w:color="auto"/>
                <w:right w:val="none" w:sz="0" w:space="0" w:color="auto"/>
              </w:divBdr>
              <w:divsChild>
                <w:div w:id="1131290751">
                  <w:marLeft w:val="0"/>
                  <w:marRight w:val="0"/>
                  <w:marTop w:val="0"/>
                  <w:marBottom w:val="0"/>
                  <w:divBdr>
                    <w:top w:val="none" w:sz="0" w:space="0" w:color="auto"/>
                    <w:left w:val="none" w:sz="0" w:space="0" w:color="auto"/>
                    <w:bottom w:val="none" w:sz="0" w:space="0" w:color="auto"/>
                    <w:right w:val="none" w:sz="0" w:space="0" w:color="auto"/>
                  </w:divBdr>
                  <w:divsChild>
                    <w:div w:id="14601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17645">
      <w:bodyDiv w:val="1"/>
      <w:marLeft w:val="0"/>
      <w:marRight w:val="0"/>
      <w:marTop w:val="0"/>
      <w:marBottom w:val="0"/>
      <w:divBdr>
        <w:top w:val="none" w:sz="0" w:space="0" w:color="auto"/>
        <w:left w:val="none" w:sz="0" w:space="0" w:color="auto"/>
        <w:bottom w:val="none" w:sz="0" w:space="0" w:color="auto"/>
        <w:right w:val="none" w:sz="0" w:space="0" w:color="auto"/>
      </w:divBdr>
    </w:div>
    <w:div w:id="1334530156">
      <w:bodyDiv w:val="1"/>
      <w:marLeft w:val="0"/>
      <w:marRight w:val="0"/>
      <w:marTop w:val="0"/>
      <w:marBottom w:val="0"/>
      <w:divBdr>
        <w:top w:val="none" w:sz="0" w:space="0" w:color="auto"/>
        <w:left w:val="none" w:sz="0" w:space="0" w:color="auto"/>
        <w:bottom w:val="none" w:sz="0" w:space="0" w:color="auto"/>
        <w:right w:val="none" w:sz="0" w:space="0" w:color="auto"/>
      </w:divBdr>
    </w:div>
    <w:div w:id="1334720171">
      <w:bodyDiv w:val="1"/>
      <w:marLeft w:val="0"/>
      <w:marRight w:val="0"/>
      <w:marTop w:val="0"/>
      <w:marBottom w:val="0"/>
      <w:divBdr>
        <w:top w:val="none" w:sz="0" w:space="0" w:color="auto"/>
        <w:left w:val="none" w:sz="0" w:space="0" w:color="auto"/>
        <w:bottom w:val="none" w:sz="0" w:space="0" w:color="auto"/>
        <w:right w:val="none" w:sz="0" w:space="0" w:color="auto"/>
      </w:divBdr>
      <w:divsChild>
        <w:div w:id="860895905">
          <w:marLeft w:val="0"/>
          <w:marRight w:val="0"/>
          <w:marTop w:val="0"/>
          <w:marBottom w:val="0"/>
          <w:divBdr>
            <w:top w:val="none" w:sz="0" w:space="0" w:color="auto"/>
            <w:left w:val="none" w:sz="0" w:space="0" w:color="auto"/>
            <w:bottom w:val="none" w:sz="0" w:space="0" w:color="auto"/>
            <w:right w:val="none" w:sz="0" w:space="0" w:color="auto"/>
          </w:divBdr>
          <w:divsChild>
            <w:div w:id="1056854974">
              <w:marLeft w:val="0"/>
              <w:marRight w:val="0"/>
              <w:marTop w:val="0"/>
              <w:marBottom w:val="0"/>
              <w:divBdr>
                <w:top w:val="none" w:sz="0" w:space="0" w:color="auto"/>
                <w:left w:val="none" w:sz="0" w:space="0" w:color="auto"/>
                <w:bottom w:val="none" w:sz="0" w:space="0" w:color="auto"/>
                <w:right w:val="none" w:sz="0" w:space="0" w:color="auto"/>
              </w:divBdr>
              <w:divsChild>
                <w:div w:id="560755144">
                  <w:marLeft w:val="0"/>
                  <w:marRight w:val="0"/>
                  <w:marTop w:val="0"/>
                  <w:marBottom w:val="0"/>
                  <w:divBdr>
                    <w:top w:val="none" w:sz="0" w:space="0" w:color="auto"/>
                    <w:left w:val="none" w:sz="0" w:space="0" w:color="auto"/>
                    <w:bottom w:val="none" w:sz="0" w:space="0" w:color="auto"/>
                    <w:right w:val="none" w:sz="0" w:space="0" w:color="auto"/>
                  </w:divBdr>
                  <w:divsChild>
                    <w:div w:id="7560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4883">
      <w:bodyDiv w:val="1"/>
      <w:marLeft w:val="0"/>
      <w:marRight w:val="0"/>
      <w:marTop w:val="0"/>
      <w:marBottom w:val="0"/>
      <w:divBdr>
        <w:top w:val="none" w:sz="0" w:space="0" w:color="auto"/>
        <w:left w:val="none" w:sz="0" w:space="0" w:color="auto"/>
        <w:bottom w:val="none" w:sz="0" w:space="0" w:color="auto"/>
        <w:right w:val="none" w:sz="0" w:space="0" w:color="auto"/>
      </w:divBdr>
      <w:divsChild>
        <w:div w:id="124734722">
          <w:marLeft w:val="0"/>
          <w:marRight w:val="0"/>
          <w:marTop w:val="0"/>
          <w:marBottom w:val="0"/>
          <w:divBdr>
            <w:top w:val="none" w:sz="0" w:space="0" w:color="auto"/>
            <w:left w:val="none" w:sz="0" w:space="0" w:color="auto"/>
            <w:bottom w:val="none" w:sz="0" w:space="0" w:color="auto"/>
            <w:right w:val="none" w:sz="0" w:space="0" w:color="auto"/>
          </w:divBdr>
          <w:divsChild>
            <w:div w:id="467628057">
              <w:marLeft w:val="0"/>
              <w:marRight w:val="0"/>
              <w:marTop w:val="0"/>
              <w:marBottom w:val="0"/>
              <w:divBdr>
                <w:top w:val="none" w:sz="0" w:space="0" w:color="auto"/>
                <w:left w:val="none" w:sz="0" w:space="0" w:color="auto"/>
                <w:bottom w:val="none" w:sz="0" w:space="0" w:color="auto"/>
                <w:right w:val="none" w:sz="0" w:space="0" w:color="auto"/>
              </w:divBdr>
              <w:divsChild>
                <w:div w:id="1005091102">
                  <w:marLeft w:val="0"/>
                  <w:marRight w:val="0"/>
                  <w:marTop w:val="0"/>
                  <w:marBottom w:val="0"/>
                  <w:divBdr>
                    <w:top w:val="none" w:sz="0" w:space="0" w:color="auto"/>
                    <w:left w:val="none" w:sz="0" w:space="0" w:color="auto"/>
                    <w:bottom w:val="none" w:sz="0" w:space="0" w:color="auto"/>
                    <w:right w:val="none" w:sz="0" w:space="0" w:color="auto"/>
                  </w:divBdr>
                  <w:divsChild>
                    <w:div w:id="17370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8504">
      <w:bodyDiv w:val="1"/>
      <w:marLeft w:val="0"/>
      <w:marRight w:val="0"/>
      <w:marTop w:val="0"/>
      <w:marBottom w:val="0"/>
      <w:divBdr>
        <w:top w:val="none" w:sz="0" w:space="0" w:color="auto"/>
        <w:left w:val="none" w:sz="0" w:space="0" w:color="auto"/>
        <w:bottom w:val="none" w:sz="0" w:space="0" w:color="auto"/>
        <w:right w:val="none" w:sz="0" w:space="0" w:color="auto"/>
      </w:divBdr>
      <w:divsChild>
        <w:div w:id="889733530">
          <w:marLeft w:val="0"/>
          <w:marRight w:val="0"/>
          <w:marTop w:val="0"/>
          <w:marBottom w:val="0"/>
          <w:divBdr>
            <w:top w:val="none" w:sz="0" w:space="0" w:color="auto"/>
            <w:left w:val="none" w:sz="0" w:space="0" w:color="auto"/>
            <w:bottom w:val="none" w:sz="0" w:space="0" w:color="auto"/>
            <w:right w:val="none" w:sz="0" w:space="0" w:color="auto"/>
          </w:divBdr>
          <w:divsChild>
            <w:div w:id="1952007237">
              <w:marLeft w:val="0"/>
              <w:marRight w:val="0"/>
              <w:marTop w:val="0"/>
              <w:marBottom w:val="0"/>
              <w:divBdr>
                <w:top w:val="none" w:sz="0" w:space="0" w:color="auto"/>
                <w:left w:val="none" w:sz="0" w:space="0" w:color="auto"/>
                <w:bottom w:val="none" w:sz="0" w:space="0" w:color="auto"/>
                <w:right w:val="none" w:sz="0" w:space="0" w:color="auto"/>
              </w:divBdr>
              <w:divsChild>
                <w:div w:id="114439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5807">
      <w:bodyDiv w:val="1"/>
      <w:marLeft w:val="0"/>
      <w:marRight w:val="0"/>
      <w:marTop w:val="0"/>
      <w:marBottom w:val="0"/>
      <w:divBdr>
        <w:top w:val="none" w:sz="0" w:space="0" w:color="auto"/>
        <w:left w:val="none" w:sz="0" w:space="0" w:color="auto"/>
        <w:bottom w:val="none" w:sz="0" w:space="0" w:color="auto"/>
        <w:right w:val="none" w:sz="0" w:space="0" w:color="auto"/>
      </w:divBdr>
    </w:div>
    <w:div w:id="1772435946">
      <w:bodyDiv w:val="1"/>
      <w:marLeft w:val="0"/>
      <w:marRight w:val="0"/>
      <w:marTop w:val="0"/>
      <w:marBottom w:val="0"/>
      <w:divBdr>
        <w:top w:val="none" w:sz="0" w:space="0" w:color="auto"/>
        <w:left w:val="none" w:sz="0" w:space="0" w:color="auto"/>
        <w:bottom w:val="none" w:sz="0" w:space="0" w:color="auto"/>
        <w:right w:val="none" w:sz="0" w:space="0" w:color="auto"/>
      </w:divBdr>
      <w:divsChild>
        <w:div w:id="1413357733">
          <w:marLeft w:val="0"/>
          <w:marRight w:val="0"/>
          <w:marTop w:val="0"/>
          <w:marBottom w:val="0"/>
          <w:divBdr>
            <w:top w:val="none" w:sz="0" w:space="0" w:color="auto"/>
            <w:left w:val="none" w:sz="0" w:space="0" w:color="auto"/>
            <w:bottom w:val="none" w:sz="0" w:space="0" w:color="auto"/>
            <w:right w:val="none" w:sz="0" w:space="0" w:color="auto"/>
          </w:divBdr>
          <w:divsChild>
            <w:div w:id="1945962962">
              <w:marLeft w:val="0"/>
              <w:marRight w:val="0"/>
              <w:marTop w:val="0"/>
              <w:marBottom w:val="0"/>
              <w:divBdr>
                <w:top w:val="none" w:sz="0" w:space="0" w:color="auto"/>
                <w:left w:val="none" w:sz="0" w:space="0" w:color="auto"/>
                <w:bottom w:val="none" w:sz="0" w:space="0" w:color="auto"/>
                <w:right w:val="none" w:sz="0" w:space="0" w:color="auto"/>
              </w:divBdr>
              <w:divsChild>
                <w:div w:id="2034335395">
                  <w:marLeft w:val="0"/>
                  <w:marRight w:val="0"/>
                  <w:marTop w:val="0"/>
                  <w:marBottom w:val="0"/>
                  <w:divBdr>
                    <w:top w:val="none" w:sz="0" w:space="0" w:color="auto"/>
                    <w:left w:val="none" w:sz="0" w:space="0" w:color="auto"/>
                    <w:bottom w:val="none" w:sz="0" w:space="0" w:color="auto"/>
                    <w:right w:val="none" w:sz="0" w:space="0" w:color="auto"/>
                  </w:divBdr>
                  <w:divsChild>
                    <w:div w:id="1340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78878">
      <w:bodyDiv w:val="1"/>
      <w:marLeft w:val="0"/>
      <w:marRight w:val="0"/>
      <w:marTop w:val="0"/>
      <w:marBottom w:val="0"/>
      <w:divBdr>
        <w:top w:val="none" w:sz="0" w:space="0" w:color="auto"/>
        <w:left w:val="none" w:sz="0" w:space="0" w:color="auto"/>
        <w:bottom w:val="none" w:sz="0" w:space="0" w:color="auto"/>
        <w:right w:val="none" w:sz="0" w:space="0" w:color="auto"/>
      </w:divBdr>
    </w:div>
    <w:div w:id="1903979353">
      <w:bodyDiv w:val="1"/>
      <w:marLeft w:val="0"/>
      <w:marRight w:val="0"/>
      <w:marTop w:val="0"/>
      <w:marBottom w:val="0"/>
      <w:divBdr>
        <w:top w:val="none" w:sz="0" w:space="0" w:color="auto"/>
        <w:left w:val="none" w:sz="0" w:space="0" w:color="auto"/>
        <w:bottom w:val="none" w:sz="0" w:space="0" w:color="auto"/>
        <w:right w:val="none" w:sz="0" w:space="0" w:color="auto"/>
      </w:divBdr>
      <w:divsChild>
        <w:div w:id="789666171">
          <w:marLeft w:val="0"/>
          <w:marRight w:val="0"/>
          <w:marTop w:val="0"/>
          <w:marBottom w:val="0"/>
          <w:divBdr>
            <w:top w:val="none" w:sz="0" w:space="0" w:color="auto"/>
            <w:left w:val="none" w:sz="0" w:space="0" w:color="auto"/>
            <w:bottom w:val="none" w:sz="0" w:space="0" w:color="auto"/>
            <w:right w:val="none" w:sz="0" w:space="0" w:color="auto"/>
          </w:divBdr>
          <w:divsChild>
            <w:div w:id="1954287845">
              <w:marLeft w:val="0"/>
              <w:marRight w:val="0"/>
              <w:marTop w:val="0"/>
              <w:marBottom w:val="0"/>
              <w:divBdr>
                <w:top w:val="none" w:sz="0" w:space="0" w:color="auto"/>
                <w:left w:val="none" w:sz="0" w:space="0" w:color="auto"/>
                <w:bottom w:val="none" w:sz="0" w:space="0" w:color="auto"/>
                <w:right w:val="none" w:sz="0" w:space="0" w:color="auto"/>
              </w:divBdr>
              <w:divsChild>
                <w:div w:id="1683584652">
                  <w:marLeft w:val="0"/>
                  <w:marRight w:val="0"/>
                  <w:marTop w:val="0"/>
                  <w:marBottom w:val="0"/>
                  <w:divBdr>
                    <w:top w:val="none" w:sz="0" w:space="0" w:color="auto"/>
                    <w:left w:val="none" w:sz="0" w:space="0" w:color="auto"/>
                    <w:bottom w:val="none" w:sz="0" w:space="0" w:color="auto"/>
                    <w:right w:val="none" w:sz="0" w:space="0" w:color="auto"/>
                  </w:divBdr>
                  <w:divsChild>
                    <w:div w:id="16060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06455">
      <w:bodyDiv w:val="1"/>
      <w:marLeft w:val="0"/>
      <w:marRight w:val="0"/>
      <w:marTop w:val="0"/>
      <w:marBottom w:val="0"/>
      <w:divBdr>
        <w:top w:val="none" w:sz="0" w:space="0" w:color="auto"/>
        <w:left w:val="none" w:sz="0" w:space="0" w:color="auto"/>
        <w:bottom w:val="none" w:sz="0" w:space="0" w:color="auto"/>
        <w:right w:val="none" w:sz="0" w:space="0" w:color="auto"/>
      </w:divBdr>
      <w:divsChild>
        <w:div w:id="1872767128">
          <w:marLeft w:val="0"/>
          <w:marRight w:val="0"/>
          <w:marTop w:val="0"/>
          <w:marBottom w:val="0"/>
          <w:divBdr>
            <w:top w:val="none" w:sz="0" w:space="0" w:color="auto"/>
            <w:left w:val="none" w:sz="0" w:space="0" w:color="auto"/>
            <w:bottom w:val="none" w:sz="0" w:space="0" w:color="auto"/>
            <w:right w:val="none" w:sz="0" w:space="0" w:color="auto"/>
          </w:divBdr>
          <w:divsChild>
            <w:div w:id="127478433">
              <w:marLeft w:val="0"/>
              <w:marRight w:val="0"/>
              <w:marTop w:val="0"/>
              <w:marBottom w:val="0"/>
              <w:divBdr>
                <w:top w:val="none" w:sz="0" w:space="0" w:color="auto"/>
                <w:left w:val="none" w:sz="0" w:space="0" w:color="auto"/>
                <w:bottom w:val="none" w:sz="0" w:space="0" w:color="auto"/>
                <w:right w:val="none" w:sz="0" w:space="0" w:color="auto"/>
              </w:divBdr>
              <w:divsChild>
                <w:div w:id="2589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5904">
      <w:bodyDiv w:val="1"/>
      <w:marLeft w:val="0"/>
      <w:marRight w:val="0"/>
      <w:marTop w:val="0"/>
      <w:marBottom w:val="0"/>
      <w:divBdr>
        <w:top w:val="none" w:sz="0" w:space="0" w:color="auto"/>
        <w:left w:val="none" w:sz="0" w:space="0" w:color="auto"/>
        <w:bottom w:val="none" w:sz="0" w:space="0" w:color="auto"/>
        <w:right w:val="none" w:sz="0" w:space="0" w:color="auto"/>
      </w:divBdr>
      <w:divsChild>
        <w:div w:id="2072342078">
          <w:marLeft w:val="0"/>
          <w:marRight w:val="0"/>
          <w:marTop w:val="0"/>
          <w:marBottom w:val="0"/>
          <w:divBdr>
            <w:top w:val="none" w:sz="0" w:space="0" w:color="auto"/>
            <w:left w:val="none" w:sz="0" w:space="0" w:color="auto"/>
            <w:bottom w:val="none" w:sz="0" w:space="0" w:color="auto"/>
            <w:right w:val="none" w:sz="0" w:space="0" w:color="auto"/>
          </w:divBdr>
          <w:divsChild>
            <w:div w:id="1830945932">
              <w:marLeft w:val="0"/>
              <w:marRight w:val="0"/>
              <w:marTop w:val="0"/>
              <w:marBottom w:val="0"/>
              <w:divBdr>
                <w:top w:val="none" w:sz="0" w:space="0" w:color="auto"/>
                <w:left w:val="none" w:sz="0" w:space="0" w:color="auto"/>
                <w:bottom w:val="none" w:sz="0" w:space="0" w:color="auto"/>
                <w:right w:val="none" w:sz="0" w:space="0" w:color="auto"/>
              </w:divBdr>
              <w:divsChild>
                <w:div w:id="822503681">
                  <w:marLeft w:val="0"/>
                  <w:marRight w:val="0"/>
                  <w:marTop w:val="0"/>
                  <w:marBottom w:val="0"/>
                  <w:divBdr>
                    <w:top w:val="none" w:sz="0" w:space="0" w:color="auto"/>
                    <w:left w:val="none" w:sz="0" w:space="0" w:color="auto"/>
                    <w:bottom w:val="none" w:sz="0" w:space="0" w:color="auto"/>
                    <w:right w:val="none" w:sz="0" w:space="0" w:color="auto"/>
                  </w:divBdr>
                  <w:divsChild>
                    <w:div w:id="3307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elgaronline.com/view/edcoll/9781848443341/9781848443341.xml" TargetMode="External"/><Relationship Id="rId3" Type="http://schemas.openxmlformats.org/officeDocument/2006/relationships/hyperlink" Target="https://www.theguardian.com/global-development/2015/feb/02/older-people-elderly-children-development-goals" TargetMode="External"/><Relationship Id="rId7" Type="http://schemas.openxmlformats.org/officeDocument/2006/relationships/hyperlink" Target="https://www.unesco.org/en/youth" TargetMode="External"/><Relationship Id="rId2" Type="http://schemas.openxmlformats.org/officeDocument/2006/relationships/hyperlink" Target="https://www.theguardian.com/profile/jonathan-glennie" TargetMode="External"/><Relationship Id="rId1" Type="http://schemas.openxmlformats.org/officeDocument/2006/relationships/hyperlink" Target="http://www.cpc.ac.uk/research_programme/connecting_generations/" TargetMode="External"/><Relationship Id="rId6" Type="http://schemas.openxmlformats.org/officeDocument/2006/relationships/hyperlink" Target="https://unece.org/population/active-ageing-index" TargetMode="External"/><Relationship Id="rId5" Type="http://schemas.openxmlformats.org/officeDocument/2006/relationships/hyperlink" Target="https://www.decadeofhealthyageing.org/about/about-us/what-is-the-decade" TargetMode="External"/><Relationship Id="rId4" Type="http://schemas.openxmlformats.org/officeDocument/2006/relationships/hyperlink" Target="https://www.helpage.org/global-agewatch/population-ageing-data/infographic-index-at-a-g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E83F6EBA8BD47AFA93FB8E7F85D14" ma:contentTypeVersion="7" ma:contentTypeDescription="Create a new document." ma:contentTypeScope="" ma:versionID="23a493b7dc489bce0dfdfe0c347a9c33">
  <xsd:schema xmlns:xsd="http://www.w3.org/2001/XMLSchema" xmlns:xs="http://www.w3.org/2001/XMLSchema" xmlns:p="http://schemas.microsoft.com/office/2006/metadata/properties" xmlns:ns3="7fb38363-17ae-47ed-9282-1f175d7dd596" xmlns:ns4="37e2ea6a-fd88-4508-ab30-9a48b4fb26a7" targetNamespace="http://schemas.microsoft.com/office/2006/metadata/properties" ma:root="true" ma:fieldsID="33040df33fb76800983ae1cc222811a3" ns3:_="" ns4:_="">
    <xsd:import namespace="7fb38363-17ae-47ed-9282-1f175d7dd596"/>
    <xsd:import namespace="37e2ea6a-fd88-4508-ab30-9a48b4fb26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38363-17ae-47ed-9282-1f175d7dd5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2ea6a-fd88-4508-ab30-9a48b4fb26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A68C5-C465-4996-98BB-12E2F4A0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38363-17ae-47ed-9282-1f175d7dd596"/>
    <ds:schemaRef ds:uri="37e2ea6a-fd88-4508-ab30-9a48b4fb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A0954-9F33-40DC-9A7D-2B2C7EFADB8C}">
  <ds:schemaRefs>
    <ds:schemaRef ds:uri="http://schemas.microsoft.com/sharepoint/v3/contenttype/forms"/>
  </ds:schemaRefs>
</ds:datastoreItem>
</file>

<file path=customXml/itemProps3.xml><?xml version="1.0" encoding="utf-8"?>
<ds:datastoreItem xmlns:ds="http://schemas.openxmlformats.org/officeDocument/2006/customXml" ds:itemID="{E46E210B-1B4C-4643-B85D-820E2AE556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5731</Words>
  <Characters>32672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Vullnetari</dc:creator>
  <cp:keywords/>
  <dc:description/>
  <cp:lastModifiedBy>Julie Vullnetari</cp:lastModifiedBy>
  <cp:revision>7</cp:revision>
  <dcterms:created xsi:type="dcterms:W3CDTF">2023-11-01T14:24:00Z</dcterms:created>
  <dcterms:modified xsi:type="dcterms:W3CDTF">2023-11-01T14:37:00Z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0x01010078AE83F6EBA8BD47AFA93FB8E7F85D14</vt:lpwstr>
  </property>
</Properties>
</file>