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51976" w14:textId="77777777" w:rsidR="00474747" w:rsidRPr="00F930D1" w:rsidRDefault="00474747" w:rsidP="009F12FA">
      <w:pPr>
        <w:spacing w:line="480" w:lineRule="auto"/>
        <w:outlineLvl w:val="2"/>
        <w:rPr>
          <w:b/>
          <w:bCs/>
          <w:lang w:val="en-US"/>
        </w:rPr>
      </w:pPr>
      <w:r w:rsidRPr="00F930D1">
        <w:rPr>
          <w:b/>
          <w:bCs/>
          <w:lang w:val="en-US"/>
        </w:rPr>
        <w:t>Associations of predominant night-eating with plasma glycemic status and continuous glucose monitoring measures among pregnant women</w:t>
      </w:r>
    </w:p>
    <w:p w14:paraId="3B8EA02E" w14:textId="77777777" w:rsidR="00474747" w:rsidRPr="00F930D1" w:rsidRDefault="00474747" w:rsidP="009F12FA">
      <w:pPr>
        <w:spacing w:line="480" w:lineRule="auto"/>
        <w:rPr>
          <w:lang w:val="en-US"/>
        </w:rPr>
      </w:pPr>
    </w:p>
    <w:p w14:paraId="69A3D628" w14:textId="77777777" w:rsidR="00474747" w:rsidRPr="00F930D1" w:rsidRDefault="00474747" w:rsidP="009F12FA">
      <w:pPr>
        <w:spacing w:line="480" w:lineRule="auto"/>
        <w:outlineLvl w:val="2"/>
        <w:rPr>
          <w:b/>
          <w:bCs/>
          <w:lang w:val="en-US"/>
        </w:rPr>
      </w:pPr>
      <w:r w:rsidRPr="00F930D1">
        <w:rPr>
          <w:lang w:val="en-US"/>
        </w:rPr>
        <w:t>See Ling Loy</w:t>
      </w:r>
      <w:r w:rsidRPr="00F930D1">
        <w:rPr>
          <w:vertAlign w:val="superscript"/>
          <w:lang w:val="en-US"/>
        </w:rPr>
        <w:t>1,2*</w:t>
      </w:r>
      <w:r w:rsidRPr="00F930D1">
        <w:rPr>
          <w:lang w:val="en-US"/>
        </w:rPr>
        <w:t>, Chee Wai Ku</w:t>
      </w:r>
      <w:r w:rsidRPr="00F930D1">
        <w:rPr>
          <w:vertAlign w:val="superscript"/>
          <w:lang w:val="en-US"/>
        </w:rPr>
        <w:t>1,2*</w:t>
      </w:r>
      <w:r w:rsidRPr="00F930D1">
        <w:rPr>
          <w:lang w:val="en-US"/>
        </w:rPr>
        <w:t>, Ruther Teo Zheng</w:t>
      </w:r>
      <w:r w:rsidRPr="00F930D1">
        <w:rPr>
          <w:vertAlign w:val="superscript"/>
          <w:lang w:val="en-US"/>
        </w:rPr>
        <w:t>3</w:t>
      </w:r>
      <w:r w:rsidRPr="00F930D1">
        <w:rPr>
          <w:lang w:val="en-US"/>
        </w:rPr>
        <w:t>, Celeste Hong Fei Lim</w:t>
      </w:r>
      <w:r w:rsidRPr="00F930D1">
        <w:rPr>
          <w:vertAlign w:val="superscript"/>
          <w:lang w:val="en-US"/>
        </w:rPr>
        <w:t>4</w:t>
      </w:r>
      <w:r w:rsidRPr="00F930D1">
        <w:rPr>
          <w:lang w:val="en-US"/>
        </w:rPr>
        <w:t>, Ting Yu Chang</w:t>
      </w:r>
      <w:r w:rsidRPr="00F930D1">
        <w:rPr>
          <w:vertAlign w:val="superscript"/>
          <w:lang w:val="en-US"/>
        </w:rPr>
        <w:t>4</w:t>
      </w:r>
      <w:r w:rsidRPr="00F930D1">
        <w:rPr>
          <w:lang w:val="en-US"/>
        </w:rPr>
        <w:t>, Ling-Wei Chen</w:t>
      </w:r>
      <w:r w:rsidRPr="00F930D1">
        <w:rPr>
          <w:vertAlign w:val="superscript"/>
          <w:lang w:val="en-US"/>
        </w:rPr>
        <w:t>5,6</w:t>
      </w:r>
      <w:r w:rsidRPr="00F930D1">
        <w:rPr>
          <w:lang w:val="en-US"/>
        </w:rPr>
        <w:t>, Yin Bun Cheung</w:t>
      </w:r>
      <w:r w:rsidRPr="00F930D1">
        <w:rPr>
          <w:vertAlign w:val="superscript"/>
          <w:lang w:val="en-US"/>
        </w:rPr>
        <w:t>7,8</w:t>
      </w:r>
      <w:r w:rsidRPr="00F930D1">
        <w:rPr>
          <w:lang w:val="en-US"/>
        </w:rPr>
        <w:t>, Keith M. Godfrey</w:t>
      </w:r>
      <w:r w:rsidRPr="00F930D1">
        <w:rPr>
          <w:vertAlign w:val="superscript"/>
          <w:lang w:val="en-US"/>
        </w:rPr>
        <w:t>9,10</w:t>
      </w:r>
      <w:r w:rsidRPr="00F930D1">
        <w:rPr>
          <w:lang w:val="en-US"/>
        </w:rPr>
        <w:t>, Kok Hian Tan</w:t>
      </w:r>
      <w:r w:rsidRPr="00F930D1">
        <w:rPr>
          <w:vertAlign w:val="superscript"/>
          <w:lang w:val="en-US"/>
        </w:rPr>
        <w:t>2,11</w:t>
      </w:r>
      <w:r w:rsidRPr="00F930D1">
        <w:rPr>
          <w:lang w:val="en-US"/>
        </w:rPr>
        <w:t>, Mary Foong-Fong Chong</w:t>
      </w:r>
      <w:r w:rsidRPr="00F930D1">
        <w:rPr>
          <w:vertAlign w:val="superscript"/>
          <w:lang w:val="en-US"/>
        </w:rPr>
        <w:t>12,13</w:t>
      </w:r>
      <w:r w:rsidRPr="00F930D1">
        <w:rPr>
          <w:lang w:val="en-US"/>
        </w:rPr>
        <w:t>, Jerry Kok Yen Chan</w:t>
      </w:r>
      <w:r w:rsidRPr="00F930D1">
        <w:rPr>
          <w:vertAlign w:val="superscript"/>
          <w:lang w:val="en-US"/>
        </w:rPr>
        <w:t>1,2</w:t>
      </w:r>
      <w:r w:rsidRPr="00F930D1">
        <w:rPr>
          <w:lang w:val="en-US"/>
        </w:rPr>
        <w:t>, Ngee Lek</w:t>
      </w:r>
      <w:r w:rsidRPr="00F930D1">
        <w:rPr>
          <w:vertAlign w:val="superscript"/>
          <w:lang w:val="en-US"/>
        </w:rPr>
        <w:t>2,3,4,14#</w:t>
      </w:r>
      <w:r w:rsidRPr="00F930D1">
        <w:rPr>
          <w:lang w:val="en-US"/>
        </w:rPr>
        <w:t>, Fabian Yap</w:t>
      </w:r>
      <w:r w:rsidRPr="00F930D1">
        <w:rPr>
          <w:vertAlign w:val="superscript"/>
          <w:lang w:val="en-US"/>
        </w:rPr>
        <w:t>2,3,14#</w:t>
      </w:r>
    </w:p>
    <w:p w14:paraId="4D5BA761" w14:textId="77777777" w:rsidR="00474747" w:rsidRPr="00F930D1" w:rsidRDefault="00474747" w:rsidP="009F12FA">
      <w:pPr>
        <w:spacing w:line="480" w:lineRule="auto"/>
        <w:outlineLvl w:val="2"/>
        <w:rPr>
          <w:b/>
          <w:bCs/>
          <w:lang w:val="en-US"/>
        </w:rPr>
      </w:pPr>
      <w:r w:rsidRPr="00F930D1">
        <w:rPr>
          <w:lang w:val="en-US"/>
        </w:rPr>
        <w:t> </w:t>
      </w:r>
    </w:p>
    <w:p w14:paraId="50310ED3" w14:textId="77777777" w:rsidR="00474747" w:rsidRPr="00F930D1" w:rsidRDefault="00474747" w:rsidP="009F12FA">
      <w:pPr>
        <w:spacing w:line="480" w:lineRule="auto"/>
        <w:outlineLvl w:val="2"/>
        <w:rPr>
          <w:lang w:val="en-US"/>
        </w:rPr>
      </w:pPr>
      <w:r w:rsidRPr="00F930D1">
        <w:rPr>
          <w:vertAlign w:val="superscript"/>
          <w:lang w:val="en-US"/>
        </w:rPr>
        <w:t>*</w:t>
      </w:r>
      <w:r w:rsidRPr="00F930D1">
        <w:rPr>
          <w:lang w:val="en-US"/>
        </w:rPr>
        <w:t>Co-first authors</w:t>
      </w:r>
    </w:p>
    <w:p w14:paraId="0512A5A6" w14:textId="77777777" w:rsidR="00474747" w:rsidRPr="00F930D1" w:rsidRDefault="00474747" w:rsidP="009F12FA">
      <w:pPr>
        <w:spacing w:line="480" w:lineRule="auto"/>
        <w:outlineLvl w:val="2"/>
        <w:rPr>
          <w:lang w:val="en-US"/>
        </w:rPr>
      </w:pPr>
      <w:r w:rsidRPr="00F930D1">
        <w:rPr>
          <w:vertAlign w:val="superscript"/>
          <w:lang w:val="en-US"/>
        </w:rPr>
        <w:t>#</w:t>
      </w:r>
      <w:r w:rsidRPr="00F930D1">
        <w:rPr>
          <w:lang w:val="en-US"/>
        </w:rPr>
        <w:t>Co-senior authors</w:t>
      </w:r>
    </w:p>
    <w:p w14:paraId="3769817C" w14:textId="77777777" w:rsidR="00474747" w:rsidRPr="00F930D1" w:rsidRDefault="00474747" w:rsidP="009F12FA">
      <w:pPr>
        <w:spacing w:line="480" w:lineRule="auto"/>
        <w:outlineLvl w:val="2"/>
        <w:rPr>
          <w:b/>
          <w:bCs/>
          <w:lang w:val="en-US"/>
        </w:rPr>
      </w:pPr>
    </w:p>
    <w:p w14:paraId="65994404" w14:textId="77777777" w:rsidR="00474747" w:rsidRPr="00F930D1" w:rsidRDefault="00474747" w:rsidP="009F12FA">
      <w:pPr>
        <w:spacing w:line="480" w:lineRule="auto"/>
        <w:outlineLvl w:val="2"/>
        <w:rPr>
          <w:b/>
          <w:bCs/>
          <w:lang w:val="en-US"/>
        </w:rPr>
      </w:pPr>
      <w:r w:rsidRPr="00F930D1">
        <w:rPr>
          <w:vertAlign w:val="superscript"/>
          <w:lang w:val="en-US"/>
        </w:rPr>
        <w:t>1</w:t>
      </w:r>
      <w:r w:rsidRPr="00F930D1">
        <w:rPr>
          <w:lang w:val="en-US"/>
        </w:rPr>
        <w:t xml:space="preserve">Department of Reproductive Medicine, KK Women’s and Children’s Hospital, 100 Bukit </w:t>
      </w:r>
      <w:proofErr w:type="spellStart"/>
      <w:r w:rsidRPr="00F930D1">
        <w:rPr>
          <w:lang w:val="en-US"/>
        </w:rPr>
        <w:t>Timah</w:t>
      </w:r>
      <w:proofErr w:type="spellEnd"/>
      <w:r w:rsidRPr="00F930D1">
        <w:rPr>
          <w:lang w:val="en-US"/>
        </w:rPr>
        <w:t xml:space="preserve"> Road, Singapore 229899, Singapore</w:t>
      </w:r>
    </w:p>
    <w:p w14:paraId="43D342B7" w14:textId="77777777" w:rsidR="00474747" w:rsidRPr="00F930D1" w:rsidRDefault="00474747" w:rsidP="009F12FA">
      <w:pPr>
        <w:spacing w:line="480" w:lineRule="auto"/>
        <w:outlineLvl w:val="2"/>
        <w:rPr>
          <w:lang w:val="en-US"/>
        </w:rPr>
      </w:pPr>
      <w:r w:rsidRPr="00F930D1">
        <w:rPr>
          <w:vertAlign w:val="superscript"/>
          <w:lang w:val="en-US"/>
        </w:rPr>
        <w:t>2</w:t>
      </w:r>
      <w:r w:rsidRPr="00F930D1">
        <w:rPr>
          <w:lang w:val="en-US"/>
        </w:rPr>
        <w:t>Duke-NUS Medical School, 8 College Road, Singapore 169857, Singapore</w:t>
      </w:r>
    </w:p>
    <w:p w14:paraId="1AB34A96" w14:textId="77777777" w:rsidR="00474747" w:rsidRPr="00F930D1" w:rsidRDefault="00474747" w:rsidP="009F12FA">
      <w:pPr>
        <w:spacing w:line="480" w:lineRule="auto"/>
        <w:outlineLvl w:val="2"/>
        <w:rPr>
          <w:b/>
          <w:bCs/>
          <w:lang w:val="en-US"/>
        </w:rPr>
      </w:pPr>
      <w:r w:rsidRPr="00F930D1">
        <w:rPr>
          <w:vertAlign w:val="superscript"/>
          <w:lang w:val="en-US"/>
        </w:rPr>
        <w:t>3</w:t>
      </w:r>
      <w:r w:rsidRPr="00F930D1">
        <w:rPr>
          <w:lang w:val="en-US"/>
        </w:rPr>
        <w:t xml:space="preserve">Endocrinology Service, Department of Pediatrics, KK Women’s and Children’s Hospital, 100 Bukit </w:t>
      </w:r>
      <w:proofErr w:type="spellStart"/>
      <w:r w:rsidRPr="00F930D1">
        <w:rPr>
          <w:lang w:val="en-US"/>
        </w:rPr>
        <w:t>Timah</w:t>
      </w:r>
      <w:proofErr w:type="spellEnd"/>
      <w:r w:rsidRPr="00F930D1">
        <w:rPr>
          <w:lang w:val="en-US"/>
        </w:rPr>
        <w:t xml:space="preserve"> Road, Singapore 229899, Singapore</w:t>
      </w:r>
    </w:p>
    <w:p w14:paraId="6B4129BE" w14:textId="77777777" w:rsidR="00474747" w:rsidRPr="00F930D1" w:rsidRDefault="00474747" w:rsidP="009F12FA">
      <w:pPr>
        <w:spacing w:line="480" w:lineRule="auto"/>
        <w:rPr>
          <w:lang w:val="en-US"/>
        </w:rPr>
      </w:pPr>
      <w:r w:rsidRPr="00F930D1">
        <w:rPr>
          <w:vertAlign w:val="superscript"/>
          <w:lang w:val="en-US"/>
        </w:rPr>
        <w:t>4</w:t>
      </w:r>
      <w:r w:rsidRPr="00F930D1">
        <w:rPr>
          <w:lang w:val="en-US"/>
        </w:rPr>
        <w:t>Yong Loo Lin School of Medicine, National University of Singapore, 10 Medical Drive, Singapore 117597, Singapore</w:t>
      </w:r>
    </w:p>
    <w:p w14:paraId="3DEB4247" w14:textId="77777777" w:rsidR="00474747" w:rsidRPr="00F930D1" w:rsidRDefault="00474747" w:rsidP="009F12FA">
      <w:pPr>
        <w:spacing w:line="480" w:lineRule="auto"/>
        <w:outlineLvl w:val="2"/>
        <w:rPr>
          <w:lang w:val="en-US"/>
        </w:rPr>
      </w:pPr>
      <w:r w:rsidRPr="00F930D1">
        <w:rPr>
          <w:vertAlign w:val="superscript"/>
          <w:lang w:val="en-US"/>
        </w:rPr>
        <w:t>5</w:t>
      </w:r>
      <w:r w:rsidRPr="00F930D1">
        <w:rPr>
          <w:lang w:val="en-US"/>
        </w:rPr>
        <w:t>Institute of Epidemiology and Preventive Medicine, College of Public Health, National Taiwan University, No. 17 Xu-Zhou Road, Taipei 10055, Taiwan</w:t>
      </w:r>
    </w:p>
    <w:p w14:paraId="055A78FC" w14:textId="77777777" w:rsidR="00474747" w:rsidRPr="00F930D1" w:rsidRDefault="00474747" w:rsidP="009F12FA">
      <w:pPr>
        <w:spacing w:line="480" w:lineRule="auto"/>
        <w:outlineLvl w:val="2"/>
        <w:rPr>
          <w:vertAlign w:val="superscript"/>
          <w:lang w:val="en-US"/>
        </w:rPr>
      </w:pPr>
      <w:r w:rsidRPr="00F930D1">
        <w:rPr>
          <w:vertAlign w:val="superscript"/>
          <w:lang w:val="en-US"/>
        </w:rPr>
        <w:t>6</w:t>
      </w:r>
      <w:r w:rsidRPr="00F930D1">
        <w:rPr>
          <w:lang w:val="en-US"/>
        </w:rPr>
        <w:t>Master of Public Health Program, College of Public Health, National Taiwan University, No. 17 Xu-Zhou Road, Taipei 10055, Taiwan</w:t>
      </w:r>
    </w:p>
    <w:p w14:paraId="7AE01131" w14:textId="77777777" w:rsidR="00474747" w:rsidRPr="00F930D1" w:rsidRDefault="00474747" w:rsidP="009F12FA">
      <w:pPr>
        <w:spacing w:line="480" w:lineRule="auto"/>
        <w:outlineLvl w:val="2"/>
        <w:rPr>
          <w:b/>
          <w:bCs/>
          <w:lang w:val="en-US"/>
        </w:rPr>
      </w:pPr>
      <w:r w:rsidRPr="00F930D1">
        <w:rPr>
          <w:vertAlign w:val="superscript"/>
          <w:lang w:val="en-US"/>
        </w:rPr>
        <w:t>7</w:t>
      </w:r>
      <w:r w:rsidRPr="00F930D1">
        <w:rPr>
          <w:lang w:val="en-US"/>
        </w:rPr>
        <w:t>Program in Health Services &amp; Systems Research, Duke-NUS Medical School, 8 College Road, Singapore 169857, Singapore</w:t>
      </w:r>
    </w:p>
    <w:p w14:paraId="0100871B" w14:textId="77777777" w:rsidR="00474747" w:rsidRPr="00F930D1" w:rsidRDefault="00474747" w:rsidP="009F12FA">
      <w:pPr>
        <w:spacing w:line="480" w:lineRule="auto"/>
        <w:outlineLvl w:val="2"/>
        <w:rPr>
          <w:b/>
          <w:bCs/>
          <w:lang w:val="en-US"/>
        </w:rPr>
      </w:pPr>
      <w:r w:rsidRPr="00F930D1">
        <w:rPr>
          <w:vertAlign w:val="superscript"/>
          <w:lang w:val="en-US"/>
        </w:rPr>
        <w:t>8</w:t>
      </w:r>
      <w:r w:rsidRPr="00F930D1">
        <w:rPr>
          <w:lang w:val="en-US"/>
        </w:rPr>
        <w:t>Tampere Centre for Child, Adolescent and Maternal Health Research, Tampere University, 33014 Tampere, Finland</w:t>
      </w:r>
    </w:p>
    <w:p w14:paraId="0C4BC57E" w14:textId="77777777" w:rsidR="00474747" w:rsidRPr="00F930D1" w:rsidRDefault="00474747" w:rsidP="009F12FA">
      <w:pPr>
        <w:spacing w:line="480" w:lineRule="auto"/>
        <w:rPr>
          <w:rFonts w:eastAsia="Arial"/>
          <w:lang w:val="en-US"/>
        </w:rPr>
      </w:pPr>
      <w:r w:rsidRPr="00F930D1">
        <w:rPr>
          <w:rFonts w:eastAsia="Arial"/>
          <w:vertAlign w:val="superscript"/>
          <w:lang w:val="en-US"/>
        </w:rPr>
        <w:lastRenderedPageBreak/>
        <w:t>9</w:t>
      </w:r>
      <w:r w:rsidRPr="00F930D1">
        <w:rPr>
          <w:rFonts w:eastAsia="Arial"/>
          <w:lang w:val="en-US"/>
        </w:rPr>
        <w:t>Medical Research Council Lifecourse Epidemiology Centre, University of Southampton, Southampton SO16 6YD, United Kingdom</w:t>
      </w:r>
    </w:p>
    <w:p w14:paraId="51E42C78" w14:textId="77777777" w:rsidR="00474747" w:rsidRPr="00F930D1" w:rsidRDefault="00474747" w:rsidP="009F12FA">
      <w:pPr>
        <w:spacing w:line="480" w:lineRule="auto"/>
        <w:rPr>
          <w:rFonts w:eastAsia="Arial"/>
          <w:lang w:val="en-US"/>
        </w:rPr>
      </w:pPr>
      <w:r w:rsidRPr="00F930D1">
        <w:rPr>
          <w:rFonts w:eastAsia="Arial"/>
          <w:vertAlign w:val="superscript"/>
          <w:lang w:val="en-US"/>
        </w:rPr>
        <w:t>10</w:t>
      </w:r>
      <w:r w:rsidRPr="00F930D1">
        <w:rPr>
          <w:rFonts w:eastAsia="Arial"/>
          <w:lang w:val="en-US"/>
        </w:rPr>
        <w:t>National Institute for Health Research Southampton Biomedical Research Centre, University of Southampton and University Hospital Southampton National Health Service Foundation Trust, Southampton SO16 6YD, United Kingdom</w:t>
      </w:r>
    </w:p>
    <w:p w14:paraId="398AD7B1" w14:textId="77777777" w:rsidR="00474747" w:rsidRPr="00F930D1" w:rsidRDefault="00474747" w:rsidP="009F12FA">
      <w:pPr>
        <w:spacing w:line="480" w:lineRule="auto"/>
        <w:outlineLvl w:val="2"/>
        <w:rPr>
          <w:b/>
          <w:bCs/>
          <w:lang w:val="en-US"/>
        </w:rPr>
      </w:pPr>
      <w:r w:rsidRPr="00F930D1">
        <w:rPr>
          <w:vertAlign w:val="superscript"/>
          <w:lang w:val="en-US"/>
        </w:rPr>
        <w:t>11</w:t>
      </w:r>
      <w:r w:rsidRPr="00F930D1">
        <w:rPr>
          <w:lang w:val="en-US"/>
        </w:rPr>
        <w:t xml:space="preserve">Department of Maternal Fetal Medicine, KK Women’s and Children’s Hospital, 100 Bukit </w:t>
      </w:r>
      <w:proofErr w:type="spellStart"/>
      <w:r w:rsidRPr="00F930D1">
        <w:rPr>
          <w:lang w:val="en-US"/>
        </w:rPr>
        <w:t>Timah</w:t>
      </w:r>
      <w:proofErr w:type="spellEnd"/>
      <w:r w:rsidRPr="00F930D1">
        <w:rPr>
          <w:lang w:val="en-US"/>
        </w:rPr>
        <w:t xml:space="preserve"> Road, Singapore 229899, Singapore</w:t>
      </w:r>
    </w:p>
    <w:p w14:paraId="1E81663D" w14:textId="77777777" w:rsidR="00474747" w:rsidRPr="00F930D1" w:rsidRDefault="00474747" w:rsidP="009F12FA">
      <w:pPr>
        <w:spacing w:line="480" w:lineRule="auto"/>
        <w:outlineLvl w:val="2"/>
        <w:rPr>
          <w:b/>
          <w:bCs/>
          <w:lang w:val="en-US"/>
        </w:rPr>
      </w:pPr>
      <w:r w:rsidRPr="00F930D1">
        <w:rPr>
          <w:vertAlign w:val="superscript"/>
          <w:lang w:val="en-US"/>
        </w:rPr>
        <w:t>12</w:t>
      </w:r>
      <w:r w:rsidRPr="00F930D1">
        <w:rPr>
          <w:lang w:val="en-US"/>
        </w:rPr>
        <w:t>Saw Swee Hock School of Public Health, National University of Singapore, 12 Science Drive 2, Singapore 117549, Singapore</w:t>
      </w:r>
    </w:p>
    <w:p w14:paraId="653BE9D4" w14:textId="77777777" w:rsidR="00474747" w:rsidRPr="00F930D1" w:rsidRDefault="00474747" w:rsidP="009F12FA">
      <w:pPr>
        <w:spacing w:line="480" w:lineRule="auto"/>
        <w:outlineLvl w:val="2"/>
        <w:rPr>
          <w:b/>
          <w:bCs/>
          <w:lang w:val="en-US"/>
        </w:rPr>
      </w:pPr>
      <w:r w:rsidRPr="00F930D1">
        <w:rPr>
          <w:vertAlign w:val="superscript"/>
          <w:lang w:val="en-US"/>
        </w:rPr>
        <w:t>13</w:t>
      </w:r>
      <w:r w:rsidRPr="00F930D1">
        <w:rPr>
          <w:lang w:val="en-US"/>
        </w:rPr>
        <w:t>Singapore Institute for Clinical Sciences, Agency for Science, Technology and Research (A*STAR), 30 Medical Drive, Singapore 117609, Singapore</w:t>
      </w:r>
    </w:p>
    <w:p w14:paraId="468668A5" w14:textId="77777777" w:rsidR="00474747" w:rsidRPr="00F930D1" w:rsidRDefault="00474747" w:rsidP="009F12FA">
      <w:pPr>
        <w:spacing w:line="480" w:lineRule="auto"/>
        <w:outlineLvl w:val="2"/>
        <w:rPr>
          <w:lang w:val="en-US"/>
        </w:rPr>
      </w:pPr>
      <w:r w:rsidRPr="00F930D1">
        <w:rPr>
          <w:vertAlign w:val="superscript"/>
          <w:lang w:val="en-US"/>
        </w:rPr>
        <w:t>14</w:t>
      </w:r>
      <w:r w:rsidRPr="00F930D1">
        <w:rPr>
          <w:lang w:val="en-US"/>
        </w:rPr>
        <w:t>Lee Kong Chian School of Medicine, Nanyang Technological University, 59 Nanyang Drive, Experimental Medicine Building, Singapore 636921, Singapore</w:t>
      </w:r>
    </w:p>
    <w:p w14:paraId="2D695ABC" w14:textId="77777777" w:rsidR="00474747" w:rsidRPr="00F930D1" w:rsidRDefault="00474747" w:rsidP="009F12FA">
      <w:pPr>
        <w:spacing w:line="480" w:lineRule="auto"/>
        <w:rPr>
          <w:b/>
          <w:bCs/>
          <w:lang w:val="en-US"/>
        </w:rPr>
      </w:pPr>
    </w:p>
    <w:p w14:paraId="3DCA9B24" w14:textId="77777777" w:rsidR="00474747" w:rsidRPr="00F930D1" w:rsidRDefault="00474747" w:rsidP="009F12FA">
      <w:pPr>
        <w:spacing w:line="480" w:lineRule="auto"/>
        <w:rPr>
          <w:b/>
          <w:bCs/>
          <w:lang w:val="en-US"/>
        </w:rPr>
      </w:pPr>
      <w:r w:rsidRPr="00F930D1">
        <w:rPr>
          <w:b/>
          <w:bCs/>
          <w:lang w:val="en-US"/>
        </w:rPr>
        <w:t>Corresponding author:</w:t>
      </w:r>
    </w:p>
    <w:p w14:paraId="20AE7A70" w14:textId="77777777" w:rsidR="00474747" w:rsidRPr="00F930D1" w:rsidRDefault="00474747" w:rsidP="009F12FA">
      <w:pPr>
        <w:spacing w:line="480" w:lineRule="auto"/>
        <w:rPr>
          <w:lang w:val="en-US"/>
        </w:rPr>
      </w:pPr>
      <w:r w:rsidRPr="00F930D1">
        <w:rPr>
          <w:lang w:val="en-US"/>
        </w:rPr>
        <w:t>See Ling Loy</w:t>
      </w:r>
    </w:p>
    <w:p w14:paraId="609BE3AA" w14:textId="77777777" w:rsidR="00474747" w:rsidRPr="00F930D1" w:rsidRDefault="00474747" w:rsidP="009F12FA">
      <w:pPr>
        <w:spacing w:line="480" w:lineRule="auto"/>
        <w:rPr>
          <w:lang w:val="en-US"/>
        </w:rPr>
      </w:pPr>
      <w:r w:rsidRPr="00F930D1">
        <w:rPr>
          <w:lang w:val="en-US"/>
        </w:rPr>
        <w:t>Department of Reproductive Medicine, KK Women’s and Children’s Hospital, Singapore, Singapore 229899</w:t>
      </w:r>
    </w:p>
    <w:p w14:paraId="5779EDD0" w14:textId="648215AC" w:rsidR="00474747" w:rsidRPr="00F930D1" w:rsidRDefault="00474747" w:rsidP="009F12FA">
      <w:pPr>
        <w:spacing w:line="480" w:lineRule="auto"/>
        <w:rPr>
          <w:lang w:val="en-US"/>
        </w:rPr>
      </w:pPr>
      <w:r w:rsidRPr="00F930D1">
        <w:rPr>
          <w:lang w:val="en-US"/>
        </w:rPr>
        <w:t>Phone: 65 90575516; Email: loyseeling@duke-nus.edu.sg</w:t>
      </w:r>
      <w:r w:rsidRPr="00F930D1">
        <w:rPr>
          <w:lang w:val="en-US"/>
        </w:rPr>
        <w:br w:type="page"/>
      </w:r>
    </w:p>
    <w:p w14:paraId="7BA52478" w14:textId="77777777" w:rsidR="00474747" w:rsidRPr="00F930D1" w:rsidRDefault="00474747" w:rsidP="009F12FA">
      <w:pPr>
        <w:pStyle w:val="Heading3"/>
        <w:spacing w:before="0" w:beforeAutospacing="0" w:after="0" w:afterAutospacing="0" w:line="480" w:lineRule="auto"/>
        <w:rPr>
          <w:sz w:val="28"/>
          <w:szCs w:val="28"/>
          <w:lang w:val="en-US"/>
        </w:rPr>
      </w:pPr>
      <w:r w:rsidRPr="00F930D1">
        <w:rPr>
          <w:sz w:val="28"/>
          <w:szCs w:val="28"/>
          <w:lang w:val="en-US"/>
        </w:rPr>
        <w:lastRenderedPageBreak/>
        <w:t>Abstract</w:t>
      </w:r>
    </w:p>
    <w:p w14:paraId="0974FC9E" w14:textId="77777777" w:rsidR="00474747" w:rsidRPr="00F930D1" w:rsidRDefault="00474747" w:rsidP="009F12FA">
      <w:pPr>
        <w:spacing w:line="480" w:lineRule="auto"/>
        <w:outlineLvl w:val="1"/>
        <w:rPr>
          <w:b/>
          <w:bCs/>
          <w:lang w:val="en-US"/>
        </w:rPr>
      </w:pPr>
      <w:r w:rsidRPr="00F930D1">
        <w:rPr>
          <w:b/>
          <w:bCs/>
          <w:lang w:val="en-US"/>
        </w:rPr>
        <w:t xml:space="preserve">Background &amp; Aims </w:t>
      </w:r>
    </w:p>
    <w:p w14:paraId="680BF7F6" w14:textId="77777777" w:rsidR="00474747" w:rsidRPr="00F930D1" w:rsidRDefault="00474747" w:rsidP="009F12FA">
      <w:pPr>
        <w:spacing w:line="480" w:lineRule="auto"/>
        <w:outlineLvl w:val="1"/>
        <w:rPr>
          <w:lang w:val="en-US"/>
        </w:rPr>
      </w:pPr>
      <w:r w:rsidRPr="00F930D1">
        <w:rPr>
          <w:lang w:val="en-US"/>
        </w:rPr>
        <w:t>To examine whether predominant night-eating, defined as more than 50% of total daily energy intake consumed between 1900-0659 hours, is associated with glycemic outcomes in pregnancy.</w:t>
      </w:r>
    </w:p>
    <w:p w14:paraId="2E348BE8" w14:textId="77777777" w:rsidR="00474747" w:rsidRPr="00F930D1" w:rsidRDefault="00474747" w:rsidP="009F12FA">
      <w:pPr>
        <w:spacing w:line="480" w:lineRule="auto"/>
        <w:outlineLvl w:val="1"/>
        <w:rPr>
          <w:b/>
          <w:bCs/>
          <w:lang w:val="en-US"/>
        </w:rPr>
      </w:pPr>
      <w:r w:rsidRPr="00F930D1">
        <w:rPr>
          <w:b/>
          <w:bCs/>
          <w:lang w:val="en-US"/>
        </w:rPr>
        <w:t>Methods</w:t>
      </w:r>
    </w:p>
    <w:p w14:paraId="30E82091" w14:textId="6145C3EB" w:rsidR="00474747" w:rsidRPr="00F930D1" w:rsidRDefault="00474747" w:rsidP="009F12FA">
      <w:pPr>
        <w:spacing w:line="480" w:lineRule="auto"/>
        <w:outlineLvl w:val="1"/>
        <w:rPr>
          <w:lang w:val="en-US"/>
        </w:rPr>
      </w:pPr>
      <w:r w:rsidRPr="00F930D1">
        <w:rPr>
          <w:lang w:val="en-US"/>
        </w:rPr>
        <w:t xml:space="preserve">This </w:t>
      </w:r>
      <w:r w:rsidR="00630222" w:rsidRPr="00F930D1">
        <w:rPr>
          <w:lang w:val="en-US"/>
        </w:rPr>
        <w:t>was</w:t>
      </w:r>
      <w:r w:rsidRPr="00F930D1">
        <w:rPr>
          <w:lang w:val="en-US"/>
        </w:rPr>
        <w:t xml:space="preserve"> a prospective cohort study of 277 healthy pregnant women with complete 4-day dietary intake records at 18-24 weeks gestation, recruited from KK Women’s and Children’s Hospital, Singapore. Primary outcomes were fasting, 1-hour, and 2-hour plasma glucose after a 75-g oral glucose tolerance test at 24-28 weeks gestation. Secondary outcomes were gestational diabetes mellitus (GDM), fasting insulin, homeostasis model assessment of insulin resistance (HOMA2-IR), β-cell function (HOMA2-%B), and continuous glucose monitoring (CGM) measures. Glucose variables in continuous form were log</w:t>
      </w:r>
      <w:r w:rsidRPr="00F930D1">
        <w:rPr>
          <w:vertAlign w:val="subscript"/>
          <w:lang w:val="en-US"/>
        </w:rPr>
        <w:t>e</w:t>
      </w:r>
      <w:r w:rsidRPr="00F930D1">
        <w:rPr>
          <w:lang w:val="en-US"/>
        </w:rPr>
        <w:t xml:space="preserve">-transformed before analyses. </w:t>
      </w:r>
    </w:p>
    <w:p w14:paraId="543639FC" w14:textId="77777777" w:rsidR="00474747" w:rsidRPr="00F930D1" w:rsidRDefault="00474747" w:rsidP="009F12FA">
      <w:pPr>
        <w:spacing w:line="480" w:lineRule="auto"/>
        <w:outlineLvl w:val="1"/>
        <w:rPr>
          <w:b/>
          <w:bCs/>
          <w:lang w:val="en-US"/>
        </w:rPr>
      </w:pPr>
      <w:r w:rsidRPr="00F930D1">
        <w:rPr>
          <w:b/>
          <w:bCs/>
          <w:lang w:val="en-US"/>
        </w:rPr>
        <w:t>Results</w:t>
      </w:r>
    </w:p>
    <w:p w14:paraId="3F5B542F" w14:textId="7DFFC674" w:rsidR="00474747" w:rsidRPr="00F930D1" w:rsidRDefault="00474747" w:rsidP="009F12FA">
      <w:pPr>
        <w:spacing w:line="480" w:lineRule="auto"/>
        <w:outlineLvl w:val="2"/>
        <w:rPr>
          <w:b/>
          <w:bCs/>
          <w:lang w:val="en-US"/>
        </w:rPr>
      </w:pPr>
      <w:r w:rsidRPr="00F930D1">
        <w:rPr>
          <w:lang w:val="en-US"/>
        </w:rPr>
        <w:t xml:space="preserve">Predominant night-eating (11.6%) was associated with higher fasting glucose (geometric mean ratio (95% confidence interval) 1.05 (1.01, 1.08)) and 1-hour glucose (1.11 (1.01, 1.21)), but not with 2-hour glucose or GDM risk. Predominant night-eating women had lower fasting insulin (0.77 (0.63, 0.95)), </w:t>
      </w:r>
      <w:r w:rsidR="00CC0E33">
        <w:rPr>
          <w:lang w:val="en-US"/>
        </w:rPr>
        <w:t xml:space="preserve">lower </w:t>
      </w:r>
      <w:r w:rsidRPr="00F930D1">
        <w:rPr>
          <w:lang w:val="en-US"/>
        </w:rPr>
        <w:t>HOMA2-IR (</w:t>
      </w:r>
      <w:r w:rsidR="00CC0E33">
        <w:rPr>
          <w:lang w:val="en-US"/>
        </w:rPr>
        <w:t>0.78</w:t>
      </w:r>
      <w:r w:rsidRPr="00F930D1">
        <w:rPr>
          <w:lang w:val="en-US"/>
        </w:rPr>
        <w:t xml:space="preserve"> (</w:t>
      </w:r>
      <w:r w:rsidR="00CC0E33">
        <w:rPr>
          <w:lang w:val="en-US"/>
        </w:rPr>
        <w:t>0.64</w:t>
      </w:r>
      <w:r w:rsidRPr="00F930D1">
        <w:rPr>
          <w:lang w:val="en-US"/>
        </w:rPr>
        <w:t xml:space="preserve">, </w:t>
      </w:r>
      <w:r w:rsidR="00CC0E33">
        <w:rPr>
          <w:lang w:val="en-US"/>
        </w:rPr>
        <w:t>0.97</w:t>
      </w:r>
      <w:r w:rsidRPr="00F930D1">
        <w:rPr>
          <w:lang w:val="en-US"/>
        </w:rPr>
        <w:t>)), and lower HOMA2-%B (0.</w:t>
      </w:r>
      <w:r w:rsidR="00792F71">
        <w:rPr>
          <w:lang w:val="en-US"/>
        </w:rPr>
        <w:t>77</w:t>
      </w:r>
      <w:r w:rsidRPr="00F930D1">
        <w:rPr>
          <w:lang w:val="en-US"/>
        </w:rPr>
        <w:t xml:space="preserve"> (0.</w:t>
      </w:r>
      <w:r w:rsidR="00792F71">
        <w:rPr>
          <w:lang w:val="en-US"/>
        </w:rPr>
        <w:t>67</w:t>
      </w:r>
      <w:r w:rsidRPr="00F930D1">
        <w:rPr>
          <w:lang w:val="en-US"/>
        </w:rPr>
        <w:t>, 0.</w:t>
      </w:r>
      <w:r w:rsidR="00792F71">
        <w:rPr>
          <w:lang w:val="en-US"/>
        </w:rPr>
        <w:t>89</w:t>
      </w:r>
      <w:r w:rsidRPr="00F930D1">
        <w:rPr>
          <w:lang w:val="en-US"/>
        </w:rPr>
        <w:t>)) than their predominant day-eating counterparts. For CGM measures, predominant night-eating was associated with higher mean glucose (1.07 (1.00, 1.15)), higher glucose management indicator (1.05 (1.00, 1.10)), and higher overall glucose levels throughout 24 hours (1.10 (1.02, 1.19)). All these associations were adjusted for</w:t>
      </w:r>
      <w:r w:rsidR="001A3BAC" w:rsidRPr="00F930D1">
        <w:rPr>
          <w:lang w:val="en-US"/>
        </w:rPr>
        <w:t xml:space="preserve"> </w:t>
      </w:r>
      <w:r w:rsidR="00ED48A1" w:rsidRPr="00F930D1">
        <w:rPr>
          <w:lang w:val="en-US"/>
        </w:rPr>
        <w:t>socio-</w:t>
      </w:r>
      <w:r w:rsidRPr="00F930D1">
        <w:rPr>
          <w:lang w:val="en-US"/>
        </w:rPr>
        <w:t>demographic</w:t>
      </w:r>
      <w:r w:rsidR="00743044">
        <w:rPr>
          <w:lang w:val="en-US"/>
        </w:rPr>
        <w:t>,</w:t>
      </w:r>
      <w:r w:rsidRPr="00F930D1">
        <w:rPr>
          <w:lang w:val="en-US"/>
        </w:rPr>
        <w:t xml:space="preserve"> </w:t>
      </w:r>
      <w:r w:rsidR="00BD0CD6" w:rsidRPr="00F930D1">
        <w:rPr>
          <w:lang w:val="en-US"/>
        </w:rPr>
        <w:t xml:space="preserve">lifestyle </w:t>
      </w:r>
      <w:r w:rsidRPr="00F930D1">
        <w:rPr>
          <w:lang w:val="en-US"/>
        </w:rPr>
        <w:t>factors</w:t>
      </w:r>
      <w:r w:rsidR="00743044">
        <w:rPr>
          <w:lang w:val="en-US"/>
        </w:rPr>
        <w:t>, and diet composition</w:t>
      </w:r>
      <w:r w:rsidRPr="00F930D1">
        <w:rPr>
          <w:lang w:val="en-US"/>
        </w:rPr>
        <w:t xml:space="preserve">. </w:t>
      </w:r>
    </w:p>
    <w:p w14:paraId="2DB96E89" w14:textId="77777777" w:rsidR="00474747" w:rsidRPr="00F930D1" w:rsidRDefault="00474747" w:rsidP="009F12FA">
      <w:pPr>
        <w:spacing w:line="480" w:lineRule="auto"/>
        <w:outlineLvl w:val="1"/>
        <w:rPr>
          <w:b/>
          <w:bCs/>
          <w:lang w:val="en-US"/>
        </w:rPr>
      </w:pPr>
      <w:r w:rsidRPr="00F930D1">
        <w:rPr>
          <w:b/>
          <w:bCs/>
          <w:lang w:val="en-US"/>
        </w:rPr>
        <w:t>Conclusion</w:t>
      </w:r>
    </w:p>
    <w:p w14:paraId="3DD240FB" w14:textId="75D82478" w:rsidR="00474747" w:rsidRPr="00F930D1" w:rsidRDefault="00474747" w:rsidP="009F12FA">
      <w:pPr>
        <w:spacing w:line="480" w:lineRule="auto"/>
        <w:rPr>
          <w:lang w:val="en-US"/>
        </w:rPr>
      </w:pPr>
      <w:r w:rsidRPr="00F930D1">
        <w:rPr>
          <w:lang w:val="en-US"/>
        </w:rPr>
        <w:lastRenderedPageBreak/>
        <w:t xml:space="preserve">Predominant night-eating was </w:t>
      </w:r>
      <w:r w:rsidR="00BF23C2">
        <w:rPr>
          <w:lang w:val="en-US"/>
        </w:rPr>
        <w:t xml:space="preserve">mainly </w:t>
      </w:r>
      <w:r w:rsidRPr="00F930D1">
        <w:rPr>
          <w:lang w:val="en-US"/>
        </w:rPr>
        <w:t xml:space="preserve">associated with less desirable glycemic outcomes during pregnancy. </w:t>
      </w:r>
      <w:r w:rsidR="00CC0E33">
        <w:rPr>
          <w:lang w:val="en-US"/>
        </w:rPr>
        <w:t>F</w:t>
      </w:r>
      <w:r w:rsidRPr="00F930D1">
        <w:rPr>
          <w:lang w:val="en-US"/>
        </w:rPr>
        <w:t>uture studies should explore dietary interventions aimed at reducing consumption of relatively more calories at night than day during pregnancy. </w:t>
      </w:r>
    </w:p>
    <w:p w14:paraId="4613B466" w14:textId="77777777" w:rsidR="00474747" w:rsidRPr="00F930D1" w:rsidRDefault="00474747" w:rsidP="009F12FA">
      <w:pPr>
        <w:spacing w:line="480" w:lineRule="auto"/>
        <w:rPr>
          <w:lang w:val="en-US"/>
        </w:rPr>
      </w:pPr>
    </w:p>
    <w:p w14:paraId="7CFC9760" w14:textId="77777777" w:rsidR="00474747" w:rsidRPr="00F930D1" w:rsidRDefault="00474747" w:rsidP="009F12FA">
      <w:pPr>
        <w:spacing w:line="480" w:lineRule="auto"/>
        <w:outlineLvl w:val="2"/>
        <w:rPr>
          <w:b/>
          <w:bCs/>
          <w:sz w:val="28"/>
          <w:szCs w:val="28"/>
          <w:lang w:val="en-US"/>
        </w:rPr>
      </w:pPr>
      <w:r w:rsidRPr="00F930D1">
        <w:rPr>
          <w:b/>
          <w:bCs/>
          <w:sz w:val="28"/>
          <w:szCs w:val="28"/>
          <w:lang w:val="en-US"/>
        </w:rPr>
        <w:t xml:space="preserve">Keywords </w:t>
      </w:r>
    </w:p>
    <w:p w14:paraId="0148346A" w14:textId="77777777" w:rsidR="00474747" w:rsidRPr="00F930D1" w:rsidRDefault="00474747" w:rsidP="009F12FA">
      <w:pPr>
        <w:spacing w:line="480" w:lineRule="auto"/>
        <w:rPr>
          <w:lang w:val="en-US"/>
        </w:rPr>
      </w:pPr>
      <w:r w:rsidRPr="00F930D1">
        <w:rPr>
          <w:lang w:val="en-US"/>
        </w:rPr>
        <w:t xml:space="preserve">Night-eating, </w:t>
      </w:r>
      <w:proofErr w:type="spellStart"/>
      <w:r w:rsidRPr="00F930D1">
        <w:rPr>
          <w:lang w:val="en-US"/>
        </w:rPr>
        <w:t>chrononutrition</w:t>
      </w:r>
      <w:proofErr w:type="spellEnd"/>
      <w:r w:rsidRPr="00F930D1">
        <w:rPr>
          <w:lang w:val="en-US"/>
        </w:rPr>
        <w:t xml:space="preserve">, pregnancy, continuous glucose monitoring, diabetes </w:t>
      </w:r>
    </w:p>
    <w:p w14:paraId="4A0F879F" w14:textId="77777777" w:rsidR="00474747" w:rsidRPr="00F930D1" w:rsidRDefault="00474747" w:rsidP="009F12FA">
      <w:pPr>
        <w:spacing w:line="480" w:lineRule="auto"/>
        <w:rPr>
          <w:lang w:val="en-US"/>
        </w:rPr>
      </w:pPr>
    </w:p>
    <w:p w14:paraId="50D2B2AF" w14:textId="77777777" w:rsidR="00474747" w:rsidRPr="00F930D1" w:rsidRDefault="00474747" w:rsidP="009F12FA">
      <w:pPr>
        <w:spacing w:line="480" w:lineRule="auto"/>
        <w:rPr>
          <w:b/>
          <w:bCs/>
          <w:sz w:val="28"/>
          <w:szCs w:val="28"/>
          <w:lang w:val="en-US"/>
        </w:rPr>
      </w:pPr>
      <w:r w:rsidRPr="00F930D1">
        <w:rPr>
          <w:b/>
          <w:bCs/>
          <w:sz w:val="28"/>
          <w:szCs w:val="28"/>
          <w:lang w:val="en-US"/>
        </w:rPr>
        <w:t>Introduction</w:t>
      </w:r>
    </w:p>
    <w:p w14:paraId="3E1DB34C" w14:textId="77777777" w:rsidR="00474747" w:rsidRPr="00F930D1" w:rsidRDefault="00474747" w:rsidP="009F12FA">
      <w:pPr>
        <w:spacing w:line="480" w:lineRule="auto"/>
        <w:rPr>
          <w:lang w:val="en-US"/>
        </w:rPr>
      </w:pPr>
      <w:r w:rsidRPr="00F930D1">
        <w:rPr>
          <w:lang w:val="en-US"/>
        </w:rPr>
        <w:t>Optimizing diet during pregnancy can improve both maternal and offspring health outcomes</w:t>
      </w:r>
      <w:r w:rsidRPr="00F930D1">
        <w:rPr>
          <w:noProof/>
          <w:lang w:val="en-US"/>
        </w:rPr>
        <w:t xml:space="preserve"> (1, 2)</w:t>
      </w:r>
      <w:r w:rsidRPr="00F930D1">
        <w:rPr>
          <w:lang w:val="en-US"/>
        </w:rPr>
        <w:t xml:space="preserve">. In recent years, the field of </w:t>
      </w:r>
      <w:proofErr w:type="spellStart"/>
      <w:r w:rsidRPr="00F930D1">
        <w:rPr>
          <w:lang w:val="en-US"/>
        </w:rPr>
        <w:t>chrononutrition</w:t>
      </w:r>
      <w:proofErr w:type="spellEnd"/>
      <w:r w:rsidRPr="00F930D1">
        <w:rPr>
          <w:lang w:val="en-US"/>
        </w:rPr>
        <w:t xml:space="preserve">, the study of nutritional impact on metabolism </w:t>
      </w:r>
      <w:r w:rsidRPr="00F930D1">
        <w:rPr>
          <w:color w:val="000000"/>
          <w:lang w:val="en-US"/>
        </w:rPr>
        <w:t>through</w:t>
      </w:r>
      <w:r w:rsidRPr="00F930D1">
        <w:rPr>
          <w:lang w:val="en-US"/>
        </w:rPr>
        <w:t xml:space="preserve"> the circadian system, has brought to fore the importance of understanding appropriate dietary intake based on 24-hour clock time </w:t>
      </w:r>
      <w:r w:rsidRPr="00F930D1">
        <w:rPr>
          <w:noProof/>
          <w:lang w:val="en-US"/>
        </w:rPr>
        <w:t>(3)</w:t>
      </w:r>
      <w:r w:rsidRPr="00F930D1">
        <w:rPr>
          <w:lang w:val="en-US"/>
        </w:rPr>
        <w:t>. During pregnancy, higher energy intake in the late evening or at night</w:t>
      </w:r>
      <w:r w:rsidRPr="00F930D1">
        <w:rPr>
          <w:i/>
          <w:iCs/>
          <w:lang w:val="en-US"/>
        </w:rPr>
        <w:t xml:space="preserve"> </w:t>
      </w:r>
      <w:r w:rsidRPr="00F930D1">
        <w:rPr>
          <w:lang w:val="en-US"/>
        </w:rPr>
        <w:t xml:space="preserve">has been associated with poorer dietary quality </w:t>
      </w:r>
      <w:r w:rsidRPr="00F930D1">
        <w:rPr>
          <w:noProof/>
          <w:lang w:val="en-US"/>
        </w:rPr>
        <w:t>(4)</w:t>
      </w:r>
      <w:r w:rsidRPr="00F930D1">
        <w:rPr>
          <w:lang w:val="en-US"/>
        </w:rPr>
        <w:t xml:space="preserve">, higher plasma glucose levels, higher gestational weight gain, higher risk of postpartum obesity, and multiple adverse obstetric outcomes in several studies </w:t>
      </w:r>
      <w:r w:rsidRPr="00F930D1">
        <w:rPr>
          <w:noProof/>
          <w:lang w:val="en-US"/>
        </w:rPr>
        <w:t>(5, 6)</w:t>
      </w:r>
      <w:r w:rsidRPr="00F930D1">
        <w:rPr>
          <w:lang w:val="en-US"/>
        </w:rPr>
        <w:t>. These findings are highly relevant as night-eating</w:t>
      </w:r>
      <w:r w:rsidRPr="00F930D1">
        <w:rPr>
          <w:i/>
          <w:iCs/>
          <w:lang w:val="en-US"/>
        </w:rPr>
        <w:t xml:space="preserve"> </w:t>
      </w:r>
      <w:r w:rsidRPr="00F930D1">
        <w:rPr>
          <w:lang w:val="en-US"/>
        </w:rPr>
        <w:t xml:space="preserve">has become an increasingly prevalent phenomenon </w:t>
      </w:r>
      <w:r w:rsidRPr="00F930D1">
        <w:rPr>
          <w:noProof/>
          <w:lang w:val="en-US"/>
        </w:rPr>
        <w:t>(7)</w:t>
      </w:r>
      <w:r w:rsidRPr="00F930D1">
        <w:rPr>
          <w:lang w:val="en-US"/>
        </w:rPr>
        <w:t xml:space="preserve">. Furthermore, pregnancy has the potential to induce night-eating </w:t>
      </w:r>
      <w:proofErr w:type="gramStart"/>
      <w:r w:rsidRPr="00F930D1">
        <w:rPr>
          <w:lang w:val="en-US"/>
        </w:rPr>
        <w:t>due to the effect</w:t>
      </w:r>
      <w:proofErr w:type="gramEnd"/>
      <w:r w:rsidRPr="00F930D1">
        <w:rPr>
          <w:lang w:val="en-US"/>
        </w:rPr>
        <w:t xml:space="preserve"> of physiological changes and disturbed sleep patterns </w:t>
      </w:r>
      <w:r w:rsidRPr="00F930D1">
        <w:rPr>
          <w:noProof/>
          <w:lang w:val="en-US"/>
        </w:rPr>
        <w:t>(8-10)</w:t>
      </w:r>
      <w:r w:rsidRPr="00F930D1">
        <w:rPr>
          <w:lang w:val="en-US"/>
        </w:rPr>
        <w:t xml:space="preserve">. </w:t>
      </w:r>
    </w:p>
    <w:p w14:paraId="14744EA4" w14:textId="77777777" w:rsidR="00474747" w:rsidRPr="00F930D1" w:rsidRDefault="00474747" w:rsidP="009F12FA">
      <w:pPr>
        <w:spacing w:line="480" w:lineRule="auto"/>
        <w:ind w:firstLine="720"/>
        <w:rPr>
          <w:lang w:val="en-US"/>
        </w:rPr>
      </w:pPr>
      <w:r w:rsidRPr="00F930D1">
        <w:rPr>
          <w:lang w:val="en-US"/>
        </w:rPr>
        <w:t xml:space="preserve">Understanding the glycemic response according to meal timing is especially crucial for pregnant women, as pregnancy itself is already associated with altered circadian patterns and increased insulin resistance </w:t>
      </w:r>
      <w:r w:rsidRPr="00F930D1">
        <w:rPr>
          <w:noProof/>
          <w:lang w:val="en-US"/>
        </w:rPr>
        <w:t>(11, 12)</w:t>
      </w:r>
      <w:r w:rsidRPr="00F930D1">
        <w:rPr>
          <w:lang w:val="en-US"/>
        </w:rPr>
        <w:t>.</w:t>
      </w:r>
      <w:r w:rsidRPr="00F930D1">
        <w:rPr>
          <w:b/>
          <w:bCs/>
          <w:lang w:val="en-US"/>
        </w:rPr>
        <w:t xml:space="preserve"> </w:t>
      </w:r>
      <w:r w:rsidRPr="00F930D1">
        <w:rPr>
          <w:lang w:val="en-US"/>
        </w:rPr>
        <w:t xml:space="preserve">Higher maternal glucose concentrations, even below diagnostic levels of diabetes, are associated with adverse birth outcomes, such as fetal overgrowth and adiposity, as shown by the Hyperglycemia and Adverse Pregnancy Outcome (HAPO) Study </w:t>
      </w:r>
      <w:r w:rsidRPr="00F930D1">
        <w:rPr>
          <w:noProof/>
          <w:lang w:val="en-US"/>
        </w:rPr>
        <w:t>(13)</w:t>
      </w:r>
      <w:r w:rsidRPr="00F930D1">
        <w:rPr>
          <w:lang w:val="en-US"/>
        </w:rPr>
        <w:t xml:space="preserve">. However, </w:t>
      </w:r>
      <w:r w:rsidRPr="00F930D1">
        <w:rPr>
          <w:color w:val="000000"/>
          <w:lang w:val="en-US"/>
        </w:rPr>
        <w:t>it remains not clear to what</w:t>
      </w:r>
      <w:r w:rsidRPr="00F930D1">
        <w:rPr>
          <w:lang w:val="en-US"/>
        </w:rPr>
        <w:t xml:space="preserve"> </w:t>
      </w:r>
      <w:r w:rsidRPr="00F930D1">
        <w:rPr>
          <w:color w:val="000000"/>
          <w:lang w:val="en-US"/>
        </w:rPr>
        <w:t>extent</w:t>
      </w:r>
      <w:r w:rsidRPr="00F930D1">
        <w:rPr>
          <w:lang w:val="en-US"/>
        </w:rPr>
        <w:t xml:space="preserve"> night-eating alters glucose metabolism during </w:t>
      </w:r>
      <w:r w:rsidRPr="00F930D1">
        <w:rPr>
          <w:color w:val="000000"/>
          <w:lang w:val="en-US"/>
        </w:rPr>
        <w:t>pregnancy,</w:t>
      </w:r>
      <w:r w:rsidRPr="00F930D1">
        <w:rPr>
          <w:lang w:val="en-US"/>
        </w:rPr>
        <w:t xml:space="preserve"> as reported </w:t>
      </w:r>
      <w:r w:rsidRPr="00F930D1">
        <w:rPr>
          <w:color w:val="000000"/>
          <w:lang w:val="en-US"/>
        </w:rPr>
        <w:t>in</w:t>
      </w:r>
      <w:r w:rsidRPr="00F930D1">
        <w:rPr>
          <w:lang w:val="en-US"/>
        </w:rPr>
        <w:t xml:space="preserve"> a recent systematic review </w:t>
      </w:r>
      <w:r w:rsidRPr="00F930D1">
        <w:rPr>
          <w:noProof/>
          <w:lang w:val="en-US"/>
        </w:rPr>
        <w:t>(14)</w:t>
      </w:r>
      <w:r w:rsidRPr="00F930D1">
        <w:rPr>
          <w:lang w:val="en-US"/>
        </w:rPr>
        <w:t xml:space="preserve">. Previous </w:t>
      </w:r>
      <w:r w:rsidRPr="00F930D1">
        <w:rPr>
          <w:lang w:val="en-US"/>
        </w:rPr>
        <w:lastRenderedPageBreak/>
        <w:t xml:space="preserve">studies were mainly cross-sectional, employed single day diet assessment for examining meal timing, or evaluated glycemic measures without considering 24-hour glucose levels </w:t>
      </w:r>
      <w:r w:rsidRPr="00F930D1">
        <w:rPr>
          <w:noProof/>
          <w:lang w:val="en-US"/>
        </w:rPr>
        <w:t>(8-10)</w:t>
      </w:r>
      <w:r w:rsidRPr="00F930D1">
        <w:rPr>
          <w:lang w:val="en-US"/>
        </w:rPr>
        <w:t xml:space="preserve">. </w:t>
      </w:r>
    </w:p>
    <w:p w14:paraId="4CF9AFDC" w14:textId="77777777" w:rsidR="00474747" w:rsidRPr="00F930D1" w:rsidRDefault="00474747" w:rsidP="009F12FA">
      <w:pPr>
        <w:spacing w:line="480" w:lineRule="auto"/>
        <w:ind w:firstLine="720"/>
        <w:rPr>
          <w:i/>
          <w:iCs/>
          <w:lang w:val="en-US"/>
        </w:rPr>
      </w:pPr>
      <w:r w:rsidRPr="00F930D1">
        <w:rPr>
          <w:lang w:val="en-US"/>
        </w:rPr>
        <w:t xml:space="preserve">To address these gaps, we conducted a prospective cohort study that was specifically designed to examine the association between maternal night-eating and gestational glycemic status, using a comprehensive set of dietary assessment tools and glucose measures. We hypothesized that consuming energy predominantly at night, assessed by 4-day dietary intakes based </w:t>
      </w:r>
      <w:r w:rsidRPr="00F930D1">
        <w:rPr>
          <w:color w:val="000000"/>
          <w:lang w:val="en-US"/>
        </w:rPr>
        <w:t>on a</w:t>
      </w:r>
      <w:r w:rsidRPr="00F930D1">
        <w:rPr>
          <w:lang w:val="en-US"/>
        </w:rPr>
        <w:t xml:space="preserve"> combination of a paper-based food diary and a mobile phone food picture app, was associated with higher plasma glucose levels after oral glucose tolerance </w:t>
      </w:r>
      <w:r w:rsidRPr="00F930D1">
        <w:rPr>
          <w:color w:val="000000"/>
          <w:lang w:val="en-US"/>
        </w:rPr>
        <w:t>test</w:t>
      </w:r>
      <w:r w:rsidRPr="00F930D1">
        <w:rPr>
          <w:lang w:val="en-US"/>
        </w:rPr>
        <w:t xml:space="preserve"> (OGTT) and insulin dysregulation. We also hypothesized that these women with predominant night-eating (PNE) would have poorer glycemic control and larger glycemic variability, based on their ambulatory glucose profile compared to women with predominant day-eating (PDE)</w:t>
      </w:r>
      <w:r w:rsidRPr="00F930D1">
        <w:rPr>
          <w:i/>
          <w:iCs/>
          <w:lang w:val="en-US"/>
        </w:rPr>
        <w:t xml:space="preserve">. </w:t>
      </w:r>
    </w:p>
    <w:p w14:paraId="21DC734D" w14:textId="77777777" w:rsidR="00474747" w:rsidRPr="00F930D1" w:rsidRDefault="00474747" w:rsidP="009F12FA">
      <w:pPr>
        <w:spacing w:line="480" w:lineRule="auto"/>
        <w:rPr>
          <w:lang w:val="en-US"/>
        </w:rPr>
      </w:pPr>
    </w:p>
    <w:p w14:paraId="2140056D" w14:textId="77777777" w:rsidR="00474747" w:rsidRPr="00F930D1" w:rsidRDefault="00474747" w:rsidP="009F12FA">
      <w:pPr>
        <w:pStyle w:val="Heading3"/>
        <w:spacing w:before="0" w:beforeAutospacing="0" w:after="0" w:afterAutospacing="0" w:line="480" w:lineRule="auto"/>
        <w:rPr>
          <w:sz w:val="28"/>
          <w:szCs w:val="28"/>
          <w:lang w:val="en-US"/>
        </w:rPr>
      </w:pPr>
      <w:r w:rsidRPr="00F930D1">
        <w:rPr>
          <w:sz w:val="28"/>
          <w:szCs w:val="28"/>
          <w:lang w:val="en-US"/>
        </w:rPr>
        <w:t>Materials and Methods</w:t>
      </w:r>
    </w:p>
    <w:p w14:paraId="301CDFC5" w14:textId="77777777" w:rsidR="00474747" w:rsidRPr="00F930D1" w:rsidRDefault="00474747" w:rsidP="009F12FA">
      <w:pPr>
        <w:spacing w:line="480" w:lineRule="auto"/>
        <w:rPr>
          <w:lang w:val="en-US"/>
        </w:rPr>
      </w:pPr>
      <w:r w:rsidRPr="00F930D1">
        <w:rPr>
          <w:lang w:val="en-US"/>
        </w:rPr>
        <w:t xml:space="preserve">Data were drawn from a prospective cohort study that was designed to examine nocturnal eating pattern and glucose metabolism among pregnant women (NCT03803345) </w:t>
      </w:r>
      <w:r w:rsidRPr="00F930D1">
        <w:rPr>
          <w:noProof/>
          <w:lang w:val="en-US"/>
        </w:rPr>
        <w:t>(15)</w:t>
      </w:r>
      <w:r w:rsidRPr="00F930D1">
        <w:rPr>
          <w:lang w:val="en-US"/>
        </w:rPr>
        <w:t xml:space="preserve">. The study was conducted at KK Women’s and Children’s Hospital (KKH), Singapore, and recruitment took place between March 2019 and October 2021. We performed the study according to the Declaration of Helsinki and the research was granted ethics approval by the Centralized Institutional Review Board of SingHealth (Reference 2018/2529). This study was reported using the Strengthening the Report of Observational Studies in Epidemiology (STROBE) guidelines </w:t>
      </w:r>
      <w:r w:rsidRPr="00F930D1">
        <w:rPr>
          <w:noProof/>
          <w:lang w:val="en-US"/>
        </w:rPr>
        <w:t>(16)</w:t>
      </w:r>
      <w:r w:rsidRPr="00F930D1">
        <w:rPr>
          <w:lang w:val="en-US"/>
        </w:rPr>
        <w:t xml:space="preserve">. </w:t>
      </w:r>
      <w:r w:rsidRPr="00F930D1">
        <w:rPr>
          <w:lang w:val="en-US" w:bidi="en-US"/>
        </w:rPr>
        <w:t xml:space="preserve">The study was approved </w:t>
      </w:r>
      <w:r w:rsidRPr="00F930D1">
        <w:rPr>
          <w:lang w:val="en-US"/>
        </w:rPr>
        <w:t>by the Centralized Institutional Review Board of SingHealth (Reference 2018/2529). All participants provided written informed consent.</w:t>
      </w:r>
    </w:p>
    <w:p w14:paraId="5EC152BE" w14:textId="77777777" w:rsidR="00474747" w:rsidRPr="00F930D1" w:rsidRDefault="00474747" w:rsidP="009F12FA">
      <w:pPr>
        <w:pStyle w:val="Heading3"/>
        <w:spacing w:before="0" w:beforeAutospacing="0" w:after="0" w:afterAutospacing="0" w:line="480" w:lineRule="auto"/>
        <w:rPr>
          <w:sz w:val="24"/>
          <w:szCs w:val="24"/>
          <w:lang w:val="en-US"/>
        </w:rPr>
      </w:pPr>
    </w:p>
    <w:p w14:paraId="39903C7C" w14:textId="77777777" w:rsidR="00474747" w:rsidRPr="00F930D1" w:rsidRDefault="00474747" w:rsidP="009F12FA">
      <w:pPr>
        <w:spacing w:line="480" w:lineRule="auto"/>
        <w:rPr>
          <w:b/>
          <w:bCs/>
          <w:lang w:val="en-US"/>
        </w:rPr>
      </w:pPr>
      <w:r w:rsidRPr="00F930D1">
        <w:rPr>
          <w:b/>
          <w:bCs/>
          <w:lang w:val="en-US"/>
        </w:rPr>
        <w:lastRenderedPageBreak/>
        <w:t>Participants</w:t>
      </w:r>
    </w:p>
    <w:p w14:paraId="6D6D2561" w14:textId="77777777" w:rsidR="00474747" w:rsidRPr="00F930D1" w:rsidRDefault="00474747" w:rsidP="009F12FA">
      <w:pPr>
        <w:spacing w:line="480" w:lineRule="auto"/>
        <w:rPr>
          <w:lang w:val="en-US"/>
        </w:rPr>
      </w:pPr>
      <w:r w:rsidRPr="00F930D1">
        <w:rPr>
          <w:lang w:val="en-US"/>
        </w:rPr>
        <w:t xml:space="preserve">Women were eligible for the study if they were between </w:t>
      </w:r>
      <w:proofErr w:type="gramStart"/>
      <w:r w:rsidRPr="00F930D1">
        <w:rPr>
          <w:lang w:val="en-US"/>
        </w:rPr>
        <w:t>18 and 24 weeks</w:t>
      </w:r>
      <w:proofErr w:type="gramEnd"/>
      <w:r w:rsidRPr="00F930D1">
        <w:rPr>
          <w:lang w:val="en-US"/>
        </w:rPr>
        <w:t xml:space="preserve"> gestation, aged 18 years and above, had Singapore citizenship or Singapore permanent residence status. We excluded women who were diagnosed with gestational diabetes mellitus (GDM) at recruitment, had pre-existing Type 1 or 2 diabetes, were on routine night-shift work, used anticonvulsant medications or oral steroids in the past month, had known or suspected allergy to medical grade adhesives. We also excluded women who were diagnosed with chronic kidney disease, preeclampsia, </w:t>
      </w:r>
      <w:r w:rsidRPr="00F930D1">
        <w:rPr>
          <w:color w:val="000000"/>
          <w:lang w:val="en-US"/>
        </w:rPr>
        <w:t>or</w:t>
      </w:r>
      <w:r w:rsidRPr="00F930D1">
        <w:rPr>
          <w:lang w:val="en-US"/>
        </w:rPr>
        <w:t xml:space="preserve"> had multiple pregnancies. </w:t>
      </w:r>
    </w:p>
    <w:p w14:paraId="0F3FED42" w14:textId="77777777" w:rsidR="00474747" w:rsidRPr="00F930D1" w:rsidRDefault="00474747" w:rsidP="009F12FA">
      <w:pPr>
        <w:pStyle w:val="Heading3"/>
        <w:spacing w:before="0" w:beforeAutospacing="0" w:after="0" w:afterAutospacing="0" w:line="480" w:lineRule="auto"/>
        <w:rPr>
          <w:sz w:val="24"/>
          <w:szCs w:val="24"/>
          <w:lang w:val="en-US"/>
        </w:rPr>
      </w:pPr>
    </w:p>
    <w:p w14:paraId="227DA990" w14:textId="77777777" w:rsidR="00474747" w:rsidRPr="00F930D1" w:rsidRDefault="00474747" w:rsidP="009F12FA">
      <w:pPr>
        <w:spacing w:line="480" w:lineRule="auto"/>
        <w:rPr>
          <w:b/>
          <w:bCs/>
          <w:lang w:val="en-US"/>
        </w:rPr>
      </w:pPr>
      <w:r w:rsidRPr="00F930D1">
        <w:rPr>
          <w:b/>
          <w:bCs/>
          <w:lang w:val="en-US"/>
        </w:rPr>
        <w:t>Study procedures and data collection</w:t>
      </w:r>
    </w:p>
    <w:p w14:paraId="49DEAFB6" w14:textId="32EF343E" w:rsidR="00474747" w:rsidRPr="00F930D1" w:rsidRDefault="00474747" w:rsidP="009F12FA">
      <w:pPr>
        <w:spacing w:line="480" w:lineRule="auto"/>
        <w:rPr>
          <w:lang w:val="en-US"/>
        </w:rPr>
      </w:pPr>
      <w:r w:rsidRPr="00F930D1">
        <w:rPr>
          <w:lang w:val="en-US"/>
        </w:rPr>
        <w:t xml:space="preserve">Women completed a baseline assessment at 18-24 weeks gestation in the clinic. The baseline assessment </w:t>
      </w:r>
      <w:r w:rsidRPr="00F930D1">
        <w:rPr>
          <w:color w:val="000000"/>
          <w:lang w:val="en-US"/>
        </w:rPr>
        <w:t>assessed</w:t>
      </w:r>
      <w:r w:rsidRPr="00F930D1">
        <w:rPr>
          <w:lang w:val="en-US"/>
        </w:rPr>
        <w:t xml:space="preserve"> demographic characteristics (age, ethnicity), indicators of socioeconomic status (years of education, employment status) </w:t>
      </w:r>
      <w:r w:rsidRPr="00F930D1">
        <w:rPr>
          <w:noProof/>
          <w:lang w:val="en-US"/>
        </w:rPr>
        <w:t>(17)</w:t>
      </w:r>
      <w:r w:rsidRPr="00F930D1">
        <w:rPr>
          <w:lang w:val="en-US"/>
        </w:rPr>
        <w:t xml:space="preserve">, meal regularity (frequency of skipped and/or delayed meal timing a week), physical activity (assessed </w:t>
      </w:r>
      <w:r w:rsidRPr="00F930D1">
        <w:rPr>
          <w:color w:val="000000"/>
          <w:lang w:val="en-US"/>
        </w:rPr>
        <w:t>using</w:t>
      </w:r>
      <w:r w:rsidRPr="00F930D1">
        <w:rPr>
          <w:lang w:val="en-US"/>
        </w:rPr>
        <w:t xml:space="preserve"> the International Physical Activity Questionnaire-Short Form </w:t>
      </w:r>
      <w:r w:rsidRPr="00F930D1">
        <w:rPr>
          <w:noProof/>
          <w:lang w:val="en-US"/>
        </w:rPr>
        <w:t>(18)</w:t>
      </w:r>
      <w:r w:rsidRPr="00F930D1">
        <w:rPr>
          <w:lang w:val="en-US"/>
        </w:rPr>
        <w:t xml:space="preserve">, </w:t>
      </w:r>
      <w:r w:rsidRPr="00F930D1">
        <w:rPr>
          <w:color w:val="000000"/>
          <w:lang w:val="en-US"/>
        </w:rPr>
        <w:t>allowing the</w:t>
      </w:r>
      <w:r w:rsidRPr="00F930D1">
        <w:rPr>
          <w:lang w:val="en-US"/>
        </w:rPr>
        <w:t xml:space="preserve"> derivation of the metabolic equivalent of task score [MET-min]), and bedtime (asked by question ‘when do you usually go to bed?’). Pre-pregnancy body mass index (BMI) was calculated from self-reported weight (kg) divided by height squared (m</w:t>
      </w:r>
      <w:r w:rsidRPr="00F930D1">
        <w:rPr>
          <w:vertAlign w:val="superscript"/>
          <w:lang w:val="en-US"/>
        </w:rPr>
        <w:t>2</w:t>
      </w:r>
      <w:r w:rsidRPr="00F930D1">
        <w:rPr>
          <w:lang w:val="en-US"/>
        </w:rPr>
        <w:t xml:space="preserve"> [measured by the SECA 213 stadiometer, Germany]). Women were asked to record their 4-day dietary intake using a paper-based food diary (three weekdays and one weekend day) and the mobile phone food picture app (</w:t>
      </w:r>
      <w:proofErr w:type="spellStart"/>
      <w:r w:rsidRPr="00F930D1">
        <w:rPr>
          <w:lang w:val="en-US"/>
        </w:rPr>
        <w:t>MealLogger</w:t>
      </w:r>
      <w:proofErr w:type="spellEnd"/>
      <w:r w:rsidRPr="00F930D1">
        <w:rPr>
          <w:lang w:val="en-US"/>
        </w:rPr>
        <w:t xml:space="preserve">, Wellness Foundry) on the same days. Food images captured before and after eating were automatically time-stamped and uploaded by the app to the subscribed website, which could only be accessed by the research staff. At the end of the baseline visit, a </w:t>
      </w:r>
      <w:r w:rsidR="006A4CCA" w:rsidRPr="00F930D1">
        <w:rPr>
          <w:lang w:val="en-US"/>
        </w:rPr>
        <w:t>continuous glucose monitoring (</w:t>
      </w:r>
      <w:r w:rsidRPr="00F930D1">
        <w:rPr>
          <w:lang w:val="en-US"/>
        </w:rPr>
        <w:t>CGM</w:t>
      </w:r>
      <w:r w:rsidR="006A4CCA" w:rsidRPr="00F930D1">
        <w:rPr>
          <w:lang w:val="en-US"/>
        </w:rPr>
        <w:t>)</w:t>
      </w:r>
      <w:r w:rsidRPr="00F930D1">
        <w:rPr>
          <w:lang w:val="en-US"/>
        </w:rPr>
        <w:t xml:space="preserve"> sensor (Freestyle Libre Pro, Abbott, Germany) measuring interstitial glucose every 15 minutes was applied on the back of woman’s upper arm and required to be </w:t>
      </w:r>
      <w:r w:rsidRPr="00F930D1">
        <w:rPr>
          <w:lang w:val="en-US"/>
        </w:rPr>
        <w:lastRenderedPageBreak/>
        <w:t xml:space="preserve">worn for 10 continuous days. No calibration was needed for the CGM sensor during the wearing period. Women were blinded from the CGM readings to avoid any dietary modification. By 24-28 weeks gestation, women returned to the follow-up visit which was aligned with their OGTT clinical appointment. Women underwent a 3-point (0, 1- and 2-hour) 75-g OGTT in the morning after an overnight fast of 8-10 hours, following standardized clinical procedures. Plasma glucose (assessed by the Abbott </w:t>
      </w:r>
      <w:proofErr w:type="spellStart"/>
      <w:r w:rsidRPr="00F930D1">
        <w:rPr>
          <w:lang w:val="en-US"/>
        </w:rPr>
        <w:t>Alinity</w:t>
      </w:r>
      <w:proofErr w:type="spellEnd"/>
      <w:r w:rsidRPr="00F930D1">
        <w:rPr>
          <w:lang w:val="en-US"/>
        </w:rPr>
        <w:t xml:space="preserve"> c glucose enzymatic [Hexokinase] assay, Germany) and fasting insulin (assessed by the Abbott </w:t>
      </w:r>
      <w:proofErr w:type="spellStart"/>
      <w:r w:rsidRPr="00F930D1">
        <w:rPr>
          <w:lang w:val="en-US"/>
        </w:rPr>
        <w:t>Alinity</w:t>
      </w:r>
      <w:proofErr w:type="spellEnd"/>
      <w:r w:rsidRPr="00F930D1">
        <w:rPr>
          <w:lang w:val="en-US"/>
        </w:rPr>
        <w:t xml:space="preserve"> i insulin immunochemiluminometric assay, Germany) were analyzed in the KKH laboratory within one hour after blood was drawn, following standardized clinical protocols.</w:t>
      </w:r>
    </w:p>
    <w:p w14:paraId="7F07AE02" w14:textId="77777777" w:rsidR="00474747" w:rsidRPr="00F930D1" w:rsidRDefault="00474747" w:rsidP="009F12FA">
      <w:pPr>
        <w:pStyle w:val="Heading3"/>
        <w:spacing w:before="0" w:beforeAutospacing="0" w:after="0" w:afterAutospacing="0" w:line="480" w:lineRule="auto"/>
        <w:rPr>
          <w:sz w:val="24"/>
          <w:szCs w:val="24"/>
          <w:lang w:val="en-US"/>
        </w:rPr>
      </w:pPr>
    </w:p>
    <w:p w14:paraId="64AB7B36" w14:textId="77777777" w:rsidR="00474747" w:rsidRPr="00F930D1" w:rsidRDefault="00474747" w:rsidP="009F12FA">
      <w:pPr>
        <w:spacing w:line="480" w:lineRule="auto"/>
        <w:rPr>
          <w:b/>
          <w:bCs/>
          <w:lang w:val="en-US"/>
        </w:rPr>
      </w:pPr>
      <w:r w:rsidRPr="00F930D1">
        <w:rPr>
          <w:b/>
          <w:bCs/>
          <w:lang w:val="en-US"/>
        </w:rPr>
        <w:t>Night-time eating assessment </w:t>
      </w:r>
    </w:p>
    <w:p w14:paraId="21A2A375" w14:textId="77777777" w:rsidR="00474747" w:rsidRPr="00F930D1" w:rsidRDefault="00474747" w:rsidP="009F12FA">
      <w:pPr>
        <w:spacing w:line="480" w:lineRule="auto"/>
        <w:rPr>
          <w:lang w:val="en-US"/>
        </w:rPr>
      </w:pPr>
      <w:r w:rsidRPr="00F930D1">
        <w:rPr>
          <w:lang w:val="en-US"/>
        </w:rPr>
        <w:t xml:space="preserve">Research staff verified the information in the food diaries by checking against food images from the food app. Discrepancies between both sources were clarified with the women. We used the </w:t>
      </w:r>
      <w:proofErr w:type="spellStart"/>
      <w:r w:rsidRPr="00F930D1">
        <w:rPr>
          <w:lang w:val="en-US"/>
        </w:rPr>
        <w:t>Dietplan</w:t>
      </w:r>
      <w:proofErr w:type="spellEnd"/>
      <w:r w:rsidRPr="00F930D1">
        <w:rPr>
          <w:lang w:val="en-US"/>
        </w:rPr>
        <w:t xml:space="preserve"> software containing the Singapore food composition database (</w:t>
      </w:r>
      <w:proofErr w:type="spellStart"/>
      <w:r w:rsidRPr="00F930D1">
        <w:rPr>
          <w:lang w:val="en-US"/>
        </w:rPr>
        <w:t>Forestfield</w:t>
      </w:r>
      <w:proofErr w:type="spellEnd"/>
      <w:r w:rsidRPr="00F930D1">
        <w:rPr>
          <w:lang w:val="en-US"/>
        </w:rPr>
        <w:t xml:space="preserve">, UK) to analyze and subsequently compute the average calorie and nutrient intakes of women based on the recorded dietary data and/ or images. We applied the same definitions to define day-night eating as previously reported </w:t>
      </w:r>
      <w:r w:rsidRPr="00F930D1">
        <w:rPr>
          <w:noProof/>
          <w:lang w:val="en-US"/>
        </w:rPr>
        <w:t>(10, 19-21)</w:t>
      </w:r>
      <w:r w:rsidRPr="00F930D1">
        <w:rPr>
          <w:lang w:val="en-US"/>
        </w:rPr>
        <w:t xml:space="preserve">, </w:t>
      </w:r>
      <w:r w:rsidRPr="00F930D1">
        <w:rPr>
          <w:color w:val="000000"/>
          <w:lang w:val="en-US"/>
        </w:rPr>
        <w:t>considering</w:t>
      </w:r>
      <w:r w:rsidRPr="00F930D1">
        <w:rPr>
          <w:lang w:val="en-US"/>
        </w:rPr>
        <w:t xml:space="preserve"> its practical application in clinical practice. PNE was defined as consuming more than 50% of total daily energy intake between 1900 h and 0659 h; PDE, which served as the reference group, was defined as consuming equal to or more than 50% of total daily energy intake between 0700 h and 1859 h.</w:t>
      </w:r>
      <w:r w:rsidRPr="00F930D1">
        <w:rPr>
          <w:color w:val="000000" w:themeColor="text1"/>
          <w:lang w:val="en-US"/>
        </w:rPr>
        <w:t xml:space="preserve"> Given that daylight is a strong environmental signal for the human circadian clock which regulates metabolism (22, 23),</w:t>
      </w:r>
      <w:r w:rsidRPr="00F930D1">
        <w:rPr>
          <w:color w:val="4472C4" w:themeColor="accent1"/>
          <w:lang w:val="en-US"/>
        </w:rPr>
        <w:t xml:space="preserve"> </w:t>
      </w:r>
      <w:r w:rsidRPr="00F930D1">
        <w:rPr>
          <w:color w:val="000000" w:themeColor="text1"/>
          <w:lang w:val="en-US"/>
        </w:rPr>
        <w:t>we determined day- and night-time periods based on local sunrise (~0700 h) and sunset times (~1900 h), which remain nearly constant throughout the year in Singapore.</w:t>
      </w:r>
    </w:p>
    <w:p w14:paraId="77657500" w14:textId="77777777" w:rsidR="00474747" w:rsidRPr="00F930D1" w:rsidRDefault="00474747" w:rsidP="009F12FA">
      <w:pPr>
        <w:pStyle w:val="Heading3"/>
        <w:spacing w:before="0" w:beforeAutospacing="0" w:after="0" w:afterAutospacing="0" w:line="480" w:lineRule="auto"/>
        <w:rPr>
          <w:sz w:val="24"/>
          <w:szCs w:val="24"/>
          <w:lang w:val="en-US"/>
        </w:rPr>
      </w:pPr>
    </w:p>
    <w:p w14:paraId="0A46755E" w14:textId="77777777" w:rsidR="00474747" w:rsidRPr="00F930D1" w:rsidRDefault="00474747" w:rsidP="009F12FA">
      <w:pPr>
        <w:spacing w:line="480" w:lineRule="auto"/>
        <w:rPr>
          <w:b/>
          <w:bCs/>
          <w:lang w:val="en-US"/>
        </w:rPr>
      </w:pPr>
      <w:r w:rsidRPr="00F930D1">
        <w:rPr>
          <w:b/>
          <w:bCs/>
          <w:lang w:val="en-US"/>
        </w:rPr>
        <w:lastRenderedPageBreak/>
        <w:t>Glycemic outcomes </w:t>
      </w:r>
    </w:p>
    <w:p w14:paraId="4C114E12" w14:textId="7241B467" w:rsidR="00474747" w:rsidRPr="00F930D1" w:rsidRDefault="00474747" w:rsidP="009F12FA">
      <w:pPr>
        <w:spacing w:line="480" w:lineRule="auto"/>
        <w:rPr>
          <w:vertAlign w:val="superscript"/>
          <w:lang w:val="en-US"/>
        </w:rPr>
      </w:pPr>
      <w:r w:rsidRPr="00F930D1">
        <w:rPr>
          <w:lang w:val="en-US"/>
        </w:rPr>
        <w:t xml:space="preserve">We have pre-specified the glycemic outcomes. Primary outcomes were fasting, 1-hour, and/or 2-hour plasma glucose levels after 75-g OGTT at 24-28 weeks gestation. Secondary outcomes were GDM (defined by the International Association of Diabetes and Pregnancy Study Groups criteria </w:t>
      </w:r>
      <w:r w:rsidRPr="00F930D1">
        <w:rPr>
          <w:noProof/>
          <w:lang w:val="en-US"/>
        </w:rPr>
        <w:t>(24)</w:t>
      </w:r>
      <w:r w:rsidRPr="00F930D1">
        <w:rPr>
          <w:lang w:val="en-US"/>
        </w:rPr>
        <w:t xml:space="preserve">); fasting insulin level; updated homeostasis model assessment of insulin resistance (HOMA2-IR, a surrogate measure of insulin sensitivity </w:t>
      </w:r>
      <w:r w:rsidRPr="00F930D1">
        <w:rPr>
          <w:noProof/>
          <w:lang w:val="en-US"/>
        </w:rPr>
        <w:t>(25)</w:t>
      </w:r>
      <w:r w:rsidRPr="00F930D1">
        <w:rPr>
          <w:lang w:val="en-US"/>
        </w:rPr>
        <w:t xml:space="preserve">; a higher HOMA2-IR suggests increased insulin resistance, or reduced insulin sensitivity); updated homeostasis model assessment of β-cell function (HOMA2-%B, a surrogate marker for fasting insulin secretion </w:t>
      </w:r>
      <w:r w:rsidRPr="00F930D1">
        <w:rPr>
          <w:noProof/>
          <w:lang w:val="en-US"/>
        </w:rPr>
        <w:t>(25)</w:t>
      </w:r>
      <w:r w:rsidRPr="00F930D1">
        <w:rPr>
          <w:lang w:val="en-US"/>
        </w:rPr>
        <w:t xml:space="preserve">; a lower HOMA2-%B suggests decreased fasting insulin secretion); CGM-derived glycemic control and glycemic variability indices. HOMA2-IR and HOMA2-%B were calculated using the HOMA2 calculator (https://www.dtu.ox.ac.uk/homacalculator/). The glycemic control indices included mean glucose, glucose management indicator (GMI) </w:t>
      </w:r>
      <w:r w:rsidRPr="00F930D1">
        <w:rPr>
          <w:noProof/>
          <w:lang w:val="en-US"/>
        </w:rPr>
        <w:t>(26)</w:t>
      </w:r>
      <w:r w:rsidRPr="00F930D1">
        <w:rPr>
          <w:lang w:val="en-US"/>
        </w:rPr>
        <w:t xml:space="preserve">, J-index </w:t>
      </w:r>
      <w:r w:rsidRPr="00F930D1">
        <w:rPr>
          <w:noProof/>
          <w:lang w:val="en-US"/>
        </w:rPr>
        <w:t>(27)</w:t>
      </w:r>
      <w:r w:rsidRPr="00F930D1">
        <w:rPr>
          <w:lang w:val="en-US"/>
        </w:rPr>
        <w:t xml:space="preserve">, percentage of time in range 3.5 – 7.8 mmol/L (TIR) </w:t>
      </w:r>
      <w:r w:rsidRPr="00F930D1">
        <w:rPr>
          <w:noProof/>
          <w:lang w:val="en-US"/>
        </w:rPr>
        <w:t>(28)</w:t>
      </w:r>
      <w:r w:rsidRPr="00F930D1">
        <w:rPr>
          <w:lang w:val="en-US"/>
        </w:rPr>
        <w:t xml:space="preserve">, percentage of time above the target range 7.8 mmol/L (TAR) </w:t>
      </w:r>
      <w:r w:rsidRPr="00F930D1">
        <w:rPr>
          <w:noProof/>
          <w:lang w:val="en-US"/>
        </w:rPr>
        <w:t>(28)</w:t>
      </w:r>
      <w:r w:rsidRPr="00F930D1">
        <w:rPr>
          <w:lang w:val="en-US"/>
        </w:rPr>
        <w:t xml:space="preserve">, and percentage of time below the target range 3.5 mmol/L (TBR) during pregnancy </w:t>
      </w:r>
      <w:r w:rsidRPr="00F930D1">
        <w:rPr>
          <w:noProof/>
          <w:lang w:val="en-US"/>
        </w:rPr>
        <w:t>(28)</w:t>
      </w:r>
      <w:r w:rsidRPr="00F930D1">
        <w:rPr>
          <w:lang w:val="en-US"/>
        </w:rPr>
        <w:t xml:space="preserve">. The glycemic variability indices included standard deviation (SD), coefficient of variation (CV), and mean amplitude of glucose excursions (MAGE), derived from the </w:t>
      </w:r>
      <w:proofErr w:type="spellStart"/>
      <w:r w:rsidRPr="00F930D1">
        <w:rPr>
          <w:lang w:val="en-US"/>
        </w:rPr>
        <w:t>EasyGV</w:t>
      </w:r>
      <w:proofErr w:type="spellEnd"/>
      <w:r w:rsidRPr="00F930D1">
        <w:rPr>
          <w:lang w:val="en-US"/>
        </w:rPr>
        <w:t xml:space="preserve"> software </w:t>
      </w:r>
      <w:r w:rsidRPr="00F930D1">
        <w:rPr>
          <w:noProof/>
          <w:lang w:val="en-US"/>
        </w:rPr>
        <w:t>(29)</w:t>
      </w:r>
      <w:r w:rsidRPr="00F930D1">
        <w:rPr>
          <w:lang w:val="en-US"/>
        </w:rPr>
        <w:t xml:space="preserve">. These indices provide estimates of daily glycemic control and fluctuations. </w:t>
      </w:r>
      <w:r w:rsidRPr="00F930D1">
        <w:rPr>
          <w:color w:val="000000" w:themeColor="text1"/>
          <w:lang w:val="en-US"/>
        </w:rPr>
        <w:t xml:space="preserve">Since most sensors were worn at the end of the first day, we excluded the first two days of CGM readings to mitigate the potential for inaccurate measurements in the initial 24 hours </w:t>
      </w:r>
      <w:r w:rsidRPr="00F930D1">
        <w:rPr>
          <w:noProof/>
          <w:color w:val="000000" w:themeColor="text1"/>
          <w:lang w:val="en-US"/>
        </w:rPr>
        <w:t>(30)</w:t>
      </w:r>
      <w:r w:rsidRPr="00F930D1">
        <w:rPr>
          <w:color w:val="000000" w:themeColor="text1"/>
          <w:lang w:val="en-US"/>
        </w:rPr>
        <w:t xml:space="preserve">. </w:t>
      </w:r>
      <w:r w:rsidRPr="00F930D1">
        <w:rPr>
          <w:bCs/>
          <w:color w:val="000000" w:themeColor="text1"/>
          <w:lang w:val="en-US"/>
        </w:rPr>
        <w:t xml:space="preserve">Consequently, we only included </w:t>
      </w:r>
      <w:r w:rsidRPr="00F930D1">
        <w:rPr>
          <w:color w:val="000000" w:themeColor="text1"/>
          <w:lang w:val="en-US"/>
        </w:rPr>
        <w:t>women with a minimum of three complete consecutive days of 24-hour data in the main analysis for CGM measures.</w:t>
      </w:r>
    </w:p>
    <w:p w14:paraId="4EECE7D9" w14:textId="77777777" w:rsidR="00474747" w:rsidRPr="00F930D1" w:rsidRDefault="00474747" w:rsidP="009F12FA">
      <w:pPr>
        <w:pStyle w:val="Subtitle"/>
        <w:spacing w:after="0" w:line="480" w:lineRule="auto"/>
        <w:rPr>
          <w:rFonts w:ascii="Times New Roman" w:hAnsi="Times New Roman" w:cs="Times New Roman"/>
          <w:b/>
          <w:bCs/>
          <w:color w:val="auto"/>
          <w:sz w:val="24"/>
          <w:szCs w:val="24"/>
          <w:lang w:val="en-US"/>
        </w:rPr>
      </w:pPr>
    </w:p>
    <w:p w14:paraId="71874B77" w14:textId="77777777" w:rsidR="00474747" w:rsidRPr="00F930D1" w:rsidRDefault="00474747" w:rsidP="009F12FA">
      <w:pPr>
        <w:spacing w:line="480" w:lineRule="auto"/>
        <w:rPr>
          <w:b/>
          <w:bCs/>
          <w:lang w:val="en-US"/>
        </w:rPr>
      </w:pPr>
      <w:r w:rsidRPr="00F930D1">
        <w:rPr>
          <w:b/>
          <w:bCs/>
          <w:lang w:val="en-US"/>
        </w:rPr>
        <w:t>Statistical analysis </w:t>
      </w:r>
    </w:p>
    <w:p w14:paraId="6E671A0D" w14:textId="77777777" w:rsidR="00474747" w:rsidRPr="00F930D1" w:rsidRDefault="00474747" w:rsidP="009F12FA">
      <w:pPr>
        <w:spacing w:line="480" w:lineRule="auto"/>
        <w:rPr>
          <w:lang w:val="en-US"/>
        </w:rPr>
      </w:pPr>
      <w:r w:rsidRPr="00F930D1">
        <w:rPr>
          <w:lang w:val="en-US"/>
        </w:rPr>
        <w:lastRenderedPageBreak/>
        <w:t>We compared the characteristics of pregnant women in the PDE and PNE groups using descriptive statistics. We applied multiple linear regression and modified Poisson regression models with covariate adjustment to examine the associations of PNE with glycemic outcomes in continuous and binary forms, respectively. Plasma glycemic outcomes were natural log-transformed (log</w:t>
      </w:r>
      <w:r w:rsidRPr="00F930D1">
        <w:rPr>
          <w:vertAlign w:val="subscript"/>
          <w:lang w:val="en-US"/>
        </w:rPr>
        <w:t>e</w:t>
      </w:r>
      <w:r w:rsidRPr="00F930D1">
        <w:rPr>
          <w:lang w:val="en-US"/>
        </w:rPr>
        <w:t xml:space="preserve">) to achieve approximately normal distributions before using these values for analyses. Covariates were identified </w:t>
      </w:r>
      <w:r w:rsidRPr="00F930D1">
        <w:rPr>
          <w:i/>
          <w:iCs/>
          <w:lang w:val="en-US"/>
        </w:rPr>
        <w:t>a priori</w:t>
      </w:r>
      <w:r w:rsidRPr="00F930D1">
        <w:rPr>
          <w:lang w:val="en-US"/>
        </w:rPr>
        <w:t xml:space="preserve"> from the literature review </w:t>
      </w:r>
      <w:r w:rsidRPr="00F930D1">
        <w:rPr>
          <w:noProof/>
          <w:lang w:val="en-US"/>
        </w:rPr>
        <w:t>(8, 10, 31, 32)</w:t>
      </w:r>
      <w:r w:rsidRPr="00F930D1">
        <w:rPr>
          <w:lang w:val="en-US"/>
        </w:rPr>
        <w:t xml:space="preserve"> and based on the disjunctive cause criteria </w:t>
      </w:r>
      <w:r w:rsidRPr="00F930D1">
        <w:rPr>
          <w:noProof/>
          <w:lang w:val="en-US"/>
        </w:rPr>
        <w:t>(33)</w:t>
      </w:r>
      <w:r w:rsidRPr="00F930D1">
        <w:rPr>
          <w:lang w:val="en-US"/>
        </w:rPr>
        <w:t xml:space="preserve">, guided by the directed acyclic graph. We controlled for covariates recognized as either potential confounders or known to influence the exposure or outcomes (to increase the precision of estimates), but not those in the potential causal pathway linking exposure to outcomes. Minimum models were adjusted for age (continuous), ethnicity (Chinese, </w:t>
      </w:r>
      <w:proofErr w:type="spellStart"/>
      <w:r w:rsidRPr="00F930D1">
        <w:rPr>
          <w:lang w:val="en-US"/>
        </w:rPr>
        <w:t>non-Chinese</w:t>
      </w:r>
      <w:proofErr w:type="spellEnd"/>
      <w:r w:rsidRPr="00F930D1">
        <w:rPr>
          <w:lang w:val="en-US"/>
        </w:rPr>
        <w:t>), years of education (continuous), employment status (unemployed, employed), pre-pregnancy BMI (continuous), and total daily energy intake</w:t>
      </w:r>
      <w:r w:rsidRPr="00F930D1" w:rsidDel="00F9407D">
        <w:rPr>
          <w:lang w:val="en-US"/>
        </w:rPr>
        <w:t xml:space="preserve"> </w:t>
      </w:r>
      <w:r w:rsidRPr="00F930D1">
        <w:rPr>
          <w:lang w:val="en-US"/>
        </w:rPr>
        <w:t xml:space="preserve">(continuous). Main models were additionally adjusted for physical activity (&lt;600, ≥600 MET-min/week) </w:t>
      </w:r>
      <w:r w:rsidRPr="00F930D1">
        <w:rPr>
          <w:noProof/>
          <w:lang w:val="en-US"/>
        </w:rPr>
        <w:t>(18)</w:t>
      </w:r>
      <w:r w:rsidRPr="00F930D1">
        <w:rPr>
          <w:lang w:val="en-US"/>
        </w:rPr>
        <w:t xml:space="preserve">, irregular meal practice (no &lt;3 times, yes ≥3 times skipped or delayed meal timing a week) </w:t>
      </w:r>
      <w:r w:rsidRPr="00F930D1">
        <w:rPr>
          <w:noProof/>
          <w:lang w:val="en-US"/>
        </w:rPr>
        <w:t>(34)</w:t>
      </w:r>
      <w:r w:rsidRPr="00F930D1">
        <w:rPr>
          <w:lang w:val="en-US"/>
        </w:rPr>
        <w:t xml:space="preserve">, and bedtime (continuous; treated in 24-h clock such that 11:00 pm was treated as 2300 h and 1:00 am was treated as 2500 h). The extended models were further adjusted for the percentages of energy contributed by night-time dietary macronutrient </w:t>
      </w:r>
      <w:r w:rsidRPr="00F930D1">
        <w:rPr>
          <w:color w:val="000000"/>
          <w:lang w:val="en-US"/>
        </w:rPr>
        <w:t>intake</w:t>
      </w:r>
      <w:r w:rsidRPr="00F930D1">
        <w:rPr>
          <w:lang w:val="en-US"/>
        </w:rPr>
        <w:t xml:space="preserve"> to account for the possible influence of diet composition on the associations between PNE and glycemic outcomes. This was done by using substitution models, which examine the relative change of one dietary macronutrient to another under isocaloric conditions (i.e., </w:t>
      </w:r>
      <w:r w:rsidRPr="00F930D1">
        <w:rPr>
          <w:color w:val="000000"/>
          <w:lang w:val="en-US"/>
        </w:rPr>
        <w:t>keeping the</w:t>
      </w:r>
      <w:r w:rsidRPr="00F930D1">
        <w:rPr>
          <w:lang w:val="en-US"/>
        </w:rPr>
        <w:t xml:space="preserve"> total daily energy intake</w:t>
      </w:r>
      <w:r w:rsidRPr="00F930D1" w:rsidDel="00F9407D">
        <w:rPr>
          <w:lang w:val="en-US"/>
        </w:rPr>
        <w:t xml:space="preserve"> </w:t>
      </w:r>
      <w:r w:rsidRPr="00F930D1">
        <w:rPr>
          <w:lang w:val="en-US"/>
        </w:rPr>
        <w:t xml:space="preserve">constant) </w:t>
      </w:r>
      <w:r w:rsidRPr="00F930D1">
        <w:rPr>
          <w:noProof/>
          <w:lang w:val="en-US"/>
        </w:rPr>
        <w:t>(35)</w:t>
      </w:r>
      <w:r w:rsidRPr="00F930D1">
        <w:rPr>
          <w:lang w:val="en-US"/>
        </w:rPr>
        <w:t>.</w:t>
      </w:r>
      <w:r w:rsidRPr="00F930D1">
        <w:rPr>
          <w:vertAlign w:val="superscript"/>
          <w:lang w:val="en-US"/>
        </w:rPr>
        <w:t xml:space="preserve"> </w:t>
      </w:r>
      <w:r w:rsidRPr="00F930D1">
        <w:rPr>
          <w:rStyle w:val="cf01"/>
          <w:rFonts w:ascii="Times New Roman" w:hAnsi="Times New Roman" w:cs="Times New Roman"/>
          <w:sz w:val="24"/>
          <w:szCs w:val="24"/>
          <w:lang w:val="en-US"/>
        </w:rPr>
        <w:t xml:space="preserve">In view of the shortcomings and pitfalls of HOMA indices </w:t>
      </w:r>
      <w:r w:rsidRPr="00F930D1">
        <w:rPr>
          <w:rStyle w:val="cf01"/>
          <w:rFonts w:ascii="Times New Roman" w:hAnsi="Times New Roman" w:cs="Times New Roman"/>
          <w:noProof/>
          <w:sz w:val="24"/>
          <w:szCs w:val="24"/>
          <w:lang w:val="en-US"/>
        </w:rPr>
        <w:t>(36)</w:t>
      </w:r>
      <w:r w:rsidRPr="00F930D1">
        <w:rPr>
          <w:rStyle w:val="cf01"/>
          <w:rFonts w:ascii="Times New Roman" w:hAnsi="Times New Roman" w:cs="Times New Roman"/>
          <w:sz w:val="24"/>
          <w:szCs w:val="24"/>
          <w:lang w:val="en-US"/>
        </w:rPr>
        <w:t xml:space="preserve">, we additionally adjusted for fasting glucose or fasting insulin in models of HOMA2-IR and HOMA2-%B </w:t>
      </w:r>
      <w:r w:rsidRPr="00F930D1">
        <w:rPr>
          <w:rStyle w:val="cf01"/>
          <w:rFonts w:ascii="Times New Roman" w:hAnsi="Times New Roman" w:cs="Times New Roman"/>
          <w:noProof/>
          <w:sz w:val="24"/>
          <w:szCs w:val="24"/>
          <w:lang w:val="en-US"/>
        </w:rPr>
        <w:t>(37)</w:t>
      </w:r>
      <w:r w:rsidRPr="00F930D1">
        <w:rPr>
          <w:rStyle w:val="cf01"/>
          <w:rFonts w:ascii="Times New Roman" w:hAnsi="Times New Roman" w:cs="Times New Roman"/>
          <w:sz w:val="24"/>
          <w:szCs w:val="24"/>
          <w:lang w:val="en-US"/>
        </w:rPr>
        <w:t xml:space="preserve"> to determine whether the outcomes were driven by fasting insulin, fasting glucose, or both.</w:t>
      </w:r>
    </w:p>
    <w:p w14:paraId="045F4E4D" w14:textId="77777777" w:rsidR="00474747" w:rsidRPr="00F930D1" w:rsidRDefault="00474747" w:rsidP="009F12FA">
      <w:pPr>
        <w:spacing w:line="480" w:lineRule="auto"/>
        <w:ind w:firstLine="720"/>
        <w:rPr>
          <w:lang w:val="en-US"/>
        </w:rPr>
      </w:pPr>
      <w:r w:rsidRPr="00F930D1">
        <w:rPr>
          <w:lang w:val="en-US"/>
        </w:rPr>
        <w:lastRenderedPageBreak/>
        <w:t>In addition, we used generalized estimating equations (GEE) with exchangeable covariance structure and an identity link to investigate and illustrate the associations between PNE and hourly median CGM glucose levels of each participant; GEE accounts for non-independence of multiple glucose measurements based on CGM. Through GEE, we obtained predicted estimates of mean glucose levels (adjusted for all covariates in the extended model and with an interaction term between PDE/PNE status and time) throughout the 24 hours and according to PDE/PNE status.</w:t>
      </w:r>
    </w:p>
    <w:p w14:paraId="574B90E6" w14:textId="77777777" w:rsidR="00474747" w:rsidRPr="00F930D1" w:rsidRDefault="00474747" w:rsidP="009F12FA">
      <w:pPr>
        <w:spacing w:line="480" w:lineRule="auto"/>
        <w:ind w:firstLine="720"/>
        <w:rPr>
          <w:lang w:val="en-US"/>
        </w:rPr>
      </w:pPr>
      <w:r w:rsidRPr="00F930D1">
        <w:rPr>
          <w:lang w:val="en-US"/>
        </w:rPr>
        <w:t xml:space="preserve">Given that maternal glucose response to night-time eating may be weight-dependent </w:t>
      </w:r>
      <w:r w:rsidRPr="00F930D1">
        <w:rPr>
          <w:noProof/>
          <w:lang w:val="en-US"/>
        </w:rPr>
        <w:t>(38)</w:t>
      </w:r>
      <w:r w:rsidRPr="00F930D1">
        <w:rPr>
          <w:lang w:val="en-US"/>
        </w:rPr>
        <w:t>, we tested interaction between day-night eating and pre-pregnancy weight status on glycemic outcomes. We performed tests by introducing the cross-product term of PNE (vs. PDE) and BMI (&lt;23 vs. ≥23 kg/m</w:t>
      </w:r>
      <w:r w:rsidRPr="00F930D1">
        <w:rPr>
          <w:vertAlign w:val="superscript"/>
          <w:lang w:val="en-US"/>
        </w:rPr>
        <w:t>2</w:t>
      </w:r>
      <w:r w:rsidRPr="00F930D1">
        <w:rPr>
          <w:lang w:val="en-US"/>
        </w:rPr>
        <w:t xml:space="preserve">) </w:t>
      </w:r>
      <w:r w:rsidRPr="00F930D1">
        <w:rPr>
          <w:noProof/>
          <w:lang w:val="en-US"/>
        </w:rPr>
        <w:t>(39)</w:t>
      </w:r>
      <w:r w:rsidRPr="00F930D1">
        <w:rPr>
          <w:lang w:val="en-US"/>
        </w:rPr>
        <w:t xml:space="preserve"> into the extended models</w:t>
      </w:r>
      <w:r w:rsidRPr="00F930D1">
        <w:rPr>
          <w:color w:val="4472C4" w:themeColor="accent1"/>
          <w:lang w:val="en-US"/>
        </w:rPr>
        <w:t xml:space="preserve">. </w:t>
      </w:r>
      <w:r w:rsidRPr="00F930D1">
        <w:rPr>
          <w:color w:val="000000" w:themeColor="text1"/>
          <w:lang w:val="en-US"/>
        </w:rPr>
        <w:t>For the CGM measures, we performed a sensitivity analysis including only women with a complete 10</w:t>
      </w:r>
      <w:r w:rsidRPr="00F930D1">
        <w:rPr>
          <w:bCs/>
          <w:color w:val="000000" w:themeColor="text1"/>
          <w:lang w:val="en-US"/>
        </w:rPr>
        <w:t>-day</w:t>
      </w:r>
      <w:r w:rsidRPr="00F930D1">
        <w:rPr>
          <w:color w:val="000000" w:themeColor="text1"/>
          <w:lang w:val="en-US"/>
        </w:rPr>
        <w:t xml:space="preserve"> 24-hour ambulatory glucose profile</w:t>
      </w:r>
      <w:r w:rsidRPr="00F930D1">
        <w:rPr>
          <w:bCs/>
          <w:color w:val="000000" w:themeColor="text1"/>
          <w:lang w:val="en-US"/>
        </w:rPr>
        <w:t xml:space="preserve">, meeting the recommended 70% of CGM data coverage from a 14-day period </w:t>
      </w:r>
      <w:r w:rsidRPr="00F930D1">
        <w:rPr>
          <w:bCs/>
          <w:noProof/>
          <w:color w:val="000000" w:themeColor="text1"/>
          <w:lang w:val="en-US"/>
        </w:rPr>
        <w:t>(40)</w:t>
      </w:r>
      <w:r w:rsidRPr="00F930D1">
        <w:rPr>
          <w:bCs/>
          <w:color w:val="000000" w:themeColor="text1"/>
          <w:lang w:val="en-US"/>
        </w:rPr>
        <w:t>.</w:t>
      </w:r>
      <w:r w:rsidRPr="00F930D1">
        <w:rPr>
          <w:color w:val="4472C4" w:themeColor="accent1"/>
          <w:lang w:val="en-US"/>
        </w:rPr>
        <w:t xml:space="preserve"> </w:t>
      </w:r>
      <w:r w:rsidRPr="00F930D1">
        <w:rPr>
          <w:lang w:val="en-US"/>
        </w:rPr>
        <w:t xml:space="preserve">In view of the low response rate for CGM sensor wearing (57% with complete at least three days CGM data) which could potentially introduce self-selection bias, we performed a Heckman selection regression model. </w:t>
      </w:r>
    </w:p>
    <w:p w14:paraId="0902B8DA" w14:textId="77777777" w:rsidR="00474747" w:rsidRPr="00F930D1" w:rsidRDefault="00474747" w:rsidP="009F12FA">
      <w:pPr>
        <w:spacing w:line="480" w:lineRule="auto"/>
        <w:ind w:firstLine="720"/>
        <w:rPr>
          <w:lang w:val="en-US"/>
        </w:rPr>
      </w:pPr>
      <w:r w:rsidRPr="00F930D1">
        <w:rPr>
          <w:lang w:val="en-US"/>
        </w:rPr>
        <w:t>Effect estimates are presented as geometric mean ratios (GMRs) for log</w:t>
      </w:r>
      <w:r w:rsidRPr="00F930D1">
        <w:rPr>
          <w:vertAlign w:val="subscript"/>
          <w:lang w:val="en-US"/>
        </w:rPr>
        <w:t>e</w:t>
      </w:r>
      <w:r w:rsidRPr="00F930D1">
        <w:rPr>
          <w:lang w:val="en-US"/>
        </w:rPr>
        <w:t>-transformed continuous outcomes and risk ratios (RRs) for binary outcomes, with respective 95% confidence intervals (CIs). Analyses of exposure and outcomes were based on all available data without imputation (we only considered imputation for covariates with missing values, but all the included covariates in the present study showed complete data). We used a two-sided significance level of 5% for pre-specified primary and secondary outcomes without adjustment for multiple comparisons. All statistical analyses were conducted with Stata version 16.</w:t>
      </w:r>
    </w:p>
    <w:p w14:paraId="487A28E2" w14:textId="77777777" w:rsidR="00474747" w:rsidRPr="00F930D1" w:rsidRDefault="00474747" w:rsidP="009F12FA">
      <w:pPr>
        <w:spacing w:line="480" w:lineRule="auto"/>
        <w:rPr>
          <w:b/>
          <w:lang w:val="en-US"/>
        </w:rPr>
      </w:pPr>
    </w:p>
    <w:p w14:paraId="117F4DF5" w14:textId="77777777" w:rsidR="00474747" w:rsidRPr="00F930D1" w:rsidRDefault="00474747" w:rsidP="009F12FA">
      <w:pPr>
        <w:spacing w:line="480" w:lineRule="auto"/>
        <w:rPr>
          <w:b/>
          <w:bCs/>
          <w:color w:val="000000" w:themeColor="text1"/>
          <w:lang w:val="en-US"/>
        </w:rPr>
      </w:pPr>
      <w:r w:rsidRPr="00F930D1">
        <w:rPr>
          <w:b/>
          <w:bCs/>
          <w:color w:val="000000" w:themeColor="text1"/>
          <w:lang w:val="en-US"/>
        </w:rPr>
        <w:lastRenderedPageBreak/>
        <w:t xml:space="preserve">Sample size </w:t>
      </w:r>
    </w:p>
    <w:p w14:paraId="5BDE5A0A" w14:textId="77777777" w:rsidR="00474747" w:rsidRPr="00F930D1" w:rsidRDefault="00474747" w:rsidP="009F12FA">
      <w:pPr>
        <w:spacing w:line="480" w:lineRule="auto"/>
        <w:rPr>
          <w:color w:val="000000" w:themeColor="text1"/>
          <w:lang w:val="en-US"/>
        </w:rPr>
      </w:pPr>
      <w:r w:rsidRPr="00F930D1">
        <w:rPr>
          <w:color w:val="000000" w:themeColor="text1"/>
          <w:lang w:val="en-US"/>
        </w:rPr>
        <w:t>With a sample size of 32 women with PNE and 245 women with PDE, the study had 80% statistical power with a two-sided 5% type 1 error rate that allowed the detection of a mean difference of 0.2 mmol/L in fasting glucose, a mean difference of 0.9 mmol/L in 1-hour glucose, and a mean difference of 0.8 mmol/L in 2-hour glucose between the groups.</w:t>
      </w:r>
    </w:p>
    <w:p w14:paraId="7C3107A6" w14:textId="77777777" w:rsidR="00474747" w:rsidRPr="00F930D1" w:rsidRDefault="00474747" w:rsidP="009F12FA">
      <w:pPr>
        <w:spacing w:line="480" w:lineRule="auto"/>
        <w:rPr>
          <w:b/>
          <w:bCs/>
          <w:lang w:val="en-US"/>
        </w:rPr>
      </w:pPr>
    </w:p>
    <w:p w14:paraId="7FFF5939" w14:textId="77777777" w:rsidR="00474747" w:rsidRPr="00F930D1" w:rsidRDefault="00474747" w:rsidP="009F12FA">
      <w:pPr>
        <w:spacing w:line="480" w:lineRule="auto"/>
        <w:rPr>
          <w:b/>
          <w:bCs/>
          <w:lang w:val="en-US"/>
        </w:rPr>
      </w:pPr>
      <w:r w:rsidRPr="00F930D1">
        <w:rPr>
          <w:b/>
          <w:bCs/>
          <w:lang w:val="en-US"/>
        </w:rPr>
        <w:t>Patient and public involvement</w:t>
      </w:r>
    </w:p>
    <w:p w14:paraId="020ECB88" w14:textId="77777777" w:rsidR="00474747" w:rsidRPr="00F930D1" w:rsidRDefault="00474747" w:rsidP="009F12FA">
      <w:pPr>
        <w:spacing w:line="480" w:lineRule="auto"/>
        <w:rPr>
          <w:lang w:val="en-US"/>
        </w:rPr>
      </w:pPr>
      <w:r w:rsidRPr="00F930D1">
        <w:rPr>
          <w:lang w:val="en-US"/>
        </w:rPr>
        <w:t xml:space="preserve">No patients were specifically involved in defining the research hypothesis or the outcome measures, nor were they involved in the design and implementation of the study. We plan to disseminate these findings to the </w:t>
      </w:r>
      <w:proofErr w:type="gramStart"/>
      <w:r w:rsidRPr="00F930D1">
        <w:rPr>
          <w:lang w:val="en-US"/>
        </w:rPr>
        <w:t>general public</w:t>
      </w:r>
      <w:proofErr w:type="gramEnd"/>
      <w:r w:rsidRPr="00F930D1">
        <w:rPr>
          <w:lang w:val="en-US"/>
        </w:rPr>
        <w:t xml:space="preserve"> in a press release.</w:t>
      </w:r>
    </w:p>
    <w:p w14:paraId="0CA2E292" w14:textId="77777777" w:rsidR="00474747" w:rsidRPr="00F930D1" w:rsidRDefault="00474747" w:rsidP="009F12FA">
      <w:pPr>
        <w:spacing w:line="480" w:lineRule="auto"/>
        <w:rPr>
          <w:lang w:val="en-US"/>
        </w:rPr>
      </w:pPr>
    </w:p>
    <w:p w14:paraId="5FDABD6D" w14:textId="77777777" w:rsidR="00474747" w:rsidRPr="00F930D1" w:rsidRDefault="00474747" w:rsidP="009F12FA">
      <w:pPr>
        <w:spacing w:line="480" w:lineRule="auto"/>
        <w:rPr>
          <w:b/>
          <w:bCs/>
          <w:lang w:val="en-US"/>
        </w:rPr>
      </w:pPr>
      <w:r w:rsidRPr="00F930D1">
        <w:rPr>
          <w:b/>
          <w:bCs/>
          <w:lang w:val="en-US"/>
        </w:rPr>
        <w:t xml:space="preserve">Data and Resource Availability </w:t>
      </w:r>
    </w:p>
    <w:p w14:paraId="65A1ECE1" w14:textId="77777777" w:rsidR="00474747" w:rsidRPr="00F930D1" w:rsidRDefault="00474747" w:rsidP="009F12FA">
      <w:pPr>
        <w:spacing w:line="480" w:lineRule="auto"/>
        <w:rPr>
          <w:lang w:val="en-US"/>
        </w:rPr>
      </w:pPr>
      <w:r w:rsidRPr="00F930D1">
        <w:rPr>
          <w:lang w:val="en-US"/>
        </w:rPr>
        <w:t>The datasets generated during and/or analyzed in the current study are available from the corresponding author upon reasonable request.</w:t>
      </w:r>
    </w:p>
    <w:p w14:paraId="1009730B" w14:textId="77777777" w:rsidR="00474747" w:rsidRPr="00F930D1" w:rsidRDefault="00474747" w:rsidP="009F12FA">
      <w:pPr>
        <w:spacing w:line="480" w:lineRule="auto"/>
        <w:rPr>
          <w:lang w:val="en-US"/>
        </w:rPr>
      </w:pPr>
    </w:p>
    <w:p w14:paraId="558F37C6" w14:textId="77777777" w:rsidR="00474747" w:rsidRPr="00F930D1" w:rsidRDefault="00474747" w:rsidP="00500CC2">
      <w:pPr>
        <w:pStyle w:val="Heading3"/>
        <w:spacing w:before="0" w:beforeAutospacing="0" w:after="0" w:afterAutospacing="0" w:line="480" w:lineRule="auto"/>
        <w:rPr>
          <w:sz w:val="28"/>
          <w:szCs w:val="28"/>
          <w:lang w:val="en-US"/>
        </w:rPr>
      </w:pPr>
      <w:r w:rsidRPr="00F930D1">
        <w:rPr>
          <w:sz w:val="28"/>
          <w:szCs w:val="28"/>
          <w:lang w:val="en-US"/>
        </w:rPr>
        <w:t>Results </w:t>
      </w:r>
    </w:p>
    <w:p w14:paraId="725B8B68" w14:textId="77777777" w:rsidR="00474747" w:rsidRPr="00F930D1" w:rsidRDefault="00474747" w:rsidP="00500CC2">
      <w:pPr>
        <w:spacing w:line="480" w:lineRule="auto"/>
        <w:outlineLvl w:val="2"/>
        <w:rPr>
          <w:b/>
          <w:bCs/>
          <w:lang w:val="en-US"/>
        </w:rPr>
      </w:pPr>
      <w:r w:rsidRPr="00F930D1">
        <w:rPr>
          <w:b/>
          <w:bCs/>
          <w:lang w:val="en-US"/>
        </w:rPr>
        <w:t>Participant characteristics </w:t>
      </w:r>
    </w:p>
    <w:p w14:paraId="3D0004E0" w14:textId="326B0C15" w:rsidR="00474747" w:rsidRPr="00F930D1" w:rsidRDefault="00474747" w:rsidP="00500CC2">
      <w:pPr>
        <w:spacing w:line="480" w:lineRule="auto"/>
        <w:rPr>
          <w:color w:val="242424"/>
          <w:lang w:val="en-US"/>
        </w:rPr>
      </w:pPr>
      <w:r w:rsidRPr="00F930D1">
        <w:rPr>
          <w:lang w:val="en-US"/>
        </w:rPr>
        <w:t>Of the 300 enrolled women, 277 completed 4-day food diaries at 18-24 weeks gestation and OGTT at 24-28 weeks gestation. None of them reported an implausible total daily energy intake</w:t>
      </w:r>
      <w:r w:rsidRPr="00F930D1" w:rsidDel="00F9407D">
        <w:rPr>
          <w:lang w:val="en-US"/>
        </w:rPr>
        <w:t xml:space="preserve"> </w:t>
      </w:r>
      <w:r w:rsidRPr="00F930D1">
        <w:rPr>
          <w:lang w:val="en-US"/>
        </w:rPr>
        <w:t xml:space="preserve">of &lt;500 kcal/day or &gt;3500 kcal/day. Of these women, 11.6% (n=32) </w:t>
      </w:r>
      <w:r w:rsidRPr="00F930D1">
        <w:rPr>
          <w:color w:val="000000"/>
          <w:lang w:val="en-US"/>
        </w:rPr>
        <w:t>practiced</w:t>
      </w:r>
      <w:r w:rsidRPr="00F930D1">
        <w:rPr>
          <w:lang w:val="en-US"/>
        </w:rPr>
        <w:t xml:space="preserve"> PNE, determined by calculating the average night calorie intake per day relative to the average total calorie intake per day. </w:t>
      </w:r>
      <w:r w:rsidRPr="00F930D1">
        <w:rPr>
          <w:color w:val="000000" w:themeColor="text1"/>
          <w:lang w:val="en-US"/>
        </w:rPr>
        <w:t>Most baseline characteristics were similar between women with PDE and PNE, except that the PNE group had a later bedtime (00:14 h vs. 23:20 h)</w:t>
      </w:r>
      <w:r w:rsidR="008739A7" w:rsidRPr="00F930D1">
        <w:rPr>
          <w:color w:val="000000" w:themeColor="text1"/>
          <w:lang w:val="en-US"/>
        </w:rPr>
        <w:t>,</w:t>
      </w:r>
      <w:r w:rsidRPr="00F930D1">
        <w:rPr>
          <w:color w:val="000000" w:themeColor="text1"/>
          <w:lang w:val="en-US"/>
        </w:rPr>
        <w:t xml:space="preserve"> were more likely to be unemployed (28.1% vs. 13.5%) and to report irregular meals (46.9% vs. 22.4%). </w:t>
      </w:r>
      <w:r w:rsidRPr="00F930D1">
        <w:rPr>
          <w:b/>
          <w:bCs/>
          <w:lang w:val="en-US"/>
        </w:rPr>
        <w:t>(Table 1)</w:t>
      </w:r>
      <w:r w:rsidRPr="00F930D1">
        <w:rPr>
          <w:lang w:val="en-US"/>
        </w:rPr>
        <w:t xml:space="preserve">. When comparing characteristics of included (n=277) and excluded women (n=23), </w:t>
      </w:r>
      <w:r w:rsidRPr="00F930D1">
        <w:rPr>
          <w:lang w:val="en-US"/>
        </w:rPr>
        <w:lastRenderedPageBreak/>
        <w:t xml:space="preserve">included women were older (31.3 vs. 28.2 years), had longer years of education (14.5 vs. 12.2 years), and were more likely to have a lower level of physical activity (&lt;600 MET-min/week 27.8% vs. 8.7%) </w:t>
      </w:r>
      <w:r w:rsidRPr="00F930D1">
        <w:rPr>
          <w:b/>
          <w:bCs/>
          <w:lang w:val="en-US"/>
        </w:rPr>
        <w:t>(Supplementary Table 1)</w:t>
      </w:r>
      <w:r w:rsidRPr="00F930D1">
        <w:rPr>
          <w:lang w:val="en-US"/>
        </w:rPr>
        <w:t>.  </w:t>
      </w:r>
    </w:p>
    <w:p w14:paraId="44C7D506" w14:textId="77777777" w:rsidR="00474747" w:rsidRPr="00F930D1" w:rsidRDefault="00474747" w:rsidP="009F12FA">
      <w:pPr>
        <w:spacing w:line="480" w:lineRule="auto"/>
        <w:rPr>
          <w:lang w:val="en-US"/>
        </w:rPr>
      </w:pPr>
    </w:p>
    <w:p w14:paraId="4144243E" w14:textId="77777777" w:rsidR="00474747" w:rsidRPr="00F930D1" w:rsidRDefault="00474747" w:rsidP="009F12FA">
      <w:pPr>
        <w:spacing w:line="480" w:lineRule="auto"/>
        <w:rPr>
          <w:lang w:val="en-US"/>
        </w:rPr>
      </w:pPr>
      <w:r w:rsidRPr="00F930D1">
        <w:rPr>
          <w:b/>
          <w:bCs/>
          <w:lang w:val="en-US"/>
        </w:rPr>
        <w:t>Table 1</w:t>
      </w:r>
      <w:r w:rsidRPr="00F930D1">
        <w:rPr>
          <w:lang w:val="en-US"/>
        </w:rPr>
        <w:t xml:space="preserve"> Baseline characteristics of women with the practice of PDE and PNE at 18-24 weeks gestation</w:t>
      </w:r>
    </w:p>
    <w:tbl>
      <w:tblPr>
        <w:tblStyle w:val="TableGrid"/>
        <w:tblW w:w="10335"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4"/>
        <w:gridCol w:w="1714"/>
        <w:gridCol w:w="1714"/>
        <w:gridCol w:w="1681"/>
        <w:gridCol w:w="1492"/>
      </w:tblGrid>
      <w:tr w:rsidR="00474747" w:rsidRPr="00F930D1" w14:paraId="36639860" w14:textId="77777777" w:rsidTr="00537809">
        <w:tc>
          <w:tcPr>
            <w:tcW w:w="3262" w:type="dxa"/>
            <w:tcBorders>
              <w:top w:val="single" w:sz="4" w:space="0" w:color="auto"/>
              <w:bottom w:val="single" w:sz="4" w:space="0" w:color="auto"/>
            </w:tcBorders>
          </w:tcPr>
          <w:p w14:paraId="6E2F28ED" w14:textId="77777777" w:rsidR="00474747" w:rsidRPr="00F930D1" w:rsidRDefault="00474747" w:rsidP="009F12FA">
            <w:pPr>
              <w:spacing w:line="480" w:lineRule="auto"/>
              <w:rPr>
                <w:b/>
                <w:bCs/>
                <w:sz w:val="24"/>
                <w:szCs w:val="24"/>
                <w:lang w:val="en-US"/>
              </w:rPr>
            </w:pPr>
            <w:r w:rsidRPr="00F930D1">
              <w:rPr>
                <w:b/>
                <w:bCs/>
                <w:sz w:val="24"/>
                <w:szCs w:val="24"/>
                <w:lang w:val="en-US"/>
              </w:rPr>
              <w:t>Characteristics</w:t>
            </w:r>
          </w:p>
        </w:tc>
        <w:tc>
          <w:tcPr>
            <w:tcW w:w="1498" w:type="dxa"/>
            <w:tcBorders>
              <w:top w:val="single" w:sz="4" w:space="0" w:color="auto"/>
              <w:bottom w:val="single" w:sz="4" w:space="0" w:color="auto"/>
            </w:tcBorders>
          </w:tcPr>
          <w:p w14:paraId="2241F41A" w14:textId="77777777" w:rsidR="00474747" w:rsidRPr="00F930D1" w:rsidRDefault="00474747" w:rsidP="009F12FA">
            <w:pPr>
              <w:spacing w:line="480" w:lineRule="auto"/>
              <w:jc w:val="center"/>
              <w:rPr>
                <w:b/>
                <w:bCs/>
                <w:sz w:val="24"/>
                <w:szCs w:val="24"/>
                <w:lang w:val="en-US"/>
              </w:rPr>
            </w:pPr>
            <w:r w:rsidRPr="00F930D1">
              <w:rPr>
                <w:b/>
                <w:bCs/>
                <w:sz w:val="24"/>
                <w:szCs w:val="24"/>
                <w:lang w:val="en-US"/>
              </w:rPr>
              <w:t>Total (n=277)</w:t>
            </w:r>
          </w:p>
        </w:tc>
        <w:tc>
          <w:tcPr>
            <w:tcW w:w="1498" w:type="dxa"/>
            <w:tcBorders>
              <w:top w:val="single" w:sz="4" w:space="0" w:color="auto"/>
              <w:bottom w:val="single" w:sz="4" w:space="0" w:color="auto"/>
            </w:tcBorders>
          </w:tcPr>
          <w:p w14:paraId="573E416A" w14:textId="77777777" w:rsidR="00474747" w:rsidRPr="00F930D1" w:rsidRDefault="00474747" w:rsidP="009F12FA">
            <w:pPr>
              <w:spacing w:line="480" w:lineRule="auto"/>
              <w:jc w:val="center"/>
              <w:rPr>
                <w:b/>
                <w:bCs/>
                <w:sz w:val="24"/>
                <w:szCs w:val="24"/>
                <w:lang w:val="en-US"/>
              </w:rPr>
            </w:pPr>
            <w:r w:rsidRPr="00F930D1">
              <w:rPr>
                <w:b/>
                <w:bCs/>
                <w:sz w:val="24"/>
                <w:szCs w:val="24"/>
                <w:lang w:val="en-US"/>
              </w:rPr>
              <w:t>PDE (n=245)</w:t>
            </w:r>
          </w:p>
        </w:tc>
        <w:tc>
          <w:tcPr>
            <w:tcW w:w="1469" w:type="dxa"/>
            <w:tcBorders>
              <w:top w:val="single" w:sz="4" w:space="0" w:color="auto"/>
              <w:bottom w:val="single" w:sz="4" w:space="0" w:color="auto"/>
            </w:tcBorders>
          </w:tcPr>
          <w:p w14:paraId="0A6073A6" w14:textId="77777777" w:rsidR="00474747" w:rsidRPr="00F930D1" w:rsidRDefault="00474747" w:rsidP="009F12FA">
            <w:pPr>
              <w:spacing w:line="480" w:lineRule="auto"/>
              <w:jc w:val="center"/>
              <w:rPr>
                <w:b/>
                <w:bCs/>
                <w:sz w:val="24"/>
                <w:szCs w:val="24"/>
                <w:lang w:val="en-US"/>
              </w:rPr>
            </w:pPr>
            <w:r w:rsidRPr="00F930D1">
              <w:rPr>
                <w:b/>
                <w:bCs/>
                <w:sz w:val="24"/>
                <w:szCs w:val="24"/>
                <w:lang w:val="en-US"/>
              </w:rPr>
              <w:t>PNE (n=32)</w:t>
            </w:r>
          </w:p>
        </w:tc>
        <w:tc>
          <w:tcPr>
            <w:tcW w:w="1304" w:type="dxa"/>
            <w:tcBorders>
              <w:top w:val="single" w:sz="4" w:space="0" w:color="auto"/>
              <w:bottom w:val="single" w:sz="4" w:space="0" w:color="auto"/>
            </w:tcBorders>
          </w:tcPr>
          <w:p w14:paraId="31416F9D" w14:textId="77777777" w:rsidR="00474747" w:rsidRPr="00F930D1" w:rsidRDefault="00474747" w:rsidP="009F12FA">
            <w:pPr>
              <w:spacing w:line="480" w:lineRule="auto"/>
              <w:jc w:val="center"/>
              <w:rPr>
                <w:b/>
                <w:bCs/>
                <w:sz w:val="24"/>
                <w:szCs w:val="24"/>
                <w:lang w:val="en-US"/>
              </w:rPr>
            </w:pPr>
            <w:r w:rsidRPr="00F930D1">
              <w:rPr>
                <w:b/>
                <w:bCs/>
                <w:i/>
                <w:iCs/>
                <w:sz w:val="24"/>
                <w:szCs w:val="24"/>
                <w:lang w:val="en-US"/>
              </w:rPr>
              <w:t>p-value</w:t>
            </w:r>
          </w:p>
        </w:tc>
      </w:tr>
      <w:tr w:rsidR="00474747" w:rsidRPr="00F930D1" w14:paraId="7E56206E" w14:textId="77777777" w:rsidTr="00537809">
        <w:tc>
          <w:tcPr>
            <w:tcW w:w="3262" w:type="dxa"/>
            <w:tcBorders>
              <w:top w:val="single" w:sz="4" w:space="0" w:color="auto"/>
            </w:tcBorders>
          </w:tcPr>
          <w:p w14:paraId="25D97983" w14:textId="77777777" w:rsidR="00474747" w:rsidRPr="00F930D1" w:rsidRDefault="00474747" w:rsidP="009F12FA">
            <w:pPr>
              <w:spacing w:line="480" w:lineRule="auto"/>
              <w:rPr>
                <w:sz w:val="24"/>
                <w:szCs w:val="24"/>
                <w:lang w:val="en-US"/>
              </w:rPr>
            </w:pPr>
            <w:r w:rsidRPr="00F930D1">
              <w:rPr>
                <w:sz w:val="24"/>
                <w:szCs w:val="24"/>
                <w:lang w:val="en-US"/>
              </w:rPr>
              <w:t>Gestation, weeks</w:t>
            </w:r>
          </w:p>
        </w:tc>
        <w:tc>
          <w:tcPr>
            <w:tcW w:w="1498" w:type="dxa"/>
            <w:tcBorders>
              <w:top w:val="single" w:sz="4" w:space="0" w:color="auto"/>
            </w:tcBorders>
            <w:vAlign w:val="bottom"/>
          </w:tcPr>
          <w:p w14:paraId="231759E1" w14:textId="77777777" w:rsidR="00474747" w:rsidRPr="00F930D1" w:rsidRDefault="00474747" w:rsidP="009F12FA">
            <w:pPr>
              <w:spacing w:line="480" w:lineRule="auto"/>
              <w:jc w:val="center"/>
              <w:rPr>
                <w:sz w:val="24"/>
                <w:szCs w:val="24"/>
                <w:lang w:val="en-US"/>
              </w:rPr>
            </w:pPr>
            <w:r w:rsidRPr="00F930D1">
              <w:rPr>
                <w:sz w:val="24"/>
                <w:szCs w:val="24"/>
                <w:lang w:val="en-US"/>
              </w:rPr>
              <w:t>20.33 (0.46)</w:t>
            </w:r>
          </w:p>
        </w:tc>
        <w:tc>
          <w:tcPr>
            <w:tcW w:w="1498" w:type="dxa"/>
            <w:tcBorders>
              <w:top w:val="single" w:sz="4" w:space="0" w:color="auto"/>
            </w:tcBorders>
            <w:vAlign w:val="bottom"/>
          </w:tcPr>
          <w:p w14:paraId="51DFC48F" w14:textId="77777777" w:rsidR="00474747" w:rsidRPr="00F930D1" w:rsidRDefault="00474747" w:rsidP="009F12FA">
            <w:pPr>
              <w:spacing w:line="480" w:lineRule="auto"/>
              <w:jc w:val="center"/>
              <w:rPr>
                <w:sz w:val="24"/>
                <w:szCs w:val="24"/>
                <w:lang w:val="en-US"/>
              </w:rPr>
            </w:pPr>
            <w:r w:rsidRPr="00F930D1">
              <w:rPr>
                <w:sz w:val="24"/>
                <w:szCs w:val="24"/>
                <w:lang w:val="en-US"/>
              </w:rPr>
              <w:t>20.32 (0.45)</w:t>
            </w:r>
          </w:p>
        </w:tc>
        <w:tc>
          <w:tcPr>
            <w:tcW w:w="1469" w:type="dxa"/>
            <w:tcBorders>
              <w:top w:val="single" w:sz="4" w:space="0" w:color="auto"/>
            </w:tcBorders>
            <w:vAlign w:val="bottom"/>
          </w:tcPr>
          <w:p w14:paraId="10848828" w14:textId="77777777" w:rsidR="00474747" w:rsidRPr="00F930D1" w:rsidRDefault="00474747" w:rsidP="009F12FA">
            <w:pPr>
              <w:spacing w:line="480" w:lineRule="auto"/>
              <w:jc w:val="center"/>
              <w:rPr>
                <w:sz w:val="24"/>
                <w:szCs w:val="24"/>
                <w:lang w:val="en-US"/>
              </w:rPr>
            </w:pPr>
            <w:r w:rsidRPr="00F930D1">
              <w:rPr>
                <w:sz w:val="24"/>
                <w:szCs w:val="24"/>
                <w:lang w:val="en-US"/>
              </w:rPr>
              <w:t>20.46 (0.57)</w:t>
            </w:r>
          </w:p>
        </w:tc>
        <w:tc>
          <w:tcPr>
            <w:tcW w:w="1304" w:type="dxa"/>
            <w:tcBorders>
              <w:top w:val="single" w:sz="4" w:space="0" w:color="auto"/>
            </w:tcBorders>
          </w:tcPr>
          <w:p w14:paraId="476810B7" w14:textId="77777777" w:rsidR="00474747" w:rsidRPr="00F930D1" w:rsidRDefault="00474747" w:rsidP="009F12FA">
            <w:pPr>
              <w:spacing w:line="480" w:lineRule="auto"/>
              <w:jc w:val="center"/>
              <w:rPr>
                <w:sz w:val="24"/>
                <w:szCs w:val="24"/>
                <w:lang w:val="en-US"/>
              </w:rPr>
            </w:pPr>
            <w:r w:rsidRPr="00F930D1">
              <w:rPr>
                <w:sz w:val="24"/>
                <w:szCs w:val="24"/>
                <w:lang w:val="en-US"/>
              </w:rPr>
              <w:t>0.167</w:t>
            </w:r>
          </w:p>
        </w:tc>
      </w:tr>
      <w:tr w:rsidR="00474747" w:rsidRPr="00F930D1" w14:paraId="538A0279" w14:textId="77777777" w:rsidTr="00537809">
        <w:tc>
          <w:tcPr>
            <w:tcW w:w="3262" w:type="dxa"/>
          </w:tcPr>
          <w:p w14:paraId="49272800" w14:textId="77777777" w:rsidR="00474747" w:rsidRPr="00F930D1" w:rsidRDefault="00474747" w:rsidP="009F12FA">
            <w:pPr>
              <w:spacing w:line="480" w:lineRule="auto"/>
              <w:rPr>
                <w:sz w:val="24"/>
                <w:szCs w:val="24"/>
                <w:lang w:val="en-US"/>
              </w:rPr>
            </w:pPr>
            <w:r w:rsidRPr="00F930D1">
              <w:rPr>
                <w:sz w:val="24"/>
                <w:szCs w:val="24"/>
                <w:lang w:val="en-US"/>
              </w:rPr>
              <w:t>Age, years</w:t>
            </w:r>
          </w:p>
        </w:tc>
        <w:tc>
          <w:tcPr>
            <w:tcW w:w="1498" w:type="dxa"/>
            <w:vAlign w:val="bottom"/>
          </w:tcPr>
          <w:p w14:paraId="7E367491" w14:textId="77777777" w:rsidR="00474747" w:rsidRPr="00F930D1" w:rsidRDefault="00474747" w:rsidP="009F12FA">
            <w:pPr>
              <w:spacing w:line="480" w:lineRule="auto"/>
              <w:jc w:val="center"/>
              <w:rPr>
                <w:sz w:val="24"/>
                <w:szCs w:val="24"/>
                <w:lang w:val="en-US"/>
              </w:rPr>
            </w:pPr>
            <w:r w:rsidRPr="00F930D1">
              <w:rPr>
                <w:sz w:val="24"/>
                <w:szCs w:val="24"/>
                <w:lang w:val="en-US"/>
              </w:rPr>
              <w:t>31.33 (4.15)</w:t>
            </w:r>
          </w:p>
        </w:tc>
        <w:tc>
          <w:tcPr>
            <w:tcW w:w="1498" w:type="dxa"/>
            <w:vAlign w:val="bottom"/>
          </w:tcPr>
          <w:p w14:paraId="0A22E673" w14:textId="77777777" w:rsidR="00474747" w:rsidRPr="00F930D1" w:rsidRDefault="00474747" w:rsidP="009F12FA">
            <w:pPr>
              <w:spacing w:line="480" w:lineRule="auto"/>
              <w:jc w:val="center"/>
              <w:rPr>
                <w:sz w:val="24"/>
                <w:szCs w:val="24"/>
                <w:lang w:val="en-US"/>
              </w:rPr>
            </w:pPr>
            <w:r w:rsidRPr="00F930D1">
              <w:rPr>
                <w:sz w:val="24"/>
                <w:szCs w:val="24"/>
                <w:lang w:val="en-US"/>
              </w:rPr>
              <w:t>31.33 (4.16)</w:t>
            </w:r>
          </w:p>
        </w:tc>
        <w:tc>
          <w:tcPr>
            <w:tcW w:w="1469" w:type="dxa"/>
            <w:vAlign w:val="bottom"/>
          </w:tcPr>
          <w:p w14:paraId="77EF8258" w14:textId="77777777" w:rsidR="00474747" w:rsidRPr="00F930D1" w:rsidRDefault="00474747" w:rsidP="009F12FA">
            <w:pPr>
              <w:spacing w:line="480" w:lineRule="auto"/>
              <w:jc w:val="center"/>
              <w:rPr>
                <w:sz w:val="24"/>
                <w:szCs w:val="24"/>
                <w:lang w:val="en-US"/>
              </w:rPr>
            </w:pPr>
            <w:r w:rsidRPr="00F930D1">
              <w:rPr>
                <w:sz w:val="24"/>
                <w:szCs w:val="24"/>
                <w:lang w:val="en-US"/>
              </w:rPr>
              <w:t>31.37 (4.09)</w:t>
            </w:r>
          </w:p>
        </w:tc>
        <w:tc>
          <w:tcPr>
            <w:tcW w:w="1304" w:type="dxa"/>
          </w:tcPr>
          <w:p w14:paraId="3A686F7E" w14:textId="77777777" w:rsidR="00474747" w:rsidRPr="00F930D1" w:rsidRDefault="00474747" w:rsidP="009F12FA">
            <w:pPr>
              <w:spacing w:line="480" w:lineRule="auto"/>
              <w:jc w:val="center"/>
              <w:rPr>
                <w:sz w:val="24"/>
                <w:szCs w:val="24"/>
                <w:lang w:val="en-US"/>
              </w:rPr>
            </w:pPr>
            <w:r w:rsidRPr="00F930D1">
              <w:rPr>
                <w:sz w:val="24"/>
                <w:szCs w:val="24"/>
                <w:lang w:val="en-US"/>
              </w:rPr>
              <w:t>0.635</w:t>
            </w:r>
          </w:p>
        </w:tc>
      </w:tr>
      <w:tr w:rsidR="00474747" w:rsidRPr="00F930D1" w14:paraId="53E9BCC2" w14:textId="77777777" w:rsidTr="00537809">
        <w:tc>
          <w:tcPr>
            <w:tcW w:w="3262" w:type="dxa"/>
          </w:tcPr>
          <w:p w14:paraId="708DC3A8" w14:textId="77777777" w:rsidR="00474747" w:rsidRPr="00F930D1" w:rsidRDefault="00474747" w:rsidP="009F12FA">
            <w:pPr>
              <w:spacing w:line="480" w:lineRule="auto"/>
              <w:rPr>
                <w:sz w:val="24"/>
                <w:szCs w:val="24"/>
                <w:lang w:val="en-US"/>
              </w:rPr>
            </w:pPr>
            <w:r w:rsidRPr="00F930D1">
              <w:rPr>
                <w:sz w:val="24"/>
                <w:szCs w:val="24"/>
                <w:lang w:val="en-US"/>
              </w:rPr>
              <w:t>Pre-pregnancy BMI, kg/m</w:t>
            </w:r>
            <w:r w:rsidRPr="00F930D1">
              <w:rPr>
                <w:sz w:val="24"/>
                <w:szCs w:val="24"/>
                <w:vertAlign w:val="superscript"/>
                <w:lang w:val="en-US"/>
              </w:rPr>
              <w:t>2</w:t>
            </w:r>
          </w:p>
        </w:tc>
        <w:tc>
          <w:tcPr>
            <w:tcW w:w="1498" w:type="dxa"/>
            <w:vAlign w:val="bottom"/>
          </w:tcPr>
          <w:p w14:paraId="0997ECDC" w14:textId="77777777" w:rsidR="00474747" w:rsidRPr="00F930D1" w:rsidRDefault="00474747" w:rsidP="009F12FA">
            <w:pPr>
              <w:spacing w:line="480" w:lineRule="auto"/>
              <w:jc w:val="center"/>
              <w:rPr>
                <w:sz w:val="24"/>
                <w:szCs w:val="24"/>
                <w:lang w:val="en-US"/>
              </w:rPr>
            </w:pPr>
            <w:r w:rsidRPr="00F930D1">
              <w:rPr>
                <w:sz w:val="24"/>
                <w:szCs w:val="24"/>
                <w:lang w:val="en-US"/>
              </w:rPr>
              <w:t>22.89 (4.19)</w:t>
            </w:r>
          </w:p>
        </w:tc>
        <w:tc>
          <w:tcPr>
            <w:tcW w:w="1498" w:type="dxa"/>
            <w:vAlign w:val="bottom"/>
          </w:tcPr>
          <w:p w14:paraId="24666BE5" w14:textId="77777777" w:rsidR="00474747" w:rsidRPr="00F930D1" w:rsidRDefault="00474747" w:rsidP="009F12FA">
            <w:pPr>
              <w:spacing w:line="480" w:lineRule="auto"/>
              <w:jc w:val="center"/>
              <w:rPr>
                <w:sz w:val="24"/>
                <w:szCs w:val="24"/>
                <w:lang w:val="en-US"/>
              </w:rPr>
            </w:pPr>
            <w:r w:rsidRPr="00F930D1">
              <w:rPr>
                <w:sz w:val="24"/>
                <w:szCs w:val="24"/>
                <w:lang w:val="en-US"/>
              </w:rPr>
              <w:t>22.80 (4.11)</w:t>
            </w:r>
          </w:p>
        </w:tc>
        <w:tc>
          <w:tcPr>
            <w:tcW w:w="1469" w:type="dxa"/>
            <w:vAlign w:val="bottom"/>
          </w:tcPr>
          <w:p w14:paraId="0845FDF8" w14:textId="77777777" w:rsidR="00474747" w:rsidRPr="00F930D1" w:rsidRDefault="00474747" w:rsidP="009F12FA">
            <w:pPr>
              <w:spacing w:line="480" w:lineRule="auto"/>
              <w:jc w:val="center"/>
              <w:rPr>
                <w:sz w:val="24"/>
                <w:szCs w:val="24"/>
                <w:lang w:val="en-US"/>
              </w:rPr>
            </w:pPr>
            <w:r w:rsidRPr="00F930D1">
              <w:rPr>
                <w:sz w:val="24"/>
                <w:szCs w:val="24"/>
                <w:lang w:val="en-US"/>
              </w:rPr>
              <w:t>23.58 (4.80)</w:t>
            </w:r>
          </w:p>
        </w:tc>
        <w:tc>
          <w:tcPr>
            <w:tcW w:w="1304" w:type="dxa"/>
          </w:tcPr>
          <w:p w14:paraId="002CDB67" w14:textId="77777777" w:rsidR="00474747" w:rsidRPr="00F930D1" w:rsidRDefault="00474747" w:rsidP="009F12FA">
            <w:pPr>
              <w:spacing w:line="480" w:lineRule="auto"/>
              <w:jc w:val="center"/>
              <w:rPr>
                <w:sz w:val="24"/>
                <w:szCs w:val="24"/>
                <w:lang w:val="en-US"/>
              </w:rPr>
            </w:pPr>
            <w:r w:rsidRPr="00F930D1">
              <w:rPr>
                <w:sz w:val="24"/>
                <w:szCs w:val="24"/>
                <w:lang w:val="en-US"/>
              </w:rPr>
              <w:t>0.312</w:t>
            </w:r>
          </w:p>
        </w:tc>
      </w:tr>
      <w:tr w:rsidR="00474747" w:rsidRPr="00F930D1" w14:paraId="558AD4DA" w14:textId="77777777" w:rsidTr="00537809">
        <w:tc>
          <w:tcPr>
            <w:tcW w:w="3262" w:type="dxa"/>
          </w:tcPr>
          <w:p w14:paraId="48FB3D1D" w14:textId="77777777" w:rsidR="00474747" w:rsidRPr="00F930D1" w:rsidRDefault="00474747" w:rsidP="009F12FA">
            <w:pPr>
              <w:spacing w:line="480" w:lineRule="auto"/>
              <w:rPr>
                <w:sz w:val="24"/>
                <w:szCs w:val="24"/>
                <w:lang w:val="en-US"/>
              </w:rPr>
            </w:pPr>
            <w:r w:rsidRPr="00F930D1">
              <w:rPr>
                <w:sz w:val="24"/>
                <w:szCs w:val="24"/>
                <w:lang w:val="en-US"/>
              </w:rPr>
              <w:t>Education, years</w:t>
            </w:r>
          </w:p>
        </w:tc>
        <w:tc>
          <w:tcPr>
            <w:tcW w:w="1498" w:type="dxa"/>
            <w:vAlign w:val="bottom"/>
          </w:tcPr>
          <w:p w14:paraId="69645334" w14:textId="77777777" w:rsidR="00474747" w:rsidRPr="00F930D1" w:rsidRDefault="00474747" w:rsidP="009F12FA">
            <w:pPr>
              <w:spacing w:line="480" w:lineRule="auto"/>
              <w:jc w:val="center"/>
              <w:rPr>
                <w:sz w:val="24"/>
                <w:szCs w:val="24"/>
                <w:lang w:val="en-US"/>
              </w:rPr>
            </w:pPr>
            <w:r w:rsidRPr="00F930D1">
              <w:rPr>
                <w:sz w:val="24"/>
                <w:szCs w:val="24"/>
                <w:lang w:val="en-US"/>
              </w:rPr>
              <w:t>14.48 (2.32)</w:t>
            </w:r>
          </w:p>
        </w:tc>
        <w:tc>
          <w:tcPr>
            <w:tcW w:w="1498" w:type="dxa"/>
            <w:vAlign w:val="bottom"/>
          </w:tcPr>
          <w:p w14:paraId="48D8F1A5" w14:textId="77777777" w:rsidR="00474747" w:rsidRPr="00F930D1" w:rsidRDefault="00474747" w:rsidP="009F12FA">
            <w:pPr>
              <w:spacing w:line="480" w:lineRule="auto"/>
              <w:jc w:val="center"/>
              <w:rPr>
                <w:sz w:val="24"/>
                <w:szCs w:val="24"/>
                <w:lang w:val="en-US"/>
              </w:rPr>
            </w:pPr>
            <w:r w:rsidRPr="00F930D1">
              <w:rPr>
                <w:sz w:val="24"/>
                <w:szCs w:val="24"/>
                <w:lang w:val="en-US"/>
              </w:rPr>
              <w:t>14.56 (2.23)</w:t>
            </w:r>
          </w:p>
        </w:tc>
        <w:tc>
          <w:tcPr>
            <w:tcW w:w="1469" w:type="dxa"/>
            <w:vAlign w:val="bottom"/>
          </w:tcPr>
          <w:p w14:paraId="45BB152B" w14:textId="77777777" w:rsidR="00474747" w:rsidRPr="00F930D1" w:rsidRDefault="00474747" w:rsidP="009F12FA">
            <w:pPr>
              <w:spacing w:line="480" w:lineRule="auto"/>
              <w:jc w:val="center"/>
              <w:rPr>
                <w:sz w:val="24"/>
                <w:szCs w:val="24"/>
                <w:lang w:val="en-US"/>
              </w:rPr>
            </w:pPr>
            <w:r w:rsidRPr="00F930D1">
              <w:rPr>
                <w:sz w:val="24"/>
                <w:szCs w:val="24"/>
                <w:lang w:val="en-US"/>
              </w:rPr>
              <w:t>13.81 (2.91)</w:t>
            </w:r>
          </w:p>
        </w:tc>
        <w:tc>
          <w:tcPr>
            <w:tcW w:w="1304" w:type="dxa"/>
          </w:tcPr>
          <w:p w14:paraId="3527DE60" w14:textId="77777777" w:rsidR="00474747" w:rsidRPr="00F930D1" w:rsidRDefault="00474747" w:rsidP="009F12FA">
            <w:pPr>
              <w:spacing w:line="480" w:lineRule="auto"/>
              <w:jc w:val="center"/>
              <w:rPr>
                <w:sz w:val="24"/>
                <w:szCs w:val="24"/>
                <w:lang w:val="en-US"/>
              </w:rPr>
            </w:pPr>
            <w:r w:rsidRPr="00F930D1">
              <w:rPr>
                <w:sz w:val="24"/>
                <w:szCs w:val="24"/>
                <w:lang w:val="en-US"/>
              </w:rPr>
              <w:t>0.208</w:t>
            </w:r>
          </w:p>
        </w:tc>
      </w:tr>
      <w:tr w:rsidR="00474747" w:rsidRPr="00F930D1" w14:paraId="09ABFF8C" w14:textId="77777777" w:rsidTr="00537809">
        <w:tc>
          <w:tcPr>
            <w:tcW w:w="3262" w:type="dxa"/>
          </w:tcPr>
          <w:p w14:paraId="4A149014" w14:textId="77777777" w:rsidR="00474747" w:rsidRPr="00F930D1" w:rsidRDefault="00474747" w:rsidP="009F12FA">
            <w:pPr>
              <w:spacing w:line="480" w:lineRule="auto"/>
              <w:rPr>
                <w:sz w:val="24"/>
                <w:szCs w:val="24"/>
                <w:lang w:val="en-US"/>
              </w:rPr>
            </w:pPr>
            <w:r w:rsidRPr="00F930D1">
              <w:rPr>
                <w:sz w:val="24"/>
                <w:szCs w:val="24"/>
                <w:lang w:val="en-US"/>
              </w:rPr>
              <w:t>Employment status</w:t>
            </w:r>
          </w:p>
        </w:tc>
        <w:tc>
          <w:tcPr>
            <w:tcW w:w="1498" w:type="dxa"/>
            <w:vAlign w:val="bottom"/>
          </w:tcPr>
          <w:p w14:paraId="11E823CA" w14:textId="77777777" w:rsidR="00474747" w:rsidRPr="00F930D1" w:rsidRDefault="00474747" w:rsidP="009F12FA">
            <w:pPr>
              <w:spacing w:line="480" w:lineRule="auto"/>
              <w:jc w:val="center"/>
              <w:rPr>
                <w:sz w:val="24"/>
                <w:szCs w:val="24"/>
                <w:lang w:val="en-US"/>
              </w:rPr>
            </w:pPr>
          </w:p>
        </w:tc>
        <w:tc>
          <w:tcPr>
            <w:tcW w:w="1498" w:type="dxa"/>
            <w:vAlign w:val="bottom"/>
          </w:tcPr>
          <w:p w14:paraId="11B1ABAA" w14:textId="77777777" w:rsidR="00474747" w:rsidRPr="00F930D1" w:rsidRDefault="00474747" w:rsidP="009F12FA">
            <w:pPr>
              <w:spacing w:line="480" w:lineRule="auto"/>
              <w:jc w:val="center"/>
              <w:rPr>
                <w:sz w:val="24"/>
                <w:szCs w:val="24"/>
                <w:lang w:val="en-US"/>
              </w:rPr>
            </w:pPr>
          </w:p>
        </w:tc>
        <w:tc>
          <w:tcPr>
            <w:tcW w:w="1469" w:type="dxa"/>
            <w:vAlign w:val="bottom"/>
          </w:tcPr>
          <w:p w14:paraId="681363D5" w14:textId="77777777" w:rsidR="00474747" w:rsidRPr="00F930D1" w:rsidRDefault="00474747" w:rsidP="009F12FA">
            <w:pPr>
              <w:spacing w:line="480" w:lineRule="auto"/>
              <w:jc w:val="center"/>
              <w:rPr>
                <w:sz w:val="24"/>
                <w:szCs w:val="24"/>
                <w:lang w:val="en-US"/>
              </w:rPr>
            </w:pPr>
          </w:p>
        </w:tc>
        <w:tc>
          <w:tcPr>
            <w:tcW w:w="1304" w:type="dxa"/>
          </w:tcPr>
          <w:p w14:paraId="4AE9E2BB" w14:textId="77777777" w:rsidR="00474747" w:rsidRPr="00F930D1" w:rsidRDefault="00474747" w:rsidP="009F12FA">
            <w:pPr>
              <w:spacing w:line="480" w:lineRule="auto"/>
              <w:jc w:val="center"/>
              <w:rPr>
                <w:sz w:val="24"/>
                <w:szCs w:val="24"/>
                <w:lang w:val="en-US"/>
              </w:rPr>
            </w:pPr>
            <w:r w:rsidRPr="00F930D1">
              <w:rPr>
                <w:sz w:val="24"/>
                <w:szCs w:val="24"/>
                <w:lang w:val="en-US"/>
              </w:rPr>
              <w:t>0.048</w:t>
            </w:r>
          </w:p>
        </w:tc>
      </w:tr>
      <w:tr w:rsidR="00474747" w:rsidRPr="00F930D1" w14:paraId="69AB1879" w14:textId="77777777" w:rsidTr="00537809">
        <w:tc>
          <w:tcPr>
            <w:tcW w:w="3262" w:type="dxa"/>
          </w:tcPr>
          <w:p w14:paraId="267748A5" w14:textId="77777777" w:rsidR="00474747" w:rsidRPr="00F930D1" w:rsidRDefault="00474747" w:rsidP="009F12FA">
            <w:pPr>
              <w:spacing w:line="480" w:lineRule="auto"/>
              <w:rPr>
                <w:sz w:val="24"/>
                <w:szCs w:val="24"/>
                <w:lang w:val="en-US"/>
              </w:rPr>
            </w:pPr>
            <w:r w:rsidRPr="00F930D1">
              <w:rPr>
                <w:sz w:val="24"/>
                <w:szCs w:val="24"/>
                <w:lang w:val="en-US"/>
              </w:rPr>
              <w:t xml:space="preserve">  Unemployed</w:t>
            </w:r>
          </w:p>
        </w:tc>
        <w:tc>
          <w:tcPr>
            <w:tcW w:w="1498" w:type="dxa"/>
            <w:vAlign w:val="bottom"/>
          </w:tcPr>
          <w:p w14:paraId="492AB0EA" w14:textId="77777777" w:rsidR="00474747" w:rsidRPr="00F930D1" w:rsidRDefault="00474747" w:rsidP="009F12FA">
            <w:pPr>
              <w:spacing w:line="480" w:lineRule="auto"/>
              <w:jc w:val="center"/>
              <w:rPr>
                <w:sz w:val="24"/>
                <w:szCs w:val="24"/>
                <w:lang w:val="en-US"/>
              </w:rPr>
            </w:pPr>
            <w:r w:rsidRPr="00F930D1">
              <w:rPr>
                <w:sz w:val="24"/>
                <w:szCs w:val="24"/>
                <w:lang w:val="en-US"/>
              </w:rPr>
              <w:t>42 (15.2)</w:t>
            </w:r>
          </w:p>
        </w:tc>
        <w:tc>
          <w:tcPr>
            <w:tcW w:w="1498" w:type="dxa"/>
            <w:vAlign w:val="bottom"/>
          </w:tcPr>
          <w:p w14:paraId="05D1EC16" w14:textId="77777777" w:rsidR="00474747" w:rsidRPr="00F930D1" w:rsidRDefault="00474747" w:rsidP="009F12FA">
            <w:pPr>
              <w:spacing w:line="480" w:lineRule="auto"/>
              <w:jc w:val="center"/>
              <w:rPr>
                <w:sz w:val="24"/>
                <w:szCs w:val="24"/>
                <w:lang w:val="en-US"/>
              </w:rPr>
            </w:pPr>
            <w:r w:rsidRPr="00F930D1">
              <w:rPr>
                <w:sz w:val="24"/>
                <w:szCs w:val="24"/>
                <w:lang w:val="en-US"/>
              </w:rPr>
              <w:t>33 (13.5)</w:t>
            </w:r>
          </w:p>
        </w:tc>
        <w:tc>
          <w:tcPr>
            <w:tcW w:w="1469" w:type="dxa"/>
            <w:vAlign w:val="bottom"/>
          </w:tcPr>
          <w:p w14:paraId="615AAAC2" w14:textId="77777777" w:rsidR="00474747" w:rsidRPr="00F930D1" w:rsidRDefault="00474747" w:rsidP="009F12FA">
            <w:pPr>
              <w:spacing w:line="480" w:lineRule="auto"/>
              <w:jc w:val="center"/>
              <w:rPr>
                <w:sz w:val="24"/>
                <w:szCs w:val="24"/>
                <w:lang w:val="en-US"/>
              </w:rPr>
            </w:pPr>
            <w:r w:rsidRPr="00F930D1">
              <w:rPr>
                <w:sz w:val="24"/>
                <w:szCs w:val="24"/>
                <w:lang w:val="en-US"/>
              </w:rPr>
              <w:t>9 (28.1)</w:t>
            </w:r>
          </w:p>
        </w:tc>
        <w:tc>
          <w:tcPr>
            <w:tcW w:w="1304" w:type="dxa"/>
          </w:tcPr>
          <w:p w14:paraId="6E55B91A" w14:textId="77777777" w:rsidR="00474747" w:rsidRPr="00F930D1" w:rsidRDefault="00474747" w:rsidP="009F12FA">
            <w:pPr>
              <w:spacing w:line="480" w:lineRule="auto"/>
              <w:jc w:val="center"/>
              <w:rPr>
                <w:sz w:val="24"/>
                <w:szCs w:val="24"/>
                <w:lang w:val="en-US"/>
              </w:rPr>
            </w:pPr>
          </w:p>
        </w:tc>
      </w:tr>
      <w:tr w:rsidR="00474747" w:rsidRPr="00F930D1" w14:paraId="3213BDFA" w14:textId="77777777" w:rsidTr="00537809">
        <w:tc>
          <w:tcPr>
            <w:tcW w:w="3262" w:type="dxa"/>
          </w:tcPr>
          <w:p w14:paraId="63D6C7BA" w14:textId="77777777" w:rsidR="00474747" w:rsidRPr="00F930D1" w:rsidRDefault="00474747" w:rsidP="009F12FA">
            <w:pPr>
              <w:spacing w:line="480" w:lineRule="auto"/>
              <w:rPr>
                <w:sz w:val="24"/>
                <w:szCs w:val="24"/>
                <w:lang w:val="en-US"/>
              </w:rPr>
            </w:pPr>
            <w:r w:rsidRPr="00F930D1">
              <w:rPr>
                <w:sz w:val="24"/>
                <w:szCs w:val="24"/>
                <w:lang w:val="en-US"/>
              </w:rPr>
              <w:t xml:space="preserve">  Employed</w:t>
            </w:r>
          </w:p>
        </w:tc>
        <w:tc>
          <w:tcPr>
            <w:tcW w:w="1498" w:type="dxa"/>
            <w:vAlign w:val="bottom"/>
          </w:tcPr>
          <w:p w14:paraId="41B90861" w14:textId="77777777" w:rsidR="00474747" w:rsidRPr="00F930D1" w:rsidRDefault="00474747" w:rsidP="009F12FA">
            <w:pPr>
              <w:spacing w:line="480" w:lineRule="auto"/>
              <w:jc w:val="center"/>
              <w:rPr>
                <w:sz w:val="24"/>
                <w:szCs w:val="24"/>
                <w:lang w:val="en-US"/>
              </w:rPr>
            </w:pPr>
            <w:r w:rsidRPr="00F930D1">
              <w:rPr>
                <w:sz w:val="24"/>
                <w:szCs w:val="24"/>
                <w:lang w:val="en-US"/>
              </w:rPr>
              <w:t>235 (84.8)</w:t>
            </w:r>
          </w:p>
        </w:tc>
        <w:tc>
          <w:tcPr>
            <w:tcW w:w="1498" w:type="dxa"/>
            <w:vAlign w:val="bottom"/>
          </w:tcPr>
          <w:p w14:paraId="72835AF6" w14:textId="77777777" w:rsidR="00474747" w:rsidRPr="00F930D1" w:rsidRDefault="00474747" w:rsidP="009F12FA">
            <w:pPr>
              <w:spacing w:line="480" w:lineRule="auto"/>
              <w:jc w:val="center"/>
              <w:rPr>
                <w:sz w:val="24"/>
                <w:szCs w:val="24"/>
                <w:lang w:val="en-US"/>
              </w:rPr>
            </w:pPr>
            <w:r w:rsidRPr="00F930D1">
              <w:rPr>
                <w:sz w:val="24"/>
                <w:szCs w:val="24"/>
                <w:lang w:val="en-US"/>
              </w:rPr>
              <w:t>212 (86.5)</w:t>
            </w:r>
          </w:p>
        </w:tc>
        <w:tc>
          <w:tcPr>
            <w:tcW w:w="1469" w:type="dxa"/>
            <w:vAlign w:val="bottom"/>
          </w:tcPr>
          <w:p w14:paraId="34457485" w14:textId="77777777" w:rsidR="00474747" w:rsidRPr="00F930D1" w:rsidRDefault="00474747" w:rsidP="009F12FA">
            <w:pPr>
              <w:spacing w:line="480" w:lineRule="auto"/>
              <w:jc w:val="center"/>
              <w:rPr>
                <w:sz w:val="24"/>
                <w:szCs w:val="24"/>
                <w:lang w:val="en-US"/>
              </w:rPr>
            </w:pPr>
            <w:r w:rsidRPr="00F930D1">
              <w:rPr>
                <w:sz w:val="24"/>
                <w:szCs w:val="24"/>
                <w:lang w:val="en-US"/>
              </w:rPr>
              <w:t>23 (71.9)</w:t>
            </w:r>
          </w:p>
        </w:tc>
        <w:tc>
          <w:tcPr>
            <w:tcW w:w="1304" w:type="dxa"/>
          </w:tcPr>
          <w:p w14:paraId="6793F465" w14:textId="77777777" w:rsidR="00474747" w:rsidRPr="00F930D1" w:rsidRDefault="00474747" w:rsidP="009F12FA">
            <w:pPr>
              <w:spacing w:line="480" w:lineRule="auto"/>
              <w:jc w:val="center"/>
              <w:rPr>
                <w:sz w:val="24"/>
                <w:szCs w:val="24"/>
                <w:lang w:val="en-US"/>
              </w:rPr>
            </w:pPr>
          </w:p>
        </w:tc>
      </w:tr>
      <w:tr w:rsidR="00474747" w:rsidRPr="00F930D1" w14:paraId="3BAF323B" w14:textId="77777777" w:rsidTr="00537809">
        <w:tc>
          <w:tcPr>
            <w:tcW w:w="3262" w:type="dxa"/>
          </w:tcPr>
          <w:p w14:paraId="3A6C0041" w14:textId="77777777" w:rsidR="00474747" w:rsidRPr="00F930D1" w:rsidRDefault="00474747" w:rsidP="009F12FA">
            <w:pPr>
              <w:spacing w:line="480" w:lineRule="auto"/>
              <w:rPr>
                <w:sz w:val="24"/>
                <w:szCs w:val="24"/>
                <w:lang w:val="en-US"/>
              </w:rPr>
            </w:pPr>
            <w:r w:rsidRPr="00F930D1">
              <w:rPr>
                <w:sz w:val="24"/>
                <w:szCs w:val="24"/>
                <w:lang w:val="en-US"/>
              </w:rPr>
              <w:t>Ethnicity, n (%)</w:t>
            </w:r>
          </w:p>
        </w:tc>
        <w:tc>
          <w:tcPr>
            <w:tcW w:w="1498" w:type="dxa"/>
            <w:vAlign w:val="bottom"/>
          </w:tcPr>
          <w:p w14:paraId="5C528EAF" w14:textId="77777777" w:rsidR="00474747" w:rsidRPr="00F930D1" w:rsidRDefault="00474747" w:rsidP="009F12FA">
            <w:pPr>
              <w:spacing w:line="480" w:lineRule="auto"/>
              <w:jc w:val="center"/>
              <w:rPr>
                <w:sz w:val="24"/>
                <w:szCs w:val="24"/>
                <w:lang w:val="en-US"/>
              </w:rPr>
            </w:pPr>
          </w:p>
        </w:tc>
        <w:tc>
          <w:tcPr>
            <w:tcW w:w="1498" w:type="dxa"/>
            <w:vAlign w:val="bottom"/>
          </w:tcPr>
          <w:p w14:paraId="6638BDF1" w14:textId="77777777" w:rsidR="00474747" w:rsidRPr="00F930D1" w:rsidRDefault="00474747" w:rsidP="009F12FA">
            <w:pPr>
              <w:spacing w:line="480" w:lineRule="auto"/>
              <w:jc w:val="center"/>
              <w:rPr>
                <w:sz w:val="24"/>
                <w:szCs w:val="24"/>
                <w:lang w:val="en-US"/>
              </w:rPr>
            </w:pPr>
          </w:p>
        </w:tc>
        <w:tc>
          <w:tcPr>
            <w:tcW w:w="1469" w:type="dxa"/>
            <w:vAlign w:val="bottom"/>
          </w:tcPr>
          <w:p w14:paraId="29DBB5BF" w14:textId="77777777" w:rsidR="00474747" w:rsidRPr="00F930D1" w:rsidRDefault="00474747" w:rsidP="009F12FA">
            <w:pPr>
              <w:spacing w:line="480" w:lineRule="auto"/>
              <w:jc w:val="center"/>
              <w:rPr>
                <w:sz w:val="24"/>
                <w:szCs w:val="24"/>
                <w:lang w:val="en-US"/>
              </w:rPr>
            </w:pPr>
          </w:p>
        </w:tc>
        <w:tc>
          <w:tcPr>
            <w:tcW w:w="1304" w:type="dxa"/>
          </w:tcPr>
          <w:p w14:paraId="6CD82924" w14:textId="77777777" w:rsidR="00474747" w:rsidRPr="00F930D1" w:rsidRDefault="00474747" w:rsidP="009F12FA">
            <w:pPr>
              <w:spacing w:line="480" w:lineRule="auto"/>
              <w:jc w:val="center"/>
              <w:rPr>
                <w:sz w:val="24"/>
                <w:szCs w:val="24"/>
                <w:lang w:val="en-US"/>
              </w:rPr>
            </w:pPr>
            <w:r w:rsidRPr="00F930D1">
              <w:rPr>
                <w:sz w:val="24"/>
                <w:szCs w:val="24"/>
                <w:lang w:val="en-US"/>
              </w:rPr>
              <w:t>0.768</w:t>
            </w:r>
          </w:p>
        </w:tc>
      </w:tr>
      <w:tr w:rsidR="00474747" w:rsidRPr="00F930D1" w14:paraId="0EAED7B3" w14:textId="77777777" w:rsidTr="00537809">
        <w:tc>
          <w:tcPr>
            <w:tcW w:w="3262" w:type="dxa"/>
          </w:tcPr>
          <w:p w14:paraId="4B26C757" w14:textId="77777777" w:rsidR="00474747" w:rsidRPr="00F930D1" w:rsidRDefault="00474747" w:rsidP="009F12FA">
            <w:pPr>
              <w:spacing w:line="480" w:lineRule="auto"/>
              <w:rPr>
                <w:sz w:val="24"/>
                <w:szCs w:val="24"/>
                <w:lang w:val="en-US"/>
              </w:rPr>
            </w:pPr>
            <w:r w:rsidRPr="00F930D1">
              <w:rPr>
                <w:sz w:val="24"/>
                <w:szCs w:val="24"/>
                <w:lang w:val="en-US"/>
              </w:rPr>
              <w:t xml:space="preserve">  Chinese</w:t>
            </w:r>
          </w:p>
        </w:tc>
        <w:tc>
          <w:tcPr>
            <w:tcW w:w="1498" w:type="dxa"/>
            <w:vAlign w:val="bottom"/>
          </w:tcPr>
          <w:p w14:paraId="29BA4081" w14:textId="77777777" w:rsidR="00474747" w:rsidRPr="00F930D1" w:rsidRDefault="00474747" w:rsidP="009F12FA">
            <w:pPr>
              <w:spacing w:line="480" w:lineRule="auto"/>
              <w:jc w:val="center"/>
              <w:rPr>
                <w:sz w:val="24"/>
                <w:szCs w:val="24"/>
                <w:lang w:val="en-US"/>
              </w:rPr>
            </w:pPr>
            <w:r w:rsidRPr="00F930D1">
              <w:rPr>
                <w:sz w:val="24"/>
                <w:szCs w:val="24"/>
                <w:lang w:val="en-US"/>
              </w:rPr>
              <w:t>230 (83.0)</w:t>
            </w:r>
          </w:p>
        </w:tc>
        <w:tc>
          <w:tcPr>
            <w:tcW w:w="1498" w:type="dxa"/>
            <w:vAlign w:val="bottom"/>
          </w:tcPr>
          <w:p w14:paraId="69495DEB" w14:textId="77777777" w:rsidR="00474747" w:rsidRPr="00F930D1" w:rsidRDefault="00474747" w:rsidP="009F12FA">
            <w:pPr>
              <w:spacing w:line="480" w:lineRule="auto"/>
              <w:jc w:val="center"/>
              <w:rPr>
                <w:sz w:val="24"/>
                <w:szCs w:val="24"/>
                <w:lang w:val="en-US"/>
              </w:rPr>
            </w:pPr>
            <w:r w:rsidRPr="00F930D1">
              <w:rPr>
                <w:sz w:val="24"/>
                <w:szCs w:val="24"/>
                <w:lang w:val="en-US"/>
              </w:rPr>
              <w:t>203 (82.9)</w:t>
            </w:r>
          </w:p>
        </w:tc>
        <w:tc>
          <w:tcPr>
            <w:tcW w:w="1469" w:type="dxa"/>
            <w:vAlign w:val="bottom"/>
          </w:tcPr>
          <w:p w14:paraId="3EA4DE08" w14:textId="77777777" w:rsidR="00474747" w:rsidRPr="00F930D1" w:rsidRDefault="00474747" w:rsidP="009F12FA">
            <w:pPr>
              <w:spacing w:line="480" w:lineRule="auto"/>
              <w:jc w:val="center"/>
              <w:rPr>
                <w:sz w:val="24"/>
                <w:szCs w:val="24"/>
                <w:lang w:val="en-US"/>
              </w:rPr>
            </w:pPr>
            <w:r w:rsidRPr="00F930D1">
              <w:rPr>
                <w:sz w:val="24"/>
                <w:szCs w:val="24"/>
                <w:lang w:val="en-US"/>
              </w:rPr>
              <w:t>27 (84.4)</w:t>
            </w:r>
          </w:p>
        </w:tc>
        <w:tc>
          <w:tcPr>
            <w:tcW w:w="1304" w:type="dxa"/>
          </w:tcPr>
          <w:p w14:paraId="55E6B4B1" w14:textId="77777777" w:rsidR="00474747" w:rsidRPr="00F930D1" w:rsidRDefault="00474747" w:rsidP="009F12FA">
            <w:pPr>
              <w:spacing w:line="480" w:lineRule="auto"/>
              <w:jc w:val="center"/>
              <w:rPr>
                <w:sz w:val="24"/>
                <w:szCs w:val="24"/>
                <w:lang w:val="en-US"/>
              </w:rPr>
            </w:pPr>
          </w:p>
        </w:tc>
      </w:tr>
      <w:tr w:rsidR="00474747" w:rsidRPr="00F930D1" w14:paraId="2D1D5813" w14:textId="77777777" w:rsidTr="00537809">
        <w:tc>
          <w:tcPr>
            <w:tcW w:w="3262" w:type="dxa"/>
          </w:tcPr>
          <w:p w14:paraId="6495A8FE" w14:textId="77777777" w:rsidR="00474747" w:rsidRPr="00F930D1" w:rsidRDefault="00474747" w:rsidP="009F12FA">
            <w:pPr>
              <w:spacing w:line="480" w:lineRule="auto"/>
              <w:rPr>
                <w:sz w:val="24"/>
                <w:szCs w:val="24"/>
                <w:lang w:val="en-US"/>
              </w:rPr>
            </w:pPr>
            <w:r w:rsidRPr="00F930D1">
              <w:rPr>
                <w:sz w:val="24"/>
                <w:szCs w:val="24"/>
                <w:lang w:val="en-US"/>
              </w:rPr>
              <w:t xml:space="preserve">  Non-Chinese</w:t>
            </w:r>
          </w:p>
        </w:tc>
        <w:tc>
          <w:tcPr>
            <w:tcW w:w="1498" w:type="dxa"/>
            <w:vAlign w:val="bottom"/>
          </w:tcPr>
          <w:p w14:paraId="5C81169A" w14:textId="77777777" w:rsidR="00474747" w:rsidRPr="00F930D1" w:rsidRDefault="00474747" w:rsidP="009F12FA">
            <w:pPr>
              <w:spacing w:line="480" w:lineRule="auto"/>
              <w:jc w:val="center"/>
              <w:rPr>
                <w:sz w:val="24"/>
                <w:szCs w:val="24"/>
                <w:lang w:val="en-US"/>
              </w:rPr>
            </w:pPr>
            <w:r w:rsidRPr="00F930D1">
              <w:rPr>
                <w:sz w:val="24"/>
                <w:szCs w:val="24"/>
                <w:lang w:val="en-US"/>
              </w:rPr>
              <w:t>47 (17.0)</w:t>
            </w:r>
          </w:p>
        </w:tc>
        <w:tc>
          <w:tcPr>
            <w:tcW w:w="1498" w:type="dxa"/>
            <w:vAlign w:val="bottom"/>
          </w:tcPr>
          <w:p w14:paraId="5F4CF539" w14:textId="77777777" w:rsidR="00474747" w:rsidRPr="00F930D1" w:rsidRDefault="00474747" w:rsidP="009F12FA">
            <w:pPr>
              <w:spacing w:line="480" w:lineRule="auto"/>
              <w:jc w:val="center"/>
              <w:rPr>
                <w:sz w:val="24"/>
                <w:szCs w:val="24"/>
                <w:lang w:val="en-US"/>
              </w:rPr>
            </w:pPr>
            <w:r w:rsidRPr="00F930D1">
              <w:rPr>
                <w:sz w:val="24"/>
                <w:szCs w:val="24"/>
                <w:lang w:val="en-US"/>
              </w:rPr>
              <w:t>42 (17.1)</w:t>
            </w:r>
          </w:p>
        </w:tc>
        <w:tc>
          <w:tcPr>
            <w:tcW w:w="1469" w:type="dxa"/>
            <w:vAlign w:val="bottom"/>
          </w:tcPr>
          <w:p w14:paraId="26687F66" w14:textId="77777777" w:rsidR="00474747" w:rsidRPr="00F930D1" w:rsidRDefault="00474747" w:rsidP="009F12FA">
            <w:pPr>
              <w:spacing w:line="480" w:lineRule="auto"/>
              <w:jc w:val="center"/>
              <w:rPr>
                <w:sz w:val="24"/>
                <w:szCs w:val="24"/>
                <w:lang w:val="en-US"/>
              </w:rPr>
            </w:pPr>
            <w:r w:rsidRPr="00F930D1">
              <w:rPr>
                <w:sz w:val="24"/>
                <w:szCs w:val="24"/>
                <w:lang w:val="en-US"/>
              </w:rPr>
              <w:t>5 (15.6)</w:t>
            </w:r>
          </w:p>
        </w:tc>
        <w:tc>
          <w:tcPr>
            <w:tcW w:w="1304" w:type="dxa"/>
          </w:tcPr>
          <w:p w14:paraId="11EC30EB" w14:textId="77777777" w:rsidR="00474747" w:rsidRPr="00F930D1" w:rsidRDefault="00474747" w:rsidP="009F12FA">
            <w:pPr>
              <w:spacing w:line="480" w:lineRule="auto"/>
              <w:jc w:val="center"/>
              <w:rPr>
                <w:sz w:val="24"/>
                <w:szCs w:val="24"/>
                <w:lang w:val="en-US"/>
              </w:rPr>
            </w:pPr>
          </w:p>
        </w:tc>
      </w:tr>
      <w:tr w:rsidR="00474747" w:rsidRPr="00F930D1" w14:paraId="45B0EA05" w14:textId="77777777" w:rsidTr="00537809">
        <w:tc>
          <w:tcPr>
            <w:tcW w:w="3262" w:type="dxa"/>
          </w:tcPr>
          <w:p w14:paraId="59C8AD4A" w14:textId="77777777" w:rsidR="00474747" w:rsidRPr="00F930D1" w:rsidRDefault="00474747" w:rsidP="009F12FA">
            <w:pPr>
              <w:spacing w:line="480" w:lineRule="auto"/>
              <w:rPr>
                <w:sz w:val="24"/>
                <w:szCs w:val="24"/>
                <w:lang w:val="en-US"/>
              </w:rPr>
            </w:pPr>
            <w:r w:rsidRPr="00F930D1">
              <w:rPr>
                <w:sz w:val="24"/>
                <w:szCs w:val="24"/>
                <w:lang w:val="en-US"/>
              </w:rPr>
              <w:t>Physical activity, n (%)</w:t>
            </w:r>
          </w:p>
        </w:tc>
        <w:tc>
          <w:tcPr>
            <w:tcW w:w="1498" w:type="dxa"/>
            <w:vAlign w:val="bottom"/>
          </w:tcPr>
          <w:p w14:paraId="02ACC84D" w14:textId="77777777" w:rsidR="00474747" w:rsidRPr="00F930D1" w:rsidRDefault="00474747" w:rsidP="009F12FA">
            <w:pPr>
              <w:spacing w:line="480" w:lineRule="auto"/>
              <w:jc w:val="center"/>
              <w:rPr>
                <w:sz w:val="24"/>
                <w:szCs w:val="24"/>
                <w:lang w:val="en-US"/>
              </w:rPr>
            </w:pPr>
          </w:p>
        </w:tc>
        <w:tc>
          <w:tcPr>
            <w:tcW w:w="1498" w:type="dxa"/>
            <w:vAlign w:val="bottom"/>
          </w:tcPr>
          <w:p w14:paraId="398CF256" w14:textId="77777777" w:rsidR="00474747" w:rsidRPr="00F930D1" w:rsidRDefault="00474747" w:rsidP="009F12FA">
            <w:pPr>
              <w:spacing w:line="480" w:lineRule="auto"/>
              <w:jc w:val="center"/>
              <w:rPr>
                <w:sz w:val="24"/>
                <w:szCs w:val="24"/>
                <w:lang w:val="en-US"/>
              </w:rPr>
            </w:pPr>
          </w:p>
        </w:tc>
        <w:tc>
          <w:tcPr>
            <w:tcW w:w="1469" w:type="dxa"/>
            <w:vAlign w:val="bottom"/>
          </w:tcPr>
          <w:p w14:paraId="6F39A834" w14:textId="77777777" w:rsidR="00474747" w:rsidRPr="00F930D1" w:rsidRDefault="00474747" w:rsidP="009F12FA">
            <w:pPr>
              <w:spacing w:line="480" w:lineRule="auto"/>
              <w:jc w:val="center"/>
              <w:rPr>
                <w:sz w:val="24"/>
                <w:szCs w:val="24"/>
                <w:lang w:val="en-US"/>
              </w:rPr>
            </w:pPr>
          </w:p>
        </w:tc>
        <w:tc>
          <w:tcPr>
            <w:tcW w:w="1304" w:type="dxa"/>
          </w:tcPr>
          <w:p w14:paraId="11F6D75E" w14:textId="77777777" w:rsidR="00474747" w:rsidRPr="00F930D1" w:rsidRDefault="00474747" w:rsidP="009F12FA">
            <w:pPr>
              <w:spacing w:line="480" w:lineRule="auto"/>
              <w:jc w:val="center"/>
              <w:rPr>
                <w:sz w:val="24"/>
                <w:szCs w:val="24"/>
                <w:lang w:val="en-US"/>
              </w:rPr>
            </w:pPr>
            <w:r w:rsidRPr="00F930D1">
              <w:rPr>
                <w:sz w:val="24"/>
                <w:szCs w:val="24"/>
                <w:lang w:val="en-US"/>
              </w:rPr>
              <w:t>0.684</w:t>
            </w:r>
          </w:p>
        </w:tc>
      </w:tr>
      <w:tr w:rsidR="00474747" w:rsidRPr="00F930D1" w14:paraId="18D166FF" w14:textId="77777777" w:rsidTr="00537809">
        <w:tc>
          <w:tcPr>
            <w:tcW w:w="3262" w:type="dxa"/>
          </w:tcPr>
          <w:p w14:paraId="2F0E967D" w14:textId="77777777" w:rsidR="00474747" w:rsidRPr="00F930D1" w:rsidRDefault="00474747" w:rsidP="009F12FA">
            <w:pPr>
              <w:spacing w:line="480" w:lineRule="auto"/>
              <w:rPr>
                <w:sz w:val="24"/>
                <w:szCs w:val="24"/>
                <w:lang w:val="en-US"/>
              </w:rPr>
            </w:pPr>
            <w:r w:rsidRPr="00F930D1">
              <w:rPr>
                <w:sz w:val="24"/>
                <w:szCs w:val="24"/>
                <w:lang w:val="en-US"/>
              </w:rPr>
              <w:t xml:space="preserve">  &lt;600 (MET-min/week)</w:t>
            </w:r>
          </w:p>
        </w:tc>
        <w:tc>
          <w:tcPr>
            <w:tcW w:w="1498" w:type="dxa"/>
            <w:vAlign w:val="bottom"/>
          </w:tcPr>
          <w:p w14:paraId="5DAFF6A0" w14:textId="77777777" w:rsidR="00474747" w:rsidRPr="00F930D1" w:rsidRDefault="00474747" w:rsidP="009F12FA">
            <w:pPr>
              <w:spacing w:line="480" w:lineRule="auto"/>
              <w:jc w:val="center"/>
              <w:rPr>
                <w:sz w:val="24"/>
                <w:szCs w:val="24"/>
                <w:lang w:val="en-US"/>
              </w:rPr>
            </w:pPr>
            <w:r w:rsidRPr="00F930D1">
              <w:rPr>
                <w:sz w:val="24"/>
                <w:szCs w:val="24"/>
                <w:lang w:val="en-US"/>
              </w:rPr>
              <w:t>77 (27.8)</w:t>
            </w:r>
          </w:p>
        </w:tc>
        <w:tc>
          <w:tcPr>
            <w:tcW w:w="1498" w:type="dxa"/>
            <w:vAlign w:val="bottom"/>
          </w:tcPr>
          <w:p w14:paraId="42954153" w14:textId="77777777" w:rsidR="00474747" w:rsidRPr="00F930D1" w:rsidRDefault="00474747" w:rsidP="009F12FA">
            <w:pPr>
              <w:spacing w:line="480" w:lineRule="auto"/>
              <w:jc w:val="center"/>
              <w:rPr>
                <w:sz w:val="24"/>
                <w:szCs w:val="24"/>
                <w:lang w:val="en-US"/>
              </w:rPr>
            </w:pPr>
            <w:r w:rsidRPr="00F930D1">
              <w:rPr>
                <w:sz w:val="24"/>
                <w:szCs w:val="24"/>
                <w:lang w:val="en-US"/>
              </w:rPr>
              <w:t>69 (28.2)</w:t>
            </w:r>
          </w:p>
        </w:tc>
        <w:tc>
          <w:tcPr>
            <w:tcW w:w="1469" w:type="dxa"/>
            <w:vAlign w:val="bottom"/>
          </w:tcPr>
          <w:p w14:paraId="72F7E7E3" w14:textId="77777777" w:rsidR="00474747" w:rsidRPr="00F930D1" w:rsidRDefault="00474747" w:rsidP="009F12FA">
            <w:pPr>
              <w:spacing w:line="480" w:lineRule="auto"/>
              <w:jc w:val="center"/>
              <w:rPr>
                <w:sz w:val="24"/>
                <w:szCs w:val="24"/>
                <w:lang w:val="en-US"/>
              </w:rPr>
            </w:pPr>
            <w:r w:rsidRPr="00F930D1">
              <w:rPr>
                <w:sz w:val="24"/>
                <w:szCs w:val="24"/>
                <w:lang w:val="en-US"/>
              </w:rPr>
              <w:t>8 (25.0)</w:t>
            </w:r>
          </w:p>
        </w:tc>
        <w:tc>
          <w:tcPr>
            <w:tcW w:w="1304" w:type="dxa"/>
          </w:tcPr>
          <w:p w14:paraId="2B87EE65" w14:textId="77777777" w:rsidR="00474747" w:rsidRPr="00F930D1" w:rsidRDefault="00474747" w:rsidP="009F12FA">
            <w:pPr>
              <w:spacing w:line="480" w:lineRule="auto"/>
              <w:jc w:val="center"/>
              <w:rPr>
                <w:sz w:val="24"/>
                <w:szCs w:val="24"/>
                <w:lang w:val="en-US"/>
              </w:rPr>
            </w:pPr>
          </w:p>
        </w:tc>
      </w:tr>
      <w:tr w:rsidR="00474747" w:rsidRPr="00F930D1" w14:paraId="1B821FBE" w14:textId="77777777" w:rsidTr="00537809">
        <w:tc>
          <w:tcPr>
            <w:tcW w:w="3262" w:type="dxa"/>
          </w:tcPr>
          <w:p w14:paraId="3468F0FF" w14:textId="77777777" w:rsidR="00474747" w:rsidRPr="00F930D1" w:rsidRDefault="00474747" w:rsidP="009F12FA">
            <w:pPr>
              <w:spacing w:line="480" w:lineRule="auto"/>
              <w:rPr>
                <w:sz w:val="24"/>
                <w:szCs w:val="24"/>
                <w:lang w:val="en-US"/>
              </w:rPr>
            </w:pPr>
            <w:r w:rsidRPr="00F930D1">
              <w:rPr>
                <w:sz w:val="24"/>
                <w:szCs w:val="24"/>
                <w:lang w:val="en-US"/>
              </w:rPr>
              <w:t xml:space="preserve">  ≥600 (MET-min/week)</w:t>
            </w:r>
          </w:p>
        </w:tc>
        <w:tc>
          <w:tcPr>
            <w:tcW w:w="1498" w:type="dxa"/>
            <w:vAlign w:val="bottom"/>
          </w:tcPr>
          <w:p w14:paraId="38F22E7E" w14:textId="77777777" w:rsidR="00474747" w:rsidRPr="00F930D1" w:rsidRDefault="00474747" w:rsidP="009F12FA">
            <w:pPr>
              <w:spacing w:line="480" w:lineRule="auto"/>
              <w:jc w:val="center"/>
              <w:rPr>
                <w:sz w:val="24"/>
                <w:szCs w:val="24"/>
                <w:lang w:val="en-US"/>
              </w:rPr>
            </w:pPr>
            <w:r w:rsidRPr="00F930D1">
              <w:rPr>
                <w:sz w:val="24"/>
                <w:szCs w:val="24"/>
                <w:lang w:val="en-US"/>
              </w:rPr>
              <w:t>200 (72.2)</w:t>
            </w:r>
          </w:p>
        </w:tc>
        <w:tc>
          <w:tcPr>
            <w:tcW w:w="1498" w:type="dxa"/>
            <w:vAlign w:val="bottom"/>
          </w:tcPr>
          <w:p w14:paraId="3DEE7908" w14:textId="77777777" w:rsidR="00474747" w:rsidRPr="00F930D1" w:rsidRDefault="00474747" w:rsidP="009F12FA">
            <w:pPr>
              <w:spacing w:line="480" w:lineRule="auto"/>
              <w:jc w:val="center"/>
              <w:rPr>
                <w:sz w:val="24"/>
                <w:szCs w:val="24"/>
                <w:lang w:val="en-US"/>
              </w:rPr>
            </w:pPr>
            <w:r w:rsidRPr="00F930D1">
              <w:rPr>
                <w:sz w:val="24"/>
                <w:szCs w:val="24"/>
                <w:lang w:val="en-US"/>
              </w:rPr>
              <w:t>176 (71.8)</w:t>
            </w:r>
          </w:p>
        </w:tc>
        <w:tc>
          <w:tcPr>
            <w:tcW w:w="1469" w:type="dxa"/>
            <w:vAlign w:val="bottom"/>
          </w:tcPr>
          <w:p w14:paraId="00A5F8E8" w14:textId="77777777" w:rsidR="00474747" w:rsidRPr="00F930D1" w:rsidRDefault="00474747" w:rsidP="009F12FA">
            <w:pPr>
              <w:spacing w:line="480" w:lineRule="auto"/>
              <w:jc w:val="center"/>
              <w:rPr>
                <w:sz w:val="24"/>
                <w:szCs w:val="24"/>
                <w:lang w:val="en-US"/>
              </w:rPr>
            </w:pPr>
            <w:r w:rsidRPr="00F930D1">
              <w:rPr>
                <w:sz w:val="24"/>
                <w:szCs w:val="24"/>
                <w:lang w:val="en-US"/>
              </w:rPr>
              <w:t>24 (75.0)</w:t>
            </w:r>
          </w:p>
        </w:tc>
        <w:tc>
          <w:tcPr>
            <w:tcW w:w="1304" w:type="dxa"/>
          </w:tcPr>
          <w:p w14:paraId="7A4A9D51" w14:textId="77777777" w:rsidR="00474747" w:rsidRPr="00F930D1" w:rsidRDefault="00474747" w:rsidP="009F12FA">
            <w:pPr>
              <w:spacing w:line="480" w:lineRule="auto"/>
              <w:jc w:val="center"/>
              <w:rPr>
                <w:sz w:val="24"/>
                <w:szCs w:val="24"/>
                <w:lang w:val="en-US"/>
              </w:rPr>
            </w:pPr>
          </w:p>
        </w:tc>
      </w:tr>
      <w:tr w:rsidR="00474747" w:rsidRPr="00F930D1" w14:paraId="2E9E162A" w14:textId="77777777" w:rsidTr="00537809">
        <w:tc>
          <w:tcPr>
            <w:tcW w:w="3262" w:type="dxa"/>
          </w:tcPr>
          <w:p w14:paraId="6A088FDE" w14:textId="77777777" w:rsidR="00474747" w:rsidRPr="00F930D1" w:rsidRDefault="00474747" w:rsidP="009F12FA">
            <w:pPr>
              <w:spacing w:line="480" w:lineRule="auto"/>
              <w:rPr>
                <w:sz w:val="24"/>
                <w:szCs w:val="24"/>
                <w:lang w:val="en-US"/>
              </w:rPr>
            </w:pPr>
            <w:r w:rsidRPr="00F930D1">
              <w:rPr>
                <w:sz w:val="24"/>
                <w:szCs w:val="24"/>
                <w:lang w:val="en-US"/>
              </w:rPr>
              <w:t>Bedtime, 24-h clock</w:t>
            </w:r>
          </w:p>
        </w:tc>
        <w:tc>
          <w:tcPr>
            <w:tcW w:w="1498" w:type="dxa"/>
            <w:vAlign w:val="bottom"/>
          </w:tcPr>
          <w:p w14:paraId="65841B4D" w14:textId="77777777" w:rsidR="00474747" w:rsidRPr="00F930D1" w:rsidRDefault="00474747" w:rsidP="009F12FA">
            <w:pPr>
              <w:spacing w:line="480" w:lineRule="auto"/>
              <w:jc w:val="center"/>
              <w:rPr>
                <w:sz w:val="24"/>
                <w:szCs w:val="24"/>
                <w:lang w:val="en-US"/>
              </w:rPr>
            </w:pPr>
            <w:r w:rsidRPr="00F930D1">
              <w:rPr>
                <w:sz w:val="24"/>
                <w:szCs w:val="24"/>
                <w:lang w:val="en-US"/>
              </w:rPr>
              <w:t>23:26 (1:18)</w:t>
            </w:r>
          </w:p>
        </w:tc>
        <w:tc>
          <w:tcPr>
            <w:tcW w:w="1498" w:type="dxa"/>
            <w:vAlign w:val="bottom"/>
          </w:tcPr>
          <w:p w14:paraId="18184925" w14:textId="77777777" w:rsidR="00474747" w:rsidRPr="00F930D1" w:rsidRDefault="00474747" w:rsidP="009F12FA">
            <w:pPr>
              <w:spacing w:line="480" w:lineRule="auto"/>
              <w:jc w:val="center"/>
              <w:rPr>
                <w:sz w:val="24"/>
                <w:szCs w:val="24"/>
                <w:lang w:val="en-US"/>
              </w:rPr>
            </w:pPr>
            <w:r w:rsidRPr="00F930D1">
              <w:rPr>
                <w:sz w:val="24"/>
                <w:szCs w:val="24"/>
                <w:lang w:val="en-US"/>
              </w:rPr>
              <w:t>23:20 (1:12)</w:t>
            </w:r>
          </w:p>
        </w:tc>
        <w:tc>
          <w:tcPr>
            <w:tcW w:w="1469" w:type="dxa"/>
            <w:vAlign w:val="bottom"/>
          </w:tcPr>
          <w:p w14:paraId="76BAC0B1" w14:textId="77777777" w:rsidR="00474747" w:rsidRPr="00F930D1" w:rsidRDefault="00474747" w:rsidP="009F12FA">
            <w:pPr>
              <w:spacing w:line="480" w:lineRule="auto"/>
              <w:jc w:val="center"/>
              <w:rPr>
                <w:sz w:val="24"/>
                <w:szCs w:val="24"/>
                <w:lang w:val="en-US"/>
              </w:rPr>
            </w:pPr>
            <w:r w:rsidRPr="00F930D1">
              <w:rPr>
                <w:sz w:val="24"/>
                <w:szCs w:val="24"/>
                <w:lang w:val="en-US"/>
              </w:rPr>
              <w:t>00:14 (1:43)</w:t>
            </w:r>
          </w:p>
        </w:tc>
        <w:tc>
          <w:tcPr>
            <w:tcW w:w="1304" w:type="dxa"/>
          </w:tcPr>
          <w:p w14:paraId="757F459A" w14:textId="77777777" w:rsidR="00474747" w:rsidRPr="00F930D1" w:rsidRDefault="00474747" w:rsidP="009F12FA">
            <w:pPr>
              <w:spacing w:line="480" w:lineRule="auto"/>
              <w:jc w:val="center"/>
              <w:rPr>
                <w:sz w:val="24"/>
                <w:szCs w:val="24"/>
                <w:lang w:val="en-US"/>
              </w:rPr>
            </w:pPr>
            <w:r w:rsidRPr="00F930D1">
              <w:rPr>
                <w:rFonts w:eastAsiaTheme="minorEastAsia"/>
                <w:sz w:val="24"/>
                <w:szCs w:val="24"/>
                <w:lang w:val="en-US"/>
              </w:rPr>
              <w:t>0.007</w:t>
            </w:r>
          </w:p>
        </w:tc>
      </w:tr>
      <w:tr w:rsidR="00474747" w:rsidRPr="00F930D1" w14:paraId="2AD2A968" w14:textId="77777777" w:rsidTr="00537809">
        <w:tc>
          <w:tcPr>
            <w:tcW w:w="3262" w:type="dxa"/>
          </w:tcPr>
          <w:p w14:paraId="01C50E6C" w14:textId="77777777" w:rsidR="00474747" w:rsidRPr="00F930D1" w:rsidRDefault="00474747" w:rsidP="009F12FA">
            <w:pPr>
              <w:spacing w:line="480" w:lineRule="auto"/>
              <w:rPr>
                <w:sz w:val="24"/>
                <w:szCs w:val="24"/>
                <w:lang w:val="en-US"/>
              </w:rPr>
            </w:pPr>
            <w:r w:rsidRPr="00F930D1">
              <w:rPr>
                <w:sz w:val="24"/>
                <w:szCs w:val="24"/>
                <w:lang w:val="en-US"/>
              </w:rPr>
              <w:t>Irregular meal, n (%)</w:t>
            </w:r>
          </w:p>
        </w:tc>
        <w:tc>
          <w:tcPr>
            <w:tcW w:w="1498" w:type="dxa"/>
            <w:vAlign w:val="bottom"/>
          </w:tcPr>
          <w:p w14:paraId="7FC6EB72" w14:textId="77777777" w:rsidR="00474747" w:rsidRPr="00F930D1" w:rsidRDefault="00474747" w:rsidP="009F12FA">
            <w:pPr>
              <w:spacing w:line="480" w:lineRule="auto"/>
              <w:jc w:val="center"/>
              <w:rPr>
                <w:sz w:val="24"/>
                <w:szCs w:val="24"/>
                <w:lang w:val="en-US"/>
              </w:rPr>
            </w:pPr>
          </w:p>
        </w:tc>
        <w:tc>
          <w:tcPr>
            <w:tcW w:w="1498" w:type="dxa"/>
            <w:vAlign w:val="bottom"/>
          </w:tcPr>
          <w:p w14:paraId="0D4366AF" w14:textId="77777777" w:rsidR="00474747" w:rsidRPr="00F930D1" w:rsidRDefault="00474747" w:rsidP="009F12FA">
            <w:pPr>
              <w:spacing w:line="480" w:lineRule="auto"/>
              <w:jc w:val="center"/>
              <w:rPr>
                <w:sz w:val="24"/>
                <w:szCs w:val="24"/>
                <w:lang w:val="en-US"/>
              </w:rPr>
            </w:pPr>
          </w:p>
        </w:tc>
        <w:tc>
          <w:tcPr>
            <w:tcW w:w="1469" w:type="dxa"/>
            <w:vAlign w:val="bottom"/>
          </w:tcPr>
          <w:p w14:paraId="6DC71220" w14:textId="77777777" w:rsidR="00474747" w:rsidRPr="00F930D1" w:rsidRDefault="00474747" w:rsidP="009F12FA">
            <w:pPr>
              <w:spacing w:line="480" w:lineRule="auto"/>
              <w:jc w:val="center"/>
              <w:rPr>
                <w:sz w:val="24"/>
                <w:szCs w:val="24"/>
                <w:lang w:val="en-US"/>
              </w:rPr>
            </w:pPr>
          </w:p>
        </w:tc>
        <w:tc>
          <w:tcPr>
            <w:tcW w:w="1304" w:type="dxa"/>
          </w:tcPr>
          <w:p w14:paraId="090F4B91" w14:textId="77777777" w:rsidR="00474747" w:rsidRPr="00F930D1" w:rsidRDefault="00474747" w:rsidP="009F12FA">
            <w:pPr>
              <w:spacing w:line="480" w:lineRule="auto"/>
              <w:jc w:val="center"/>
              <w:rPr>
                <w:sz w:val="24"/>
                <w:szCs w:val="24"/>
                <w:lang w:val="en-US"/>
              </w:rPr>
            </w:pPr>
            <w:r w:rsidRPr="00F930D1">
              <w:rPr>
                <w:sz w:val="24"/>
                <w:szCs w:val="24"/>
                <w:lang w:val="en-US"/>
              </w:rPr>
              <w:t>0.004</w:t>
            </w:r>
          </w:p>
        </w:tc>
      </w:tr>
      <w:tr w:rsidR="00474747" w:rsidRPr="00F930D1" w14:paraId="0997699D" w14:textId="77777777" w:rsidTr="00537809">
        <w:tc>
          <w:tcPr>
            <w:tcW w:w="3262" w:type="dxa"/>
          </w:tcPr>
          <w:p w14:paraId="6EB9C94E" w14:textId="77777777" w:rsidR="00474747" w:rsidRPr="00F930D1" w:rsidRDefault="00474747" w:rsidP="009F12FA">
            <w:pPr>
              <w:spacing w:line="480" w:lineRule="auto"/>
              <w:rPr>
                <w:sz w:val="24"/>
                <w:szCs w:val="24"/>
                <w:lang w:val="en-US"/>
              </w:rPr>
            </w:pPr>
            <w:r w:rsidRPr="00F930D1">
              <w:rPr>
                <w:sz w:val="24"/>
                <w:szCs w:val="24"/>
                <w:lang w:val="en-US"/>
              </w:rPr>
              <w:t xml:space="preserve">  No</w:t>
            </w:r>
          </w:p>
        </w:tc>
        <w:tc>
          <w:tcPr>
            <w:tcW w:w="1498" w:type="dxa"/>
            <w:vAlign w:val="bottom"/>
          </w:tcPr>
          <w:p w14:paraId="686C9CF6" w14:textId="77777777" w:rsidR="00474747" w:rsidRPr="00F930D1" w:rsidRDefault="00474747" w:rsidP="009F12FA">
            <w:pPr>
              <w:spacing w:line="480" w:lineRule="auto"/>
              <w:jc w:val="center"/>
              <w:rPr>
                <w:sz w:val="24"/>
                <w:szCs w:val="24"/>
                <w:lang w:val="en-US"/>
              </w:rPr>
            </w:pPr>
            <w:r w:rsidRPr="00F930D1">
              <w:rPr>
                <w:sz w:val="24"/>
                <w:szCs w:val="24"/>
                <w:lang w:val="en-US"/>
              </w:rPr>
              <w:t>207 (74.7)</w:t>
            </w:r>
          </w:p>
        </w:tc>
        <w:tc>
          <w:tcPr>
            <w:tcW w:w="1498" w:type="dxa"/>
            <w:vAlign w:val="bottom"/>
          </w:tcPr>
          <w:p w14:paraId="29CE6B4D" w14:textId="77777777" w:rsidR="00474747" w:rsidRPr="00F930D1" w:rsidRDefault="00474747" w:rsidP="009F12FA">
            <w:pPr>
              <w:spacing w:line="480" w:lineRule="auto"/>
              <w:jc w:val="center"/>
              <w:rPr>
                <w:sz w:val="24"/>
                <w:szCs w:val="24"/>
                <w:lang w:val="en-US"/>
              </w:rPr>
            </w:pPr>
            <w:r w:rsidRPr="00F930D1">
              <w:rPr>
                <w:sz w:val="24"/>
                <w:szCs w:val="24"/>
                <w:lang w:val="en-US"/>
              </w:rPr>
              <w:t>190 (77.6)</w:t>
            </w:r>
          </w:p>
        </w:tc>
        <w:tc>
          <w:tcPr>
            <w:tcW w:w="1469" w:type="dxa"/>
            <w:vAlign w:val="bottom"/>
          </w:tcPr>
          <w:p w14:paraId="6EF72BF5" w14:textId="77777777" w:rsidR="00474747" w:rsidRPr="00F930D1" w:rsidRDefault="00474747" w:rsidP="009F12FA">
            <w:pPr>
              <w:spacing w:line="480" w:lineRule="auto"/>
              <w:jc w:val="center"/>
              <w:rPr>
                <w:sz w:val="24"/>
                <w:szCs w:val="24"/>
                <w:lang w:val="en-US"/>
              </w:rPr>
            </w:pPr>
            <w:r w:rsidRPr="00F930D1">
              <w:rPr>
                <w:sz w:val="24"/>
                <w:szCs w:val="24"/>
                <w:lang w:val="en-US"/>
              </w:rPr>
              <w:t>17 (53.1)</w:t>
            </w:r>
          </w:p>
        </w:tc>
        <w:tc>
          <w:tcPr>
            <w:tcW w:w="1304" w:type="dxa"/>
          </w:tcPr>
          <w:p w14:paraId="1B5E3EAE" w14:textId="77777777" w:rsidR="00474747" w:rsidRPr="00F930D1" w:rsidRDefault="00474747" w:rsidP="009F12FA">
            <w:pPr>
              <w:spacing w:line="480" w:lineRule="auto"/>
              <w:jc w:val="center"/>
              <w:rPr>
                <w:sz w:val="24"/>
                <w:szCs w:val="24"/>
                <w:lang w:val="en-US"/>
              </w:rPr>
            </w:pPr>
          </w:p>
        </w:tc>
      </w:tr>
      <w:tr w:rsidR="00474747" w:rsidRPr="00F930D1" w14:paraId="36A2410E" w14:textId="77777777" w:rsidTr="00537809">
        <w:tc>
          <w:tcPr>
            <w:tcW w:w="3262" w:type="dxa"/>
          </w:tcPr>
          <w:p w14:paraId="10BB5BB1" w14:textId="77777777" w:rsidR="00474747" w:rsidRPr="00F930D1" w:rsidRDefault="00474747" w:rsidP="009F12FA">
            <w:pPr>
              <w:spacing w:line="480" w:lineRule="auto"/>
              <w:rPr>
                <w:sz w:val="24"/>
                <w:szCs w:val="24"/>
                <w:lang w:val="en-US"/>
              </w:rPr>
            </w:pPr>
            <w:r w:rsidRPr="00F930D1">
              <w:rPr>
                <w:sz w:val="24"/>
                <w:szCs w:val="24"/>
                <w:lang w:val="en-US"/>
              </w:rPr>
              <w:t xml:space="preserve">  Yes</w:t>
            </w:r>
          </w:p>
        </w:tc>
        <w:tc>
          <w:tcPr>
            <w:tcW w:w="1498" w:type="dxa"/>
            <w:vAlign w:val="bottom"/>
          </w:tcPr>
          <w:p w14:paraId="7EB95CDB" w14:textId="77777777" w:rsidR="00474747" w:rsidRPr="00F930D1" w:rsidRDefault="00474747" w:rsidP="009F12FA">
            <w:pPr>
              <w:spacing w:line="480" w:lineRule="auto"/>
              <w:jc w:val="center"/>
              <w:rPr>
                <w:sz w:val="24"/>
                <w:szCs w:val="24"/>
                <w:lang w:val="en-US"/>
              </w:rPr>
            </w:pPr>
            <w:r w:rsidRPr="00F930D1">
              <w:rPr>
                <w:sz w:val="24"/>
                <w:szCs w:val="24"/>
                <w:lang w:val="en-US"/>
              </w:rPr>
              <w:t>70 (25.3)</w:t>
            </w:r>
          </w:p>
        </w:tc>
        <w:tc>
          <w:tcPr>
            <w:tcW w:w="1498" w:type="dxa"/>
            <w:vAlign w:val="bottom"/>
          </w:tcPr>
          <w:p w14:paraId="282C294F" w14:textId="77777777" w:rsidR="00474747" w:rsidRPr="00F930D1" w:rsidRDefault="00474747" w:rsidP="009F12FA">
            <w:pPr>
              <w:spacing w:line="480" w:lineRule="auto"/>
              <w:jc w:val="center"/>
              <w:rPr>
                <w:sz w:val="24"/>
                <w:szCs w:val="24"/>
                <w:lang w:val="en-US"/>
              </w:rPr>
            </w:pPr>
            <w:r w:rsidRPr="00F930D1">
              <w:rPr>
                <w:sz w:val="24"/>
                <w:szCs w:val="24"/>
                <w:lang w:val="en-US"/>
              </w:rPr>
              <w:t>55 (22.4)</w:t>
            </w:r>
          </w:p>
        </w:tc>
        <w:tc>
          <w:tcPr>
            <w:tcW w:w="1469" w:type="dxa"/>
            <w:vAlign w:val="bottom"/>
          </w:tcPr>
          <w:p w14:paraId="413976D1" w14:textId="77777777" w:rsidR="00474747" w:rsidRPr="00F930D1" w:rsidRDefault="00474747" w:rsidP="009F12FA">
            <w:pPr>
              <w:spacing w:line="480" w:lineRule="auto"/>
              <w:jc w:val="center"/>
              <w:rPr>
                <w:sz w:val="24"/>
                <w:szCs w:val="24"/>
                <w:lang w:val="en-US"/>
              </w:rPr>
            </w:pPr>
            <w:r w:rsidRPr="00F930D1">
              <w:rPr>
                <w:sz w:val="24"/>
                <w:szCs w:val="24"/>
                <w:lang w:val="en-US"/>
              </w:rPr>
              <w:t>15 (46.9)</w:t>
            </w:r>
          </w:p>
        </w:tc>
        <w:tc>
          <w:tcPr>
            <w:tcW w:w="1304" w:type="dxa"/>
          </w:tcPr>
          <w:p w14:paraId="549015D4" w14:textId="77777777" w:rsidR="00474747" w:rsidRPr="00F930D1" w:rsidRDefault="00474747" w:rsidP="009F12FA">
            <w:pPr>
              <w:spacing w:line="480" w:lineRule="auto"/>
              <w:jc w:val="center"/>
              <w:rPr>
                <w:sz w:val="24"/>
                <w:szCs w:val="24"/>
                <w:lang w:val="en-US"/>
              </w:rPr>
            </w:pPr>
          </w:p>
        </w:tc>
      </w:tr>
      <w:tr w:rsidR="00474747" w:rsidRPr="00F930D1" w14:paraId="37A0371B" w14:textId="77777777" w:rsidTr="00537809">
        <w:tc>
          <w:tcPr>
            <w:tcW w:w="3262" w:type="dxa"/>
          </w:tcPr>
          <w:p w14:paraId="09A6842A" w14:textId="77777777" w:rsidR="00474747" w:rsidRPr="00F930D1" w:rsidRDefault="00474747" w:rsidP="009F12FA">
            <w:pPr>
              <w:spacing w:line="480" w:lineRule="auto"/>
              <w:rPr>
                <w:sz w:val="24"/>
                <w:szCs w:val="24"/>
                <w:lang w:val="en-US"/>
              </w:rPr>
            </w:pPr>
            <w:r w:rsidRPr="00F930D1">
              <w:rPr>
                <w:sz w:val="24"/>
                <w:szCs w:val="24"/>
                <w:lang w:val="en-US"/>
              </w:rPr>
              <w:t>Total daily energy intake, kcal/day</w:t>
            </w:r>
          </w:p>
        </w:tc>
        <w:tc>
          <w:tcPr>
            <w:tcW w:w="1498" w:type="dxa"/>
            <w:vAlign w:val="bottom"/>
          </w:tcPr>
          <w:p w14:paraId="5428FD13" w14:textId="77777777" w:rsidR="00474747" w:rsidRPr="00F930D1" w:rsidRDefault="00474747" w:rsidP="009F12FA">
            <w:pPr>
              <w:spacing w:line="480" w:lineRule="auto"/>
              <w:jc w:val="center"/>
              <w:rPr>
                <w:sz w:val="24"/>
                <w:szCs w:val="24"/>
                <w:lang w:val="en-US"/>
              </w:rPr>
            </w:pPr>
            <w:r w:rsidRPr="00F930D1">
              <w:rPr>
                <w:sz w:val="24"/>
                <w:szCs w:val="24"/>
                <w:lang w:val="en-US"/>
              </w:rPr>
              <w:t>1679 (405)</w:t>
            </w:r>
          </w:p>
        </w:tc>
        <w:tc>
          <w:tcPr>
            <w:tcW w:w="1498" w:type="dxa"/>
            <w:vAlign w:val="bottom"/>
          </w:tcPr>
          <w:p w14:paraId="4381961F" w14:textId="77777777" w:rsidR="00474747" w:rsidRPr="00F930D1" w:rsidRDefault="00474747" w:rsidP="009F12FA">
            <w:pPr>
              <w:spacing w:line="480" w:lineRule="auto"/>
              <w:jc w:val="center"/>
              <w:rPr>
                <w:sz w:val="24"/>
                <w:szCs w:val="24"/>
                <w:lang w:val="en-US"/>
              </w:rPr>
            </w:pPr>
            <w:r w:rsidRPr="00F930D1">
              <w:rPr>
                <w:sz w:val="24"/>
                <w:szCs w:val="24"/>
                <w:lang w:val="en-US"/>
              </w:rPr>
              <w:t>1686 (408)</w:t>
            </w:r>
          </w:p>
        </w:tc>
        <w:tc>
          <w:tcPr>
            <w:tcW w:w="1469" w:type="dxa"/>
            <w:vAlign w:val="bottom"/>
          </w:tcPr>
          <w:p w14:paraId="5D690365" w14:textId="77777777" w:rsidR="00474747" w:rsidRPr="00F930D1" w:rsidRDefault="00474747" w:rsidP="009F12FA">
            <w:pPr>
              <w:spacing w:line="480" w:lineRule="auto"/>
              <w:jc w:val="center"/>
              <w:rPr>
                <w:sz w:val="24"/>
                <w:szCs w:val="24"/>
                <w:lang w:val="en-US"/>
              </w:rPr>
            </w:pPr>
            <w:r w:rsidRPr="00F930D1">
              <w:rPr>
                <w:sz w:val="24"/>
                <w:szCs w:val="24"/>
                <w:lang w:val="en-US"/>
              </w:rPr>
              <w:t>1621 (379)</w:t>
            </w:r>
          </w:p>
        </w:tc>
        <w:tc>
          <w:tcPr>
            <w:tcW w:w="1304" w:type="dxa"/>
          </w:tcPr>
          <w:p w14:paraId="20B41542" w14:textId="77777777" w:rsidR="00474747" w:rsidRPr="00F930D1" w:rsidRDefault="00474747" w:rsidP="009F12FA">
            <w:pPr>
              <w:spacing w:line="480" w:lineRule="auto"/>
              <w:jc w:val="center"/>
              <w:rPr>
                <w:sz w:val="24"/>
                <w:szCs w:val="24"/>
                <w:lang w:val="en-US"/>
              </w:rPr>
            </w:pPr>
            <w:r w:rsidRPr="00F930D1">
              <w:rPr>
                <w:sz w:val="24"/>
                <w:szCs w:val="24"/>
                <w:lang w:val="en-US"/>
              </w:rPr>
              <w:t>0.283</w:t>
            </w:r>
          </w:p>
        </w:tc>
      </w:tr>
      <w:tr w:rsidR="00474747" w:rsidRPr="00F930D1" w14:paraId="652548CB" w14:textId="77777777" w:rsidTr="00537809">
        <w:tc>
          <w:tcPr>
            <w:tcW w:w="3262" w:type="dxa"/>
            <w:vAlign w:val="center"/>
          </w:tcPr>
          <w:p w14:paraId="186ECE25" w14:textId="77777777" w:rsidR="00474747" w:rsidRPr="00F930D1" w:rsidRDefault="00474747" w:rsidP="009F12FA">
            <w:pPr>
              <w:spacing w:line="480" w:lineRule="auto"/>
              <w:rPr>
                <w:sz w:val="24"/>
                <w:szCs w:val="24"/>
                <w:lang w:val="en-US"/>
              </w:rPr>
            </w:pPr>
            <w:r w:rsidRPr="00F930D1">
              <w:rPr>
                <w:rFonts w:eastAsia="Arial"/>
                <w:sz w:val="24"/>
                <w:szCs w:val="24"/>
                <w:lang w:val="en-US"/>
              </w:rPr>
              <w:lastRenderedPageBreak/>
              <w:t>Total fat intake, % energy</w:t>
            </w:r>
          </w:p>
        </w:tc>
        <w:tc>
          <w:tcPr>
            <w:tcW w:w="1498" w:type="dxa"/>
            <w:vAlign w:val="bottom"/>
          </w:tcPr>
          <w:p w14:paraId="6DE711EB" w14:textId="77777777" w:rsidR="00474747" w:rsidRPr="00F930D1" w:rsidRDefault="00474747" w:rsidP="009F12FA">
            <w:pPr>
              <w:spacing w:line="480" w:lineRule="auto"/>
              <w:jc w:val="center"/>
              <w:rPr>
                <w:sz w:val="24"/>
                <w:szCs w:val="24"/>
                <w:lang w:val="en-US"/>
              </w:rPr>
            </w:pPr>
            <w:r w:rsidRPr="00F930D1">
              <w:rPr>
                <w:sz w:val="24"/>
                <w:szCs w:val="24"/>
                <w:lang w:val="en-US"/>
              </w:rPr>
              <w:t>34.0 (4.8)</w:t>
            </w:r>
          </w:p>
        </w:tc>
        <w:tc>
          <w:tcPr>
            <w:tcW w:w="1498" w:type="dxa"/>
            <w:vAlign w:val="bottom"/>
          </w:tcPr>
          <w:p w14:paraId="54A75237" w14:textId="77777777" w:rsidR="00474747" w:rsidRPr="00F930D1" w:rsidRDefault="00474747" w:rsidP="009F12FA">
            <w:pPr>
              <w:spacing w:line="480" w:lineRule="auto"/>
              <w:jc w:val="center"/>
              <w:rPr>
                <w:sz w:val="24"/>
                <w:szCs w:val="24"/>
                <w:lang w:val="en-US"/>
              </w:rPr>
            </w:pPr>
            <w:r w:rsidRPr="00F930D1">
              <w:rPr>
                <w:sz w:val="24"/>
                <w:szCs w:val="24"/>
                <w:lang w:val="en-US"/>
              </w:rPr>
              <w:t>34.0 (4.8)</w:t>
            </w:r>
          </w:p>
        </w:tc>
        <w:tc>
          <w:tcPr>
            <w:tcW w:w="1469" w:type="dxa"/>
            <w:vAlign w:val="bottom"/>
          </w:tcPr>
          <w:p w14:paraId="3209ECC3" w14:textId="77777777" w:rsidR="00474747" w:rsidRPr="00F930D1" w:rsidRDefault="00474747" w:rsidP="009F12FA">
            <w:pPr>
              <w:spacing w:line="480" w:lineRule="auto"/>
              <w:jc w:val="center"/>
              <w:rPr>
                <w:sz w:val="24"/>
                <w:szCs w:val="24"/>
                <w:lang w:val="en-US"/>
              </w:rPr>
            </w:pPr>
            <w:r w:rsidRPr="00F930D1">
              <w:rPr>
                <w:sz w:val="24"/>
                <w:szCs w:val="24"/>
                <w:lang w:val="en-US"/>
              </w:rPr>
              <w:t>33.9 (5.1)</w:t>
            </w:r>
          </w:p>
        </w:tc>
        <w:tc>
          <w:tcPr>
            <w:tcW w:w="1304" w:type="dxa"/>
          </w:tcPr>
          <w:p w14:paraId="41CCB414" w14:textId="77777777" w:rsidR="00474747" w:rsidRPr="00F930D1" w:rsidRDefault="00474747" w:rsidP="009F12FA">
            <w:pPr>
              <w:spacing w:line="480" w:lineRule="auto"/>
              <w:jc w:val="center"/>
              <w:rPr>
                <w:sz w:val="24"/>
                <w:szCs w:val="24"/>
                <w:lang w:val="en-US"/>
              </w:rPr>
            </w:pPr>
            <w:r w:rsidRPr="00F930D1">
              <w:rPr>
                <w:sz w:val="24"/>
                <w:szCs w:val="24"/>
                <w:lang w:val="en-US"/>
              </w:rPr>
              <w:t>0.946</w:t>
            </w:r>
          </w:p>
        </w:tc>
      </w:tr>
      <w:tr w:rsidR="00474747" w:rsidRPr="00F930D1" w14:paraId="11C807FB" w14:textId="77777777" w:rsidTr="00537809">
        <w:tc>
          <w:tcPr>
            <w:tcW w:w="3262" w:type="dxa"/>
            <w:vAlign w:val="center"/>
          </w:tcPr>
          <w:p w14:paraId="6266724E" w14:textId="77777777" w:rsidR="00474747" w:rsidRPr="00F930D1" w:rsidRDefault="00474747" w:rsidP="009F12FA">
            <w:pPr>
              <w:spacing w:line="480" w:lineRule="auto"/>
              <w:rPr>
                <w:sz w:val="24"/>
                <w:szCs w:val="24"/>
                <w:lang w:val="en-US"/>
              </w:rPr>
            </w:pPr>
            <w:r w:rsidRPr="00F930D1">
              <w:rPr>
                <w:rFonts w:eastAsia="Arial"/>
                <w:sz w:val="24"/>
                <w:szCs w:val="24"/>
                <w:lang w:val="en-US"/>
              </w:rPr>
              <w:t>Total carbohydrate intake, % energy</w:t>
            </w:r>
          </w:p>
        </w:tc>
        <w:tc>
          <w:tcPr>
            <w:tcW w:w="1498" w:type="dxa"/>
            <w:vAlign w:val="bottom"/>
          </w:tcPr>
          <w:p w14:paraId="0F3BFD05" w14:textId="77777777" w:rsidR="00474747" w:rsidRPr="00F930D1" w:rsidRDefault="00474747" w:rsidP="009F12FA">
            <w:pPr>
              <w:spacing w:line="480" w:lineRule="auto"/>
              <w:jc w:val="center"/>
              <w:rPr>
                <w:sz w:val="24"/>
                <w:szCs w:val="24"/>
                <w:lang w:val="en-US"/>
              </w:rPr>
            </w:pPr>
            <w:r w:rsidRPr="00F930D1">
              <w:rPr>
                <w:sz w:val="24"/>
                <w:szCs w:val="24"/>
                <w:lang w:val="en-US"/>
              </w:rPr>
              <w:t>48.2 (5.7)</w:t>
            </w:r>
          </w:p>
        </w:tc>
        <w:tc>
          <w:tcPr>
            <w:tcW w:w="1498" w:type="dxa"/>
            <w:vAlign w:val="bottom"/>
          </w:tcPr>
          <w:p w14:paraId="0B6664C3" w14:textId="77777777" w:rsidR="00474747" w:rsidRPr="00F930D1" w:rsidRDefault="00474747" w:rsidP="009F12FA">
            <w:pPr>
              <w:spacing w:line="480" w:lineRule="auto"/>
              <w:jc w:val="center"/>
              <w:rPr>
                <w:sz w:val="24"/>
                <w:szCs w:val="24"/>
                <w:lang w:val="en-US"/>
              </w:rPr>
            </w:pPr>
            <w:r w:rsidRPr="00F930D1">
              <w:rPr>
                <w:sz w:val="24"/>
                <w:szCs w:val="24"/>
                <w:lang w:val="en-US"/>
              </w:rPr>
              <w:t>48.2 (5.6)</w:t>
            </w:r>
          </w:p>
        </w:tc>
        <w:tc>
          <w:tcPr>
            <w:tcW w:w="1469" w:type="dxa"/>
            <w:vAlign w:val="bottom"/>
          </w:tcPr>
          <w:p w14:paraId="72344C4D" w14:textId="77777777" w:rsidR="00474747" w:rsidRPr="00F930D1" w:rsidRDefault="00474747" w:rsidP="009F12FA">
            <w:pPr>
              <w:spacing w:line="480" w:lineRule="auto"/>
              <w:jc w:val="center"/>
              <w:rPr>
                <w:sz w:val="24"/>
                <w:szCs w:val="24"/>
                <w:lang w:val="en-US"/>
              </w:rPr>
            </w:pPr>
            <w:r w:rsidRPr="00F930D1">
              <w:rPr>
                <w:sz w:val="24"/>
                <w:szCs w:val="24"/>
                <w:lang w:val="en-US"/>
              </w:rPr>
              <w:t>47.8 (6.3)</w:t>
            </w:r>
          </w:p>
        </w:tc>
        <w:tc>
          <w:tcPr>
            <w:tcW w:w="1304" w:type="dxa"/>
          </w:tcPr>
          <w:p w14:paraId="5B602067" w14:textId="77777777" w:rsidR="00474747" w:rsidRPr="00F930D1" w:rsidRDefault="00474747" w:rsidP="009F12FA">
            <w:pPr>
              <w:spacing w:line="480" w:lineRule="auto"/>
              <w:jc w:val="center"/>
              <w:rPr>
                <w:sz w:val="24"/>
                <w:szCs w:val="24"/>
                <w:lang w:val="en-US"/>
              </w:rPr>
            </w:pPr>
            <w:r w:rsidRPr="00F930D1">
              <w:rPr>
                <w:sz w:val="24"/>
                <w:szCs w:val="24"/>
                <w:lang w:val="en-US"/>
              </w:rPr>
              <w:t>0.733</w:t>
            </w:r>
          </w:p>
        </w:tc>
      </w:tr>
      <w:tr w:rsidR="00474747" w:rsidRPr="00F930D1" w14:paraId="3C670EE4" w14:textId="77777777" w:rsidTr="00537809">
        <w:tc>
          <w:tcPr>
            <w:tcW w:w="3262" w:type="dxa"/>
            <w:vAlign w:val="center"/>
          </w:tcPr>
          <w:p w14:paraId="41E6E5A0" w14:textId="77777777" w:rsidR="00474747" w:rsidRPr="00F930D1" w:rsidRDefault="00474747" w:rsidP="009F12FA">
            <w:pPr>
              <w:spacing w:line="480" w:lineRule="auto"/>
              <w:rPr>
                <w:rFonts w:eastAsia="Arial"/>
                <w:sz w:val="24"/>
                <w:szCs w:val="24"/>
                <w:lang w:val="en-US"/>
              </w:rPr>
            </w:pPr>
            <w:r w:rsidRPr="00F930D1">
              <w:rPr>
                <w:rFonts w:eastAsia="Arial"/>
                <w:sz w:val="24"/>
                <w:szCs w:val="24"/>
                <w:lang w:val="en-US"/>
              </w:rPr>
              <w:t>Total protein intake, % energy</w:t>
            </w:r>
          </w:p>
        </w:tc>
        <w:tc>
          <w:tcPr>
            <w:tcW w:w="1498" w:type="dxa"/>
            <w:vAlign w:val="bottom"/>
          </w:tcPr>
          <w:p w14:paraId="520402DE" w14:textId="77777777" w:rsidR="00474747" w:rsidRPr="00F930D1" w:rsidRDefault="00474747" w:rsidP="009F12FA">
            <w:pPr>
              <w:spacing w:line="480" w:lineRule="auto"/>
              <w:jc w:val="center"/>
              <w:rPr>
                <w:sz w:val="24"/>
                <w:szCs w:val="24"/>
                <w:lang w:val="en-US"/>
              </w:rPr>
            </w:pPr>
            <w:r w:rsidRPr="00F930D1">
              <w:rPr>
                <w:sz w:val="24"/>
                <w:szCs w:val="24"/>
                <w:lang w:val="en-US"/>
              </w:rPr>
              <w:t>16.9 (2.9)</w:t>
            </w:r>
          </w:p>
        </w:tc>
        <w:tc>
          <w:tcPr>
            <w:tcW w:w="1498" w:type="dxa"/>
            <w:vAlign w:val="bottom"/>
          </w:tcPr>
          <w:p w14:paraId="7EEECD05" w14:textId="77777777" w:rsidR="00474747" w:rsidRPr="00F930D1" w:rsidRDefault="00474747" w:rsidP="009F12FA">
            <w:pPr>
              <w:spacing w:line="480" w:lineRule="auto"/>
              <w:jc w:val="center"/>
              <w:rPr>
                <w:sz w:val="24"/>
                <w:szCs w:val="24"/>
                <w:lang w:val="en-US"/>
              </w:rPr>
            </w:pPr>
            <w:r w:rsidRPr="00F930D1">
              <w:rPr>
                <w:sz w:val="24"/>
                <w:szCs w:val="24"/>
                <w:lang w:val="en-US"/>
              </w:rPr>
              <w:t>16.9 (2.8)</w:t>
            </w:r>
          </w:p>
        </w:tc>
        <w:tc>
          <w:tcPr>
            <w:tcW w:w="1469" w:type="dxa"/>
            <w:vAlign w:val="bottom"/>
          </w:tcPr>
          <w:p w14:paraId="2A3C38DF" w14:textId="77777777" w:rsidR="00474747" w:rsidRPr="00F930D1" w:rsidRDefault="00474747" w:rsidP="009F12FA">
            <w:pPr>
              <w:spacing w:line="480" w:lineRule="auto"/>
              <w:jc w:val="center"/>
              <w:rPr>
                <w:sz w:val="24"/>
                <w:szCs w:val="24"/>
                <w:lang w:val="en-US"/>
              </w:rPr>
            </w:pPr>
            <w:r w:rsidRPr="00F930D1">
              <w:rPr>
                <w:sz w:val="24"/>
                <w:szCs w:val="24"/>
                <w:lang w:val="en-US"/>
              </w:rPr>
              <w:t>17.4 (3.4)</w:t>
            </w:r>
          </w:p>
        </w:tc>
        <w:tc>
          <w:tcPr>
            <w:tcW w:w="1304" w:type="dxa"/>
          </w:tcPr>
          <w:p w14:paraId="635E86D2" w14:textId="77777777" w:rsidR="00474747" w:rsidRPr="00F930D1" w:rsidRDefault="00474747" w:rsidP="009F12FA">
            <w:pPr>
              <w:spacing w:line="480" w:lineRule="auto"/>
              <w:jc w:val="center"/>
              <w:rPr>
                <w:sz w:val="24"/>
                <w:szCs w:val="24"/>
                <w:lang w:val="en-US"/>
              </w:rPr>
            </w:pPr>
            <w:r w:rsidRPr="00F930D1">
              <w:rPr>
                <w:sz w:val="24"/>
                <w:szCs w:val="24"/>
                <w:lang w:val="en-US"/>
              </w:rPr>
              <w:t>0.340</w:t>
            </w:r>
          </w:p>
        </w:tc>
      </w:tr>
      <w:tr w:rsidR="00474747" w:rsidRPr="00F930D1" w14:paraId="5619B9E5" w14:textId="77777777" w:rsidTr="00537809">
        <w:tc>
          <w:tcPr>
            <w:tcW w:w="3262" w:type="dxa"/>
            <w:vAlign w:val="center"/>
          </w:tcPr>
          <w:p w14:paraId="58B30A2F" w14:textId="77777777" w:rsidR="00474747" w:rsidRPr="00F930D1" w:rsidRDefault="00474747" w:rsidP="009F12FA">
            <w:pPr>
              <w:spacing w:line="480" w:lineRule="auto"/>
              <w:rPr>
                <w:rFonts w:eastAsia="Arial"/>
                <w:sz w:val="24"/>
                <w:szCs w:val="24"/>
                <w:lang w:val="en-US"/>
              </w:rPr>
            </w:pPr>
            <w:r w:rsidRPr="00F930D1">
              <w:rPr>
                <w:rFonts w:eastAsia="Arial"/>
                <w:sz w:val="24"/>
                <w:szCs w:val="24"/>
                <w:lang w:val="en-US"/>
              </w:rPr>
              <w:t>Night-time energy intake, kcal/night</w:t>
            </w:r>
          </w:p>
        </w:tc>
        <w:tc>
          <w:tcPr>
            <w:tcW w:w="1498" w:type="dxa"/>
            <w:vAlign w:val="bottom"/>
          </w:tcPr>
          <w:p w14:paraId="679A803E" w14:textId="77777777" w:rsidR="00474747" w:rsidRPr="00F930D1" w:rsidRDefault="00474747" w:rsidP="009F12FA">
            <w:pPr>
              <w:spacing w:line="480" w:lineRule="auto"/>
              <w:jc w:val="center"/>
              <w:rPr>
                <w:sz w:val="24"/>
                <w:szCs w:val="24"/>
                <w:lang w:val="en-US"/>
              </w:rPr>
            </w:pPr>
            <w:r w:rsidRPr="00F930D1">
              <w:rPr>
                <w:sz w:val="24"/>
                <w:szCs w:val="24"/>
                <w:lang w:val="en-US"/>
              </w:rPr>
              <w:t>590 (256)</w:t>
            </w:r>
          </w:p>
        </w:tc>
        <w:tc>
          <w:tcPr>
            <w:tcW w:w="1498" w:type="dxa"/>
            <w:vAlign w:val="bottom"/>
          </w:tcPr>
          <w:p w14:paraId="2D36BC31" w14:textId="77777777" w:rsidR="00474747" w:rsidRPr="00F930D1" w:rsidRDefault="00474747" w:rsidP="009F12FA">
            <w:pPr>
              <w:spacing w:line="480" w:lineRule="auto"/>
              <w:jc w:val="center"/>
              <w:rPr>
                <w:sz w:val="24"/>
                <w:szCs w:val="24"/>
                <w:lang w:val="en-US"/>
              </w:rPr>
            </w:pPr>
            <w:r w:rsidRPr="00F930D1">
              <w:rPr>
                <w:sz w:val="24"/>
                <w:szCs w:val="24"/>
                <w:lang w:val="en-US"/>
              </w:rPr>
              <w:t>550 (235)</w:t>
            </w:r>
          </w:p>
        </w:tc>
        <w:tc>
          <w:tcPr>
            <w:tcW w:w="1469" w:type="dxa"/>
            <w:vAlign w:val="bottom"/>
          </w:tcPr>
          <w:p w14:paraId="27DE6C55" w14:textId="77777777" w:rsidR="00474747" w:rsidRPr="00F930D1" w:rsidRDefault="00474747" w:rsidP="009F12FA">
            <w:pPr>
              <w:spacing w:line="480" w:lineRule="auto"/>
              <w:jc w:val="center"/>
              <w:rPr>
                <w:sz w:val="24"/>
                <w:szCs w:val="24"/>
                <w:lang w:val="en-US"/>
              </w:rPr>
            </w:pPr>
            <w:r w:rsidRPr="00F930D1">
              <w:rPr>
                <w:sz w:val="24"/>
                <w:szCs w:val="24"/>
                <w:lang w:val="en-US"/>
              </w:rPr>
              <w:t>891 (211)</w:t>
            </w:r>
          </w:p>
        </w:tc>
        <w:tc>
          <w:tcPr>
            <w:tcW w:w="1304" w:type="dxa"/>
          </w:tcPr>
          <w:p w14:paraId="1AEECC20" w14:textId="77777777" w:rsidR="00474747" w:rsidRPr="00F930D1" w:rsidRDefault="00474747" w:rsidP="009F12FA">
            <w:pPr>
              <w:spacing w:line="480" w:lineRule="auto"/>
              <w:jc w:val="center"/>
              <w:rPr>
                <w:sz w:val="24"/>
                <w:szCs w:val="24"/>
                <w:lang w:val="en-US"/>
              </w:rPr>
            </w:pPr>
            <w:r w:rsidRPr="00F930D1">
              <w:rPr>
                <w:rFonts w:eastAsiaTheme="minorEastAsia"/>
                <w:sz w:val="24"/>
                <w:szCs w:val="24"/>
                <w:lang w:val="en-US"/>
              </w:rPr>
              <w:t>&lt;0.001</w:t>
            </w:r>
          </w:p>
        </w:tc>
      </w:tr>
      <w:tr w:rsidR="00474747" w:rsidRPr="00F930D1" w14:paraId="492ACD44" w14:textId="77777777" w:rsidTr="00537809">
        <w:tc>
          <w:tcPr>
            <w:tcW w:w="3262" w:type="dxa"/>
            <w:vAlign w:val="center"/>
          </w:tcPr>
          <w:p w14:paraId="33FD70F7" w14:textId="77777777" w:rsidR="00474747" w:rsidRPr="00F930D1" w:rsidRDefault="00474747" w:rsidP="009F12FA">
            <w:pPr>
              <w:spacing w:line="480" w:lineRule="auto"/>
              <w:rPr>
                <w:rFonts w:eastAsia="Arial"/>
                <w:sz w:val="24"/>
                <w:szCs w:val="24"/>
                <w:lang w:val="en-US"/>
              </w:rPr>
            </w:pPr>
            <w:r w:rsidRPr="00F930D1">
              <w:rPr>
                <w:rFonts w:eastAsia="Arial"/>
                <w:sz w:val="24"/>
                <w:szCs w:val="24"/>
                <w:lang w:val="en-US"/>
              </w:rPr>
              <w:t>Night-time energy intake, % energy</w:t>
            </w:r>
            <w:r w:rsidRPr="00F930D1">
              <w:rPr>
                <w:rFonts w:eastAsia="Arial"/>
                <w:sz w:val="24"/>
                <w:szCs w:val="24"/>
                <w:vertAlign w:val="superscript"/>
                <w:lang w:val="en-US"/>
              </w:rPr>
              <w:t>*</w:t>
            </w:r>
          </w:p>
        </w:tc>
        <w:tc>
          <w:tcPr>
            <w:tcW w:w="1498" w:type="dxa"/>
            <w:vAlign w:val="bottom"/>
          </w:tcPr>
          <w:p w14:paraId="1CE3875A" w14:textId="77777777" w:rsidR="00474747" w:rsidRPr="00F930D1" w:rsidRDefault="00474747" w:rsidP="009F12FA">
            <w:pPr>
              <w:spacing w:line="480" w:lineRule="auto"/>
              <w:jc w:val="center"/>
              <w:rPr>
                <w:sz w:val="24"/>
                <w:szCs w:val="24"/>
                <w:lang w:val="en-US"/>
              </w:rPr>
            </w:pPr>
            <w:r w:rsidRPr="00F930D1">
              <w:rPr>
                <w:sz w:val="24"/>
                <w:szCs w:val="24"/>
                <w:lang w:val="en-US"/>
              </w:rPr>
              <w:t>35.1 (13.1)</w:t>
            </w:r>
          </w:p>
        </w:tc>
        <w:tc>
          <w:tcPr>
            <w:tcW w:w="1498" w:type="dxa"/>
            <w:vAlign w:val="bottom"/>
          </w:tcPr>
          <w:p w14:paraId="5FCC5671" w14:textId="77777777" w:rsidR="00474747" w:rsidRPr="00F930D1" w:rsidRDefault="00474747" w:rsidP="009F12FA">
            <w:pPr>
              <w:spacing w:line="480" w:lineRule="auto"/>
              <w:jc w:val="center"/>
              <w:rPr>
                <w:sz w:val="24"/>
                <w:szCs w:val="24"/>
                <w:lang w:val="en-US"/>
              </w:rPr>
            </w:pPr>
            <w:r w:rsidRPr="00F930D1">
              <w:rPr>
                <w:sz w:val="24"/>
                <w:szCs w:val="24"/>
                <w:lang w:val="en-US"/>
              </w:rPr>
              <w:t>32.4 (11.2)</w:t>
            </w:r>
          </w:p>
        </w:tc>
        <w:tc>
          <w:tcPr>
            <w:tcW w:w="1469" w:type="dxa"/>
            <w:vAlign w:val="bottom"/>
          </w:tcPr>
          <w:p w14:paraId="3D1D2995" w14:textId="77777777" w:rsidR="00474747" w:rsidRPr="00F930D1" w:rsidRDefault="00474747" w:rsidP="009F12FA">
            <w:pPr>
              <w:spacing w:line="480" w:lineRule="auto"/>
              <w:jc w:val="center"/>
              <w:rPr>
                <w:sz w:val="24"/>
                <w:szCs w:val="24"/>
                <w:lang w:val="en-US"/>
              </w:rPr>
            </w:pPr>
            <w:r w:rsidRPr="00F930D1">
              <w:rPr>
                <w:sz w:val="24"/>
                <w:szCs w:val="24"/>
                <w:lang w:val="en-US"/>
              </w:rPr>
              <w:t>55.6 (7.2)</w:t>
            </w:r>
          </w:p>
        </w:tc>
        <w:tc>
          <w:tcPr>
            <w:tcW w:w="1304" w:type="dxa"/>
          </w:tcPr>
          <w:p w14:paraId="22D10EA0" w14:textId="77777777" w:rsidR="00474747" w:rsidRPr="00F930D1" w:rsidRDefault="00474747" w:rsidP="009F12FA">
            <w:pPr>
              <w:spacing w:line="480" w:lineRule="auto"/>
              <w:jc w:val="center"/>
              <w:rPr>
                <w:sz w:val="24"/>
                <w:szCs w:val="24"/>
                <w:lang w:val="en-US"/>
              </w:rPr>
            </w:pPr>
            <w:r w:rsidRPr="00F930D1">
              <w:rPr>
                <w:sz w:val="24"/>
                <w:szCs w:val="24"/>
                <w:lang w:val="en-US"/>
              </w:rPr>
              <w:t>&lt;0.001</w:t>
            </w:r>
          </w:p>
        </w:tc>
      </w:tr>
      <w:tr w:rsidR="00474747" w:rsidRPr="00F930D1" w14:paraId="6C641635" w14:textId="77777777" w:rsidTr="00537809">
        <w:tc>
          <w:tcPr>
            <w:tcW w:w="3262" w:type="dxa"/>
            <w:vAlign w:val="center"/>
          </w:tcPr>
          <w:p w14:paraId="0A118BF0" w14:textId="77777777" w:rsidR="00474747" w:rsidRPr="00F930D1" w:rsidRDefault="00474747" w:rsidP="009F12FA">
            <w:pPr>
              <w:spacing w:line="480" w:lineRule="auto"/>
              <w:rPr>
                <w:rFonts w:eastAsia="Arial"/>
                <w:sz w:val="24"/>
                <w:szCs w:val="24"/>
                <w:lang w:val="en-US"/>
              </w:rPr>
            </w:pPr>
            <w:r w:rsidRPr="00F930D1">
              <w:rPr>
                <w:rFonts w:eastAsia="Arial"/>
                <w:sz w:val="24"/>
                <w:szCs w:val="24"/>
                <w:lang w:val="en-US"/>
              </w:rPr>
              <w:t>Night-time fat intake, % energy</w:t>
            </w:r>
            <w:r w:rsidRPr="00F930D1">
              <w:rPr>
                <w:sz w:val="24"/>
                <w:szCs w:val="24"/>
                <w:vertAlign w:val="superscript"/>
                <w:lang w:val="en-US"/>
              </w:rPr>
              <w:t>†</w:t>
            </w:r>
          </w:p>
        </w:tc>
        <w:tc>
          <w:tcPr>
            <w:tcW w:w="1498" w:type="dxa"/>
            <w:vAlign w:val="bottom"/>
          </w:tcPr>
          <w:p w14:paraId="5E322EAF" w14:textId="77777777" w:rsidR="00474747" w:rsidRPr="00F930D1" w:rsidRDefault="00474747" w:rsidP="009F12FA">
            <w:pPr>
              <w:spacing w:line="480" w:lineRule="auto"/>
              <w:jc w:val="center"/>
              <w:rPr>
                <w:sz w:val="24"/>
                <w:szCs w:val="24"/>
                <w:lang w:val="en-US"/>
              </w:rPr>
            </w:pPr>
            <w:r w:rsidRPr="00F930D1">
              <w:rPr>
                <w:sz w:val="24"/>
                <w:szCs w:val="24"/>
                <w:lang w:val="en-US"/>
              </w:rPr>
              <w:t>33.0 (7.7)</w:t>
            </w:r>
          </w:p>
        </w:tc>
        <w:tc>
          <w:tcPr>
            <w:tcW w:w="1498" w:type="dxa"/>
            <w:vAlign w:val="bottom"/>
          </w:tcPr>
          <w:p w14:paraId="4635C7C4" w14:textId="77777777" w:rsidR="00474747" w:rsidRPr="00F930D1" w:rsidRDefault="00474747" w:rsidP="009F12FA">
            <w:pPr>
              <w:spacing w:line="480" w:lineRule="auto"/>
              <w:jc w:val="center"/>
              <w:rPr>
                <w:sz w:val="24"/>
                <w:szCs w:val="24"/>
                <w:lang w:val="en-US"/>
              </w:rPr>
            </w:pPr>
            <w:r w:rsidRPr="00F930D1">
              <w:rPr>
                <w:sz w:val="24"/>
                <w:szCs w:val="24"/>
                <w:lang w:val="en-US"/>
              </w:rPr>
              <w:t>32.8 (7.8)</w:t>
            </w:r>
          </w:p>
        </w:tc>
        <w:tc>
          <w:tcPr>
            <w:tcW w:w="1469" w:type="dxa"/>
            <w:vAlign w:val="bottom"/>
          </w:tcPr>
          <w:p w14:paraId="183D7C07" w14:textId="77777777" w:rsidR="00474747" w:rsidRPr="00F930D1" w:rsidRDefault="00474747" w:rsidP="009F12FA">
            <w:pPr>
              <w:spacing w:line="480" w:lineRule="auto"/>
              <w:jc w:val="center"/>
              <w:rPr>
                <w:sz w:val="24"/>
                <w:szCs w:val="24"/>
                <w:lang w:val="en-US"/>
              </w:rPr>
            </w:pPr>
            <w:r w:rsidRPr="00F930D1">
              <w:rPr>
                <w:sz w:val="24"/>
                <w:szCs w:val="24"/>
                <w:lang w:val="en-US"/>
              </w:rPr>
              <w:t>35.1 (6.3)</w:t>
            </w:r>
          </w:p>
        </w:tc>
        <w:tc>
          <w:tcPr>
            <w:tcW w:w="1304" w:type="dxa"/>
          </w:tcPr>
          <w:p w14:paraId="09CBD982" w14:textId="77777777" w:rsidR="00474747" w:rsidRPr="00F930D1" w:rsidRDefault="00474747" w:rsidP="009F12FA">
            <w:pPr>
              <w:spacing w:line="480" w:lineRule="auto"/>
              <w:jc w:val="center"/>
              <w:rPr>
                <w:sz w:val="24"/>
                <w:szCs w:val="24"/>
                <w:lang w:val="en-US"/>
              </w:rPr>
            </w:pPr>
            <w:r w:rsidRPr="00F930D1">
              <w:rPr>
                <w:sz w:val="24"/>
                <w:szCs w:val="24"/>
                <w:lang w:val="en-US"/>
              </w:rPr>
              <w:t>0.129</w:t>
            </w:r>
          </w:p>
        </w:tc>
      </w:tr>
      <w:tr w:rsidR="00474747" w:rsidRPr="00F930D1" w14:paraId="28C3E258" w14:textId="77777777" w:rsidTr="00537809">
        <w:tc>
          <w:tcPr>
            <w:tcW w:w="3262" w:type="dxa"/>
            <w:vAlign w:val="center"/>
          </w:tcPr>
          <w:p w14:paraId="56B4E21E" w14:textId="77777777" w:rsidR="00474747" w:rsidRPr="00F930D1" w:rsidRDefault="00474747" w:rsidP="009F12FA">
            <w:pPr>
              <w:spacing w:line="480" w:lineRule="auto"/>
              <w:rPr>
                <w:rFonts w:eastAsia="Arial"/>
                <w:b/>
                <w:bCs/>
                <w:sz w:val="24"/>
                <w:szCs w:val="24"/>
                <w:lang w:val="en-US"/>
              </w:rPr>
            </w:pPr>
            <w:r w:rsidRPr="00F930D1">
              <w:rPr>
                <w:rFonts w:eastAsia="Arial"/>
                <w:sz w:val="24"/>
                <w:szCs w:val="24"/>
                <w:lang w:val="en-US"/>
              </w:rPr>
              <w:t>Night-time carbohydrate intake, % energy</w:t>
            </w:r>
            <w:r w:rsidRPr="00F930D1">
              <w:rPr>
                <w:sz w:val="24"/>
                <w:szCs w:val="24"/>
                <w:vertAlign w:val="superscript"/>
                <w:lang w:val="en-US"/>
              </w:rPr>
              <w:t>†</w:t>
            </w:r>
          </w:p>
        </w:tc>
        <w:tc>
          <w:tcPr>
            <w:tcW w:w="1498" w:type="dxa"/>
            <w:vAlign w:val="bottom"/>
          </w:tcPr>
          <w:p w14:paraId="74538445" w14:textId="77777777" w:rsidR="00474747" w:rsidRPr="00F930D1" w:rsidRDefault="00474747" w:rsidP="009F12FA">
            <w:pPr>
              <w:spacing w:line="480" w:lineRule="auto"/>
              <w:jc w:val="center"/>
              <w:rPr>
                <w:sz w:val="24"/>
                <w:szCs w:val="24"/>
                <w:lang w:val="en-US"/>
              </w:rPr>
            </w:pPr>
            <w:r w:rsidRPr="00F930D1">
              <w:rPr>
                <w:sz w:val="24"/>
                <w:szCs w:val="24"/>
                <w:lang w:val="en-US"/>
              </w:rPr>
              <w:t>46.9 (10.0)</w:t>
            </w:r>
          </w:p>
        </w:tc>
        <w:tc>
          <w:tcPr>
            <w:tcW w:w="1498" w:type="dxa"/>
            <w:vAlign w:val="bottom"/>
          </w:tcPr>
          <w:p w14:paraId="43063012" w14:textId="77777777" w:rsidR="00474747" w:rsidRPr="00F930D1" w:rsidRDefault="00474747" w:rsidP="009F12FA">
            <w:pPr>
              <w:spacing w:line="480" w:lineRule="auto"/>
              <w:jc w:val="center"/>
              <w:rPr>
                <w:sz w:val="24"/>
                <w:szCs w:val="24"/>
                <w:lang w:val="en-US"/>
              </w:rPr>
            </w:pPr>
            <w:r w:rsidRPr="00F930D1">
              <w:rPr>
                <w:sz w:val="24"/>
                <w:szCs w:val="24"/>
                <w:lang w:val="en-US"/>
              </w:rPr>
              <w:t>47.0 (10.3)</w:t>
            </w:r>
          </w:p>
        </w:tc>
        <w:tc>
          <w:tcPr>
            <w:tcW w:w="1469" w:type="dxa"/>
            <w:vAlign w:val="bottom"/>
          </w:tcPr>
          <w:p w14:paraId="5F6EF6AF" w14:textId="77777777" w:rsidR="00474747" w:rsidRPr="00F930D1" w:rsidRDefault="00474747" w:rsidP="009F12FA">
            <w:pPr>
              <w:spacing w:line="480" w:lineRule="auto"/>
              <w:jc w:val="center"/>
              <w:rPr>
                <w:sz w:val="24"/>
                <w:szCs w:val="24"/>
                <w:lang w:val="en-US"/>
              </w:rPr>
            </w:pPr>
            <w:r w:rsidRPr="00F930D1">
              <w:rPr>
                <w:sz w:val="24"/>
                <w:szCs w:val="24"/>
                <w:lang w:val="en-US"/>
              </w:rPr>
              <w:t>45.7 (8.1)</w:t>
            </w:r>
          </w:p>
        </w:tc>
        <w:tc>
          <w:tcPr>
            <w:tcW w:w="1304" w:type="dxa"/>
          </w:tcPr>
          <w:p w14:paraId="3EFA70BD" w14:textId="77777777" w:rsidR="00474747" w:rsidRPr="00F930D1" w:rsidRDefault="00474747" w:rsidP="009F12FA">
            <w:pPr>
              <w:spacing w:line="480" w:lineRule="auto"/>
              <w:jc w:val="center"/>
              <w:rPr>
                <w:sz w:val="24"/>
                <w:szCs w:val="24"/>
                <w:lang w:val="en-US"/>
              </w:rPr>
            </w:pPr>
            <w:r w:rsidRPr="00F930D1">
              <w:rPr>
                <w:sz w:val="24"/>
                <w:szCs w:val="24"/>
                <w:lang w:val="en-US"/>
              </w:rPr>
              <w:t>0.453</w:t>
            </w:r>
          </w:p>
        </w:tc>
      </w:tr>
      <w:tr w:rsidR="00474747" w:rsidRPr="00F930D1" w14:paraId="5C3A6CFF" w14:textId="77777777" w:rsidTr="00537809">
        <w:tc>
          <w:tcPr>
            <w:tcW w:w="3262" w:type="dxa"/>
            <w:vAlign w:val="center"/>
          </w:tcPr>
          <w:p w14:paraId="7DCF2215" w14:textId="77777777" w:rsidR="00474747" w:rsidRPr="00F930D1" w:rsidRDefault="00474747" w:rsidP="009F12FA">
            <w:pPr>
              <w:spacing w:line="480" w:lineRule="auto"/>
              <w:rPr>
                <w:rFonts w:eastAsia="Arial"/>
                <w:sz w:val="24"/>
                <w:szCs w:val="24"/>
                <w:lang w:val="en-US"/>
              </w:rPr>
            </w:pPr>
            <w:r w:rsidRPr="00F930D1">
              <w:rPr>
                <w:rFonts w:eastAsia="Arial"/>
                <w:sz w:val="24"/>
                <w:szCs w:val="24"/>
                <w:lang w:val="en-US"/>
              </w:rPr>
              <w:t>Night-time protein intake, % energy</w:t>
            </w:r>
            <w:r w:rsidRPr="00F930D1">
              <w:rPr>
                <w:sz w:val="24"/>
                <w:szCs w:val="24"/>
                <w:vertAlign w:val="superscript"/>
                <w:lang w:val="en-US"/>
              </w:rPr>
              <w:t>†</w:t>
            </w:r>
          </w:p>
        </w:tc>
        <w:tc>
          <w:tcPr>
            <w:tcW w:w="1498" w:type="dxa"/>
            <w:vAlign w:val="bottom"/>
          </w:tcPr>
          <w:p w14:paraId="0E5B70D9" w14:textId="77777777" w:rsidR="00474747" w:rsidRPr="00F930D1" w:rsidRDefault="00474747" w:rsidP="009F12FA">
            <w:pPr>
              <w:spacing w:line="480" w:lineRule="auto"/>
              <w:jc w:val="center"/>
              <w:rPr>
                <w:sz w:val="24"/>
                <w:szCs w:val="24"/>
                <w:lang w:val="en-US"/>
              </w:rPr>
            </w:pPr>
            <w:r w:rsidRPr="00F930D1">
              <w:rPr>
                <w:sz w:val="24"/>
                <w:szCs w:val="24"/>
                <w:lang w:val="en-US"/>
              </w:rPr>
              <w:t>18.5 (5.5)</w:t>
            </w:r>
          </w:p>
        </w:tc>
        <w:tc>
          <w:tcPr>
            <w:tcW w:w="1498" w:type="dxa"/>
            <w:vAlign w:val="bottom"/>
          </w:tcPr>
          <w:p w14:paraId="6504F9FD" w14:textId="77777777" w:rsidR="00474747" w:rsidRPr="00F930D1" w:rsidRDefault="00474747" w:rsidP="009F12FA">
            <w:pPr>
              <w:spacing w:line="480" w:lineRule="auto"/>
              <w:jc w:val="center"/>
              <w:rPr>
                <w:sz w:val="24"/>
                <w:szCs w:val="24"/>
                <w:lang w:val="en-US"/>
              </w:rPr>
            </w:pPr>
            <w:r w:rsidRPr="00F930D1">
              <w:rPr>
                <w:sz w:val="24"/>
                <w:szCs w:val="24"/>
                <w:lang w:val="en-US"/>
              </w:rPr>
              <w:t>18.5 (5.7)</w:t>
            </w:r>
          </w:p>
        </w:tc>
        <w:tc>
          <w:tcPr>
            <w:tcW w:w="1469" w:type="dxa"/>
            <w:vAlign w:val="bottom"/>
          </w:tcPr>
          <w:p w14:paraId="0AF751DB" w14:textId="77777777" w:rsidR="00474747" w:rsidRPr="00F930D1" w:rsidRDefault="00474747" w:rsidP="009F12FA">
            <w:pPr>
              <w:spacing w:line="480" w:lineRule="auto"/>
              <w:jc w:val="center"/>
              <w:rPr>
                <w:sz w:val="24"/>
                <w:szCs w:val="24"/>
                <w:lang w:val="en-US"/>
              </w:rPr>
            </w:pPr>
            <w:r w:rsidRPr="00F930D1">
              <w:rPr>
                <w:sz w:val="24"/>
                <w:szCs w:val="24"/>
                <w:lang w:val="en-US"/>
              </w:rPr>
              <w:t>18.3 (4.3)</w:t>
            </w:r>
          </w:p>
        </w:tc>
        <w:tc>
          <w:tcPr>
            <w:tcW w:w="1304" w:type="dxa"/>
          </w:tcPr>
          <w:p w14:paraId="4D0BE419" w14:textId="77777777" w:rsidR="00474747" w:rsidRPr="00F930D1" w:rsidRDefault="00474747" w:rsidP="009F12FA">
            <w:pPr>
              <w:spacing w:line="480" w:lineRule="auto"/>
              <w:jc w:val="center"/>
              <w:rPr>
                <w:sz w:val="24"/>
                <w:szCs w:val="24"/>
                <w:lang w:val="en-US"/>
              </w:rPr>
            </w:pPr>
            <w:r w:rsidRPr="00F930D1">
              <w:rPr>
                <w:sz w:val="24"/>
                <w:szCs w:val="24"/>
                <w:lang w:val="en-US"/>
              </w:rPr>
              <w:t>0.738</w:t>
            </w:r>
          </w:p>
        </w:tc>
      </w:tr>
    </w:tbl>
    <w:p w14:paraId="48744B47" w14:textId="77777777" w:rsidR="00474747" w:rsidRPr="00F930D1" w:rsidRDefault="00474747" w:rsidP="009F12FA">
      <w:pPr>
        <w:spacing w:line="480" w:lineRule="auto"/>
        <w:rPr>
          <w:lang w:val="en-US"/>
        </w:rPr>
      </w:pPr>
      <w:r w:rsidRPr="00F930D1">
        <w:rPr>
          <w:lang w:val="en-US"/>
        </w:rPr>
        <w:t xml:space="preserve">Data are presented as mean (standard deviation) unless indicated otherwise. PDE, predominantly day-eating; PNE, predominantly night-eating; BMI, body mass index; MET, metabolic equivalent of task. </w:t>
      </w:r>
      <w:r w:rsidRPr="00F930D1">
        <w:rPr>
          <w:i/>
          <w:iCs/>
          <w:lang w:val="en-US"/>
        </w:rPr>
        <w:t>P</w:t>
      </w:r>
      <w:r w:rsidRPr="00F930D1">
        <w:rPr>
          <w:lang w:val="en-US"/>
        </w:rPr>
        <w:t>-values derived from independent t-test or Pearson’s Chi-squared test.</w:t>
      </w:r>
    </w:p>
    <w:p w14:paraId="3078B810" w14:textId="77777777" w:rsidR="00474747" w:rsidRPr="00F930D1" w:rsidRDefault="00474747" w:rsidP="009F12FA">
      <w:pPr>
        <w:spacing w:line="480" w:lineRule="auto"/>
        <w:rPr>
          <w:lang w:val="en-US"/>
        </w:rPr>
      </w:pPr>
      <w:r w:rsidRPr="00F930D1">
        <w:rPr>
          <w:rFonts w:eastAsia="Arial"/>
          <w:vertAlign w:val="superscript"/>
          <w:lang w:val="en-US"/>
        </w:rPr>
        <w:t>*</w:t>
      </w:r>
      <w:r w:rsidRPr="00F930D1">
        <w:rPr>
          <w:lang w:val="en-US"/>
        </w:rPr>
        <w:t>Computed from night-time energy intake (kilocalories)/total daily energy intake (kilocalories) x 100.</w:t>
      </w:r>
    </w:p>
    <w:p w14:paraId="223A0C6A" w14:textId="77777777" w:rsidR="00474747" w:rsidRPr="00F930D1" w:rsidRDefault="00474747" w:rsidP="009F12FA">
      <w:pPr>
        <w:spacing w:line="480" w:lineRule="auto"/>
        <w:rPr>
          <w:lang w:val="en-US"/>
        </w:rPr>
      </w:pPr>
      <w:r w:rsidRPr="00F930D1">
        <w:rPr>
          <w:vertAlign w:val="superscript"/>
          <w:lang w:val="en-US"/>
        </w:rPr>
        <w:t>†</w:t>
      </w:r>
      <w:r w:rsidRPr="00F930D1">
        <w:rPr>
          <w:lang w:val="en-US"/>
        </w:rPr>
        <w:t>Computed from energy from night-time macronutrient intake (kilocalories)/night-time energy intake (kilocalories) x 100</w:t>
      </w:r>
    </w:p>
    <w:p w14:paraId="27FB06BE" w14:textId="77777777" w:rsidR="00474747" w:rsidRPr="00F930D1" w:rsidRDefault="00474747" w:rsidP="009F12FA">
      <w:pPr>
        <w:spacing w:line="480" w:lineRule="auto"/>
        <w:rPr>
          <w:lang w:val="en-US"/>
        </w:rPr>
      </w:pPr>
    </w:p>
    <w:p w14:paraId="643E5E65" w14:textId="77777777" w:rsidR="00474747" w:rsidRPr="00F930D1" w:rsidRDefault="00474747" w:rsidP="009F12FA">
      <w:pPr>
        <w:spacing w:line="480" w:lineRule="auto"/>
        <w:outlineLvl w:val="2"/>
        <w:rPr>
          <w:b/>
          <w:bCs/>
          <w:lang w:val="en-US"/>
        </w:rPr>
      </w:pPr>
      <w:r w:rsidRPr="00F930D1">
        <w:rPr>
          <w:b/>
          <w:bCs/>
          <w:lang w:val="en-US"/>
        </w:rPr>
        <w:t>PNE and glycemic status as assessed by OGTT  </w:t>
      </w:r>
    </w:p>
    <w:p w14:paraId="47B82B72" w14:textId="77777777" w:rsidR="00474747" w:rsidRPr="00F930D1" w:rsidRDefault="00474747" w:rsidP="009F12FA">
      <w:pPr>
        <w:spacing w:line="480" w:lineRule="auto"/>
        <w:rPr>
          <w:color w:val="4472C4" w:themeColor="accent1"/>
          <w:lang w:val="en-US"/>
        </w:rPr>
      </w:pPr>
      <w:r w:rsidRPr="00F930D1">
        <w:rPr>
          <w:lang w:val="en-US"/>
        </w:rPr>
        <w:t xml:space="preserve">The adjusted associations between PNE and plasma glycemic status at 24-28 weeks of gestation are presented in </w:t>
      </w:r>
      <w:r w:rsidRPr="00F930D1">
        <w:rPr>
          <w:b/>
          <w:bCs/>
          <w:lang w:val="en-US"/>
        </w:rPr>
        <w:t>Table 2</w:t>
      </w:r>
      <w:r w:rsidRPr="00F930D1">
        <w:rPr>
          <w:lang w:val="en-US"/>
        </w:rPr>
        <w:t xml:space="preserve">. In the extended model with an additional adjustment made for diet composition (Model 3), PNE was associated with 5% higher fasting glucose (GMR 1.05 (95% CI 1.01, 1.08); equivalent to 0.19 mmol/L glucose) and 11% higher 1-hour </w:t>
      </w:r>
      <w:r w:rsidRPr="00F930D1">
        <w:rPr>
          <w:lang w:val="en-US"/>
        </w:rPr>
        <w:lastRenderedPageBreak/>
        <w:t xml:space="preserve">glycemia (1.11 (1.01, 1.21); equivalent to 0.57 mmol/L glucose) but was not associated with 2-hour glycemia or GDM risk. PNE was also associated with a lower fasting insulin (0.77 (0.63, 0.95)). </w:t>
      </w:r>
      <w:r w:rsidRPr="00F930D1">
        <w:rPr>
          <w:color w:val="000000" w:themeColor="text1"/>
          <w:lang w:val="en-US"/>
        </w:rPr>
        <w:t>Before adjusting for fasting insulin or fasting glucose, PNE was associated with a lower HOMA2-IR (0.78 (0.64, 0.97)) and a lower HOMA2-%B (0.77 (0.67, 0.89)), respectively. After adjusting for fasting glucose, the association between PNE and a lower HOMA2-IR (0.73 (0.60, 0.89)), and HOMA2-%B (0.80 (0.70, 0.92)) persisted. However, upon adjusting for fasting insulin, PNE was associated with a higher HOMA2-IR (1.02 (1.00, 1.03)) and a lower HOMA2-%B (0.90 (0.84, 0.96)).</w:t>
      </w:r>
    </w:p>
    <w:p w14:paraId="7F679DAF" w14:textId="77777777" w:rsidR="00474747" w:rsidRPr="00F930D1" w:rsidRDefault="00474747" w:rsidP="009F12FA">
      <w:pPr>
        <w:spacing w:line="480" w:lineRule="auto"/>
        <w:rPr>
          <w:lang w:val="en-US"/>
        </w:rPr>
      </w:pPr>
    </w:p>
    <w:p w14:paraId="45194AA5" w14:textId="77777777" w:rsidR="00474747" w:rsidRPr="00F930D1" w:rsidRDefault="00474747" w:rsidP="009F12FA">
      <w:pPr>
        <w:spacing w:line="480" w:lineRule="auto"/>
        <w:rPr>
          <w:lang w:val="en-US"/>
        </w:rPr>
      </w:pPr>
      <w:r w:rsidRPr="00F930D1">
        <w:rPr>
          <w:b/>
          <w:bCs/>
          <w:lang w:val="en-US"/>
        </w:rPr>
        <w:t>Table 2</w:t>
      </w:r>
      <w:r w:rsidRPr="00F930D1">
        <w:rPr>
          <w:lang w:val="en-US"/>
        </w:rPr>
        <w:t xml:space="preserve"> Associations between maternal PNE and plasma glycemic status at 24-28 weeks gestation (n=277)</w:t>
      </w:r>
    </w:p>
    <w:tbl>
      <w:tblPr>
        <w:tblStyle w:val="TableGrid"/>
        <w:tblW w:w="10359" w:type="dxa"/>
        <w:tblInd w:w="-65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5"/>
        <w:gridCol w:w="1708"/>
        <w:gridCol w:w="1632"/>
        <w:gridCol w:w="236"/>
        <w:gridCol w:w="1468"/>
        <w:gridCol w:w="1290"/>
        <w:gridCol w:w="1400"/>
      </w:tblGrid>
      <w:tr w:rsidR="00474747" w:rsidRPr="00F930D1" w14:paraId="7EFC5C68" w14:textId="77777777" w:rsidTr="00537809">
        <w:trPr>
          <w:trHeight w:val="312"/>
        </w:trPr>
        <w:tc>
          <w:tcPr>
            <w:tcW w:w="2625" w:type="dxa"/>
            <w:tcBorders>
              <w:bottom w:val="nil"/>
            </w:tcBorders>
          </w:tcPr>
          <w:p w14:paraId="76517062" w14:textId="77777777" w:rsidR="00474747" w:rsidRPr="00F930D1" w:rsidRDefault="00474747" w:rsidP="009F12FA">
            <w:pPr>
              <w:spacing w:line="480" w:lineRule="auto"/>
              <w:rPr>
                <w:b/>
                <w:bCs/>
                <w:sz w:val="24"/>
                <w:szCs w:val="24"/>
                <w:lang w:val="en-US"/>
              </w:rPr>
            </w:pPr>
          </w:p>
        </w:tc>
        <w:tc>
          <w:tcPr>
            <w:tcW w:w="3340" w:type="dxa"/>
            <w:gridSpan w:val="2"/>
            <w:tcBorders>
              <w:bottom w:val="single" w:sz="4" w:space="0" w:color="auto"/>
            </w:tcBorders>
          </w:tcPr>
          <w:p w14:paraId="2D5154A4" w14:textId="77777777" w:rsidR="00474747" w:rsidRPr="00F930D1" w:rsidRDefault="00474747" w:rsidP="009F12FA">
            <w:pPr>
              <w:spacing w:line="480" w:lineRule="auto"/>
              <w:jc w:val="center"/>
              <w:rPr>
                <w:b/>
                <w:bCs/>
                <w:sz w:val="24"/>
                <w:szCs w:val="24"/>
                <w:lang w:val="en-US"/>
              </w:rPr>
            </w:pPr>
            <w:r w:rsidRPr="00F930D1">
              <w:rPr>
                <w:b/>
                <w:bCs/>
                <w:sz w:val="24"/>
                <w:szCs w:val="24"/>
                <w:lang w:val="en-US"/>
              </w:rPr>
              <w:t>Geometric mean (95% CI)</w:t>
            </w:r>
          </w:p>
        </w:tc>
        <w:tc>
          <w:tcPr>
            <w:tcW w:w="236" w:type="dxa"/>
            <w:tcBorders>
              <w:bottom w:val="nil"/>
            </w:tcBorders>
          </w:tcPr>
          <w:p w14:paraId="2428E6C8" w14:textId="77777777" w:rsidR="00474747" w:rsidRPr="00F930D1" w:rsidRDefault="00474747" w:rsidP="009F12FA">
            <w:pPr>
              <w:spacing w:line="480" w:lineRule="auto"/>
              <w:jc w:val="center"/>
              <w:rPr>
                <w:b/>
                <w:bCs/>
                <w:sz w:val="24"/>
                <w:szCs w:val="24"/>
                <w:lang w:val="en-US"/>
              </w:rPr>
            </w:pPr>
          </w:p>
        </w:tc>
        <w:tc>
          <w:tcPr>
            <w:tcW w:w="4158" w:type="dxa"/>
            <w:gridSpan w:val="3"/>
            <w:tcBorders>
              <w:bottom w:val="single" w:sz="4" w:space="0" w:color="auto"/>
            </w:tcBorders>
          </w:tcPr>
          <w:p w14:paraId="502A39E8" w14:textId="77777777" w:rsidR="00474747" w:rsidRPr="00F930D1" w:rsidRDefault="00474747" w:rsidP="009F12FA">
            <w:pPr>
              <w:spacing w:line="480" w:lineRule="auto"/>
              <w:jc w:val="center"/>
              <w:rPr>
                <w:b/>
                <w:bCs/>
                <w:sz w:val="24"/>
                <w:szCs w:val="24"/>
                <w:lang w:val="en-US"/>
              </w:rPr>
            </w:pPr>
            <w:r w:rsidRPr="00F930D1">
              <w:rPr>
                <w:b/>
                <w:bCs/>
                <w:sz w:val="24"/>
                <w:szCs w:val="24"/>
                <w:lang w:val="en-US"/>
              </w:rPr>
              <w:t>Geometric mean ratio (95% CI)</w:t>
            </w:r>
          </w:p>
        </w:tc>
      </w:tr>
      <w:tr w:rsidR="00474747" w:rsidRPr="00F930D1" w14:paraId="0CB8CB20" w14:textId="77777777" w:rsidTr="00537809">
        <w:trPr>
          <w:trHeight w:val="312"/>
        </w:trPr>
        <w:tc>
          <w:tcPr>
            <w:tcW w:w="2625" w:type="dxa"/>
            <w:tcBorders>
              <w:top w:val="nil"/>
              <w:bottom w:val="single" w:sz="4" w:space="0" w:color="auto"/>
            </w:tcBorders>
          </w:tcPr>
          <w:p w14:paraId="32720DE6" w14:textId="77777777" w:rsidR="00474747" w:rsidRPr="00F930D1" w:rsidRDefault="00474747" w:rsidP="009F12FA">
            <w:pPr>
              <w:spacing w:line="480" w:lineRule="auto"/>
              <w:rPr>
                <w:b/>
                <w:bCs/>
                <w:sz w:val="24"/>
                <w:szCs w:val="24"/>
                <w:lang w:val="en-US"/>
              </w:rPr>
            </w:pPr>
            <w:r w:rsidRPr="00F930D1">
              <w:rPr>
                <w:b/>
                <w:bCs/>
                <w:sz w:val="24"/>
                <w:szCs w:val="24"/>
                <w:lang w:val="en-US"/>
              </w:rPr>
              <w:t>Plasma glycemic outcomes</w:t>
            </w:r>
          </w:p>
        </w:tc>
        <w:tc>
          <w:tcPr>
            <w:tcW w:w="1708" w:type="dxa"/>
            <w:tcBorders>
              <w:top w:val="single" w:sz="4" w:space="0" w:color="auto"/>
              <w:bottom w:val="single" w:sz="4" w:space="0" w:color="auto"/>
            </w:tcBorders>
          </w:tcPr>
          <w:p w14:paraId="5C8BFDA8" w14:textId="77777777" w:rsidR="00474747" w:rsidRPr="00F930D1" w:rsidRDefault="00474747" w:rsidP="009F12FA">
            <w:pPr>
              <w:spacing w:line="480" w:lineRule="auto"/>
              <w:jc w:val="center"/>
              <w:rPr>
                <w:sz w:val="24"/>
                <w:szCs w:val="24"/>
                <w:lang w:val="en-US"/>
              </w:rPr>
            </w:pPr>
            <w:r w:rsidRPr="00F930D1">
              <w:rPr>
                <w:b/>
                <w:bCs/>
                <w:sz w:val="24"/>
                <w:szCs w:val="24"/>
                <w:lang w:val="en-US"/>
              </w:rPr>
              <w:t>PDE (n=245)</w:t>
            </w:r>
          </w:p>
        </w:tc>
        <w:tc>
          <w:tcPr>
            <w:tcW w:w="1632" w:type="dxa"/>
            <w:tcBorders>
              <w:top w:val="single" w:sz="4" w:space="0" w:color="auto"/>
              <w:bottom w:val="single" w:sz="4" w:space="0" w:color="auto"/>
            </w:tcBorders>
          </w:tcPr>
          <w:p w14:paraId="018EEC5A" w14:textId="77777777" w:rsidR="00474747" w:rsidRPr="00F930D1" w:rsidRDefault="00474747" w:rsidP="009F12FA">
            <w:pPr>
              <w:spacing w:line="480" w:lineRule="auto"/>
              <w:jc w:val="center"/>
              <w:rPr>
                <w:sz w:val="24"/>
                <w:szCs w:val="24"/>
                <w:lang w:val="en-US"/>
              </w:rPr>
            </w:pPr>
            <w:r w:rsidRPr="00F930D1">
              <w:rPr>
                <w:b/>
                <w:bCs/>
                <w:sz w:val="24"/>
                <w:szCs w:val="24"/>
                <w:lang w:val="en-US"/>
              </w:rPr>
              <w:t>PNE (n=32)</w:t>
            </w:r>
          </w:p>
        </w:tc>
        <w:tc>
          <w:tcPr>
            <w:tcW w:w="236" w:type="dxa"/>
            <w:tcBorders>
              <w:top w:val="nil"/>
              <w:bottom w:val="single" w:sz="4" w:space="0" w:color="auto"/>
            </w:tcBorders>
          </w:tcPr>
          <w:p w14:paraId="630DF5C3" w14:textId="77777777" w:rsidR="00474747" w:rsidRPr="00F930D1" w:rsidRDefault="00474747" w:rsidP="009F12FA">
            <w:pPr>
              <w:spacing w:line="480" w:lineRule="auto"/>
              <w:jc w:val="center"/>
              <w:rPr>
                <w:b/>
                <w:bCs/>
                <w:sz w:val="24"/>
                <w:szCs w:val="24"/>
                <w:lang w:val="en-US"/>
              </w:rPr>
            </w:pPr>
          </w:p>
        </w:tc>
        <w:tc>
          <w:tcPr>
            <w:tcW w:w="1468" w:type="dxa"/>
            <w:tcBorders>
              <w:top w:val="single" w:sz="4" w:space="0" w:color="auto"/>
              <w:bottom w:val="single" w:sz="4" w:space="0" w:color="auto"/>
            </w:tcBorders>
          </w:tcPr>
          <w:p w14:paraId="299A151B" w14:textId="77777777" w:rsidR="00474747" w:rsidRPr="00F930D1" w:rsidRDefault="00474747" w:rsidP="009F12FA">
            <w:pPr>
              <w:spacing w:line="480" w:lineRule="auto"/>
              <w:jc w:val="center"/>
              <w:rPr>
                <w:sz w:val="24"/>
                <w:szCs w:val="24"/>
                <w:lang w:val="en-US"/>
              </w:rPr>
            </w:pPr>
            <w:r w:rsidRPr="00F930D1">
              <w:rPr>
                <w:b/>
                <w:bCs/>
                <w:sz w:val="24"/>
                <w:szCs w:val="24"/>
                <w:lang w:val="en-US"/>
              </w:rPr>
              <w:t>Model 1</w:t>
            </w:r>
            <w:r w:rsidRPr="00F930D1">
              <w:rPr>
                <w:rFonts w:eastAsia="Arial"/>
                <w:sz w:val="24"/>
                <w:szCs w:val="24"/>
                <w:vertAlign w:val="superscript"/>
                <w:lang w:val="en-US"/>
              </w:rPr>
              <w:t>*</w:t>
            </w:r>
          </w:p>
        </w:tc>
        <w:tc>
          <w:tcPr>
            <w:tcW w:w="1290" w:type="dxa"/>
            <w:tcBorders>
              <w:top w:val="single" w:sz="4" w:space="0" w:color="auto"/>
              <w:bottom w:val="single" w:sz="4" w:space="0" w:color="auto"/>
            </w:tcBorders>
          </w:tcPr>
          <w:p w14:paraId="172874E4" w14:textId="77777777" w:rsidR="00474747" w:rsidRPr="00F930D1" w:rsidRDefault="00474747" w:rsidP="009F12FA">
            <w:pPr>
              <w:spacing w:line="480" w:lineRule="auto"/>
              <w:jc w:val="center"/>
              <w:rPr>
                <w:sz w:val="24"/>
                <w:szCs w:val="24"/>
                <w:lang w:val="en-US"/>
              </w:rPr>
            </w:pPr>
            <w:r w:rsidRPr="00F930D1">
              <w:rPr>
                <w:b/>
                <w:bCs/>
                <w:sz w:val="24"/>
                <w:szCs w:val="24"/>
                <w:lang w:val="en-US"/>
              </w:rPr>
              <w:t>Model 2</w:t>
            </w:r>
            <w:r w:rsidRPr="00F930D1">
              <w:rPr>
                <w:sz w:val="24"/>
                <w:szCs w:val="24"/>
                <w:vertAlign w:val="superscript"/>
                <w:lang w:val="en-US"/>
              </w:rPr>
              <w:t>†</w:t>
            </w:r>
          </w:p>
        </w:tc>
        <w:tc>
          <w:tcPr>
            <w:tcW w:w="1400" w:type="dxa"/>
            <w:tcBorders>
              <w:top w:val="single" w:sz="4" w:space="0" w:color="auto"/>
              <w:bottom w:val="single" w:sz="4" w:space="0" w:color="auto"/>
            </w:tcBorders>
          </w:tcPr>
          <w:p w14:paraId="06191EA1" w14:textId="77777777" w:rsidR="00474747" w:rsidRPr="00F930D1" w:rsidRDefault="00474747" w:rsidP="009F12FA">
            <w:pPr>
              <w:spacing w:line="480" w:lineRule="auto"/>
              <w:jc w:val="center"/>
              <w:rPr>
                <w:b/>
                <w:bCs/>
                <w:sz w:val="24"/>
                <w:szCs w:val="24"/>
                <w:vertAlign w:val="superscript"/>
                <w:lang w:val="en-US"/>
              </w:rPr>
            </w:pPr>
            <w:r w:rsidRPr="00F930D1">
              <w:rPr>
                <w:b/>
                <w:bCs/>
                <w:sz w:val="24"/>
                <w:szCs w:val="24"/>
                <w:lang w:val="en-US"/>
              </w:rPr>
              <w:t>Model 3</w:t>
            </w:r>
            <w:r w:rsidRPr="00F930D1">
              <w:rPr>
                <w:color w:val="383636"/>
                <w:sz w:val="24"/>
                <w:szCs w:val="24"/>
                <w:shd w:val="clear" w:color="auto" w:fill="FFFFFF"/>
                <w:vertAlign w:val="superscript"/>
                <w:lang w:val="en-US"/>
              </w:rPr>
              <w:t>‡</w:t>
            </w:r>
          </w:p>
        </w:tc>
      </w:tr>
      <w:tr w:rsidR="00474747" w:rsidRPr="00F930D1" w14:paraId="2CB987D6" w14:textId="77777777" w:rsidTr="00537809">
        <w:trPr>
          <w:trHeight w:val="312"/>
        </w:trPr>
        <w:tc>
          <w:tcPr>
            <w:tcW w:w="2625" w:type="dxa"/>
            <w:tcBorders>
              <w:top w:val="single" w:sz="4" w:space="0" w:color="auto"/>
            </w:tcBorders>
          </w:tcPr>
          <w:p w14:paraId="28554CCA" w14:textId="77777777" w:rsidR="00474747" w:rsidRPr="00F930D1" w:rsidRDefault="00474747" w:rsidP="009F12FA">
            <w:pPr>
              <w:spacing w:line="480" w:lineRule="auto"/>
              <w:rPr>
                <w:sz w:val="24"/>
                <w:szCs w:val="24"/>
                <w:lang w:val="en-US"/>
              </w:rPr>
            </w:pPr>
            <w:r w:rsidRPr="00F930D1">
              <w:rPr>
                <w:sz w:val="24"/>
                <w:szCs w:val="24"/>
                <w:lang w:val="en-US"/>
              </w:rPr>
              <w:t xml:space="preserve">Fasting glucose, mmol/L </w:t>
            </w:r>
          </w:p>
        </w:tc>
        <w:tc>
          <w:tcPr>
            <w:tcW w:w="1708" w:type="dxa"/>
            <w:tcBorders>
              <w:top w:val="single" w:sz="4" w:space="0" w:color="auto"/>
            </w:tcBorders>
          </w:tcPr>
          <w:p w14:paraId="6B6FA3C4" w14:textId="77777777" w:rsidR="00474747" w:rsidRPr="00F930D1" w:rsidRDefault="00474747" w:rsidP="009F12FA">
            <w:pPr>
              <w:spacing w:line="480" w:lineRule="auto"/>
              <w:jc w:val="center"/>
              <w:rPr>
                <w:sz w:val="24"/>
                <w:szCs w:val="24"/>
                <w:lang w:val="en-US"/>
              </w:rPr>
            </w:pPr>
            <w:r w:rsidRPr="00F930D1">
              <w:rPr>
                <w:sz w:val="24"/>
                <w:szCs w:val="24"/>
                <w:lang w:val="en-US"/>
              </w:rPr>
              <w:t>4.23 (4.19, 4.27)</w:t>
            </w:r>
          </w:p>
        </w:tc>
        <w:tc>
          <w:tcPr>
            <w:tcW w:w="1632" w:type="dxa"/>
            <w:tcBorders>
              <w:top w:val="single" w:sz="4" w:space="0" w:color="auto"/>
            </w:tcBorders>
          </w:tcPr>
          <w:p w14:paraId="34EA93DC" w14:textId="77777777" w:rsidR="00474747" w:rsidRPr="00F930D1" w:rsidRDefault="00474747" w:rsidP="009F12FA">
            <w:pPr>
              <w:spacing w:line="480" w:lineRule="auto"/>
              <w:jc w:val="center"/>
              <w:rPr>
                <w:sz w:val="24"/>
                <w:szCs w:val="24"/>
                <w:lang w:val="en-US"/>
              </w:rPr>
            </w:pPr>
            <w:r w:rsidRPr="00F930D1">
              <w:rPr>
                <w:sz w:val="24"/>
                <w:szCs w:val="24"/>
                <w:lang w:val="en-US"/>
              </w:rPr>
              <w:t>4.45 (4.23, 4.69)</w:t>
            </w:r>
          </w:p>
        </w:tc>
        <w:tc>
          <w:tcPr>
            <w:tcW w:w="236" w:type="dxa"/>
            <w:tcBorders>
              <w:top w:val="single" w:sz="4" w:space="0" w:color="auto"/>
            </w:tcBorders>
          </w:tcPr>
          <w:p w14:paraId="263729ED" w14:textId="77777777" w:rsidR="00474747" w:rsidRPr="00F930D1" w:rsidRDefault="00474747" w:rsidP="009F12FA">
            <w:pPr>
              <w:spacing w:line="480" w:lineRule="auto"/>
              <w:jc w:val="center"/>
              <w:rPr>
                <w:sz w:val="24"/>
                <w:szCs w:val="24"/>
                <w:lang w:val="en-US"/>
              </w:rPr>
            </w:pPr>
          </w:p>
        </w:tc>
        <w:tc>
          <w:tcPr>
            <w:tcW w:w="1468" w:type="dxa"/>
            <w:tcBorders>
              <w:top w:val="single" w:sz="4" w:space="0" w:color="auto"/>
            </w:tcBorders>
          </w:tcPr>
          <w:p w14:paraId="2D503C1F" w14:textId="77777777" w:rsidR="00474747" w:rsidRPr="00F930D1" w:rsidRDefault="00474747" w:rsidP="009F12FA">
            <w:pPr>
              <w:spacing w:line="480" w:lineRule="auto"/>
              <w:jc w:val="center"/>
              <w:rPr>
                <w:sz w:val="24"/>
                <w:szCs w:val="24"/>
                <w:lang w:val="en-US"/>
              </w:rPr>
            </w:pPr>
            <w:r w:rsidRPr="00F930D1">
              <w:rPr>
                <w:sz w:val="24"/>
                <w:szCs w:val="24"/>
                <w:lang w:val="en-US"/>
              </w:rPr>
              <w:t>1.05 (1.01, 1.08)</w:t>
            </w:r>
          </w:p>
        </w:tc>
        <w:tc>
          <w:tcPr>
            <w:tcW w:w="1290" w:type="dxa"/>
            <w:tcBorders>
              <w:top w:val="single" w:sz="4" w:space="0" w:color="auto"/>
            </w:tcBorders>
          </w:tcPr>
          <w:p w14:paraId="7A1F2EA0" w14:textId="77777777" w:rsidR="00474747" w:rsidRPr="00F930D1" w:rsidRDefault="00474747" w:rsidP="009F12FA">
            <w:pPr>
              <w:spacing w:line="480" w:lineRule="auto"/>
              <w:jc w:val="center"/>
              <w:rPr>
                <w:sz w:val="24"/>
                <w:szCs w:val="24"/>
                <w:lang w:val="en-US"/>
              </w:rPr>
            </w:pPr>
            <w:r w:rsidRPr="00F930D1">
              <w:rPr>
                <w:sz w:val="24"/>
                <w:szCs w:val="24"/>
                <w:lang w:val="en-US"/>
              </w:rPr>
              <w:t>1.04 (1.01, 1.08)</w:t>
            </w:r>
          </w:p>
        </w:tc>
        <w:tc>
          <w:tcPr>
            <w:tcW w:w="1400" w:type="dxa"/>
            <w:tcBorders>
              <w:top w:val="single" w:sz="4" w:space="0" w:color="auto"/>
            </w:tcBorders>
          </w:tcPr>
          <w:p w14:paraId="194CA743" w14:textId="77777777" w:rsidR="00474747" w:rsidRPr="00F930D1" w:rsidRDefault="00474747" w:rsidP="009F12FA">
            <w:pPr>
              <w:spacing w:line="480" w:lineRule="auto"/>
              <w:jc w:val="center"/>
              <w:rPr>
                <w:sz w:val="24"/>
                <w:szCs w:val="24"/>
                <w:lang w:val="en-US"/>
              </w:rPr>
            </w:pPr>
            <w:r w:rsidRPr="00F930D1">
              <w:rPr>
                <w:sz w:val="24"/>
                <w:szCs w:val="24"/>
                <w:lang w:val="en-US"/>
              </w:rPr>
              <w:t>1.05 (1.01, 1.08)</w:t>
            </w:r>
          </w:p>
        </w:tc>
      </w:tr>
      <w:tr w:rsidR="00474747" w:rsidRPr="00F930D1" w14:paraId="24FAA82B" w14:textId="77777777" w:rsidTr="00537809">
        <w:trPr>
          <w:trHeight w:val="312"/>
        </w:trPr>
        <w:tc>
          <w:tcPr>
            <w:tcW w:w="2625" w:type="dxa"/>
          </w:tcPr>
          <w:p w14:paraId="649CF60E" w14:textId="77777777" w:rsidR="00474747" w:rsidRPr="00F930D1" w:rsidRDefault="00474747" w:rsidP="009F12FA">
            <w:pPr>
              <w:spacing w:line="480" w:lineRule="auto"/>
              <w:rPr>
                <w:sz w:val="24"/>
                <w:szCs w:val="24"/>
                <w:lang w:val="en-US"/>
              </w:rPr>
            </w:pPr>
            <w:r w:rsidRPr="00F930D1">
              <w:rPr>
                <w:sz w:val="24"/>
                <w:szCs w:val="24"/>
                <w:lang w:val="en-US"/>
              </w:rPr>
              <w:t>1-h glucose, mmol/L</w:t>
            </w:r>
          </w:p>
        </w:tc>
        <w:tc>
          <w:tcPr>
            <w:tcW w:w="1708" w:type="dxa"/>
          </w:tcPr>
          <w:p w14:paraId="749864B4" w14:textId="77777777" w:rsidR="00474747" w:rsidRPr="00F930D1" w:rsidRDefault="00474747" w:rsidP="009F12FA">
            <w:pPr>
              <w:spacing w:line="480" w:lineRule="auto"/>
              <w:jc w:val="center"/>
              <w:rPr>
                <w:sz w:val="24"/>
                <w:szCs w:val="24"/>
                <w:lang w:val="en-US"/>
              </w:rPr>
            </w:pPr>
            <w:r w:rsidRPr="00F930D1">
              <w:rPr>
                <w:sz w:val="24"/>
                <w:szCs w:val="24"/>
                <w:lang w:val="en-US"/>
              </w:rPr>
              <w:t>7.49 (7.27, 7.72)</w:t>
            </w:r>
          </w:p>
        </w:tc>
        <w:tc>
          <w:tcPr>
            <w:tcW w:w="1632" w:type="dxa"/>
          </w:tcPr>
          <w:p w14:paraId="155C43A1" w14:textId="77777777" w:rsidR="00474747" w:rsidRPr="00F930D1" w:rsidRDefault="00474747" w:rsidP="009F12FA">
            <w:pPr>
              <w:spacing w:line="480" w:lineRule="auto"/>
              <w:jc w:val="center"/>
              <w:rPr>
                <w:sz w:val="24"/>
                <w:szCs w:val="24"/>
                <w:lang w:val="en-US"/>
              </w:rPr>
            </w:pPr>
            <w:r w:rsidRPr="00F930D1">
              <w:rPr>
                <w:sz w:val="24"/>
                <w:szCs w:val="24"/>
                <w:lang w:val="en-US"/>
              </w:rPr>
              <w:t>8.30 (7.69, 8.96)</w:t>
            </w:r>
          </w:p>
        </w:tc>
        <w:tc>
          <w:tcPr>
            <w:tcW w:w="236" w:type="dxa"/>
          </w:tcPr>
          <w:p w14:paraId="0F9B4318" w14:textId="77777777" w:rsidR="00474747" w:rsidRPr="00F930D1" w:rsidRDefault="00474747" w:rsidP="009F12FA">
            <w:pPr>
              <w:spacing w:line="480" w:lineRule="auto"/>
              <w:jc w:val="center"/>
              <w:rPr>
                <w:sz w:val="24"/>
                <w:szCs w:val="24"/>
                <w:lang w:val="en-US"/>
              </w:rPr>
            </w:pPr>
          </w:p>
        </w:tc>
        <w:tc>
          <w:tcPr>
            <w:tcW w:w="1468" w:type="dxa"/>
          </w:tcPr>
          <w:p w14:paraId="5269ADC2" w14:textId="77777777" w:rsidR="00474747" w:rsidRPr="00F930D1" w:rsidRDefault="00474747" w:rsidP="009F12FA">
            <w:pPr>
              <w:spacing w:line="480" w:lineRule="auto"/>
              <w:jc w:val="center"/>
              <w:rPr>
                <w:sz w:val="24"/>
                <w:szCs w:val="24"/>
                <w:lang w:val="en-US"/>
              </w:rPr>
            </w:pPr>
            <w:r w:rsidRPr="00F930D1">
              <w:rPr>
                <w:sz w:val="24"/>
                <w:szCs w:val="24"/>
                <w:lang w:val="en-US"/>
              </w:rPr>
              <w:t>1.09 (1.00, 1.19)</w:t>
            </w:r>
          </w:p>
        </w:tc>
        <w:tc>
          <w:tcPr>
            <w:tcW w:w="1290" w:type="dxa"/>
          </w:tcPr>
          <w:p w14:paraId="3B3BD49A" w14:textId="77777777" w:rsidR="00474747" w:rsidRPr="00F930D1" w:rsidRDefault="00474747" w:rsidP="009F12FA">
            <w:pPr>
              <w:spacing w:line="480" w:lineRule="auto"/>
              <w:jc w:val="center"/>
              <w:rPr>
                <w:sz w:val="24"/>
                <w:szCs w:val="24"/>
                <w:lang w:val="en-US"/>
              </w:rPr>
            </w:pPr>
            <w:r w:rsidRPr="00F930D1">
              <w:rPr>
                <w:sz w:val="24"/>
                <w:szCs w:val="24"/>
                <w:lang w:val="en-US"/>
              </w:rPr>
              <w:t>1.10 (1.01, 1.21)</w:t>
            </w:r>
          </w:p>
        </w:tc>
        <w:tc>
          <w:tcPr>
            <w:tcW w:w="1400" w:type="dxa"/>
          </w:tcPr>
          <w:p w14:paraId="0157EBB8" w14:textId="77777777" w:rsidR="00474747" w:rsidRPr="00F930D1" w:rsidRDefault="00474747" w:rsidP="009F12FA">
            <w:pPr>
              <w:spacing w:line="480" w:lineRule="auto"/>
              <w:jc w:val="center"/>
              <w:rPr>
                <w:sz w:val="24"/>
                <w:szCs w:val="24"/>
                <w:lang w:val="en-US"/>
              </w:rPr>
            </w:pPr>
            <w:r w:rsidRPr="00F930D1">
              <w:rPr>
                <w:sz w:val="24"/>
                <w:szCs w:val="24"/>
                <w:lang w:val="en-US"/>
              </w:rPr>
              <w:t>1.11 (1.01, 1.21)</w:t>
            </w:r>
          </w:p>
        </w:tc>
      </w:tr>
      <w:tr w:rsidR="00474747" w:rsidRPr="00F930D1" w14:paraId="24E6B2AE" w14:textId="77777777" w:rsidTr="00537809">
        <w:trPr>
          <w:trHeight w:val="280"/>
        </w:trPr>
        <w:tc>
          <w:tcPr>
            <w:tcW w:w="2625" w:type="dxa"/>
          </w:tcPr>
          <w:p w14:paraId="3F12478C" w14:textId="77777777" w:rsidR="00474747" w:rsidRPr="00F930D1" w:rsidRDefault="00474747" w:rsidP="009F12FA">
            <w:pPr>
              <w:spacing w:line="480" w:lineRule="auto"/>
              <w:rPr>
                <w:sz w:val="24"/>
                <w:szCs w:val="24"/>
                <w:lang w:val="en-US"/>
              </w:rPr>
            </w:pPr>
            <w:r w:rsidRPr="00F930D1">
              <w:rPr>
                <w:sz w:val="24"/>
                <w:szCs w:val="24"/>
                <w:lang w:val="en-US"/>
              </w:rPr>
              <w:t>2-h glucose, mmol/L</w:t>
            </w:r>
          </w:p>
        </w:tc>
        <w:tc>
          <w:tcPr>
            <w:tcW w:w="1708" w:type="dxa"/>
          </w:tcPr>
          <w:p w14:paraId="3B4FA79B" w14:textId="77777777" w:rsidR="00474747" w:rsidRPr="00F930D1" w:rsidRDefault="00474747" w:rsidP="009F12FA">
            <w:pPr>
              <w:spacing w:line="480" w:lineRule="auto"/>
              <w:jc w:val="center"/>
              <w:rPr>
                <w:sz w:val="24"/>
                <w:szCs w:val="24"/>
                <w:lang w:val="en-US"/>
              </w:rPr>
            </w:pPr>
            <w:r w:rsidRPr="00F930D1">
              <w:rPr>
                <w:sz w:val="24"/>
                <w:szCs w:val="24"/>
                <w:lang w:val="en-US"/>
              </w:rPr>
              <w:t>6.34 (6.17, 6.51)</w:t>
            </w:r>
          </w:p>
        </w:tc>
        <w:tc>
          <w:tcPr>
            <w:tcW w:w="1632" w:type="dxa"/>
          </w:tcPr>
          <w:p w14:paraId="79DDAA17" w14:textId="77777777" w:rsidR="00474747" w:rsidRPr="00F930D1" w:rsidRDefault="00474747" w:rsidP="009F12FA">
            <w:pPr>
              <w:spacing w:line="480" w:lineRule="auto"/>
              <w:jc w:val="center"/>
              <w:rPr>
                <w:sz w:val="24"/>
                <w:szCs w:val="24"/>
                <w:lang w:val="en-US"/>
              </w:rPr>
            </w:pPr>
            <w:r w:rsidRPr="00F930D1">
              <w:rPr>
                <w:sz w:val="24"/>
                <w:szCs w:val="24"/>
                <w:lang w:val="en-US"/>
              </w:rPr>
              <w:t>6.37 (5.82, 6.97)</w:t>
            </w:r>
          </w:p>
        </w:tc>
        <w:tc>
          <w:tcPr>
            <w:tcW w:w="236" w:type="dxa"/>
          </w:tcPr>
          <w:p w14:paraId="47D32AD1" w14:textId="77777777" w:rsidR="00474747" w:rsidRPr="00F930D1" w:rsidRDefault="00474747" w:rsidP="009F12FA">
            <w:pPr>
              <w:spacing w:line="480" w:lineRule="auto"/>
              <w:jc w:val="center"/>
              <w:rPr>
                <w:sz w:val="24"/>
                <w:szCs w:val="24"/>
                <w:lang w:val="en-US"/>
              </w:rPr>
            </w:pPr>
          </w:p>
        </w:tc>
        <w:tc>
          <w:tcPr>
            <w:tcW w:w="1468" w:type="dxa"/>
          </w:tcPr>
          <w:p w14:paraId="0B1E7483" w14:textId="77777777" w:rsidR="00474747" w:rsidRPr="00F930D1" w:rsidRDefault="00474747" w:rsidP="009F12FA">
            <w:pPr>
              <w:spacing w:line="480" w:lineRule="auto"/>
              <w:jc w:val="center"/>
              <w:rPr>
                <w:sz w:val="24"/>
                <w:szCs w:val="24"/>
                <w:lang w:val="en-US"/>
              </w:rPr>
            </w:pPr>
            <w:r w:rsidRPr="00F930D1">
              <w:rPr>
                <w:sz w:val="24"/>
                <w:szCs w:val="24"/>
                <w:lang w:val="en-US"/>
              </w:rPr>
              <w:t>1.00 (0.92, 1.08)</w:t>
            </w:r>
          </w:p>
        </w:tc>
        <w:tc>
          <w:tcPr>
            <w:tcW w:w="1290" w:type="dxa"/>
          </w:tcPr>
          <w:p w14:paraId="2A687E3D" w14:textId="77777777" w:rsidR="00474747" w:rsidRPr="00F930D1" w:rsidRDefault="00474747" w:rsidP="009F12FA">
            <w:pPr>
              <w:spacing w:line="480" w:lineRule="auto"/>
              <w:jc w:val="center"/>
              <w:rPr>
                <w:sz w:val="24"/>
                <w:szCs w:val="24"/>
                <w:lang w:val="en-US"/>
              </w:rPr>
            </w:pPr>
            <w:r w:rsidRPr="00F930D1">
              <w:rPr>
                <w:sz w:val="24"/>
                <w:szCs w:val="24"/>
                <w:lang w:val="en-US"/>
              </w:rPr>
              <w:t>1.01 (0.93, 1.10)</w:t>
            </w:r>
          </w:p>
        </w:tc>
        <w:tc>
          <w:tcPr>
            <w:tcW w:w="1400" w:type="dxa"/>
          </w:tcPr>
          <w:p w14:paraId="05BFA9EE" w14:textId="77777777" w:rsidR="00474747" w:rsidRPr="00F930D1" w:rsidRDefault="00474747" w:rsidP="009F12FA">
            <w:pPr>
              <w:spacing w:line="480" w:lineRule="auto"/>
              <w:jc w:val="center"/>
              <w:rPr>
                <w:sz w:val="24"/>
                <w:szCs w:val="24"/>
                <w:lang w:val="en-US"/>
              </w:rPr>
            </w:pPr>
            <w:r w:rsidRPr="00F930D1">
              <w:rPr>
                <w:sz w:val="24"/>
                <w:szCs w:val="24"/>
                <w:lang w:val="en-US"/>
              </w:rPr>
              <w:t>1.02 (0.94, 1.11)</w:t>
            </w:r>
          </w:p>
        </w:tc>
      </w:tr>
      <w:tr w:rsidR="00474747" w:rsidRPr="00F930D1" w14:paraId="06571350" w14:textId="77777777" w:rsidTr="00537809">
        <w:trPr>
          <w:trHeight w:val="312"/>
        </w:trPr>
        <w:tc>
          <w:tcPr>
            <w:tcW w:w="2625" w:type="dxa"/>
          </w:tcPr>
          <w:p w14:paraId="41617EEC" w14:textId="77777777" w:rsidR="00474747" w:rsidRPr="00F930D1" w:rsidRDefault="00474747" w:rsidP="009F12FA">
            <w:pPr>
              <w:spacing w:line="480" w:lineRule="auto"/>
              <w:rPr>
                <w:sz w:val="24"/>
                <w:szCs w:val="24"/>
                <w:lang w:val="en-US"/>
              </w:rPr>
            </w:pPr>
            <w:r w:rsidRPr="00F930D1">
              <w:rPr>
                <w:sz w:val="24"/>
                <w:szCs w:val="24"/>
                <w:lang w:val="en-US"/>
              </w:rPr>
              <w:t xml:space="preserve">Fasting insulin, </w:t>
            </w:r>
            <w:proofErr w:type="spellStart"/>
            <w:r w:rsidRPr="00F930D1">
              <w:rPr>
                <w:sz w:val="24"/>
                <w:szCs w:val="24"/>
                <w:lang w:val="en-US"/>
              </w:rPr>
              <w:t>μIU</w:t>
            </w:r>
            <w:proofErr w:type="spellEnd"/>
            <w:r w:rsidRPr="00F930D1">
              <w:rPr>
                <w:sz w:val="24"/>
                <w:szCs w:val="24"/>
                <w:lang w:val="en-US"/>
              </w:rPr>
              <w:t xml:space="preserve">/ml </w:t>
            </w:r>
          </w:p>
        </w:tc>
        <w:tc>
          <w:tcPr>
            <w:tcW w:w="1708" w:type="dxa"/>
          </w:tcPr>
          <w:p w14:paraId="544F0909" w14:textId="77777777" w:rsidR="00474747" w:rsidRPr="00F930D1" w:rsidRDefault="00474747" w:rsidP="009F12FA">
            <w:pPr>
              <w:spacing w:line="480" w:lineRule="auto"/>
              <w:jc w:val="center"/>
              <w:rPr>
                <w:sz w:val="24"/>
                <w:szCs w:val="24"/>
                <w:lang w:val="en-US"/>
              </w:rPr>
            </w:pPr>
            <w:r w:rsidRPr="00F930D1">
              <w:rPr>
                <w:sz w:val="24"/>
                <w:szCs w:val="24"/>
                <w:lang w:val="en-US"/>
              </w:rPr>
              <w:t>7.71 (7.15, 8.33)</w:t>
            </w:r>
          </w:p>
        </w:tc>
        <w:tc>
          <w:tcPr>
            <w:tcW w:w="1632" w:type="dxa"/>
          </w:tcPr>
          <w:p w14:paraId="771A8E49" w14:textId="77777777" w:rsidR="00474747" w:rsidRPr="00F930D1" w:rsidRDefault="00474747" w:rsidP="009F12FA">
            <w:pPr>
              <w:spacing w:line="480" w:lineRule="auto"/>
              <w:jc w:val="center"/>
              <w:rPr>
                <w:sz w:val="24"/>
                <w:szCs w:val="24"/>
                <w:lang w:val="en-US"/>
              </w:rPr>
            </w:pPr>
            <w:r w:rsidRPr="00F930D1">
              <w:rPr>
                <w:sz w:val="24"/>
                <w:szCs w:val="24"/>
                <w:lang w:val="en-US"/>
              </w:rPr>
              <w:t>6.54 (5.64, 7.60)</w:t>
            </w:r>
          </w:p>
        </w:tc>
        <w:tc>
          <w:tcPr>
            <w:tcW w:w="236" w:type="dxa"/>
          </w:tcPr>
          <w:p w14:paraId="50D17590" w14:textId="77777777" w:rsidR="00474747" w:rsidRPr="00F930D1" w:rsidRDefault="00474747" w:rsidP="009F12FA">
            <w:pPr>
              <w:spacing w:line="480" w:lineRule="auto"/>
              <w:jc w:val="center"/>
              <w:rPr>
                <w:sz w:val="24"/>
                <w:szCs w:val="24"/>
                <w:lang w:val="en-US"/>
              </w:rPr>
            </w:pPr>
          </w:p>
        </w:tc>
        <w:tc>
          <w:tcPr>
            <w:tcW w:w="1468" w:type="dxa"/>
          </w:tcPr>
          <w:p w14:paraId="0E97F67F" w14:textId="77777777" w:rsidR="00474747" w:rsidRPr="00F930D1" w:rsidRDefault="00474747" w:rsidP="009F12FA">
            <w:pPr>
              <w:spacing w:line="480" w:lineRule="auto"/>
              <w:jc w:val="center"/>
              <w:rPr>
                <w:sz w:val="24"/>
                <w:szCs w:val="24"/>
                <w:lang w:val="en-US"/>
              </w:rPr>
            </w:pPr>
            <w:r w:rsidRPr="00F930D1">
              <w:rPr>
                <w:sz w:val="24"/>
                <w:szCs w:val="24"/>
                <w:lang w:val="en-US"/>
              </w:rPr>
              <w:t>0.76 (0.62, 0.93)</w:t>
            </w:r>
          </w:p>
        </w:tc>
        <w:tc>
          <w:tcPr>
            <w:tcW w:w="1290" w:type="dxa"/>
          </w:tcPr>
          <w:p w14:paraId="76D8302A" w14:textId="77777777" w:rsidR="00474747" w:rsidRPr="00F930D1" w:rsidRDefault="00474747" w:rsidP="009F12FA">
            <w:pPr>
              <w:spacing w:line="480" w:lineRule="auto"/>
              <w:jc w:val="center"/>
              <w:rPr>
                <w:sz w:val="24"/>
                <w:szCs w:val="24"/>
                <w:lang w:val="en-US"/>
              </w:rPr>
            </w:pPr>
            <w:r w:rsidRPr="00F930D1">
              <w:rPr>
                <w:sz w:val="24"/>
                <w:szCs w:val="24"/>
                <w:lang w:val="en-US"/>
              </w:rPr>
              <w:t>0.77 (0.63, 0.94)</w:t>
            </w:r>
          </w:p>
        </w:tc>
        <w:tc>
          <w:tcPr>
            <w:tcW w:w="1400" w:type="dxa"/>
          </w:tcPr>
          <w:p w14:paraId="5EBCA6C7" w14:textId="77777777" w:rsidR="00474747" w:rsidRPr="00F930D1" w:rsidRDefault="00474747" w:rsidP="009F12FA">
            <w:pPr>
              <w:spacing w:line="480" w:lineRule="auto"/>
              <w:jc w:val="center"/>
              <w:rPr>
                <w:sz w:val="24"/>
                <w:szCs w:val="24"/>
                <w:lang w:val="en-US"/>
              </w:rPr>
            </w:pPr>
            <w:r w:rsidRPr="00F930D1">
              <w:rPr>
                <w:sz w:val="24"/>
                <w:szCs w:val="24"/>
                <w:lang w:val="en-US"/>
              </w:rPr>
              <w:t>0.77 (0.63, 0.95)</w:t>
            </w:r>
          </w:p>
        </w:tc>
      </w:tr>
      <w:tr w:rsidR="00474747" w:rsidRPr="00F930D1" w14:paraId="5ED6B014" w14:textId="77777777" w:rsidTr="00537809">
        <w:trPr>
          <w:trHeight w:val="280"/>
        </w:trPr>
        <w:tc>
          <w:tcPr>
            <w:tcW w:w="2625" w:type="dxa"/>
          </w:tcPr>
          <w:p w14:paraId="558C9092" w14:textId="77777777" w:rsidR="00474747" w:rsidRPr="00F930D1" w:rsidRDefault="00474747" w:rsidP="009F12FA">
            <w:pPr>
              <w:spacing w:line="480" w:lineRule="auto"/>
              <w:rPr>
                <w:sz w:val="24"/>
                <w:szCs w:val="24"/>
                <w:lang w:val="en-US"/>
              </w:rPr>
            </w:pPr>
            <w:r w:rsidRPr="00F930D1">
              <w:rPr>
                <w:sz w:val="24"/>
                <w:szCs w:val="24"/>
                <w:lang w:val="en-US"/>
              </w:rPr>
              <w:t xml:space="preserve">HOMA2-IR </w:t>
            </w:r>
          </w:p>
        </w:tc>
        <w:tc>
          <w:tcPr>
            <w:tcW w:w="1708" w:type="dxa"/>
          </w:tcPr>
          <w:p w14:paraId="0C9306D6" w14:textId="77777777" w:rsidR="00474747" w:rsidRPr="00F930D1" w:rsidRDefault="00474747" w:rsidP="009F12FA">
            <w:pPr>
              <w:spacing w:line="480" w:lineRule="auto"/>
              <w:jc w:val="center"/>
              <w:rPr>
                <w:sz w:val="24"/>
                <w:szCs w:val="24"/>
                <w:lang w:val="en-US"/>
              </w:rPr>
            </w:pPr>
            <w:r w:rsidRPr="00F930D1">
              <w:rPr>
                <w:sz w:val="24"/>
                <w:szCs w:val="24"/>
                <w:lang w:val="en-US"/>
              </w:rPr>
              <w:t>0.96 (0.89, 1.03)</w:t>
            </w:r>
          </w:p>
        </w:tc>
        <w:tc>
          <w:tcPr>
            <w:tcW w:w="1632" w:type="dxa"/>
          </w:tcPr>
          <w:p w14:paraId="7F79F264" w14:textId="77777777" w:rsidR="00474747" w:rsidRPr="00F930D1" w:rsidRDefault="00474747" w:rsidP="009F12FA">
            <w:pPr>
              <w:spacing w:line="480" w:lineRule="auto"/>
              <w:jc w:val="center"/>
              <w:rPr>
                <w:sz w:val="24"/>
                <w:szCs w:val="24"/>
                <w:lang w:val="en-US"/>
              </w:rPr>
            </w:pPr>
            <w:r w:rsidRPr="00F930D1">
              <w:rPr>
                <w:sz w:val="24"/>
                <w:szCs w:val="24"/>
                <w:lang w:val="en-US"/>
              </w:rPr>
              <w:t>0.83 (0.71, 0.96)</w:t>
            </w:r>
          </w:p>
        </w:tc>
        <w:tc>
          <w:tcPr>
            <w:tcW w:w="236" w:type="dxa"/>
          </w:tcPr>
          <w:p w14:paraId="0454DE71" w14:textId="77777777" w:rsidR="00474747" w:rsidRPr="00F930D1" w:rsidRDefault="00474747" w:rsidP="009F12FA">
            <w:pPr>
              <w:spacing w:line="480" w:lineRule="auto"/>
              <w:jc w:val="center"/>
              <w:rPr>
                <w:sz w:val="24"/>
                <w:szCs w:val="24"/>
                <w:lang w:val="en-US"/>
              </w:rPr>
            </w:pPr>
          </w:p>
        </w:tc>
        <w:tc>
          <w:tcPr>
            <w:tcW w:w="1468" w:type="dxa"/>
          </w:tcPr>
          <w:p w14:paraId="46E64F1F" w14:textId="77777777" w:rsidR="00474747" w:rsidRPr="00F930D1" w:rsidRDefault="00474747" w:rsidP="009F12FA">
            <w:pPr>
              <w:spacing w:line="480" w:lineRule="auto"/>
              <w:jc w:val="center"/>
              <w:rPr>
                <w:sz w:val="24"/>
                <w:szCs w:val="24"/>
                <w:lang w:val="en-US"/>
              </w:rPr>
            </w:pPr>
            <w:r w:rsidRPr="00F930D1">
              <w:rPr>
                <w:sz w:val="24"/>
                <w:szCs w:val="24"/>
                <w:lang w:val="en-US"/>
              </w:rPr>
              <w:t>0.77 (0.63, 0.94)</w:t>
            </w:r>
          </w:p>
        </w:tc>
        <w:tc>
          <w:tcPr>
            <w:tcW w:w="1290" w:type="dxa"/>
          </w:tcPr>
          <w:p w14:paraId="0C762956" w14:textId="77777777" w:rsidR="00474747" w:rsidRPr="00F930D1" w:rsidRDefault="00474747" w:rsidP="009F12FA">
            <w:pPr>
              <w:spacing w:line="480" w:lineRule="auto"/>
              <w:jc w:val="center"/>
              <w:rPr>
                <w:sz w:val="24"/>
                <w:szCs w:val="24"/>
                <w:lang w:val="en-US"/>
              </w:rPr>
            </w:pPr>
            <w:r w:rsidRPr="00F930D1">
              <w:rPr>
                <w:sz w:val="24"/>
                <w:szCs w:val="24"/>
                <w:lang w:val="en-US"/>
              </w:rPr>
              <w:t>0.78 (0.64, 0.96)</w:t>
            </w:r>
          </w:p>
        </w:tc>
        <w:tc>
          <w:tcPr>
            <w:tcW w:w="1400" w:type="dxa"/>
          </w:tcPr>
          <w:p w14:paraId="2C1C9040" w14:textId="77777777" w:rsidR="00474747" w:rsidRPr="00F930D1" w:rsidRDefault="00474747" w:rsidP="009F12FA">
            <w:pPr>
              <w:spacing w:line="480" w:lineRule="auto"/>
              <w:jc w:val="center"/>
              <w:rPr>
                <w:sz w:val="24"/>
                <w:szCs w:val="24"/>
                <w:lang w:val="en-US"/>
              </w:rPr>
            </w:pPr>
            <w:r w:rsidRPr="00F930D1">
              <w:rPr>
                <w:sz w:val="24"/>
                <w:szCs w:val="24"/>
                <w:lang w:val="en-US"/>
              </w:rPr>
              <w:t>0.78 (0.64, 0.97)</w:t>
            </w:r>
          </w:p>
        </w:tc>
      </w:tr>
      <w:tr w:rsidR="00474747" w:rsidRPr="00F930D1" w14:paraId="03EB41AD" w14:textId="77777777" w:rsidTr="00537809">
        <w:trPr>
          <w:trHeight w:val="312"/>
        </w:trPr>
        <w:tc>
          <w:tcPr>
            <w:tcW w:w="2625" w:type="dxa"/>
          </w:tcPr>
          <w:p w14:paraId="6D2DDE62" w14:textId="77777777" w:rsidR="00474747" w:rsidRPr="00F930D1" w:rsidRDefault="00474747" w:rsidP="009F12FA">
            <w:pPr>
              <w:spacing w:line="480" w:lineRule="auto"/>
              <w:rPr>
                <w:sz w:val="24"/>
                <w:szCs w:val="24"/>
                <w:lang w:val="en-US"/>
              </w:rPr>
            </w:pPr>
            <w:r w:rsidRPr="00F930D1">
              <w:rPr>
                <w:sz w:val="24"/>
                <w:szCs w:val="24"/>
                <w:lang w:val="en-US"/>
              </w:rPr>
              <w:lastRenderedPageBreak/>
              <w:t xml:space="preserve">HOMA2-%B </w:t>
            </w:r>
          </w:p>
        </w:tc>
        <w:tc>
          <w:tcPr>
            <w:tcW w:w="1708" w:type="dxa"/>
          </w:tcPr>
          <w:p w14:paraId="13B93DC1" w14:textId="77777777" w:rsidR="00474747" w:rsidRPr="00F930D1" w:rsidRDefault="00474747" w:rsidP="009F12FA">
            <w:pPr>
              <w:spacing w:line="480" w:lineRule="auto"/>
              <w:jc w:val="center"/>
              <w:rPr>
                <w:sz w:val="24"/>
                <w:szCs w:val="24"/>
                <w:lang w:val="en-US"/>
              </w:rPr>
            </w:pPr>
            <w:r w:rsidRPr="00F930D1">
              <w:rPr>
                <w:sz w:val="24"/>
                <w:szCs w:val="24"/>
                <w:lang w:val="en-US"/>
              </w:rPr>
              <w:t>133.49 (127.21, 140.07)</w:t>
            </w:r>
          </w:p>
        </w:tc>
        <w:tc>
          <w:tcPr>
            <w:tcW w:w="1632" w:type="dxa"/>
          </w:tcPr>
          <w:p w14:paraId="4482DB05" w14:textId="77777777" w:rsidR="00474747" w:rsidRPr="00F930D1" w:rsidRDefault="00474747" w:rsidP="009F12FA">
            <w:pPr>
              <w:spacing w:line="480" w:lineRule="auto"/>
              <w:jc w:val="center"/>
              <w:rPr>
                <w:sz w:val="24"/>
                <w:szCs w:val="24"/>
                <w:lang w:val="en-US"/>
              </w:rPr>
            </w:pPr>
            <w:r w:rsidRPr="00F930D1">
              <w:rPr>
                <w:sz w:val="24"/>
                <w:szCs w:val="24"/>
                <w:lang w:val="en-US"/>
              </w:rPr>
              <w:t>107.45 (96.33, 119.86)</w:t>
            </w:r>
          </w:p>
        </w:tc>
        <w:tc>
          <w:tcPr>
            <w:tcW w:w="236" w:type="dxa"/>
          </w:tcPr>
          <w:p w14:paraId="6B193AB6" w14:textId="77777777" w:rsidR="00474747" w:rsidRPr="00F930D1" w:rsidRDefault="00474747" w:rsidP="009F12FA">
            <w:pPr>
              <w:spacing w:line="480" w:lineRule="auto"/>
              <w:jc w:val="center"/>
              <w:rPr>
                <w:sz w:val="24"/>
                <w:szCs w:val="24"/>
                <w:lang w:val="en-US"/>
              </w:rPr>
            </w:pPr>
          </w:p>
        </w:tc>
        <w:tc>
          <w:tcPr>
            <w:tcW w:w="1468" w:type="dxa"/>
          </w:tcPr>
          <w:p w14:paraId="41EE4789" w14:textId="77777777" w:rsidR="00474747" w:rsidRPr="00F930D1" w:rsidRDefault="00474747" w:rsidP="009F12FA">
            <w:pPr>
              <w:spacing w:line="480" w:lineRule="auto"/>
              <w:jc w:val="center"/>
              <w:rPr>
                <w:sz w:val="24"/>
                <w:szCs w:val="24"/>
                <w:lang w:val="en-US"/>
              </w:rPr>
            </w:pPr>
            <w:r w:rsidRPr="00F930D1">
              <w:rPr>
                <w:sz w:val="24"/>
                <w:szCs w:val="24"/>
                <w:lang w:val="en-US"/>
              </w:rPr>
              <w:t>0.76 (0.67, 0.87)</w:t>
            </w:r>
          </w:p>
        </w:tc>
        <w:tc>
          <w:tcPr>
            <w:tcW w:w="1290" w:type="dxa"/>
          </w:tcPr>
          <w:p w14:paraId="6D3B3081" w14:textId="77777777" w:rsidR="00474747" w:rsidRPr="00F930D1" w:rsidRDefault="00474747" w:rsidP="009F12FA">
            <w:pPr>
              <w:spacing w:line="480" w:lineRule="auto"/>
              <w:jc w:val="center"/>
              <w:rPr>
                <w:sz w:val="24"/>
                <w:szCs w:val="24"/>
                <w:lang w:val="en-US"/>
              </w:rPr>
            </w:pPr>
            <w:r w:rsidRPr="00F930D1">
              <w:rPr>
                <w:sz w:val="24"/>
                <w:szCs w:val="24"/>
                <w:lang w:val="en-US"/>
              </w:rPr>
              <w:t>0.77 (0.67, 0.88)</w:t>
            </w:r>
          </w:p>
        </w:tc>
        <w:tc>
          <w:tcPr>
            <w:tcW w:w="1400" w:type="dxa"/>
          </w:tcPr>
          <w:p w14:paraId="12C0A79F" w14:textId="77777777" w:rsidR="00474747" w:rsidRPr="00F930D1" w:rsidRDefault="00474747" w:rsidP="009F12FA">
            <w:pPr>
              <w:spacing w:line="480" w:lineRule="auto"/>
              <w:jc w:val="center"/>
              <w:rPr>
                <w:sz w:val="24"/>
                <w:szCs w:val="24"/>
                <w:lang w:val="en-US"/>
              </w:rPr>
            </w:pPr>
            <w:r w:rsidRPr="00F930D1">
              <w:rPr>
                <w:sz w:val="24"/>
                <w:szCs w:val="24"/>
                <w:lang w:val="en-US"/>
              </w:rPr>
              <w:t>0.77 (0.67, 0.89)</w:t>
            </w:r>
          </w:p>
        </w:tc>
      </w:tr>
      <w:tr w:rsidR="00474747" w:rsidRPr="00F930D1" w14:paraId="1B55D96B" w14:textId="77777777" w:rsidTr="00537809">
        <w:trPr>
          <w:trHeight w:val="280"/>
        </w:trPr>
        <w:tc>
          <w:tcPr>
            <w:tcW w:w="2625" w:type="dxa"/>
          </w:tcPr>
          <w:p w14:paraId="73434530" w14:textId="77777777" w:rsidR="00474747" w:rsidRPr="00F930D1" w:rsidRDefault="00474747" w:rsidP="009F12FA">
            <w:pPr>
              <w:spacing w:line="480" w:lineRule="auto"/>
              <w:rPr>
                <w:sz w:val="24"/>
                <w:szCs w:val="24"/>
                <w:lang w:val="en-US"/>
              </w:rPr>
            </w:pPr>
          </w:p>
        </w:tc>
        <w:tc>
          <w:tcPr>
            <w:tcW w:w="1708" w:type="dxa"/>
          </w:tcPr>
          <w:p w14:paraId="76C23D3E" w14:textId="77777777" w:rsidR="00474747" w:rsidRPr="00F930D1" w:rsidRDefault="00474747" w:rsidP="009F12FA">
            <w:pPr>
              <w:spacing w:line="480" w:lineRule="auto"/>
              <w:jc w:val="center"/>
              <w:rPr>
                <w:sz w:val="24"/>
                <w:szCs w:val="24"/>
                <w:lang w:val="en-US"/>
              </w:rPr>
            </w:pPr>
          </w:p>
        </w:tc>
        <w:tc>
          <w:tcPr>
            <w:tcW w:w="1632" w:type="dxa"/>
          </w:tcPr>
          <w:p w14:paraId="14B468A4" w14:textId="77777777" w:rsidR="00474747" w:rsidRPr="00F930D1" w:rsidRDefault="00474747" w:rsidP="009F12FA">
            <w:pPr>
              <w:spacing w:line="480" w:lineRule="auto"/>
              <w:jc w:val="center"/>
              <w:rPr>
                <w:sz w:val="24"/>
                <w:szCs w:val="24"/>
                <w:lang w:val="en-US"/>
              </w:rPr>
            </w:pPr>
          </w:p>
        </w:tc>
        <w:tc>
          <w:tcPr>
            <w:tcW w:w="236" w:type="dxa"/>
          </w:tcPr>
          <w:p w14:paraId="681F0B75" w14:textId="77777777" w:rsidR="00474747" w:rsidRPr="00F930D1" w:rsidRDefault="00474747" w:rsidP="009F12FA">
            <w:pPr>
              <w:spacing w:line="480" w:lineRule="auto"/>
              <w:jc w:val="center"/>
              <w:rPr>
                <w:sz w:val="24"/>
                <w:szCs w:val="24"/>
                <w:lang w:val="en-US"/>
              </w:rPr>
            </w:pPr>
          </w:p>
        </w:tc>
        <w:tc>
          <w:tcPr>
            <w:tcW w:w="1468" w:type="dxa"/>
          </w:tcPr>
          <w:p w14:paraId="0A0763F8" w14:textId="77777777" w:rsidR="00474747" w:rsidRPr="00F930D1" w:rsidRDefault="00474747" w:rsidP="009F12FA">
            <w:pPr>
              <w:spacing w:line="480" w:lineRule="auto"/>
              <w:jc w:val="center"/>
              <w:rPr>
                <w:sz w:val="24"/>
                <w:szCs w:val="24"/>
                <w:lang w:val="en-US"/>
              </w:rPr>
            </w:pPr>
          </w:p>
        </w:tc>
        <w:tc>
          <w:tcPr>
            <w:tcW w:w="1290" w:type="dxa"/>
          </w:tcPr>
          <w:p w14:paraId="5892DA1D" w14:textId="77777777" w:rsidR="00474747" w:rsidRPr="00F930D1" w:rsidRDefault="00474747" w:rsidP="009F12FA">
            <w:pPr>
              <w:spacing w:line="480" w:lineRule="auto"/>
              <w:jc w:val="center"/>
              <w:rPr>
                <w:sz w:val="24"/>
                <w:szCs w:val="24"/>
                <w:lang w:val="en-US"/>
              </w:rPr>
            </w:pPr>
          </w:p>
        </w:tc>
        <w:tc>
          <w:tcPr>
            <w:tcW w:w="1400" w:type="dxa"/>
          </w:tcPr>
          <w:p w14:paraId="14C66D25" w14:textId="77777777" w:rsidR="00474747" w:rsidRPr="00F930D1" w:rsidRDefault="00474747" w:rsidP="009F12FA">
            <w:pPr>
              <w:spacing w:line="480" w:lineRule="auto"/>
              <w:jc w:val="center"/>
              <w:rPr>
                <w:sz w:val="24"/>
                <w:szCs w:val="24"/>
                <w:lang w:val="en-US"/>
              </w:rPr>
            </w:pPr>
          </w:p>
        </w:tc>
      </w:tr>
      <w:tr w:rsidR="00474747" w:rsidRPr="00F930D1" w14:paraId="7A2ACB2C" w14:textId="77777777" w:rsidTr="00537809">
        <w:trPr>
          <w:trHeight w:val="312"/>
        </w:trPr>
        <w:tc>
          <w:tcPr>
            <w:tcW w:w="2625" w:type="dxa"/>
          </w:tcPr>
          <w:p w14:paraId="4782A175" w14:textId="77777777" w:rsidR="00474747" w:rsidRPr="00F930D1" w:rsidRDefault="00474747" w:rsidP="009F12FA">
            <w:pPr>
              <w:spacing w:line="480" w:lineRule="auto"/>
              <w:rPr>
                <w:sz w:val="24"/>
                <w:szCs w:val="24"/>
                <w:lang w:val="en-US"/>
              </w:rPr>
            </w:pPr>
            <w:r w:rsidRPr="00F930D1">
              <w:rPr>
                <w:sz w:val="24"/>
                <w:szCs w:val="24"/>
                <w:lang w:val="en-US"/>
              </w:rPr>
              <w:t>Models with fasting glucose adjustment</w:t>
            </w:r>
          </w:p>
        </w:tc>
        <w:tc>
          <w:tcPr>
            <w:tcW w:w="1708" w:type="dxa"/>
          </w:tcPr>
          <w:p w14:paraId="7978D932" w14:textId="77777777" w:rsidR="00474747" w:rsidRPr="00F930D1" w:rsidRDefault="00474747" w:rsidP="009F12FA">
            <w:pPr>
              <w:spacing w:line="480" w:lineRule="auto"/>
              <w:jc w:val="center"/>
              <w:rPr>
                <w:sz w:val="24"/>
                <w:szCs w:val="24"/>
                <w:lang w:val="en-US"/>
              </w:rPr>
            </w:pPr>
          </w:p>
        </w:tc>
        <w:tc>
          <w:tcPr>
            <w:tcW w:w="1632" w:type="dxa"/>
          </w:tcPr>
          <w:p w14:paraId="2C314F3F" w14:textId="77777777" w:rsidR="00474747" w:rsidRPr="00F930D1" w:rsidRDefault="00474747" w:rsidP="009F12FA">
            <w:pPr>
              <w:spacing w:line="480" w:lineRule="auto"/>
              <w:jc w:val="center"/>
              <w:rPr>
                <w:sz w:val="24"/>
                <w:szCs w:val="24"/>
                <w:lang w:val="en-US"/>
              </w:rPr>
            </w:pPr>
          </w:p>
        </w:tc>
        <w:tc>
          <w:tcPr>
            <w:tcW w:w="236" w:type="dxa"/>
          </w:tcPr>
          <w:p w14:paraId="7AB9F5EE" w14:textId="77777777" w:rsidR="00474747" w:rsidRPr="00F930D1" w:rsidRDefault="00474747" w:rsidP="009F12FA">
            <w:pPr>
              <w:spacing w:line="480" w:lineRule="auto"/>
              <w:jc w:val="center"/>
              <w:rPr>
                <w:sz w:val="24"/>
                <w:szCs w:val="24"/>
                <w:lang w:val="en-US"/>
              </w:rPr>
            </w:pPr>
          </w:p>
        </w:tc>
        <w:tc>
          <w:tcPr>
            <w:tcW w:w="1468" w:type="dxa"/>
          </w:tcPr>
          <w:p w14:paraId="4B1CA7B1" w14:textId="77777777" w:rsidR="00474747" w:rsidRPr="00F930D1" w:rsidRDefault="00474747" w:rsidP="009F12FA">
            <w:pPr>
              <w:spacing w:line="480" w:lineRule="auto"/>
              <w:jc w:val="center"/>
              <w:rPr>
                <w:sz w:val="24"/>
                <w:szCs w:val="24"/>
                <w:lang w:val="en-US"/>
              </w:rPr>
            </w:pPr>
          </w:p>
        </w:tc>
        <w:tc>
          <w:tcPr>
            <w:tcW w:w="1290" w:type="dxa"/>
          </w:tcPr>
          <w:p w14:paraId="255A1149" w14:textId="77777777" w:rsidR="00474747" w:rsidRPr="00F930D1" w:rsidRDefault="00474747" w:rsidP="009F12FA">
            <w:pPr>
              <w:spacing w:line="480" w:lineRule="auto"/>
              <w:jc w:val="center"/>
              <w:rPr>
                <w:sz w:val="24"/>
                <w:szCs w:val="24"/>
                <w:lang w:val="en-US"/>
              </w:rPr>
            </w:pPr>
          </w:p>
        </w:tc>
        <w:tc>
          <w:tcPr>
            <w:tcW w:w="1400" w:type="dxa"/>
          </w:tcPr>
          <w:p w14:paraId="0B55EB26" w14:textId="77777777" w:rsidR="00474747" w:rsidRPr="00F930D1" w:rsidRDefault="00474747" w:rsidP="009F12FA">
            <w:pPr>
              <w:spacing w:line="480" w:lineRule="auto"/>
              <w:jc w:val="center"/>
              <w:rPr>
                <w:sz w:val="24"/>
                <w:szCs w:val="24"/>
                <w:lang w:val="en-US"/>
              </w:rPr>
            </w:pPr>
          </w:p>
        </w:tc>
      </w:tr>
      <w:tr w:rsidR="00474747" w:rsidRPr="00F930D1" w14:paraId="1243DB63" w14:textId="77777777" w:rsidTr="00537809">
        <w:trPr>
          <w:trHeight w:val="312"/>
        </w:trPr>
        <w:tc>
          <w:tcPr>
            <w:tcW w:w="2625" w:type="dxa"/>
          </w:tcPr>
          <w:p w14:paraId="56C143EE" w14:textId="77777777" w:rsidR="00474747" w:rsidRPr="00F930D1" w:rsidRDefault="00474747" w:rsidP="009F12FA">
            <w:pPr>
              <w:spacing w:line="480" w:lineRule="auto"/>
              <w:rPr>
                <w:sz w:val="24"/>
                <w:szCs w:val="24"/>
                <w:lang w:val="en-US"/>
              </w:rPr>
            </w:pPr>
            <w:r w:rsidRPr="00F930D1">
              <w:rPr>
                <w:sz w:val="24"/>
                <w:szCs w:val="24"/>
                <w:lang w:val="en-US"/>
              </w:rPr>
              <w:t xml:space="preserve">  HOMA2-IR </w:t>
            </w:r>
          </w:p>
        </w:tc>
        <w:tc>
          <w:tcPr>
            <w:tcW w:w="1708" w:type="dxa"/>
          </w:tcPr>
          <w:p w14:paraId="4F57DF58" w14:textId="77777777" w:rsidR="00474747" w:rsidRPr="00F930D1" w:rsidRDefault="00474747" w:rsidP="009F12FA">
            <w:pPr>
              <w:spacing w:line="480" w:lineRule="auto"/>
              <w:jc w:val="center"/>
              <w:rPr>
                <w:sz w:val="24"/>
                <w:szCs w:val="24"/>
                <w:lang w:val="en-US"/>
              </w:rPr>
            </w:pPr>
            <w:r w:rsidRPr="00F930D1">
              <w:rPr>
                <w:sz w:val="24"/>
                <w:szCs w:val="24"/>
                <w:lang w:val="en-US"/>
              </w:rPr>
              <w:t>-</w:t>
            </w:r>
          </w:p>
        </w:tc>
        <w:tc>
          <w:tcPr>
            <w:tcW w:w="1632" w:type="dxa"/>
          </w:tcPr>
          <w:p w14:paraId="792023A8" w14:textId="77777777" w:rsidR="00474747" w:rsidRPr="00F930D1" w:rsidRDefault="00474747" w:rsidP="009F12FA">
            <w:pPr>
              <w:spacing w:line="480" w:lineRule="auto"/>
              <w:jc w:val="center"/>
              <w:rPr>
                <w:sz w:val="24"/>
                <w:szCs w:val="24"/>
                <w:lang w:val="en-US"/>
              </w:rPr>
            </w:pPr>
            <w:r w:rsidRPr="00F930D1">
              <w:rPr>
                <w:sz w:val="24"/>
                <w:szCs w:val="24"/>
                <w:lang w:val="en-US"/>
              </w:rPr>
              <w:t>-</w:t>
            </w:r>
          </w:p>
        </w:tc>
        <w:tc>
          <w:tcPr>
            <w:tcW w:w="236" w:type="dxa"/>
          </w:tcPr>
          <w:p w14:paraId="6104EB6D" w14:textId="77777777" w:rsidR="00474747" w:rsidRPr="00F930D1" w:rsidRDefault="00474747" w:rsidP="009F12FA">
            <w:pPr>
              <w:spacing w:line="480" w:lineRule="auto"/>
              <w:jc w:val="center"/>
              <w:rPr>
                <w:sz w:val="24"/>
                <w:szCs w:val="24"/>
                <w:lang w:val="en-US"/>
              </w:rPr>
            </w:pPr>
          </w:p>
        </w:tc>
        <w:tc>
          <w:tcPr>
            <w:tcW w:w="1468" w:type="dxa"/>
          </w:tcPr>
          <w:p w14:paraId="14C89722" w14:textId="77777777" w:rsidR="00474747" w:rsidRPr="00F930D1" w:rsidRDefault="00474747" w:rsidP="009F12FA">
            <w:pPr>
              <w:spacing w:line="480" w:lineRule="auto"/>
              <w:jc w:val="center"/>
              <w:rPr>
                <w:sz w:val="24"/>
                <w:szCs w:val="24"/>
                <w:lang w:val="en-US"/>
              </w:rPr>
            </w:pPr>
            <w:r w:rsidRPr="00F930D1">
              <w:rPr>
                <w:sz w:val="24"/>
                <w:szCs w:val="24"/>
                <w:lang w:val="en-US"/>
              </w:rPr>
              <w:t>0.71 (0.59, 0.86)</w:t>
            </w:r>
          </w:p>
        </w:tc>
        <w:tc>
          <w:tcPr>
            <w:tcW w:w="1290" w:type="dxa"/>
          </w:tcPr>
          <w:p w14:paraId="6E5AA15B" w14:textId="77777777" w:rsidR="00474747" w:rsidRPr="00F930D1" w:rsidRDefault="00474747" w:rsidP="009F12FA">
            <w:pPr>
              <w:spacing w:line="480" w:lineRule="auto"/>
              <w:jc w:val="center"/>
              <w:rPr>
                <w:sz w:val="24"/>
                <w:szCs w:val="24"/>
                <w:lang w:val="en-US"/>
              </w:rPr>
            </w:pPr>
            <w:r w:rsidRPr="00F930D1">
              <w:rPr>
                <w:sz w:val="24"/>
                <w:szCs w:val="24"/>
                <w:lang w:val="en-US"/>
              </w:rPr>
              <w:t>0.72 (0.59, 0.88)</w:t>
            </w:r>
          </w:p>
        </w:tc>
        <w:tc>
          <w:tcPr>
            <w:tcW w:w="1400" w:type="dxa"/>
          </w:tcPr>
          <w:p w14:paraId="25ED0E21" w14:textId="77777777" w:rsidR="00474747" w:rsidRPr="00F930D1" w:rsidRDefault="00474747" w:rsidP="009F12FA">
            <w:pPr>
              <w:spacing w:line="480" w:lineRule="auto"/>
              <w:jc w:val="center"/>
              <w:rPr>
                <w:sz w:val="24"/>
                <w:szCs w:val="24"/>
                <w:lang w:val="en-US"/>
              </w:rPr>
            </w:pPr>
            <w:r w:rsidRPr="00F930D1">
              <w:rPr>
                <w:sz w:val="24"/>
                <w:szCs w:val="24"/>
                <w:lang w:val="en-US"/>
              </w:rPr>
              <w:t>0.73 (0.60, 0.89)</w:t>
            </w:r>
          </w:p>
        </w:tc>
      </w:tr>
      <w:tr w:rsidR="00474747" w:rsidRPr="00F930D1" w14:paraId="30C57824" w14:textId="77777777" w:rsidTr="00537809">
        <w:trPr>
          <w:trHeight w:val="280"/>
        </w:trPr>
        <w:tc>
          <w:tcPr>
            <w:tcW w:w="2625" w:type="dxa"/>
          </w:tcPr>
          <w:p w14:paraId="50441ECF" w14:textId="77777777" w:rsidR="00474747" w:rsidRPr="00F930D1" w:rsidRDefault="00474747" w:rsidP="009F12FA">
            <w:pPr>
              <w:spacing w:line="480" w:lineRule="auto"/>
              <w:rPr>
                <w:sz w:val="24"/>
                <w:szCs w:val="24"/>
                <w:lang w:val="en-US"/>
              </w:rPr>
            </w:pPr>
            <w:r w:rsidRPr="00F930D1">
              <w:rPr>
                <w:sz w:val="24"/>
                <w:szCs w:val="24"/>
                <w:lang w:val="en-US"/>
              </w:rPr>
              <w:t xml:space="preserve">  HOMA2-%B </w:t>
            </w:r>
          </w:p>
        </w:tc>
        <w:tc>
          <w:tcPr>
            <w:tcW w:w="1708" w:type="dxa"/>
          </w:tcPr>
          <w:p w14:paraId="605ECDBA" w14:textId="77777777" w:rsidR="00474747" w:rsidRPr="00F930D1" w:rsidRDefault="00474747" w:rsidP="009F12FA">
            <w:pPr>
              <w:spacing w:line="480" w:lineRule="auto"/>
              <w:jc w:val="center"/>
              <w:rPr>
                <w:sz w:val="24"/>
                <w:szCs w:val="24"/>
                <w:lang w:val="en-US"/>
              </w:rPr>
            </w:pPr>
            <w:r w:rsidRPr="00F930D1">
              <w:rPr>
                <w:sz w:val="24"/>
                <w:szCs w:val="24"/>
                <w:lang w:val="en-US"/>
              </w:rPr>
              <w:t>-</w:t>
            </w:r>
          </w:p>
        </w:tc>
        <w:tc>
          <w:tcPr>
            <w:tcW w:w="1632" w:type="dxa"/>
          </w:tcPr>
          <w:p w14:paraId="3007534E" w14:textId="77777777" w:rsidR="00474747" w:rsidRPr="00F930D1" w:rsidRDefault="00474747" w:rsidP="009F12FA">
            <w:pPr>
              <w:spacing w:line="480" w:lineRule="auto"/>
              <w:jc w:val="center"/>
              <w:rPr>
                <w:sz w:val="24"/>
                <w:szCs w:val="24"/>
                <w:lang w:val="en-US"/>
              </w:rPr>
            </w:pPr>
            <w:r w:rsidRPr="00F930D1">
              <w:rPr>
                <w:sz w:val="24"/>
                <w:szCs w:val="24"/>
                <w:lang w:val="en-US"/>
              </w:rPr>
              <w:t>-</w:t>
            </w:r>
          </w:p>
        </w:tc>
        <w:tc>
          <w:tcPr>
            <w:tcW w:w="236" w:type="dxa"/>
          </w:tcPr>
          <w:p w14:paraId="24139F0B" w14:textId="77777777" w:rsidR="00474747" w:rsidRPr="00F930D1" w:rsidRDefault="00474747" w:rsidP="009F12FA">
            <w:pPr>
              <w:spacing w:line="480" w:lineRule="auto"/>
              <w:jc w:val="center"/>
              <w:rPr>
                <w:sz w:val="24"/>
                <w:szCs w:val="24"/>
                <w:lang w:val="en-US"/>
              </w:rPr>
            </w:pPr>
          </w:p>
        </w:tc>
        <w:tc>
          <w:tcPr>
            <w:tcW w:w="1468" w:type="dxa"/>
          </w:tcPr>
          <w:p w14:paraId="1FC93C52" w14:textId="77777777" w:rsidR="00474747" w:rsidRPr="00F930D1" w:rsidRDefault="00474747" w:rsidP="009F12FA">
            <w:pPr>
              <w:spacing w:line="480" w:lineRule="auto"/>
              <w:jc w:val="center"/>
              <w:rPr>
                <w:sz w:val="24"/>
                <w:szCs w:val="24"/>
                <w:lang w:val="en-US"/>
              </w:rPr>
            </w:pPr>
            <w:r w:rsidRPr="00F930D1">
              <w:rPr>
                <w:sz w:val="24"/>
                <w:szCs w:val="24"/>
                <w:lang w:val="en-US"/>
              </w:rPr>
              <w:t>0.79 (0.70, 0.90)</w:t>
            </w:r>
          </w:p>
        </w:tc>
        <w:tc>
          <w:tcPr>
            <w:tcW w:w="1290" w:type="dxa"/>
          </w:tcPr>
          <w:p w14:paraId="061BC8AB" w14:textId="77777777" w:rsidR="00474747" w:rsidRPr="00F930D1" w:rsidRDefault="00474747" w:rsidP="009F12FA">
            <w:pPr>
              <w:spacing w:line="480" w:lineRule="auto"/>
              <w:jc w:val="center"/>
              <w:rPr>
                <w:sz w:val="24"/>
                <w:szCs w:val="24"/>
                <w:lang w:val="en-US"/>
              </w:rPr>
            </w:pPr>
            <w:r w:rsidRPr="00F930D1">
              <w:rPr>
                <w:sz w:val="24"/>
                <w:szCs w:val="24"/>
                <w:lang w:val="en-US"/>
              </w:rPr>
              <w:t>0.80 (0.70, 0.92)</w:t>
            </w:r>
          </w:p>
        </w:tc>
        <w:tc>
          <w:tcPr>
            <w:tcW w:w="1400" w:type="dxa"/>
          </w:tcPr>
          <w:p w14:paraId="72EE0868" w14:textId="77777777" w:rsidR="00474747" w:rsidRPr="00F930D1" w:rsidRDefault="00474747" w:rsidP="009F12FA">
            <w:pPr>
              <w:spacing w:line="480" w:lineRule="auto"/>
              <w:jc w:val="center"/>
              <w:rPr>
                <w:sz w:val="24"/>
                <w:szCs w:val="24"/>
                <w:lang w:val="en-US"/>
              </w:rPr>
            </w:pPr>
            <w:r w:rsidRPr="00F930D1">
              <w:rPr>
                <w:sz w:val="24"/>
                <w:szCs w:val="24"/>
                <w:lang w:val="en-US"/>
              </w:rPr>
              <w:t>0.80 (0.70, 0.92)</w:t>
            </w:r>
          </w:p>
        </w:tc>
      </w:tr>
      <w:tr w:rsidR="00474747" w:rsidRPr="00F930D1" w14:paraId="6BE948AC" w14:textId="77777777" w:rsidTr="00537809">
        <w:trPr>
          <w:trHeight w:val="312"/>
        </w:trPr>
        <w:tc>
          <w:tcPr>
            <w:tcW w:w="2625" w:type="dxa"/>
          </w:tcPr>
          <w:p w14:paraId="229EC862" w14:textId="77777777" w:rsidR="00474747" w:rsidRPr="00F930D1" w:rsidRDefault="00474747" w:rsidP="009F12FA">
            <w:pPr>
              <w:spacing w:line="480" w:lineRule="auto"/>
              <w:rPr>
                <w:sz w:val="24"/>
                <w:szCs w:val="24"/>
                <w:lang w:val="en-US"/>
              </w:rPr>
            </w:pPr>
            <w:r w:rsidRPr="00F930D1">
              <w:rPr>
                <w:sz w:val="24"/>
                <w:szCs w:val="24"/>
                <w:lang w:val="en-US"/>
              </w:rPr>
              <w:t xml:space="preserve">Models with fasting insulin adjustment  </w:t>
            </w:r>
          </w:p>
        </w:tc>
        <w:tc>
          <w:tcPr>
            <w:tcW w:w="1708" w:type="dxa"/>
          </w:tcPr>
          <w:p w14:paraId="407A2022" w14:textId="77777777" w:rsidR="00474747" w:rsidRPr="00F930D1" w:rsidRDefault="00474747" w:rsidP="009F12FA">
            <w:pPr>
              <w:spacing w:line="480" w:lineRule="auto"/>
              <w:jc w:val="center"/>
              <w:rPr>
                <w:sz w:val="24"/>
                <w:szCs w:val="24"/>
                <w:lang w:val="en-US"/>
              </w:rPr>
            </w:pPr>
          </w:p>
        </w:tc>
        <w:tc>
          <w:tcPr>
            <w:tcW w:w="1632" w:type="dxa"/>
          </w:tcPr>
          <w:p w14:paraId="282F8B99" w14:textId="77777777" w:rsidR="00474747" w:rsidRPr="00F930D1" w:rsidRDefault="00474747" w:rsidP="009F12FA">
            <w:pPr>
              <w:spacing w:line="480" w:lineRule="auto"/>
              <w:jc w:val="center"/>
              <w:rPr>
                <w:sz w:val="24"/>
                <w:szCs w:val="24"/>
                <w:lang w:val="en-US"/>
              </w:rPr>
            </w:pPr>
          </w:p>
        </w:tc>
        <w:tc>
          <w:tcPr>
            <w:tcW w:w="236" w:type="dxa"/>
          </w:tcPr>
          <w:p w14:paraId="430B3EDA" w14:textId="77777777" w:rsidR="00474747" w:rsidRPr="00F930D1" w:rsidRDefault="00474747" w:rsidP="009F12FA">
            <w:pPr>
              <w:spacing w:line="480" w:lineRule="auto"/>
              <w:jc w:val="center"/>
              <w:rPr>
                <w:sz w:val="24"/>
                <w:szCs w:val="24"/>
                <w:lang w:val="en-US"/>
              </w:rPr>
            </w:pPr>
          </w:p>
        </w:tc>
        <w:tc>
          <w:tcPr>
            <w:tcW w:w="1468" w:type="dxa"/>
          </w:tcPr>
          <w:p w14:paraId="21771BF8" w14:textId="77777777" w:rsidR="00474747" w:rsidRPr="00F930D1" w:rsidRDefault="00474747" w:rsidP="009F12FA">
            <w:pPr>
              <w:spacing w:line="480" w:lineRule="auto"/>
              <w:jc w:val="center"/>
              <w:rPr>
                <w:sz w:val="24"/>
                <w:szCs w:val="24"/>
                <w:lang w:val="en-US"/>
              </w:rPr>
            </w:pPr>
          </w:p>
        </w:tc>
        <w:tc>
          <w:tcPr>
            <w:tcW w:w="1290" w:type="dxa"/>
          </w:tcPr>
          <w:p w14:paraId="7178CCB6" w14:textId="77777777" w:rsidR="00474747" w:rsidRPr="00F930D1" w:rsidRDefault="00474747" w:rsidP="009F12FA">
            <w:pPr>
              <w:spacing w:line="480" w:lineRule="auto"/>
              <w:jc w:val="center"/>
              <w:rPr>
                <w:sz w:val="24"/>
                <w:szCs w:val="24"/>
                <w:lang w:val="en-US"/>
              </w:rPr>
            </w:pPr>
          </w:p>
        </w:tc>
        <w:tc>
          <w:tcPr>
            <w:tcW w:w="1400" w:type="dxa"/>
          </w:tcPr>
          <w:p w14:paraId="4252573B" w14:textId="77777777" w:rsidR="00474747" w:rsidRPr="00F930D1" w:rsidRDefault="00474747" w:rsidP="009F12FA">
            <w:pPr>
              <w:spacing w:line="480" w:lineRule="auto"/>
              <w:jc w:val="center"/>
              <w:rPr>
                <w:sz w:val="24"/>
                <w:szCs w:val="24"/>
                <w:lang w:val="en-US"/>
              </w:rPr>
            </w:pPr>
          </w:p>
        </w:tc>
      </w:tr>
      <w:tr w:rsidR="00474747" w:rsidRPr="00F930D1" w14:paraId="596FF90F" w14:textId="77777777" w:rsidTr="00537809">
        <w:trPr>
          <w:trHeight w:val="280"/>
        </w:trPr>
        <w:tc>
          <w:tcPr>
            <w:tcW w:w="2625" w:type="dxa"/>
          </w:tcPr>
          <w:p w14:paraId="6F95F14E" w14:textId="77777777" w:rsidR="00474747" w:rsidRPr="00F930D1" w:rsidRDefault="00474747" w:rsidP="009F12FA">
            <w:pPr>
              <w:spacing w:line="480" w:lineRule="auto"/>
              <w:rPr>
                <w:sz w:val="24"/>
                <w:szCs w:val="24"/>
                <w:lang w:val="en-US"/>
              </w:rPr>
            </w:pPr>
            <w:r w:rsidRPr="00F930D1">
              <w:rPr>
                <w:sz w:val="24"/>
                <w:szCs w:val="24"/>
                <w:lang w:val="en-US"/>
              </w:rPr>
              <w:t xml:space="preserve">  HOMA2-IR </w:t>
            </w:r>
          </w:p>
        </w:tc>
        <w:tc>
          <w:tcPr>
            <w:tcW w:w="1708" w:type="dxa"/>
          </w:tcPr>
          <w:p w14:paraId="66574315" w14:textId="77777777" w:rsidR="00474747" w:rsidRPr="00F930D1" w:rsidRDefault="00474747" w:rsidP="009F12FA">
            <w:pPr>
              <w:spacing w:line="480" w:lineRule="auto"/>
              <w:jc w:val="center"/>
              <w:rPr>
                <w:sz w:val="24"/>
                <w:szCs w:val="24"/>
                <w:lang w:val="en-US"/>
              </w:rPr>
            </w:pPr>
            <w:r w:rsidRPr="00F930D1">
              <w:rPr>
                <w:sz w:val="24"/>
                <w:szCs w:val="24"/>
                <w:lang w:val="en-US"/>
              </w:rPr>
              <w:t>-</w:t>
            </w:r>
          </w:p>
        </w:tc>
        <w:tc>
          <w:tcPr>
            <w:tcW w:w="1632" w:type="dxa"/>
          </w:tcPr>
          <w:p w14:paraId="3CB55F4F" w14:textId="77777777" w:rsidR="00474747" w:rsidRPr="00F930D1" w:rsidRDefault="00474747" w:rsidP="009F12FA">
            <w:pPr>
              <w:spacing w:line="480" w:lineRule="auto"/>
              <w:jc w:val="center"/>
              <w:rPr>
                <w:sz w:val="24"/>
                <w:szCs w:val="24"/>
                <w:lang w:val="en-US"/>
              </w:rPr>
            </w:pPr>
            <w:r w:rsidRPr="00F930D1">
              <w:rPr>
                <w:sz w:val="24"/>
                <w:szCs w:val="24"/>
                <w:lang w:val="en-US"/>
              </w:rPr>
              <w:t>-</w:t>
            </w:r>
          </w:p>
        </w:tc>
        <w:tc>
          <w:tcPr>
            <w:tcW w:w="236" w:type="dxa"/>
          </w:tcPr>
          <w:p w14:paraId="15163C02" w14:textId="77777777" w:rsidR="00474747" w:rsidRPr="00F930D1" w:rsidRDefault="00474747" w:rsidP="009F12FA">
            <w:pPr>
              <w:spacing w:line="480" w:lineRule="auto"/>
              <w:jc w:val="center"/>
              <w:rPr>
                <w:sz w:val="24"/>
                <w:szCs w:val="24"/>
                <w:lang w:val="en-US"/>
              </w:rPr>
            </w:pPr>
          </w:p>
        </w:tc>
        <w:tc>
          <w:tcPr>
            <w:tcW w:w="1468" w:type="dxa"/>
          </w:tcPr>
          <w:p w14:paraId="1108D832" w14:textId="77777777" w:rsidR="00474747" w:rsidRPr="00F930D1" w:rsidRDefault="00474747" w:rsidP="009F12FA">
            <w:pPr>
              <w:spacing w:line="480" w:lineRule="auto"/>
              <w:jc w:val="center"/>
              <w:rPr>
                <w:sz w:val="24"/>
                <w:szCs w:val="24"/>
                <w:lang w:val="en-US"/>
              </w:rPr>
            </w:pPr>
            <w:r w:rsidRPr="00F930D1">
              <w:rPr>
                <w:sz w:val="24"/>
                <w:szCs w:val="24"/>
                <w:lang w:val="en-US"/>
              </w:rPr>
              <w:t>1.01 (1.00, 1.03)</w:t>
            </w:r>
          </w:p>
        </w:tc>
        <w:tc>
          <w:tcPr>
            <w:tcW w:w="1290" w:type="dxa"/>
          </w:tcPr>
          <w:p w14:paraId="1B5AA3DF" w14:textId="77777777" w:rsidR="00474747" w:rsidRPr="00F930D1" w:rsidRDefault="00474747" w:rsidP="009F12FA">
            <w:pPr>
              <w:spacing w:line="480" w:lineRule="auto"/>
              <w:jc w:val="center"/>
              <w:rPr>
                <w:sz w:val="24"/>
                <w:szCs w:val="24"/>
                <w:lang w:val="en-US"/>
              </w:rPr>
            </w:pPr>
            <w:r w:rsidRPr="00F930D1">
              <w:rPr>
                <w:sz w:val="24"/>
                <w:szCs w:val="24"/>
                <w:lang w:val="en-US"/>
              </w:rPr>
              <w:t>1.01 (1.00, 1.03)</w:t>
            </w:r>
          </w:p>
        </w:tc>
        <w:tc>
          <w:tcPr>
            <w:tcW w:w="1400" w:type="dxa"/>
          </w:tcPr>
          <w:p w14:paraId="7F4D7434" w14:textId="77777777" w:rsidR="00474747" w:rsidRPr="00F930D1" w:rsidRDefault="00474747" w:rsidP="009F12FA">
            <w:pPr>
              <w:spacing w:line="480" w:lineRule="auto"/>
              <w:jc w:val="center"/>
              <w:rPr>
                <w:sz w:val="24"/>
                <w:szCs w:val="24"/>
                <w:lang w:val="en-US"/>
              </w:rPr>
            </w:pPr>
            <w:r w:rsidRPr="00F930D1">
              <w:rPr>
                <w:sz w:val="24"/>
                <w:szCs w:val="24"/>
                <w:lang w:val="en-US"/>
              </w:rPr>
              <w:t>1.02 (1.00, 1.03)</w:t>
            </w:r>
          </w:p>
        </w:tc>
      </w:tr>
      <w:tr w:rsidR="00474747" w:rsidRPr="00F930D1" w14:paraId="4EC7C5A1" w14:textId="77777777" w:rsidTr="00537809">
        <w:trPr>
          <w:trHeight w:val="312"/>
        </w:trPr>
        <w:tc>
          <w:tcPr>
            <w:tcW w:w="2625" w:type="dxa"/>
          </w:tcPr>
          <w:p w14:paraId="37B28C31" w14:textId="77777777" w:rsidR="00474747" w:rsidRPr="00F930D1" w:rsidRDefault="00474747" w:rsidP="009F12FA">
            <w:pPr>
              <w:spacing w:line="480" w:lineRule="auto"/>
              <w:rPr>
                <w:sz w:val="24"/>
                <w:szCs w:val="24"/>
                <w:lang w:val="en-US"/>
              </w:rPr>
            </w:pPr>
            <w:r w:rsidRPr="00F930D1">
              <w:rPr>
                <w:sz w:val="24"/>
                <w:szCs w:val="24"/>
                <w:lang w:val="en-US"/>
              </w:rPr>
              <w:t xml:space="preserve">  HOMA2-%B </w:t>
            </w:r>
          </w:p>
        </w:tc>
        <w:tc>
          <w:tcPr>
            <w:tcW w:w="1708" w:type="dxa"/>
          </w:tcPr>
          <w:p w14:paraId="57B9022D" w14:textId="77777777" w:rsidR="00474747" w:rsidRPr="00F930D1" w:rsidRDefault="00474747" w:rsidP="009F12FA">
            <w:pPr>
              <w:spacing w:line="480" w:lineRule="auto"/>
              <w:jc w:val="center"/>
              <w:rPr>
                <w:sz w:val="24"/>
                <w:szCs w:val="24"/>
                <w:lang w:val="en-US"/>
              </w:rPr>
            </w:pPr>
            <w:r w:rsidRPr="00F930D1">
              <w:rPr>
                <w:sz w:val="24"/>
                <w:szCs w:val="24"/>
                <w:lang w:val="en-US"/>
              </w:rPr>
              <w:t>-</w:t>
            </w:r>
          </w:p>
        </w:tc>
        <w:tc>
          <w:tcPr>
            <w:tcW w:w="1632" w:type="dxa"/>
          </w:tcPr>
          <w:p w14:paraId="6F955209" w14:textId="77777777" w:rsidR="00474747" w:rsidRPr="00F930D1" w:rsidRDefault="00474747" w:rsidP="009F12FA">
            <w:pPr>
              <w:spacing w:line="480" w:lineRule="auto"/>
              <w:jc w:val="center"/>
              <w:rPr>
                <w:sz w:val="24"/>
                <w:szCs w:val="24"/>
                <w:lang w:val="en-US"/>
              </w:rPr>
            </w:pPr>
            <w:r w:rsidRPr="00F930D1">
              <w:rPr>
                <w:sz w:val="24"/>
                <w:szCs w:val="24"/>
                <w:lang w:val="en-US"/>
              </w:rPr>
              <w:t>-</w:t>
            </w:r>
          </w:p>
        </w:tc>
        <w:tc>
          <w:tcPr>
            <w:tcW w:w="236" w:type="dxa"/>
          </w:tcPr>
          <w:p w14:paraId="4E790D5E" w14:textId="77777777" w:rsidR="00474747" w:rsidRPr="00F930D1" w:rsidRDefault="00474747" w:rsidP="009F12FA">
            <w:pPr>
              <w:spacing w:line="480" w:lineRule="auto"/>
              <w:jc w:val="center"/>
              <w:rPr>
                <w:sz w:val="24"/>
                <w:szCs w:val="24"/>
                <w:lang w:val="en-US"/>
              </w:rPr>
            </w:pPr>
          </w:p>
        </w:tc>
        <w:tc>
          <w:tcPr>
            <w:tcW w:w="1468" w:type="dxa"/>
          </w:tcPr>
          <w:p w14:paraId="1502B0C8" w14:textId="77777777" w:rsidR="00474747" w:rsidRPr="00F930D1" w:rsidRDefault="00474747" w:rsidP="009F12FA">
            <w:pPr>
              <w:spacing w:line="480" w:lineRule="auto"/>
              <w:jc w:val="center"/>
              <w:rPr>
                <w:sz w:val="24"/>
                <w:szCs w:val="24"/>
                <w:lang w:val="en-US"/>
              </w:rPr>
            </w:pPr>
            <w:r w:rsidRPr="00F930D1">
              <w:rPr>
                <w:sz w:val="24"/>
                <w:szCs w:val="24"/>
                <w:lang w:val="en-US"/>
              </w:rPr>
              <w:t>0.89 (0.83, 0.95)</w:t>
            </w:r>
          </w:p>
        </w:tc>
        <w:tc>
          <w:tcPr>
            <w:tcW w:w="1290" w:type="dxa"/>
          </w:tcPr>
          <w:p w14:paraId="2344B622" w14:textId="77777777" w:rsidR="00474747" w:rsidRPr="00F930D1" w:rsidRDefault="00474747" w:rsidP="009F12FA">
            <w:pPr>
              <w:spacing w:line="480" w:lineRule="auto"/>
              <w:jc w:val="center"/>
              <w:rPr>
                <w:sz w:val="24"/>
                <w:szCs w:val="24"/>
                <w:lang w:val="en-US"/>
              </w:rPr>
            </w:pPr>
            <w:r w:rsidRPr="00F930D1">
              <w:rPr>
                <w:sz w:val="24"/>
                <w:szCs w:val="24"/>
                <w:lang w:val="en-US"/>
              </w:rPr>
              <w:t>0.90 (0.84, 0.96)</w:t>
            </w:r>
          </w:p>
        </w:tc>
        <w:tc>
          <w:tcPr>
            <w:tcW w:w="1400" w:type="dxa"/>
          </w:tcPr>
          <w:p w14:paraId="1E0C0926" w14:textId="77777777" w:rsidR="00474747" w:rsidRPr="00F930D1" w:rsidRDefault="00474747" w:rsidP="009F12FA">
            <w:pPr>
              <w:spacing w:line="480" w:lineRule="auto"/>
              <w:jc w:val="center"/>
              <w:rPr>
                <w:sz w:val="24"/>
                <w:szCs w:val="24"/>
                <w:lang w:val="en-US"/>
              </w:rPr>
            </w:pPr>
            <w:r w:rsidRPr="00F930D1">
              <w:rPr>
                <w:sz w:val="24"/>
                <w:szCs w:val="24"/>
                <w:lang w:val="en-US"/>
              </w:rPr>
              <w:t>0.90 (0.84, 0.96)</w:t>
            </w:r>
          </w:p>
        </w:tc>
      </w:tr>
      <w:tr w:rsidR="00474747" w:rsidRPr="00F930D1" w14:paraId="18C53FFE" w14:textId="77777777" w:rsidTr="00537809">
        <w:trPr>
          <w:trHeight w:val="312"/>
        </w:trPr>
        <w:tc>
          <w:tcPr>
            <w:tcW w:w="2625" w:type="dxa"/>
          </w:tcPr>
          <w:p w14:paraId="60F58E9F" w14:textId="77777777" w:rsidR="00474747" w:rsidRPr="00F930D1" w:rsidRDefault="00474747" w:rsidP="009F12FA">
            <w:pPr>
              <w:spacing w:line="480" w:lineRule="auto"/>
              <w:ind w:firstLine="240"/>
              <w:rPr>
                <w:sz w:val="24"/>
                <w:szCs w:val="24"/>
                <w:lang w:val="en-US"/>
              </w:rPr>
            </w:pPr>
          </w:p>
        </w:tc>
        <w:tc>
          <w:tcPr>
            <w:tcW w:w="1708" w:type="dxa"/>
            <w:tcBorders>
              <w:bottom w:val="nil"/>
            </w:tcBorders>
          </w:tcPr>
          <w:p w14:paraId="476D617F" w14:textId="77777777" w:rsidR="00474747" w:rsidRPr="00F930D1" w:rsidRDefault="00474747" w:rsidP="009F12FA">
            <w:pPr>
              <w:spacing w:line="480" w:lineRule="auto"/>
              <w:jc w:val="center"/>
              <w:rPr>
                <w:sz w:val="24"/>
                <w:szCs w:val="24"/>
                <w:lang w:val="en-US"/>
              </w:rPr>
            </w:pPr>
          </w:p>
        </w:tc>
        <w:tc>
          <w:tcPr>
            <w:tcW w:w="1632" w:type="dxa"/>
            <w:tcBorders>
              <w:bottom w:val="nil"/>
            </w:tcBorders>
          </w:tcPr>
          <w:p w14:paraId="4A422904" w14:textId="77777777" w:rsidR="00474747" w:rsidRPr="00F930D1" w:rsidRDefault="00474747" w:rsidP="009F12FA">
            <w:pPr>
              <w:spacing w:line="480" w:lineRule="auto"/>
              <w:jc w:val="center"/>
              <w:rPr>
                <w:sz w:val="24"/>
                <w:szCs w:val="24"/>
                <w:lang w:val="en-US"/>
              </w:rPr>
            </w:pPr>
          </w:p>
        </w:tc>
        <w:tc>
          <w:tcPr>
            <w:tcW w:w="236" w:type="dxa"/>
          </w:tcPr>
          <w:p w14:paraId="672C5D29" w14:textId="77777777" w:rsidR="00474747" w:rsidRPr="00F930D1" w:rsidRDefault="00474747" w:rsidP="009F12FA">
            <w:pPr>
              <w:spacing w:line="480" w:lineRule="auto"/>
              <w:jc w:val="center"/>
              <w:rPr>
                <w:sz w:val="24"/>
                <w:szCs w:val="24"/>
                <w:lang w:val="en-US"/>
              </w:rPr>
            </w:pPr>
          </w:p>
        </w:tc>
        <w:tc>
          <w:tcPr>
            <w:tcW w:w="1468" w:type="dxa"/>
            <w:tcBorders>
              <w:bottom w:val="nil"/>
            </w:tcBorders>
          </w:tcPr>
          <w:p w14:paraId="2BFEDE83" w14:textId="77777777" w:rsidR="00474747" w:rsidRPr="00F930D1" w:rsidRDefault="00474747" w:rsidP="009F12FA">
            <w:pPr>
              <w:spacing w:line="480" w:lineRule="auto"/>
              <w:jc w:val="center"/>
              <w:rPr>
                <w:sz w:val="24"/>
                <w:szCs w:val="24"/>
                <w:lang w:val="en-US"/>
              </w:rPr>
            </w:pPr>
          </w:p>
        </w:tc>
        <w:tc>
          <w:tcPr>
            <w:tcW w:w="1290" w:type="dxa"/>
            <w:tcBorders>
              <w:bottom w:val="nil"/>
            </w:tcBorders>
          </w:tcPr>
          <w:p w14:paraId="6BAB21A7" w14:textId="77777777" w:rsidR="00474747" w:rsidRPr="00F930D1" w:rsidRDefault="00474747" w:rsidP="009F12FA">
            <w:pPr>
              <w:spacing w:line="480" w:lineRule="auto"/>
              <w:jc w:val="center"/>
              <w:rPr>
                <w:sz w:val="24"/>
                <w:szCs w:val="24"/>
                <w:lang w:val="en-US"/>
              </w:rPr>
            </w:pPr>
          </w:p>
        </w:tc>
        <w:tc>
          <w:tcPr>
            <w:tcW w:w="1400" w:type="dxa"/>
            <w:tcBorders>
              <w:bottom w:val="nil"/>
            </w:tcBorders>
          </w:tcPr>
          <w:p w14:paraId="1F36EA3F" w14:textId="77777777" w:rsidR="00474747" w:rsidRPr="00F930D1" w:rsidRDefault="00474747" w:rsidP="009F12FA">
            <w:pPr>
              <w:spacing w:line="480" w:lineRule="auto"/>
              <w:jc w:val="center"/>
              <w:rPr>
                <w:sz w:val="24"/>
                <w:szCs w:val="24"/>
                <w:lang w:val="en-US"/>
              </w:rPr>
            </w:pPr>
          </w:p>
        </w:tc>
      </w:tr>
      <w:tr w:rsidR="00474747" w:rsidRPr="00F930D1" w14:paraId="7CE0271A" w14:textId="77777777" w:rsidTr="00537809">
        <w:trPr>
          <w:trHeight w:val="280"/>
        </w:trPr>
        <w:tc>
          <w:tcPr>
            <w:tcW w:w="2625" w:type="dxa"/>
          </w:tcPr>
          <w:p w14:paraId="6234A33A" w14:textId="77777777" w:rsidR="00474747" w:rsidRPr="00F930D1" w:rsidRDefault="00474747" w:rsidP="009F12FA">
            <w:pPr>
              <w:spacing w:line="480" w:lineRule="auto"/>
              <w:rPr>
                <w:sz w:val="24"/>
                <w:szCs w:val="24"/>
                <w:lang w:val="en-US"/>
              </w:rPr>
            </w:pPr>
          </w:p>
        </w:tc>
        <w:tc>
          <w:tcPr>
            <w:tcW w:w="3340" w:type="dxa"/>
            <w:gridSpan w:val="2"/>
            <w:tcBorders>
              <w:top w:val="nil"/>
              <w:bottom w:val="single" w:sz="4" w:space="0" w:color="auto"/>
            </w:tcBorders>
          </w:tcPr>
          <w:p w14:paraId="1866CB81" w14:textId="77777777" w:rsidR="00474747" w:rsidRPr="00F930D1" w:rsidRDefault="00474747" w:rsidP="009F12FA">
            <w:pPr>
              <w:spacing w:line="480" w:lineRule="auto"/>
              <w:jc w:val="center"/>
              <w:rPr>
                <w:b/>
                <w:bCs/>
                <w:sz w:val="24"/>
                <w:szCs w:val="24"/>
                <w:lang w:val="en-US"/>
              </w:rPr>
            </w:pPr>
            <w:r w:rsidRPr="00F930D1">
              <w:rPr>
                <w:b/>
                <w:bCs/>
                <w:sz w:val="24"/>
                <w:szCs w:val="24"/>
                <w:lang w:val="en-US"/>
              </w:rPr>
              <w:t>n (%)</w:t>
            </w:r>
          </w:p>
        </w:tc>
        <w:tc>
          <w:tcPr>
            <w:tcW w:w="236" w:type="dxa"/>
          </w:tcPr>
          <w:p w14:paraId="3A99C8C3" w14:textId="77777777" w:rsidR="00474747" w:rsidRPr="00F930D1" w:rsidRDefault="00474747" w:rsidP="009F12FA">
            <w:pPr>
              <w:spacing w:line="480" w:lineRule="auto"/>
              <w:jc w:val="center"/>
              <w:rPr>
                <w:b/>
                <w:bCs/>
                <w:sz w:val="24"/>
                <w:szCs w:val="24"/>
                <w:lang w:val="en-US"/>
              </w:rPr>
            </w:pPr>
          </w:p>
        </w:tc>
        <w:tc>
          <w:tcPr>
            <w:tcW w:w="4158" w:type="dxa"/>
            <w:gridSpan w:val="3"/>
            <w:tcBorders>
              <w:top w:val="nil"/>
              <w:bottom w:val="single" w:sz="4" w:space="0" w:color="auto"/>
            </w:tcBorders>
          </w:tcPr>
          <w:p w14:paraId="38B7C3D2" w14:textId="77777777" w:rsidR="00474747" w:rsidRPr="00F930D1" w:rsidRDefault="00474747" w:rsidP="009F12FA">
            <w:pPr>
              <w:spacing w:line="480" w:lineRule="auto"/>
              <w:jc w:val="center"/>
              <w:rPr>
                <w:b/>
                <w:bCs/>
                <w:sz w:val="24"/>
                <w:szCs w:val="24"/>
                <w:lang w:val="en-US"/>
              </w:rPr>
            </w:pPr>
            <w:r w:rsidRPr="00F930D1">
              <w:rPr>
                <w:b/>
                <w:bCs/>
                <w:sz w:val="24"/>
                <w:szCs w:val="24"/>
                <w:lang w:val="en-US"/>
              </w:rPr>
              <w:t>Risk Ratio (95% CI)</w:t>
            </w:r>
          </w:p>
        </w:tc>
      </w:tr>
      <w:tr w:rsidR="00474747" w:rsidRPr="00F930D1" w14:paraId="51C64DFE" w14:textId="77777777" w:rsidTr="00537809">
        <w:trPr>
          <w:trHeight w:val="343"/>
        </w:trPr>
        <w:tc>
          <w:tcPr>
            <w:tcW w:w="2625" w:type="dxa"/>
          </w:tcPr>
          <w:p w14:paraId="3E490C27" w14:textId="77777777" w:rsidR="00474747" w:rsidRPr="00F930D1" w:rsidRDefault="00474747" w:rsidP="009F12FA">
            <w:pPr>
              <w:spacing w:line="480" w:lineRule="auto"/>
              <w:rPr>
                <w:sz w:val="24"/>
                <w:szCs w:val="24"/>
                <w:lang w:val="en-US"/>
              </w:rPr>
            </w:pPr>
            <w:r w:rsidRPr="00F930D1">
              <w:rPr>
                <w:sz w:val="24"/>
                <w:szCs w:val="24"/>
                <w:lang w:val="en-US"/>
              </w:rPr>
              <w:t>Gestational diabetes mellitus</w:t>
            </w:r>
          </w:p>
        </w:tc>
        <w:tc>
          <w:tcPr>
            <w:tcW w:w="1708" w:type="dxa"/>
            <w:tcBorders>
              <w:top w:val="single" w:sz="4" w:space="0" w:color="auto"/>
            </w:tcBorders>
          </w:tcPr>
          <w:p w14:paraId="136409D0" w14:textId="77777777" w:rsidR="00474747" w:rsidRPr="00F930D1" w:rsidRDefault="00474747" w:rsidP="009F12FA">
            <w:pPr>
              <w:spacing w:line="480" w:lineRule="auto"/>
              <w:jc w:val="center"/>
              <w:rPr>
                <w:sz w:val="24"/>
                <w:szCs w:val="24"/>
                <w:lang w:val="en-US"/>
              </w:rPr>
            </w:pPr>
            <w:r w:rsidRPr="00F930D1">
              <w:rPr>
                <w:sz w:val="24"/>
                <w:szCs w:val="24"/>
                <w:lang w:val="en-US"/>
              </w:rPr>
              <w:t>38 (15.5)</w:t>
            </w:r>
          </w:p>
        </w:tc>
        <w:tc>
          <w:tcPr>
            <w:tcW w:w="1632" w:type="dxa"/>
            <w:tcBorders>
              <w:top w:val="single" w:sz="4" w:space="0" w:color="auto"/>
            </w:tcBorders>
          </w:tcPr>
          <w:p w14:paraId="7FD93BA3" w14:textId="77777777" w:rsidR="00474747" w:rsidRPr="00F930D1" w:rsidRDefault="00474747" w:rsidP="009F12FA">
            <w:pPr>
              <w:spacing w:line="480" w:lineRule="auto"/>
              <w:jc w:val="center"/>
              <w:rPr>
                <w:sz w:val="24"/>
                <w:szCs w:val="24"/>
                <w:lang w:val="en-US"/>
              </w:rPr>
            </w:pPr>
            <w:r w:rsidRPr="00F930D1">
              <w:rPr>
                <w:sz w:val="24"/>
                <w:szCs w:val="24"/>
                <w:lang w:val="en-US"/>
              </w:rPr>
              <w:t>5 (15.6)</w:t>
            </w:r>
          </w:p>
        </w:tc>
        <w:tc>
          <w:tcPr>
            <w:tcW w:w="236" w:type="dxa"/>
          </w:tcPr>
          <w:p w14:paraId="4BD1DC91" w14:textId="77777777" w:rsidR="00474747" w:rsidRPr="00F930D1" w:rsidRDefault="00474747" w:rsidP="009F12FA">
            <w:pPr>
              <w:spacing w:line="480" w:lineRule="auto"/>
              <w:jc w:val="center"/>
              <w:rPr>
                <w:sz w:val="24"/>
                <w:szCs w:val="24"/>
                <w:lang w:val="en-US"/>
              </w:rPr>
            </w:pPr>
          </w:p>
        </w:tc>
        <w:tc>
          <w:tcPr>
            <w:tcW w:w="1468" w:type="dxa"/>
          </w:tcPr>
          <w:p w14:paraId="4D07865C" w14:textId="77777777" w:rsidR="00474747" w:rsidRPr="00F930D1" w:rsidRDefault="00474747" w:rsidP="009F12FA">
            <w:pPr>
              <w:spacing w:line="480" w:lineRule="auto"/>
              <w:jc w:val="center"/>
              <w:rPr>
                <w:sz w:val="24"/>
                <w:szCs w:val="24"/>
                <w:lang w:val="en-US"/>
              </w:rPr>
            </w:pPr>
            <w:r w:rsidRPr="00F930D1">
              <w:rPr>
                <w:sz w:val="24"/>
                <w:szCs w:val="24"/>
                <w:lang w:val="en-US"/>
              </w:rPr>
              <w:t>1.00 (0.43, 2.30)</w:t>
            </w:r>
          </w:p>
        </w:tc>
        <w:tc>
          <w:tcPr>
            <w:tcW w:w="1290" w:type="dxa"/>
          </w:tcPr>
          <w:p w14:paraId="34BA4F8A" w14:textId="77777777" w:rsidR="00474747" w:rsidRPr="00F930D1" w:rsidRDefault="00474747" w:rsidP="009F12FA">
            <w:pPr>
              <w:spacing w:line="480" w:lineRule="auto"/>
              <w:jc w:val="center"/>
              <w:rPr>
                <w:sz w:val="24"/>
                <w:szCs w:val="24"/>
                <w:lang w:val="en-US"/>
              </w:rPr>
            </w:pPr>
            <w:r w:rsidRPr="00F930D1">
              <w:rPr>
                <w:sz w:val="24"/>
                <w:szCs w:val="24"/>
                <w:lang w:val="en-US"/>
              </w:rPr>
              <w:t>1.07 (0.46, 2.45)</w:t>
            </w:r>
          </w:p>
        </w:tc>
        <w:tc>
          <w:tcPr>
            <w:tcW w:w="1400" w:type="dxa"/>
          </w:tcPr>
          <w:p w14:paraId="6A8A2BFC" w14:textId="77777777" w:rsidR="00474747" w:rsidRPr="00F930D1" w:rsidRDefault="00474747" w:rsidP="009F12FA">
            <w:pPr>
              <w:spacing w:line="480" w:lineRule="auto"/>
              <w:jc w:val="center"/>
              <w:rPr>
                <w:sz w:val="24"/>
                <w:szCs w:val="24"/>
                <w:lang w:val="en-US"/>
              </w:rPr>
            </w:pPr>
            <w:r w:rsidRPr="00F930D1">
              <w:rPr>
                <w:sz w:val="24"/>
                <w:szCs w:val="24"/>
                <w:lang w:val="en-US"/>
              </w:rPr>
              <w:t>1.02 (0.44, 2.39)</w:t>
            </w:r>
          </w:p>
        </w:tc>
      </w:tr>
    </w:tbl>
    <w:p w14:paraId="3FAAF53F" w14:textId="77777777" w:rsidR="00474747" w:rsidRPr="00F930D1" w:rsidRDefault="00474747" w:rsidP="009F12FA">
      <w:pPr>
        <w:spacing w:line="480" w:lineRule="auto"/>
        <w:rPr>
          <w:lang w:val="en-US"/>
        </w:rPr>
      </w:pPr>
      <w:r w:rsidRPr="00F930D1">
        <w:rPr>
          <w:lang w:val="en-US"/>
        </w:rPr>
        <w:t>Data were analyzed using multiple linear regression models for log</w:t>
      </w:r>
      <w:r w:rsidRPr="00F930D1">
        <w:rPr>
          <w:vertAlign w:val="subscript"/>
          <w:lang w:val="en-US"/>
        </w:rPr>
        <w:t>e</w:t>
      </w:r>
      <w:r w:rsidRPr="00F930D1">
        <w:rPr>
          <w:lang w:val="en-US"/>
        </w:rPr>
        <w:t>-transformed continuous glycemic outcomes and modified Poisson regression models for gestational diabetes mellitus. CI, confidence interval; PDE, predominantly day-eating; PNE, predominantly night-eating; HOMA2-IR, updated homeostasis model assessment of insulin resistance; HOMA2-%B, updated homeostasis model assessment of β-cell function.</w:t>
      </w:r>
    </w:p>
    <w:p w14:paraId="1C8F41EA" w14:textId="77777777" w:rsidR="00474747" w:rsidRPr="00F930D1" w:rsidRDefault="00474747" w:rsidP="009F12FA">
      <w:pPr>
        <w:spacing w:line="480" w:lineRule="auto"/>
        <w:rPr>
          <w:lang w:val="en-US"/>
        </w:rPr>
      </w:pPr>
      <w:r w:rsidRPr="00F930D1">
        <w:rPr>
          <w:rFonts w:eastAsia="Arial"/>
          <w:vertAlign w:val="superscript"/>
          <w:lang w:val="en-US"/>
        </w:rPr>
        <w:lastRenderedPageBreak/>
        <w:t>*</w:t>
      </w:r>
      <w:r w:rsidRPr="00F930D1">
        <w:rPr>
          <w:lang w:val="en-US"/>
        </w:rPr>
        <w:t xml:space="preserve">Model 1: adjusted for age, ethnicity, education, employment status, pre-pregnancy body mass index, and total daily energy intake. </w:t>
      </w:r>
    </w:p>
    <w:p w14:paraId="3EE0612F" w14:textId="77777777" w:rsidR="00474747" w:rsidRPr="00F930D1" w:rsidRDefault="00474747" w:rsidP="009F12FA">
      <w:pPr>
        <w:spacing w:line="480" w:lineRule="auto"/>
        <w:rPr>
          <w:lang w:val="en-US"/>
        </w:rPr>
      </w:pPr>
      <w:r w:rsidRPr="00F930D1">
        <w:rPr>
          <w:vertAlign w:val="superscript"/>
          <w:lang w:val="en-US"/>
        </w:rPr>
        <w:t>†</w:t>
      </w:r>
      <w:r w:rsidRPr="00F930D1">
        <w:rPr>
          <w:lang w:val="en-US"/>
        </w:rPr>
        <w:t>Model 2: adjusted for Model 1 + bedtime, irregular meal, and physical activity.</w:t>
      </w:r>
    </w:p>
    <w:p w14:paraId="40FD243C" w14:textId="77777777" w:rsidR="00474747" w:rsidRPr="00F930D1" w:rsidRDefault="00474747" w:rsidP="009F12FA">
      <w:pPr>
        <w:spacing w:line="480" w:lineRule="auto"/>
        <w:rPr>
          <w:lang w:val="en-US"/>
        </w:rPr>
      </w:pPr>
      <w:r w:rsidRPr="00F930D1">
        <w:rPr>
          <w:color w:val="383636"/>
          <w:shd w:val="clear" w:color="auto" w:fill="FFFFFF"/>
          <w:vertAlign w:val="superscript"/>
          <w:lang w:val="en-US"/>
        </w:rPr>
        <w:t>‡</w:t>
      </w:r>
      <w:r w:rsidRPr="00F930D1">
        <w:rPr>
          <w:lang w:val="en-US"/>
        </w:rPr>
        <w:t>Model 3: adjusted for Model 2 + percentage of energy from night-time protein intake and percentage of energy from night-time fat intake.</w:t>
      </w:r>
    </w:p>
    <w:p w14:paraId="4A63FBAC" w14:textId="77777777" w:rsidR="00474747" w:rsidRPr="00F930D1" w:rsidRDefault="00474747" w:rsidP="009F12FA">
      <w:pPr>
        <w:spacing w:line="480" w:lineRule="auto"/>
        <w:rPr>
          <w:lang w:val="en-US"/>
        </w:rPr>
      </w:pPr>
    </w:p>
    <w:p w14:paraId="78BAC235" w14:textId="77777777" w:rsidR="00474747" w:rsidRPr="00F930D1" w:rsidRDefault="00474747" w:rsidP="009F12FA">
      <w:pPr>
        <w:spacing w:line="480" w:lineRule="auto"/>
        <w:outlineLvl w:val="2"/>
        <w:rPr>
          <w:b/>
          <w:bCs/>
          <w:lang w:val="en-US"/>
        </w:rPr>
      </w:pPr>
      <w:r w:rsidRPr="00F930D1">
        <w:rPr>
          <w:b/>
          <w:bCs/>
          <w:lang w:val="en-US"/>
        </w:rPr>
        <w:t>PNE and CGM measures</w:t>
      </w:r>
    </w:p>
    <w:p w14:paraId="2FB96B75" w14:textId="77777777" w:rsidR="00474747" w:rsidRPr="00F930D1" w:rsidRDefault="00474747" w:rsidP="009F12FA">
      <w:pPr>
        <w:spacing w:line="480" w:lineRule="auto"/>
        <w:rPr>
          <w:lang w:val="en-US"/>
        </w:rPr>
      </w:pPr>
      <w:r w:rsidRPr="00F930D1">
        <w:rPr>
          <w:lang w:val="en-US"/>
        </w:rPr>
        <w:t xml:space="preserve">Adjusted associations between PNE and CGM measures are presented in </w:t>
      </w:r>
      <w:r w:rsidRPr="00F930D1">
        <w:rPr>
          <w:b/>
          <w:bCs/>
          <w:lang w:val="en-US"/>
        </w:rPr>
        <w:t>Table 3</w:t>
      </w:r>
      <w:r w:rsidRPr="00F930D1">
        <w:rPr>
          <w:lang w:val="en-US"/>
        </w:rPr>
        <w:t>.</w:t>
      </w:r>
      <w:r w:rsidRPr="00F930D1">
        <w:rPr>
          <w:color w:val="4472C4" w:themeColor="accent1"/>
          <w:lang w:val="en-US"/>
        </w:rPr>
        <w:t xml:space="preserve"> </w:t>
      </w:r>
      <w:r w:rsidRPr="00F930D1">
        <w:rPr>
          <w:color w:val="000000" w:themeColor="text1"/>
          <w:lang w:val="en-US"/>
        </w:rPr>
        <w:t xml:space="preserve">Fifty-seven percent (n=157) of women had a complete 24-hour ambulatory glucose profile spanning at least three days, with a mean of 862 readings and a median of 895 readings, ranging from 319 (3 days) to 1217 (13 days) readings. </w:t>
      </w:r>
      <w:r w:rsidRPr="00F930D1">
        <w:rPr>
          <w:lang w:val="en-US"/>
        </w:rPr>
        <w:t xml:space="preserve">For glycemic control indices, PNE was associated with higher mean glucose (1.07; (1.00, 1.15)) and GMI values (1.05 (1.00, 1.10)). The regression models with sample selection revealed similar findings with the correlation between error terms (ρ) shown to be non-significant </w:t>
      </w:r>
      <w:r w:rsidRPr="00F930D1">
        <w:rPr>
          <w:b/>
          <w:bCs/>
          <w:lang w:val="en-US"/>
        </w:rPr>
        <w:t xml:space="preserve">(Supplementary Table 2 </w:t>
      </w:r>
      <w:r w:rsidRPr="00F930D1">
        <w:rPr>
          <w:lang w:val="en-US"/>
        </w:rPr>
        <w:t>and</w:t>
      </w:r>
      <w:r w:rsidRPr="00F930D1">
        <w:rPr>
          <w:b/>
          <w:bCs/>
          <w:lang w:val="en-US"/>
        </w:rPr>
        <w:t xml:space="preserve"> Supplementary Table 3)</w:t>
      </w:r>
      <w:r w:rsidRPr="00F930D1">
        <w:rPr>
          <w:lang w:val="en-US"/>
        </w:rPr>
        <w:t>. We observed no associations between PNE and glycemic variability indices.</w:t>
      </w:r>
    </w:p>
    <w:p w14:paraId="775C393F" w14:textId="77777777" w:rsidR="00474747" w:rsidRPr="00F930D1" w:rsidRDefault="00474747" w:rsidP="009F12FA">
      <w:pPr>
        <w:spacing w:line="480" w:lineRule="auto"/>
        <w:rPr>
          <w:lang w:val="en-US"/>
        </w:rPr>
      </w:pPr>
    </w:p>
    <w:p w14:paraId="280D2C9C" w14:textId="77777777" w:rsidR="00474747" w:rsidRPr="00F930D1" w:rsidRDefault="00474747" w:rsidP="009F12FA">
      <w:pPr>
        <w:spacing w:line="480" w:lineRule="auto"/>
        <w:rPr>
          <w:lang w:val="en-US"/>
        </w:rPr>
      </w:pPr>
      <w:r w:rsidRPr="00F930D1">
        <w:rPr>
          <w:b/>
          <w:bCs/>
          <w:lang w:val="en-US"/>
        </w:rPr>
        <w:t>Table 3</w:t>
      </w:r>
      <w:r w:rsidRPr="00F930D1">
        <w:rPr>
          <w:lang w:val="en-US"/>
        </w:rPr>
        <w:t xml:space="preserve"> Associations between maternal PNE and CGM measures at 18-24 weeks gestation (n=157) </w:t>
      </w:r>
    </w:p>
    <w:tbl>
      <w:tblPr>
        <w:tblStyle w:val="TableGrid"/>
        <w:tblW w:w="10378" w:type="dxa"/>
        <w:tblInd w:w="-66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3"/>
        <w:gridCol w:w="2063"/>
        <w:gridCol w:w="1869"/>
        <w:gridCol w:w="247"/>
        <w:gridCol w:w="1513"/>
        <w:gridCol w:w="1604"/>
        <w:gridCol w:w="1519"/>
      </w:tblGrid>
      <w:tr w:rsidR="00474747" w:rsidRPr="00F930D1" w14:paraId="6EE3D928" w14:textId="77777777" w:rsidTr="00537809">
        <w:trPr>
          <w:trHeight w:val="251"/>
        </w:trPr>
        <w:tc>
          <w:tcPr>
            <w:tcW w:w="1563" w:type="dxa"/>
            <w:tcBorders>
              <w:top w:val="single" w:sz="4" w:space="0" w:color="auto"/>
              <w:bottom w:val="nil"/>
            </w:tcBorders>
          </w:tcPr>
          <w:p w14:paraId="1C7526C7" w14:textId="77777777" w:rsidR="00474747" w:rsidRPr="00F930D1" w:rsidRDefault="00474747" w:rsidP="009F12FA">
            <w:pPr>
              <w:spacing w:line="480" w:lineRule="auto"/>
              <w:rPr>
                <w:b/>
                <w:bCs/>
                <w:sz w:val="24"/>
                <w:szCs w:val="24"/>
                <w:lang w:val="en-US"/>
              </w:rPr>
            </w:pPr>
          </w:p>
        </w:tc>
        <w:tc>
          <w:tcPr>
            <w:tcW w:w="3932" w:type="dxa"/>
            <w:gridSpan w:val="2"/>
            <w:tcBorders>
              <w:top w:val="single" w:sz="4" w:space="0" w:color="auto"/>
              <w:bottom w:val="single" w:sz="4" w:space="0" w:color="auto"/>
            </w:tcBorders>
          </w:tcPr>
          <w:p w14:paraId="555D6C6B" w14:textId="77777777" w:rsidR="00474747" w:rsidRPr="00F930D1" w:rsidRDefault="00474747" w:rsidP="009F12FA">
            <w:pPr>
              <w:spacing w:line="480" w:lineRule="auto"/>
              <w:jc w:val="center"/>
              <w:rPr>
                <w:b/>
                <w:bCs/>
                <w:sz w:val="24"/>
                <w:szCs w:val="24"/>
                <w:lang w:val="en-US"/>
              </w:rPr>
            </w:pPr>
            <w:r w:rsidRPr="00F930D1">
              <w:rPr>
                <w:b/>
                <w:bCs/>
                <w:sz w:val="24"/>
                <w:szCs w:val="24"/>
                <w:lang w:val="en-US"/>
              </w:rPr>
              <w:t>Geometric mean (95% CI)</w:t>
            </w:r>
          </w:p>
        </w:tc>
        <w:tc>
          <w:tcPr>
            <w:tcW w:w="247" w:type="dxa"/>
            <w:tcBorders>
              <w:top w:val="single" w:sz="4" w:space="0" w:color="auto"/>
              <w:bottom w:val="nil"/>
            </w:tcBorders>
          </w:tcPr>
          <w:p w14:paraId="7C1533B0" w14:textId="77777777" w:rsidR="00474747" w:rsidRPr="00F930D1" w:rsidRDefault="00474747" w:rsidP="009F12FA">
            <w:pPr>
              <w:spacing w:line="480" w:lineRule="auto"/>
              <w:jc w:val="center"/>
              <w:rPr>
                <w:b/>
                <w:bCs/>
                <w:sz w:val="24"/>
                <w:szCs w:val="24"/>
                <w:lang w:val="en-US"/>
              </w:rPr>
            </w:pPr>
          </w:p>
        </w:tc>
        <w:tc>
          <w:tcPr>
            <w:tcW w:w="4636" w:type="dxa"/>
            <w:gridSpan w:val="3"/>
            <w:tcBorders>
              <w:top w:val="single" w:sz="4" w:space="0" w:color="auto"/>
              <w:bottom w:val="single" w:sz="4" w:space="0" w:color="auto"/>
            </w:tcBorders>
          </w:tcPr>
          <w:p w14:paraId="546CD994" w14:textId="77777777" w:rsidR="00474747" w:rsidRPr="00F930D1" w:rsidRDefault="00474747" w:rsidP="009F12FA">
            <w:pPr>
              <w:spacing w:line="480" w:lineRule="auto"/>
              <w:jc w:val="center"/>
              <w:rPr>
                <w:b/>
                <w:bCs/>
                <w:sz w:val="24"/>
                <w:szCs w:val="24"/>
                <w:lang w:val="en-US"/>
              </w:rPr>
            </w:pPr>
            <w:r w:rsidRPr="00F930D1">
              <w:rPr>
                <w:b/>
                <w:bCs/>
                <w:sz w:val="24"/>
                <w:szCs w:val="24"/>
                <w:lang w:val="en-US"/>
              </w:rPr>
              <w:t>Geometric mean ratio (95% CI)</w:t>
            </w:r>
          </w:p>
        </w:tc>
      </w:tr>
      <w:tr w:rsidR="00474747" w:rsidRPr="00F930D1" w14:paraId="03ACFF35" w14:textId="77777777" w:rsidTr="00537809">
        <w:trPr>
          <w:trHeight w:val="251"/>
        </w:trPr>
        <w:tc>
          <w:tcPr>
            <w:tcW w:w="1563" w:type="dxa"/>
            <w:tcBorders>
              <w:top w:val="nil"/>
              <w:bottom w:val="single" w:sz="4" w:space="0" w:color="auto"/>
            </w:tcBorders>
          </w:tcPr>
          <w:p w14:paraId="360EBDEE" w14:textId="77777777" w:rsidR="00474747" w:rsidRPr="00F930D1" w:rsidRDefault="00474747" w:rsidP="009F12FA">
            <w:pPr>
              <w:spacing w:line="480" w:lineRule="auto"/>
              <w:rPr>
                <w:b/>
                <w:bCs/>
                <w:sz w:val="24"/>
                <w:szCs w:val="24"/>
                <w:lang w:val="en-US"/>
              </w:rPr>
            </w:pPr>
            <w:r w:rsidRPr="00F930D1">
              <w:rPr>
                <w:b/>
                <w:bCs/>
                <w:sz w:val="24"/>
                <w:szCs w:val="24"/>
                <w:lang w:val="en-US"/>
              </w:rPr>
              <w:t>CGM measures</w:t>
            </w:r>
          </w:p>
        </w:tc>
        <w:tc>
          <w:tcPr>
            <w:tcW w:w="2063" w:type="dxa"/>
            <w:tcBorders>
              <w:top w:val="single" w:sz="4" w:space="0" w:color="auto"/>
              <w:bottom w:val="single" w:sz="4" w:space="0" w:color="auto"/>
            </w:tcBorders>
          </w:tcPr>
          <w:p w14:paraId="6E992A9A" w14:textId="77777777" w:rsidR="00474747" w:rsidRPr="00F930D1" w:rsidRDefault="00474747" w:rsidP="009F12FA">
            <w:pPr>
              <w:spacing w:line="480" w:lineRule="auto"/>
              <w:jc w:val="center"/>
              <w:rPr>
                <w:sz w:val="24"/>
                <w:szCs w:val="24"/>
                <w:lang w:val="en-US"/>
              </w:rPr>
            </w:pPr>
            <w:r w:rsidRPr="00F930D1">
              <w:rPr>
                <w:b/>
                <w:bCs/>
                <w:sz w:val="24"/>
                <w:szCs w:val="24"/>
                <w:lang w:val="en-US"/>
              </w:rPr>
              <w:t>PDE (n=140)</w:t>
            </w:r>
          </w:p>
        </w:tc>
        <w:tc>
          <w:tcPr>
            <w:tcW w:w="1869" w:type="dxa"/>
            <w:tcBorders>
              <w:top w:val="single" w:sz="4" w:space="0" w:color="auto"/>
              <w:bottom w:val="single" w:sz="4" w:space="0" w:color="auto"/>
            </w:tcBorders>
          </w:tcPr>
          <w:p w14:paraId="0504394E" w14:textId="77777777" w:rsidR="00474747" w:rsidRPr="00F930D1" w:rsidRDefault="00474747" w:rsidP="009F12FA">
            <w:pPr>
              <w:spacing w:line="480" w:lineRule="auto"/>
              <w:jc w:val="center"/>
              <w:rPr>
                <w:sz w:val="24"/>
                <w:szCs w:val="24"/>
                <w:lang w:val="en-US"/>
              </w:rPr>
            </w:pPr>
            <w:r w:rsidRPr="00F930D1">
              <w:rPr>
                <w:b/>
                <w:bCs/>
                <w:sz w:val="24"/>
                <w:szCs w:val="24"/>
                <w:lang w:val="en-US"/>
              </w:rPr>
              <w:t>PNE (n=17)</w:t>
            </w:r>
          </w:p>
        </w:tc>
        <w:tc>
          <w:tcPr>
            <w:tcW w:w="247" w:type="dxa"/>
            <w:tcBorders>
              <w:top w:val="nil"/>
              <w:bottom w:val="single" w:sz="4" w:space="0" w:color="auto"/>
            </w:tcBorders>
          </w:tcPr>
          <w:p w14:paraId="0E171345" w14:textId="77777777" w:rsidR="00474747" w:rsidRPr="00F930D1" w:rsidRDefault="00474747" w:rsidP="009F12FA">
            <w:pPr>
              <w:spacing w:line="480" w:lineRule="auto"/>
              <w:jc w:val="center"/>
              <w:rPr>
                <w:b/>
                <w:bCs/>
                <w:sz w:val="24"/>
                <w:szCs w:val="24"/>
                <w:lang w:val="en-US"/>
              </w:rPr>
            </w:pPr>
          </w:p>
        </w:tc>
        <w:tc>
          <w:tcPr>
            <w:tcW w:w="1513" w:type="dxa"/>
            <w:tcBorders>
              <w:top w:val="single" w:sz="4" w:space="0" w:color="auto"/>
              <w:bottom w:val="single" w:sz="4" w:space="0" w:color="auto"/>
            </w:tcBorders>
          </w:tcPr>
          <w:p w14:paraId="264AFECE" w14:textId="77777777" w:rsidR="00474747" w:rsidRPr="00F930D1" w:rsidRDefault="00474747" w:rsidP="009F12FA">
            <w:pPr>
              <w:spacing w:line="480" w:lineRule="auto"/>
              <w:jc w:val="center"/>
              <w:rPr>
                <w:b/>
                <w:bCs/>
                <w:sz w:val="24"/>
                <w:szCs w:val="24"/>
                <w:vertAlign w:val="superscript"/>
                <w:lang w:val="en-US"/>
              </w:rPr>
            </w:pPr>
            <w:r w:rsidRPr="00F930D1">
              <w:rPr>
                <w:b/>
                <w:bCs/>
                <w:sz w:val="24"/>
                <w:szCs w:val="24"/>
                <w:lang w:val="en-US"/>
              </w:rPr>
              <w:t>Model 1</w:t>
            </w:r>
            <w:r w:rsidRPr="00F930D1">
              <w:rPr>
                <w:b/>
                <w:bCs/>
                <w:sz w:val="24"/>
                <w:szCs w:val="24"/>
                <w:vertAlign w:val="superscript"/>
                <w:lang w:val="en-US"/>
              </w:rPr>
              <w:t>*</w:t>
            </w:r>
          </w:p>
        </w:tc>
        <w:tc>
          <w:tcPr>
            <w:tcW w:w="1604" w:type="dxa"/>
            <w:tcBorders>
              <w:top w:val="single" w:sz="4" w:space="0" w:color="auto"/>
              <w:bottom w:val="single" w:sz="4" w:space="0" w:color="auto"/>
            </w:tcBorders>
          </w:tcPr>
          <w:p w14:paraId="261DFC47" w14:textId="77777777" w:rsidR="00474747" w:rsidRPr="00F930D1" w:rsidRDefault="00474747" w:rsidP="009F12FA">
            <w:pPr>
              <w:spacing w:line="480" w:lineRule="auto"/>
              <w:jc w:val="center"/>
              <w:rPr>
                <w:b/>
                <w:bCs/>
                <w:sz w:val="24"/>
                <w:szCs w:val="24"/>
                <w:lang w:val="en-US"/>
              </w:rPr>
            </w:pPr>
            <w:r w:rsidRPr="00F930D1">
              <w:rPr>
                <w:b/>
                <w:bCs/>
                <w:sz w:val="24"/>
                <w:szCs w:val="24"/>
                <w:lang w:val="en-US"/>
              </w:rPr>
              <w:t>Model 2</w:t>
            </w:r>
            <w:r w:rsidRPr="00F930D1">
              <w:rPr>
                <w:color w:val="383636"/>
                <w:sz w:val="24"/>
                <w:szCs w:val="24"/>
                <w:shd w:val="clear" w:color="auto" w:fill="FFFFFF"/>
                <w:vertAlign w:val="superscript"/>
                <w:lang w:val="en-US"/>
              </w:rPr>
              <w:t>†</w:t>
            </w:r>
          </w:p>
        </w:tc>
        <w:tc>
          <w:tcPr>
            <w:tcW w:w="1517" w:type="dxa"/>
            <w:tcBorders>
              <w:top w:val="single" w:sz="4" w:space="0" w:color="auto"/>
              <w:bottom w:val="single" w:sz="4" w:space="0" w:color="auto"/>
            </w:tcBorders>
          </w:tcPr>
          <w:p w14:paraId="676408A8" w14:textId="77777777" w:rsidR="00474747" w:rsidRPr="00F930D1" w:rsidRDefault="00474747" w:rsidP="009F12FA">
            <w:pPr>
              <w:spacing w:line="480" w:lineRule="auto"/>
              <w:jc w:val="center"/>
              <w:rPr>
                <w:b/>
                <w:bCs/>
                <w:sz w:val="24"/>
                <w:szCs w:val="24"/>
                <w:lang w:val="en-US"/>
              </w:rPr>
            </w:pPr>
            <w:r w:rsidRPr="00F930D1">
              <w:rPr>
                <w:b/>
                <w:bCs/>
                <w:sz w:val="24"/>
                <w:szCs w:val="24"/>
                <w:lang w:val="en-US"/>
              </w:rPr>
              <w:t>Model 3</w:t>
            </w:r>
            <w:r w:rsidRPr="00F930D1">
              <w:rPr>
                <w:color w:val="383636"/>
                <w:sz w:val="24"/>
                <w:szCs w:val="24"/>
                <w:shd w:val="clear" w:color="auto" w:fill="FFFFFF"/>
                <w:vertAlign w:val="superscript"/>
                <w:lang w:val="en-US"/>
              </w:rPr>
              <w:t>‡</w:t>
            </w:r>
          </w:p>
        </w:tc>
      </w:tr>
      <w:tr w:rsidR="00474747" w:rsidRPr="00F930D1" w14:paraId="72FBD698" w14:textId="77777777" w:rsidTr="00537809">
        <w:trPr>
          <w:trHeight w:val="502"/>
        </w:trPr>
        <w:tc>
          <w:tcPr>
            <w:tcW w:w="1563" w:type="dxa"/>
          </w:tcPr>
          <w:p w14:paraId="1EC7567E" w14:textId="77777777" w:rsidR="00474747" w:rsidRPr="00F930D1" w:rsidRDefault="00474747" w:rsidP="009F12FA">
            <w:pPr>
              <w:spacing w:line="480" w:lineRule="auto"/>
              <w:rPr>
                <w:b/>
                <w:bCs/>
                <w:sz w:val="24"/>
                <w:szCs w:val="24"/>
                <w:lang w:val="en-US"/>
              </w:rPr>
            </w:pPr>
            <w:r w:rsidRPr="00F930D1">
              <w:rPr>
                <w:b/>
                <w:bCs/>
                <w:sz w:val="24"/>
                <w:szCs w:val="24"/>
                <w:lang w:val="en-US"/>
              </w:rPr>
              <w:t>Glycemic control index</w:t>
            </w:r>
          </w:p>
        </w:tc>
        <w:tc>
          <w:tcPr>
            <w:tcW w:w="2063" w:type="dxa"/>
          </w:tcPr>
          <w:p w14:paraId="604DE920" w14:textId="77777777" w:rsidR="00474747" w:rsidRPr="00F930D1" w:rsidRDefault="00474747" w:rsidP="009F12FA">
            <w:pPr>
              <w:spacing w:line="480" w:lineRule="auto"/>
              <w:jc w:val="center"/>
              <w:rPr>
                <w:sz w:val="24"/>
                <w:szCs w:val="24"/>
                <w:lang w:val="en-US"/>
              </w:rPr>
            </w:pPr>
          </w:p>
        </w:tc>
        <w:tc>
          <w:tcPr>
            <w:tcW w:w="1869" w:type="dxa"/>
          </w:tcPr>
          <w:p w14:paraId="27F56A29" w14:textId="77777777" w:rsidR="00474747" w:rsidRPr="00F930D1" w:rsidRDefault="00474747" w:rsidP="009F12FA">
            <w:pPr>
              <w:spacing w:line="480" w:lineRule="auto"/>
              <w:jc w:val="center"/>
              <w:rPr>
                <w:sz w:val="24"/>
                <w:szCs w:val="24"/>
                <w:lang w:val="en-US"/>
              </w:rPr>
            </w:pPr>
          </w:p>
        </w:tc>
        <w:tc>
          <w:tcPr>
            <w:tcW w:w="247" w:type="dxa"/>
          </w:tcPr>
          <w:p w14:paraId="0CF67233" w14:textId="77777777" w:rsidR="00474747" w:rsidRPr="00F930D1" w:rsidRDefault="00474747" w:rsidP="009F12FA">
            <w:pPr>
              <w:spacing w:line="480" w:lineRule="auto"/>
              <w:jc w:val="center"/>
              <w:rPr>
                <w:sz w:val="24"/>
                <w:szCs w:val="24"/>
                <w:lang w:val="en-US"/>
              </w:rPr>
            </w:pPr>
          </w:p>
        </w:tc>
        <w:tc>
          <w:tcPr>
            <w:tcW w:w="1513" w:type="dxa"/>
          </w:tcPr>
          <w:p w14:paraId="6587D70E" w14:textId="77777777" w:rsidR="00474747" w:rsidRPr="00F930D1" w:rsidRDefault="00474747" w:rsidP="009F12FA">
            <w:pPr>
              <w:spacing w:line="480" w:lineRule="auto"/>
              <w:jc w:val="center"/>
              <w:rPr>
                <w:sz w:val="24"/>
                <w:szCs w:val="24"/>
                <w:lang w:val="en-US"/>
              </w:rPr>
            </w:pPr>
          </w:p>
        </w:tc>
        <w:tc>
          <w:tcPr>
            <w:tcW w:w="1604" w:type="dxa"/>
          </w:tcPr>
          <w:p w14:paraId="27522DB2" w14:textId="77777777" w:rsidR="00474747" w:rsidRPr="00F930D1" w:rsidRDefault="00474747" w:rsidP="009F12FA">
            <w:pPr>
              <w:spacing w:line="480" w:lineRule="auto"/>
              <w:jc w:val="center"/>
              <w:rPr>
                <w:sz w:val="24"/>
                <w:szCs w:val="24"/>
                <w:lang w:val="en-US"/>
              </w:rPr>
            </w:pPr>
          </w:p>
        </w:tc>
        <w:tc>
          <w:tcPr>
            <w:tcW w:w="1517" w:type="dxa"/>
          </w:tcPr>
          <w:p w14:paraId="16AFD7F0" w14:textId="77777777" w:rsidR="00474747" w:rsidRPr="00F930D1" w:rsidRDefault="00474747" w:rsidP="009F12FA">
            <w:pPr>
              <w:spacing w:line="480" w:lineRule="auto"/>
              <w:jc w:val="center"/>
              <w:rPr>
                <w:sz w:val="24"/>
                <w:szCs w:val="24"/>
                <w:lang w:val="en-US"/>
              </w:rPr>
            </w:pPr>
          </w:p>
        </w:tc>
      </w:tr>
      <w:tr w:rsidR="00474747" w:rsidRPr="00F930D1" w14:paraId="7D4662A5" w14:textId="77777777" w:rsidTr="00537809">
        <w:trPr>
          <w:trHeight w:val="525"/>
        </w:trPr>
        <w:tc>
          <w:tcPr>
            <w:tcW w:w="1563" w:type="dxa"/>
          </w:tcPr>
          <w:p w14:paraId="42647F34" w14:textId="77777777" w:rsidR="00474747" w:rsidRPr="00F930D1" w:rsidRDefault="00474747" w:rsidP="009F12FA">
            <w:pPr>
              <w:spacing w:line="480" w:lineRule="auto"/>
              <w:rPr>
                <w:sz w:val="24"/>
                <w:szCs w:val="24"/>
                <w:lang w:val="en-US"/>
              </w:rPr>
            </w:pPr>
            <w:r w:rsidRPr="00F930D1">
              <w:rPr>
                <w:sz w:val="24"/>
                <w:szCs w:val="24"/>
                <w:lang w:val="en-US"/>
              </w:rPr>
              <w:lastRenderedPageBreak/>
              <w:t xml:space="preserve">  Mean glucose, mmol/L</w:t>
            </w:r>
          </w:p>
        </w:tc>
        <w:tc>
          <w:tcPr>
            <w:tcW w:w="2063" w:type="dxa"/>
          </w:tcPr>
          <w:p w14:paraId="2470BCA4" w14:textId="77777777" w:rsidR="00474747" w:rsidRPr="00F930D1" w:rsidRDefault="00474747" w:rsidP="009F12FA">
            <w:pPr>
              <w:spacing w:line="480" w:lineRule="auto"/>
              <w:jc w:val="center"/>
              <w:rPr>
                <w:sz w:val="24"/>
                <w:szCs w:val="24"/>
                <w:lang w:val="en-US"/>
              </w:rPr>
            </w:pPr>
            <w:r w:rsidRPr="00F930D1">
              <w:rPr>
                <w:sz w:val="24"/>
                <w:szCs w:val="24"/>
                <w:lang w:val="en-US"/>
              </w:rPr>
              <w:t>4.45 (4.37, 4.54)</w:t>
            </w:r>
          </w:p>
        </w:tc>
        <w:tc>
          <w:tcPr>
            <w:tcW w:w="1869" w:type="dxa"/>
          </w:tcPr>
          <w:p w14:paraId="1401B5C0" w14:textId="77777777" w:rsidR="00474747" w:rsidRPr="00F930D1" w:rsidRDefault="00474747" w:rsidP="009F12FA">
            <w:pPr>
              <w:spacing w:line="480" w:lineRule="auto"/>
              <w:jc w:val="center"/>
              <w:rPr>
                <w:sz w:val="24"/>
                <w:szCs w:val="24"/>
                <w:lang w:val="en-US"/>
              </w:rPr>
            </w:pPr>
            <w:r w:rsidRPr="00F930D1">
              <w:rPr>
                <w:sz w:val="24"/>
                <w:szCs w:val="24"/>
                <w:lang w:val="en-US"/>
              </w:rPr>
              <w:t>4.65 (4.14, 5.22)</w:t>
            </w:r>
          </w:p>
        </w:tc>
        <w:tc>
          <w:tcPr>
            <w:tcW w:w="247" w:type="dxa"/>
          </w:tcPr>
          <w:p w14:paraId="20A635E2" w14:textId="77777777" w:rsidR="00474747" w:rsidRPr="00F930D1" w:rsidRDefault="00474747" w:rsidP="009F12FA">
            <w:pPr>
              <w:spacing w:line="480" w:lineRule="auto"/>
              <w:jc w:val="center"/>
              <w:rPr>
                <w:sz w:val="24"/>
                <w:szCs w:val="24"/>
                <w:lang w:val="en-US"/>
              </w:rPr>
            </w:pPr>
          </w:p>
        </w:tc>
        <w:tc>
          <w:tcPr>
            <w:tcW w:w="1513" w:type="dxa"/>
          </w:tcPr>
          <w:p w14:paraId="236DDC3F" w14:textId="77777777" w:rsidR="00474747" w:rsidRPr="00F930D1" w:rsidRDefault="00474747" w:rsidP="009F12FA">
            <w:pPr>
              <w:spacing w:line="480" w:lineRule="auto"/>
              <w:jc w:val="center"/>
              <w:rPr>
                <w:sz w:val="24"/>
                <w:szCs w:val="24"/>
                <w:lang w:val="en-US"/>
              </w:rPr>
            </w:pPr>
            <w:r w:rsidRPr="00F930D1">
              <w:rPr>
                <w:sz w:val="24"/>
                <w:szCs w:val="24"/>
                <w:lang w:val="en-US"/>
              </w:rPr>
              <w:t>1.04 (0.97, 1.11)</w:t>
            </w:r>
          </w:p>
        </w:tc>
        <w:tc>
          <w:tcPr>
            <w:tcW w:w="1604" w:type="dxa"/>
          </w:tcPr>
          <w:p w14:paraId="48A718C1" w14:textId="77777777" w:rsidR="00474747" w:rsidRPr="00F930D1" w:rsidRDefault="00474747" w:rsidP="009F12FA">
            <w:pPr>
              <w:spacing w:line="480" w:lineRule="auto"/>
              <w:jc w:val="center"/>
              <w:rPr>
                <w:sz w:val="24"/>
                <w:szCs w:val="24"/>
                <w:lang w:val="en-US"/>
              </w:rPr>
            </w:pPr>
            <w:r w:rsidRPr="00F930D1">
              <w:rPr>
                <w:sz w:val="24"/>
                <w:szCs w:val="24"/>
                <w:lang w:val="en-US"/>
              </w:rPr>
              <w:t>1.06 (0.98, 1.13)</w:t>
            </w:r>
          </w:p>
        </w:tc>
        <w:tc>
          <w:tcPr>
            <w:tcW w:w="1517" w:type="dxa"/>
          </w:tcPr>
          <w:p w14:paraId="4D6D82F9" w14:textId="77777777" w:rsidR="00474747" w:rsidRPr="00F930D1" w:rsidRDefault="00474747" w:rsidP="009F12FA">
            <w:pPr>
              <w:spacing w:line="480" w:lineRule="auto"/>
              <w:jc w:val="center"/>
              <w:rPr>
                <w:sz w:val="24"/>
                <w:szCs w:val="24"/>
                <w:lang w:val="en-US"/>
              </w:rPr>
            </w:pPr>
            <w:r w:rsidRPr="00F930D1">
              <w:rPr>
                <w:sz w:val="24"/>
                <w:szCs w:val="24"/>
                <w:lang w:val="en-US"/>
              </w:rPr>
              <w:t>1.07 (1.00, 1.15)</w:t>
            </w:r>
          </w:p>
        </w:tc>
      </w:tr>
      <w:tr w:rsidR="00474747" w:rsidRPr="00F930D1" w14:paraId="7D429194" w14:textId="77777777" w:rsidTr="00537809">
        <w:trPr>
          <w:trHeight w:val="274"/>
        </w:trPr>
        <w:tc>
          <w:tcPr>
            <w:tcW w:w="1563" w:type="dxa"/>
          </w:tcPr>
          <w:p w14:paraId="10434C21" w14:textId="77777777" w:rsidR="00474747" w:rsidRPr="00F930D1" w:rsidRDefault="00474747" w:rsidP="009F12FA">
            <w:pPr>
              <w:spacing w:line="480" w:lineRule="auto"/>
              <w:rPr>
                <w:sz w:val="24"/>
                <w:szCs w:val="24"/>
                <w:lang w:val="en-US"/>
              </w:rPr>
            </w:pPr>
            <w:r w:rsidRPr="00F930D1">
              <w:rPr>
                <w:sz w:val="24"/>
                <w:szCs w:val="24"/>
                <w:lang w:val="en-US"/>
              </w:rPr>
              <w:t xml:space="preserve">  GMI, mmol/mol</w:t>
            </w:r>
          </w:p>
        </w:tc>
        <w:tc>
          <w:tcPr>
            <w:tcW w:w="2063" w:type="dxa"/>
          </w:tcPr>
          <w:p w14:paraId="00CC4EF5" w14:textId="77777777" w:rsidR="00474747" w:rsidRPr="00F930D1" w:rsidRDefault="00474747" w:rsidP="009F12FA">
            <w:pPr>
              <w:spacing w:line="480" w:lineRule="auto"/>
              <w:jc w:val="center"/>
              <w:rPr>
                <w:sz w:val="24"/>
                <w:szCs w:val="24"/>
                <w:lang w:val="en-US"/>
              </w:rPr>
            </w:pPr>
            <w:r w:rsidRPr="00F930D1">
              <w:rPr>
                <w:sz w:val="24"/>
                <w:szCs w:val="24"/>
                <w:lang w:val="en-US"/>
              </w:rPr>
              <w:t>33.71 (33.31, 34.13)</w:t>
            </w:r>
          </w:p>
        </w:tc>
        <w:tc>
          <w:tcPr>
            <w:tcW w:w="1869" w:type="dxa"/>
          </w:tcPr>
          <w:p w14:paraId="38FDACA0" w14:textId="77777777" w:rsidR="00474747" w:rsidRPr="00F930D1" w:rsidRDefault="00474747" w:rsidP="009F12FA">
            <w:pPr>
              <w:spacing w:line="480" w:lineRule="auto"/>
              <w:jc w:val="center"/>
              <w:rPr>
                <w:sz w:val="24"/>
                <w:szCs w:val="24"/>
                <w:lang w:val="en-US"/>
              </w:rPr>
            </w:pPr>
            <w:r w:rsidRPr="00F930D1">
              <w:rPr>
                <w:sz w:val="24"/>
                <w:szCs w:val="24"/>
                <w:lang w:val="en-US"/>
              </w:rPr>
              <w:t>34.77 (32.07, 37.69)</w:t>
            </w:r>
          </w:p>
        </w:tc>
        <w:tc>
          <w:tcPr>
            <w:tcW w:w="247" w:type="dxa"/>
          </w:tcPr>
          <w:p w14:paraId="76D442A0" w14:textId="77777777" w:rsidR="00474747" w:rsidRPr="00F930D1" w:rsidRDefault="00474747" w:rsidP="009F12FA">
            <w:pPr>
              <w:spacing w:line="480" w:lineRule="auto"/>
              <w:jc w:val="center"/>
              <w:rPr>
                <w:sz w:val="24"/>
                <w:szCs w:val="24"/>
                <w:lang w:val="en-US"/>
              </w:rPr>
            </w:pPr>
          </w:p>
        </w:tc>
        <w:tc>
          <w:tcPr>
            <w:tcW w:w="1513" w:type="dxa"/>
          </w:tcPr>
          <w:p w14:paraId="480CEAE3" w14:textId="77777777" w:rsidR="00474747" w:rsidRPr="00F930D1" w:rsidRDefault="00474747" w:rsidP="009F12FA">
            <w:pPr>
              <w:spacing w:line="480" w:lineRule="auto"/>
              <w:jc w:val="center"/>
              <w:rPr>
                <w:sz w:val="24"/>
                <w:szCs w:val="24"/>
                <w:lang w:val="en-US"/>
              </w:rPr>
            </w:pPr>
            <w:r w:rsidRPr="00F930D1">
              <w:rPr>
                <w:sz w:val="24"/>
                <w:szCs w:val="24"/>
                <w:lang w:val="en-US"/>
              </w:rPr>
              <w:t>1.03 (0.98, 1.07)</w:t>
            </w:r>
          </w:p>
        </w:tc>
        <w:tc>
          <w:tcPr>
            <w:tcW w:w="1604" w:type="dxa"/>
          </w:tcPr>
          <w:p w14:paraId="329BDC8F" w14:textId="77777777" w:rsidR="00474747" w:rsidRPr="00F930D1" w:rsidRDefault="00474747" w:rsidP="009F12FA">
            <w:pPr>
              <w:spacing w:line="480" w:lineRule="auto"/>
              <w:jc w:val="center"/>
              <w:rPr>
                <w:sz w:val="24"/>
                <w:szCs w:val="24"/>
                <w:lang w:val="en-US"/>
              </w:rPr>
            </w:pPr>
            <w:r w:rsidRPr="00F930D1">
              <w:rPr>
                <w:sz w:val="24"/>
                <w:szCs w:val="24"/>
                <w:lang w:val="en-US"/>
              </w:rPr>
              <w:t>1.04 (0.99, 1.09)</w:t>
            </w:r>
          </w:p>
        </w:tc>
        <w:tc>
          <w:tcPr>
            <w:tcW w:w="1517" w:type="dxa"/>
          </w:tcPr>
          <w:p w14:paraId="2069287A" w14:textId="77777777" w:rsidR="00474747" w:rsidRPr="00F930D1" w:rsidRDefault="00474747" w:rsidP="009F12FA">
            <w:pPr>
              <w:spacing w:line="480" w:lineRule="auto"/>
              <w:jc w:val="center"/>
              <w:rPr>
                <w:sz w:val="24"/>
                <w:szCs w:val="24"/>
                <w:lang w:val="en-US"/>
              </w:rPr>
            </w:pPr>
            <w:r w:rsidRPr="00F930D1">
              <w:rPr>
                <w:sz w:val="24"/>
                <w:szCs w:val="24"/>
                <w:lang w:val="en-US"/>
              </w:rPr>
              <w:t>1.05 (1.00, 1.10)</w:t>
            </w:r>
          </w:p>
        </w:tc>
      </w:tr>
      <w:tr w:rsidR="00474747" w:rsidRPr="00F930D1" w14:paraId="252B3581" w14:textId="77777777" w:rsidTr="00537809">
        <w:trPr>
          <w:trHeight w:val="251"/>
        </w:trPr>
        <w:tc>
          <w:tcPr>
            <w:tcW w:w="1563" w:type="dxa"/>
          </w:tcPr>
          <w:p w14:paraId="7DD7E2FB" w14:textId="77777777" w:rsidR="00474747" w:rsidRPr="00F930D1" w:rsidRDefault="00474747" w:rsidP="009F12FA">
            <w:pPr>
              <w:spacing w:line="480" w:lineRule="auto"/>
              <w:rPr>
                <w:sz w:val="24"/>
                <w:szCs w:val="24"/>
                <w:lang w:val="en-US"/>
              </w:rPr>
            </w:pPr>
            <w:r w:rsidRPr="00F930D1">
              <w:rPr>
                <w:sz w:val="24"/>
                <w:szCs w:val="24"/>
                <w:lang w:val="en-US"/>
              </w:rPr>
              <w:t xml:space="preserve">  J-index</w:t>
            </w:r>
          </w:p>
        </w:tc>
        <w:tc>
          <w:tcPr>
            <w:tcW w:w="2063" w:type="dxa"/>
          </w:tcPr>
          <w:p w14:paraId="5E2BBFED" w14:textId="77777777" w:rsidR="00474747" w:rsidRPr="00F930D1" w:rsidRDefault="00474747" w:rsidP="009F12FA">
            <w:pPr>
              <w:spacing w:line="480" w:lineRule="auto"/>
              <w:jc w:val="center"/>
              <w:rPr>
                <w:sz w:val="24"/>
                <w:szCs w:val="24"/>
                <w:lang w:val="en-US"/>
              </w:rPr>
            </w:pPr>
            <w:r w:rsidRPr="00F930D1">
              <w:rPr>
                <w:sz w:val="24"/>
                <w:szCs w:val="24"/>
                <w:lang w:val="en-US"/>
              </w:rPr>
              <w:t>9.81 (9.38, 10.25)</w:t>
            </w:r>
          </w:p>
        </w:tc>
        <w:tc>
          <w:tcPr>
            <w:tcW w:w="1869" w:type="dxa"/>
          </w:tcPr>
          <w:p w14:paraId="4F6ED3F8" w14:textId="77777777" w:rsidR="00474747" w:rsidRPr="00F930D1" w:rsidRDefault="00474747" w:rsidP="009F12FA">
            <w:pPr>
              <w:spacing w:line="480" w:lineRule="auto"/>
              <w:jc w:val="center"/>
              <w:rPr>
                <w:sz w:val="24"/>
                <w:szCs w:val="24"/>
                <w:lang w:val="en-US"/>
              </w:rPr>
            </w:pPr>
            <w:r w:rsidRPr="00F930D1">
              <w:rPr>
                <w:sz w:val="24"/>
                <w:szCs w:val="24"/>
                <w:lang w:val="en-US"/>
              </w:rPr>
              <w:t>10.56 (8.33, 13.40)</w:t>
            </w:r>
          </w:p>
        </w:tc>
        <w:tc>
          <w:tcPr>
            <w:tcW w:w="247" w:type="dxa"/>
          </w:tcPr>
          <w:p w14:paraId="69C6A802" w14:textId="77777777" w:rsidR="00474747" w:rsidRPr="00F930D1" w:rsidRDefault="00474747" w:rsidP="009F12FA">
            <w:pPr>
              <w:spacing w:line="480" w:lineRule="auto"/>
              <w:jc w:val="center"/>
              <w:rPr>
                <w:sz w:val="24"/>
                <w:szCs w:val="24"/>
                <w:lang w:val="en-US"/>
              </w:rPr>
            </w:pPr>
          </w:p>
        </w:tc>
        <w:tc>
          <w:tcPr>
            <w:tcW w:w="1513" w:type="dxa"/>
          </w:tcPr>
          <w:p w14:paraId="0528498B" w14:textId="77777777" w:rsidR="00474747" w:rsidRPr="00F930D1" w:rsidRDefault="00474747" w:rsidP="009F12FA">
            <w:pPr>
              <w:spacing w:line="480" w:lineRule="auto"/>
              <w:jc w:val="center"/>
              <w:rPr>
                <w:sz w:val="24"/>
                <w:szCs w:val="24"/>
                <w:lang w:val="en-US"/>
              </w:rPr>
            </w:pPr>
            <w:r w:rsidRPr="00F930D1">
              <w:rPr>
                <w:sz w:val="24"/>
                <w:szCs w:val="24"/>
                <w:lang w:val="en-US"/>
              </w:rPr>
              <w:t>1.06 (0.91, 1.23)</w:t>
            </w:r>
          </w:p>
        </w:tc>
        <w:tc>
          <w:tcPr>
            <w:tcW w:w="1604" w:type="dxa"/>
          </w:tcPr>
          <w:p w14:paraId="759A13CA" w14:textId="77777777" w:rsidR="00474747" w:rsidRPr="00F930D1" w:rsidRDefault="00474747" w:rsidP="009F12FA">
            <w:pPr>
              <w:spacing w:line="480" w:lineRule="auto"/>
              <w:jc w:val="center"/>
              <w:rPr>
                <w:sz w:val="24"/>
                <w:szCs w:val="24"/>
                <w:lang w:val="en-US"/>
              </w:rPr>
            </w:pPr>
            <w:r w:rsidRPr="00F930D1">
              <w:rPr>
                <w:sz w:val="24"/>
                <w:szCs w:val="24"/>
                <w:lang w:val="en-US"/>
              </w:rPr>
              <w:t>1.10 (0.94, 1.28)</w:t>
            </w:r>
          </w:p>
        </w:tc>
        <w:tc>
          <w:tcPr>
            <w:tcW w:w="1517" w:type="dxa"/>
          </w:tcPr>
          <w:p w14:paraId="32F6125D" w14:textId="77777777" w:rsidR="00474747" w:rsidRPr="00F930D1" w:rsidRDefault="00474747" w:rsidP="009F12FA">
            <w:pPr>
              <w:spacing w:line="480" w:lineRule="auto"/>
              <w:jc w:val="center"/>
              <w:rPr>
                <w:sz w:val="24"/>
                <w:szCs w:val="24"/>
                <w:lang w:val="en-US"/>
              </w:rPr>
            </w:pPr>
            <w:r w:rsidRPr="00F930D1">
              <w:rPr>
                <w:sz w:val="24"/>
                <w:szCs w:val="24"/>
                <w:lang w:val="en-US"/>
              </w:rPr>
              <w:t>1.13 (0.97, 1.31)</w:t>
            </w:r>
          </w:p>
        </w:tc>
      </w:tr>
      <w:tr w:rsidR="00474747" w:rsidRPr="00F930D1" w14:paraId="0D988153" w14:textId="77777777" w:rsidTr="00537809">
        <w:trPr>
          <w:trHeight w:val="274"/>
        </w:trPr>
        <w:tc>
          <w:tcPr>
            <w:tcW w:w="1563" w:type="dxa"/>
          </w:tcPr>
          <w:p w14:paraId="05B066CA" w14:textId="77777777" w:rsidR="00474747" w:rsidRPr="00F930D1" w:rsidRDefault="00474747" w:rsidP="009F12FA">
            <w:pPr>
              <w:spacing w:line="480" w:lineRule="auto"/>
              <w:rPr>
                <w:sz w:val="24"/>
                <w:szCs w:val="24"/>
                <w:lang w:val="en-US"/>
              </w:rPr>
            </w:pPr>
            <w:r w:rsidRPr="00F930D1">
              <w:rPr>
                <w:sz w:val="24"/>
                <w:szCs w:val="24"/>
                <w:lang w:val="en-US"/>
              </w:rPr>
              <w:t xml:space="preserve">  TIR, %</w:t>
            </w:r>
          </w:p>
        </w:tc>
        <w:tc>
          <w:tcPr>
            <w:tcW w:w="2063" w:type="dxa"/>
          </w:tcPr>
          <w:p w14:paraId="5B640D73" w14:textId="77777777" w:rsidR="00474747" w:rsidRPr="00F930D1" w:rsidRDefault="00474747" w:rsidP="009F12FA">
            <w:pPr>
              <w:spacing w:line="480" w:lineRule="auto"/>
              <w:jc w:val="center"/>
              <w:rPr>
                <w:sz w:val="24"/>
                <w:szCs w:val="24"/>
                <w:lang w:val="en-US"/>
              </w:rPr>
            </w:pPr>
            <w:r w:rsidRPr="00F930D1">
              <w:rPr>
                <w:sz w:val="24"/>
                <w:szCs w:val="24"/>
                <w:lang w:val="en-US"/>
              </w:rPr>
              <w:t>79.09 (76.04, 82.25)</w:t>
            </w:r>
          </w:p>
        </w:tc>
        <w:tc>
          <w:tcPr>
            <w:tcW w:w="1869" w:type="dxa"/>
          </w:tcPr>
          <w:p w14:paraId="2864EC37" w14:textId="77777777" w:rsidR="00474747" w:rsidRPr="00F930D1" w:rsidRDefault="00474747" w:rsidP="009F12FA">
            <w:pPr>
              <w:spacing w:line="480" w:lineRule="auto"/>
              <w:jc w:val="center"/>
              <w:rPr>
                <w:sz w:val="24"/>
                <w:szCs w:val="24"/>
                <w:lang w:val="en-US"/>
              </w:rPr>
            </w:pPr>
            <w:r w:rsidRPr="00F930D1">
              <w:rPr>
                <w:sz w:val="24"/>
                <w:szCs w:val="24"/>
                <w:lang w:val="en-US"/>
              </w:rPr>
              <w:t>74.87 (59.90, 93.59)</w:t>
            </w:r>
          </w:p>
        </w:tc>
        <w:tc>
          <w:tcPr>
            <w:tcW w:w="247" w:type="dxa"/>
          </w:tcPr>
          <w:p w14:paraId="42C6C1FD" w14:textId="77777777" w:rsidR="00474747" w:rsidRPr="00F930D1" w:rsidRDefault="00474747" w:rsidP="009F12FA">
            <w:pPr>
              <w:spacing w:line="480" w:lineRule="auto"/>
              <w:jc w:val="center"/>
              <w:rPr>
                <w:sz w:val="24"/>
                <w:szCs w:val="24"/>
                <w:lang w:val="en-US"/>
              </w:rPr>
            </w:pPr>
          </w:p>
        </w:tc>
        <w:tc>
          <w:tcPr>
            <w:tcW w:w="1513" w:type="dxa"/>
          </w:tcPr>
          <w:p w14:paraId="5E0CCFBD" w14:textId="77777777" w:rsidR="00474747" w:rsidRPr="00F930D1" w:rsidRDefault="00474747" w:rsidP="009F12FA">
            <w:pPr>
              <w:spacing w:line="480" w:lineRule="auto"/>
              <w:jc w:val="center"/>
              <w:rPr>
                <w:sz w:val="24"/>
                <w:szCs w:val="24"/>
                <w:lang w:val="en-US"/>
              </w:rPr>
            </w:pPr>
            <w:r w:rsidRPr="00F930D1">
              <w:rPr>
                <w:sz w:val="24"/>
                <w:szCs w:val="24"/>
                <w:lang w:val="en-US"/>
              </w:rPr>
              <w:t>0.95 (0.83, 1.09)</w:t>
            </w:r>
          </w:p>
        </w:tc>
        <w:tc>
          <w:tcPr>
            <w:tcW w:w="1604" w:type="dxa"/>
          </w:tcPr>
          <w:p w14:paraId="2C8A74C8" w14:textId="77777777" w:rsidR="00474747" w:rsidRPr="00F930D1" w:rsidRDefault="00474747" w:rsidP="009F12FA">
            <w:pPr>
              <w:spacing w:line="480" w:lineRule="auto"/>
              <w:jc w:val="center"/>
              <w:rPr>
                <w:sz w:val="24"/>
                <w:szCs w:val="24"/>
                <w:lang w:val="en-US"/>
              </w:rPr>
            </w:pPr>
            <w:r w:rsidRPr="00F930D1">
              <w:rPr>
                <w:sz w:val="24"/>
                <w:szCs w:val="24"/>
                <w:lang w:val="en-US"/>
              </w:rPr>
              <w:t>0.96 (0.84, 1.11)</w:t>
            </w:r>
          </w:p>
        </w:tc>
        <w:tc>
          <w:tcPr>
            <w:tcW w:w="1517" w:type="dxa"/>
          </w:tcPr>
          <w:p w14:paraId="56AEDE71" w14:textId="77777777" w:rsidR="00474747" w:rsidRPr="00F930D1" w:rsidRDefault="00474747" w:rsidP="009F12FA">
            <w:pPr>
              <w:spacing w:line="480" w:lineRule="auto"/>
              <w:jc w:val="center"/>
              <w:rPr>
                <w:sz w:val="24"/>
                <w:szCs w:val="24"/>
                <w:lang w:val="en-US"/>
              </w:rPr>
            </w:pPr>
            <w:r w:rsidRPr="00F930D1">
              <w:rPr>
                <w:sz w:val="24"/>
                <w:szCs w:val="24"/>
                <w:lang w:val="en-US"/>
              </w:rPr>
              <w:t>0.98 (0.85, 1.13)</w:t>
            </w:r>
          </w:p>
        </w:tc>
      </w:tr>
      <w:tr w:rsidR="00474747" w:rsidRPr="00F930D1" w14:paraId="2E4E045C" w14:textId="77777777" w:rsidTr="00537809">
        <w:trPr>
          <w:trHeight w:val="251"/>
        </w:trPr>
        <w:tc>
          <w:tcPr>
            <w:tcW w:w="1563" w:type="dxa"/>
          </w:tcPr>
          <w:p w14:paraId="2EA612B0" w14:textId="77777777" w:rsidR="00474747" w:rsidRPr="00F930D1" w:rsidRDefault="00474747" w:rsidP="009F12FA">
            <w:pPr>
              <w:spacing w:line="480" w:lineRule="auto"/>
              <w:rPr>
                <w:sz w:val="24"/>
                <w:szCs w:val="24"/>
                <w:lang w:val="en-US"/>
              </w:rPr>
            </w:pPr>
            <w:r w:rsidRPr="00F930D1">
              <w:rPr>
                <w:sz w:val="24"/>
                <w:szCs w:val="24"/>
                <w:lang w:val="en-US"/>
              </w:rPr>
              <w:t xml:space="preserve">  TAR, %</w:t>
            </w:r>
          </w:p>
        </w:tc>
        <w:tc>
          <w:tcPr>
            <w:tcW w:w="2063" w:type="dxa"/>
          </w:tcPr>
          <w:p w14:paraId="3427B2FE" w14:textId="77777777" w:rsidR="00474747" w:rsidRPr="00F930D1" w:rsidRDefault="00474747" w:rsidP="009F12FA">
            <w:pPr>
              <w:spacing w:line="480" w:lineRule="auto"/>
              <w:jc w:val="center"/>
              <w:rPr>
                <w:sz w:val="24"/>
                <w:szCs w:val="24"/>
                <w:lang w:val="en-US"/>
              </w:rPr>
            </w:pPr>
            <w:r w:rsidRPr="00F930D1">
              <w:rPr>
                <w:sz w:val="24"/>
                <w:szCs w:val="24"/>
                <w:lang w:val="en-US"/>
              </w:rPr>
              <w:t>0.86 (0.67, 1.10)</w:t>
            </w:r>
          </w:p>
        </w:tc>
        <w:tc>
          <w:tcPr>
            <w:tcW w:w="1869" w:type="dxa"/>
          </w:tcPr>
          <w:p w14:paraId="720A97EE" w14:textId="77777777" w:rsidR="00474747" w:rsidRPr="00F930D1" w:rsidRDefault="00474747" w:rsidP="009F12FA">
            <w:pPr>
              <w:spacing w:line="480" w:lineRule="auto"/>
              <w:jc w:val="center"/>
              <w:rPr>
                <w:sz w:val="24"/>
                <w:szCs w:val="24"/>
                <w:lang w:val="en-US"/>
              </w:rPr>
            </w:pPr>
            <w:r w:rsidRPr="00F930D1">
              <w:rPr>
                <w:sz w:val="24"/>
                <w:szCs w:val="24"/>
                <w:lang w:val="en-US"/>
              </w:rPr>
              <w:t>1.14 (0.22, 6.01)</w:t>
            </w:r>
          </w:p>
        </w:tc>
        <w:tc>
          <w:tcPr>
            <w:tcW w:w="247" w:type="dxa"/>
          </w:tcPr>
          <w:p w14:paraId="1B73879D" w14:textId="77777777" w:rsidR="00474747" w:rsidRPr="00F930D1" w:rsidRDefault="00474747" w:rsidP="009F12FA">
            <w:pPr>
              <w:spacing w:line="480" w:lineRule="auto"/>
              <w:jc w:val="center"/>
              <w:rPr>
                <w:sz w:val="24"/>
                <w:szCs w:val="24"/>
                <w:lang w:val="en-US"/>
              </w:rPr>
            </w:pPr>
          </w:p>
        </w:tc>
        <w:tc>
          <w:tcPr>
            <w:tcW w:w="1513" w:type="dxa"/>
          </w:tcPr>
          <w:p w14:paraId="3A265925" w14:textId="77777777" w:rsidR="00474747" w:rsidRPr="00F930D1" w:rsidRDefault="00474747" w:rsidP="009F12FA">
            <w:pPr>
              <w:spacing w:line="480" w:lineRule="auto"/>
              <w:jc w:val="center"/>
              <w:rPr>
                <w:sz w:val="24"/>
                <w:szCs w:val="24"/>
                <w:lang w:val="en-US"/>
              </w:rPr>
            </w:pPr>
            <w:r w:rsidRPr="00F930D1">
              <w:rPr>
                <w:sz w:val="24"/>
                <w:szCs w:val="24"/>
                <w:lang w:val="en-US"/>
              </w:rPr>
              <w:t>0.99 (0.69, 1.42)</w:t>
            </w:r>
          </w:p>
        </w:tc>
        <w:tc>
          <w:tcPr>
            <w:tcW w:w="1604" w:type="dxa"/>
          </w:tcPr>
          <w:p w14:paraId="6C36A260" w14:textId="77777777" w:rsidR="00474747" w:rsidRPr="00F930D1" w:rsidRDefault="00474747" w:rsidP="009F12FA">
            <w:pPr>
              <w:spacing w:line="480" w:lineRule="auto"/>
              <w:jc w:val="center"/>
              <w:rPr>
                <w:sz w:val="24"/>
                <w:szCs w:val="24"/>
                <w:lang w:val="en-US"/>
              </w:rPr>
            </w:pPr>
            <w:r w:rsidRPr="00F930D1">
              <w:rPr>
                <w:sz w:val="24"/>
                <w:szCs w:val="24"/>
                <w:lang w:val="en-US"/>
              </w:rPr>
              <w:t>1.08 (0.75, 1.57)</w:t>
            </w:r>
          </w:p>
        </w:tc>
        <w:tc>
          <w:tcPr>
            <w:tcW w:w="1517" w:type="dxa"/>
          </w:tcPr>
          <w:p w14:paraId="07003716" w14:textId="77777777" w:rsidR="00474747" w:rsidRPr="00F930D1" w:rsidRDefault="00474747" w:rsidP="009F12FA">
            <w:pPr>
              <w:spacing w:line="480" w:lineRule="auto"/>
              <w:jc w:val="center"/>
              <w:rPr>
                <w:sz w:val="24"/>
                <w:szCs w:val="24"/>
                <w:lang w:val="en-US"/>
              </w:rPr>
            </w:pPr>
            <w:r w:rsidRPr="00F930D1">
              <w:rPr>
                <w:sz w:val="24"/>
                <w:szCs w:val="24"/>
                <w:lang w:val="en-US"/>
              </w:rPr>
              <w:t>1.15 (0.80, 1.66)</w:t>
            </w:r>
          </w:p>
        </w:tc>
      </w:tr>
      <w:tr w:rsidR="00474747" w:rsidRPr="00F930D1" w14:paraId="76EB4D7D" w14:textId="77777777" w:rsidTr="00537809">
        <w:trPr>
          <w:trHeight w:val="274"/>
        </w:trPr>
        <w:tc>
          <w:tcPr>
            <w:tcW w:w="1563" w:type="dxa"/>
          </w:tcPr>
          <w:p w14:paraId="020A0E33" w14:textId="77777777" w:rsidR="00474747" w:rsidRPr="00F930D1" w:rsidRDefault="00474747" w:rsidP="009F12FA">
            <w:pPr>
              <w:spacing w:line="480" w:lineRule="auto"/>
              <w:rPr>
                <w:sz w:val="24"/>
                <w:szCs w:val="24"/>
                <w:lang w:val="en-US"/>
              </w:rPr>
            </w:pPr>
            <w:r w:rsidRPr="00F930D1">
              <w:rPr>
                <w:sz w:val="24"/>
                <w:szCs w:val="24"/>
                <w:lang w:val="en-US"/>
              </w:rPr>
              <w:t xml:space="preserve">  TBR, %</w:t>
            </w:r>
          </w:p>
        </w:tc>
        <w:tc>
          <w:tcPr>
            <w:tcW w:w="2063" w:type="dxa"/>
            <w:tcBorders>
              <w:bottom w:val="nil"/>
            </w:tcBorders>
          </w:tcPr>
          <w:p w14:paraId="56CF66A9" w14:textId="77777777" w:rsidR="00474747" w:rsidRPr="00F930D1" w:rsidRDefault="00474747" w:rsidP="009F12FA">
            <w:pPr>
              <w:spacing w:line="480" w:lineRule="auto"/>
              <w:jc w:val="center"/>
              <w:rPr>
                <w:sz w:val="24"/>
                <w:szCs w:val="24"/>
                <w:lang w:val="en-US"/>
              </w:rPr>
            </w:pPr>
            <w:r w:rsidRPr="00F930D1">
              <w:rPr>
                <w:sz w:val="24"/>
                <w:szCs w:val="24"/>
                <w:lang w:val="en-US"/>
              </w:rPr>
              <w:t>10.81 (8.85, 13.21)</w:t>
            </w:r>
          </w:p>
        </w:tc>
        <w:tc>
          <w:tcPr>
            <w:tcW w:w="1869" w:type="dxa"/>
            <w:tcBorders>
              <w:bottom w:val="nil"/>
            </w:tcBorders>
          </w:tcPr>
          <w:p w14:paraId="6DA23AB5" w14:textId="77777777" w:rsidR="00474747" w:rsidRPr="00F930D1" w:rsidRDefault="00474747" w:rsidP="009F12FA">
            <w:pPr>
              <w:spacing w:line="480" w:lineRule="auto"/>
              <w:jc w:val="center"/>
              <w:rPr>
                <w:sz w:val="24"/>
                <w:szCs w:val="24"/>
                <w:lang w:val="en-US"/>
              </w:rPr>
            </w:pPr>
            <w:r w:rsidRPr="00F930D1">
              <w:rPr>
                <w:sz w:val="24"/>
                <w:szCs w:val="24"/>
                <w:lang w:val="en-US"/>
              </w:rPr>
              <w:t>7.39 (3.54, 15.43)</w:t>
            </w:r>
          </w:p>
        </w:tc>
        <w:tc>
          <w:tcPr>
            <w:tcW w:w="247" w:type="dxa"/>
            <w:tcBorders>
              <w:bottom w:val="nil"/>
            </w:tcBorders>
          </w:tcPr>
          <w:p w14:paraId="03B33662" w14:textId="77777777" w:rsidR="00474747" w:rsidRPr="00F930D1" w:rsidRDefault="00474747" w:rsidP="009F12FA">
            <w:pPr>
              <w:spacing w:line="480" w:lineRule="auto"/>
              <w:jc w:val="center"/>
              <w:rPr>
                <w:sz w:val="24"/>
                <w:szCs w:val="24"/>
                <w:lang w:val="en-US"/>
              </w:rPr>
            </w:pPr>
          </w:p>
        </w:tc>
        <w:tc>
          <w:tcPr>
            <w:tcW w:w="1513" w:type="dxa"/>
            <w:tcBorders>
              <w:bottom w:val="nil"/>
            </w:tcBorders>
          </w:tcPr>
          <w:p w14:paraId="0D39EE0D" w14:textId="77777777" w:rsidR="00474747" w:rsidRPr="00F930D1" w:rsidRDefault="00474747" w:rsidP="009F12FA">
            <w:pPr>
              <w:spacing w:line="480" w:lineRule="auto"/>
              <w:jc w:val="center"/>
              <w:rPr>
                <w:sz w:val="24"/>
                <w:szCs w:val="24"/>
                <w:lang w:val="en-US"/>
              </w:rPr>
            </w:pPr>
            <w:r w:rsidRPr="00F930D1">
              <w:rPr>
                <w:sz w:val="24"/>
                <w:szCs w:val="24"/>
                <w:lang w:val="en-US"/>
              </w:rPr>
              <w:t>0.71 (0.40, 1.23)</w:t>
            </w:r>
          </w:p>
        </w:tc>
        <w:tc>
          <w:tcPr>
            <w:tcW w:w="1604" w:type="dxa"/>
            <w:tcBorders>
              <w:bottom w:val="nil"/>
            </w:tcBorders>
          </w:tcPr>
          <w:p w14:paraId="026E0ECA" w14:textId="77777777" w:rsidR="00474747" w:rsidRPr="00F930D1" w:rsidRDefault="00474747" w:rsidP="009F12FA">
            <w:pPr>
              <w:spacing w:line="480" w:lineRule="auto"/>
              <w:jc w:val="center"/>
              <w:rPr>
                <w:sz w:val="24"/>
                <w:szCs w:val="24"/>
                <w:lang w:val="en-US"/>
              </w:rPr>
            </w:pPr>
            <w:r w:rsidRPr="00F930D1">
              <w:rPr>
                <w:sz w:val="24"/>
                <w:szCs w:val="24"/>
                <w:lang w:val="en-US"/>
              </w:rPr>
              <w:t>0.64 (0.36, 1.14)</w:t>
            </w:r>
          </w:p>
        </w:tc>
        <w:tc>
          <w:tcPr>
            <w:tcW w:w="1517" w:type="dxa"/>
            <w:tcBorders>
              <w:bottom w:val="nil"/>
            </w:tcBorders>
          </w:tcPr>
          <w:p w14:paraId="533A1959" w14:textId="77777777" w:rsidR="00474747" w:rsidRPr="00F930D1" w:rsidRDefault="00474747" w:rsidP="009F12FA">
            <w:pPr>
              <w:spacing w:line="480" w:lineRule="auto"/>
              <w:jc w:val="center"/>
              <w:rPr>
                <w:sz w:val="24"/>
                <w:szCs w:val="24"/>
                <w:lang w:val="en-US"/>
              </w:rPr>
            </w:pPr>
            <w:r w:rsidRPr="00F930D1">
              <w:rPr>
                <w:sz w:val="24"/>
                <w:szCs w:val="24"/>
                <w:lang w:val="en-US"/>
              </w:rPr>
              <w:t>0.57 (0.32, 1.01)</w:t>
            </w:r>
          </w:p>
        </w:tc>
      </w:tr>
      <w:tr w:rsidR="00474747" w:rsidRPr="00F930D1" w14:paraId="431897A3" w14:textId="77777777" w:rsidTr="00537809">
        <w:trPr>
          <w:trHeight w:val="251"/>
        </w:trPr>
        <w:tc>
          <w:tcPr>
            <w:tcW w:w="1563" w:type="dxa"/>
          </w:tcPr>
          <w:p w14:paraId="3C08A34E" w14:textId="77777777" w:rsidR="00474747" w:rsidRPr="00F930D1" w:rsidRDefault="00474747" w:rsidP="009F12FA">
            <w:pPr>
              <w:spacing w:line="480" w:lineRule="auto"/>
              <w:rPr>
                <w:b/>
                <w:bCs/>
                <w:sz w:val="24"/>
                <w:szCs w:val="24"/>
                <w:lang w:val="en-US"/>
              </w:rPr>
            </w:pPr>
          </w:p>
        </w:tc>
        <w:tc>
          <w:tcPr>
            <w:tcW w:w="3932" w:type="dxa"/>
            <w:gridSpan w:val="2"/>
            <w:tcBorders>
              <w:top w:val="nil"/>
              <w:bottom w:val="nil"/>
            </w:tcBorders>
          </w:tcPr>
          <w:p w14:paraId="326DBA95" w14:textId="77777777" w:rsidR="00474747" w:rsidRPr="00F930D1" w:rsidRDefault="00474747" w:rsidP="009F12FA">
            <w:pPr>
              <w:spacing w:line="480" w:lineRule="auto"/>
              <w:jc w:val="center"/>
              <w:rPr>
                <w:sz w:val="24"/>
                <w:szCs w:val="24"/>
                <w:lang w:val="en-US"/>
              </w:rPr>
            </w:pPr>
          </w:p>
        </w:tc>
        <w:tc>
          <w:tcPr>
            <w:tcW w:w="247" w:type="dxa"/>
            <w:tcBorders>
              <w:top w:val="nil"/>
              <w:bottom w:val="nil"/>
            </w:tcBorders>
          </w:tcPr>
          <w:p w14:paraId="369BB867" w14:textId="77777777" w:rsidR="00474747" w:rsidRPr="00F930D1" w:rsidRDefault="00474747" w:rsidP="009F12FA">
            <w:pPr>
              <w:spacing w:line="480" w:lineRule="auto"/>
              <w:jc w:val="center"/>
              <w:rPr>
                <w:sz w:val="24"/>
                <w:szCs w:val="24"/>
                <w:lang w:val="en-US"/>
              </w:rPr>
            </w:pPr>
          </w:p>
        </w:tc>
        <w:tc>
          <w:tcPr>
            <w:tcW w:w="4636" w:type="dxa"/>
            <w:gridSpan w:val="3"/>
            <w:tcBorders>
              <w:top w:val="nil"/>
              <w:bottom w:val="nil"/>
            </w:tcBorders>
          </w:tcPr>
          <w:p w14:paraId="0EFE0BD5" w14:textId="77777777" w:rsidR="00474747" w:rsidRPr="00F930D1" w:rsidRDefault="00474747" w:rsidP="009F12FA">
            <w:pPr>
              <w:spacing w:line="480" w:lineRule="auto"/>
              <w:jc w:val="center"/>
              <w:rPr>
                <w:sz w:val="24"/>
                <w:szCs w:val="24"/>
                <w:lang w:val="en-US"/>
              </w:rPr>
            </w:pPr>
          </w:p>
        </w:tc>
      </w:tr>
      <w:tr w:rsidR="00474747" w:rsidRPr="00F930D1" w14:paraId="7BC81B62" w14:textId="77777777" w:rsidTr="00537809">
        <w:trPr>
          <w:trHeight w:val="525"/>
        </w:trPr>
        <w:tc>
          <w:tcPr>
            <w:tcW w:w="1563" w:type="dxa"/>
          </w:tcPr>
          <w:p w14:paraId="217E16F7" w14:textId="77777777" w:rsidR="00474747" w:rsidRPr="00F930D1" w:rsidRDefault="00474747" w:rsidP="009F12FA">
            <w:pPr>
              <w:spacing w:line="480" w:lineRule="auto"/>
              <w:rPr>
                <w:b/>
                <w:bCs/>
                <w:sz w:val="24"/>
                <w:szCs w:val="24"/>
                <w:lang w:val="en-US"/>
              </w:rPr>
            </w:pPr>
            <w:r w:rsidRPr="00F930D1">
              <w:rPr>
                <w:b/>
                <w:bCs/>
                <w:sz w:val="24"/>
                <w:szCs w:val="24"/>
                <w:lang w:val="en-US"/>
              </w:rPr>
              <w:t>Glycemic variability index</w:t>
            </w:r>
          </w:p>
        </w:tc>
        <w:tc>
          <w:tcPr>
            <w:tcW w:w="3932" w:type="dxa"/>
            <w:gridSpan w:val="2"/>
            <w:tcBorders>
              <w:top w:val="nil"/>
              <w:bottom w:val="nil"/>
            </w:tcBorders>
          </w:tcPr>
          <w:p w14:paraId="7D43D7E5" w14:textId="77777777" w:rsidR="00474747" w:rsidRPr="00F930D1" w:rsidRDefault="00474747" w:rsidP="009F12FA">
            <w:pPr>
              <w:spacing w:line="480" w:lineRule="auto"/>
              <w:jc w:val="center"/>
              <w:rPr>
                <w:sz w:val="24"/>
                <w:szCs w:val="24"/>
                <w:lang w:val="en-US"/>
              </w:rPr>
            </w:pPr>
          </w:p>
        </w:tc>
        <w:tc>
          <w:tcPr>
            <w:tcW w:w="247" w:type="dxa"/>
            <w:tcBorders>
              <w:top w:val="nil"/>
              <w:bottom w:val="nil"/>
            </w:tcBorders>
          </w:tcPr>
          <w:p w14:paraId="2EBE680D" w14:textId="77777777" w:rsidR="00474747" w:rsidRPr="00F930D1" w:rsidRDefault="00474747" w:rsidP="009F12FA">
            <w:pPr>
              <w:spacing w:line="480" w:lineRule="auto"/>
              <w:jc w:val="center"/>
              <w:rPr>
                <w:sz w:val="24"/>
                <w:szCs w:val="24"/>
                <w:lang w:val="en-US"/>
              </w:rPr>
            </w:pPr>
          </w:p>
        </w:tc>
        <w:tc>
          <w:tcPr>
            <w:tcW w:w="4636" w:type="dxa"/>
            <w:gridSpan w:val="3"/>
            <w:tcBorders>
              <w:top w:val="nil"/>
              <w:bottom w:val="nil"/>
            </w:tcBorders>
          </w:tcPr>
          <w:p w14:paraId="59AA77F0" w14:textId="77777777" w:rsidR="00474747" w:rsidRPr="00F930D1" w:rsidRDefault="00474747" w:rsidP="009F12FA">
            <w:pPr>
              <w:spacing w:line="480" w:lineRule="auto"/>
              <w:jc w:val="center"/>
              <w:rPr>
                <w:sz w:val="24"/>
                <w:szCs w:val="24"/>
                <w:lang w:val="en-US"/>
              </w:rPr>
            </w:pPr>
          </w:p>
        </w:tc>
      </w:tr>
      <w:tr w:rsidR="00474747" w:rsidRPr="00F930D1" w14:paraId="193451BE" w14:textId="77777777" w:rsidTr="00537809">
        <w:trPr>
          <w:trHeight w:val="274"/>
        </w:trPr>
        <w:tc>
          <w:tcPr>
            <w:tcW w:w="1563" w:type="dxa"/>
          </w:tcPr>
          <w:p w14:paraId="46CF7FB4" w14:textId="77777777" w:rsidR="00474747" w:rsidRPr="00F930D1" w:rsidRDefault="00474747" w:rsidP="009F12FA">
            <w:pPr>
              <w:spacing w:line="480" w:lineRule="auto"/>
              <w:rPr>
                <w:sz w:val="24"/>
                <w:szCs w:val="24"/>
                <w:lang w:val="en-US"/>
              </w:rPr>
            </w:pPr>
            <w:r w:rsidRPr="00F930D1">
              <w:rPr>
                <w:sz w:val="24"/>
                <w:szCs w:val="24"/>
                <w:lang w:val="en-US"/>
              </w:rPr>
              <w:t xml:space="preserve">  SD, mmol/L</w:t>
            </w:r>
          </w:p>
        </w:tc>
        <w:tc>
          <w:tcPr>
            <w:tcW w:w="2063" w:type="dxa"/>
            <w:tcBorders>
              <w:top w:val="nil"/>
              <w:bottom w:val="nil"/>
            </w:tcBorders>
          </w:tcPr>
          <w:p w14:paraId="2162F508" w14:textId="77777777" w:rsidR="00474747" w:rsidRPr="00F930D1" w:rsidRDefault="00474747" w:rsidP="009F12FA">
            <w:pPr>
              <w:spacing w:line="480" w:lineRule="auto"/>
              <w:jc w:val="center"/>
              <w:rPr>
                <w:sz w:val="24"/>
                <w:szCs w:val="24"/>
                <w:lang w:val="en-US"/>
              </w:rPr>
            </w:pPr>
            <w:r w:rsidRPr="00F930D1">
              <w:rPr>
                <w:sz w:val="24"/>
                <w:szCs w:val="24"/>
                <w:lang w:val="en-US"/>
              </w:rPr>
              <w:t>1.03 (0.99, 1.08)</w:t>
            </w:r>
          </w:p>
        </w:tc>
        <w:tc>
          <w:tcPr>
            <w:tcW w:w="1869" w:type="dxa"/>
            <w:tcBorders>
              <w:top w:val="nil"/>
              <w:bottom w:val="nil"/>
            </w:tcBorders>
          </w:tcPr>
          <w:p w14:paraId="6C5F092C" w14:textId="77777777" w:rsidR="00474747" w:rsidRPr="00F930D1" w:rsidRDefault="00474747" w:rsidP="009F12FA">
            <w:pPr>
              <w:spacing w:line="480" w:lineRule="auto"/>
              <w:jc w:val="center"/>
              <w:rPr>
                <w:sz w:val="24"/>
                <w:szCs w:val="24"/>
                <w:lang w:val="en-US"/>
              </w:rPr>
            </w:pPr>
            <w:r w:rsidRPr="00F930D1">
              <w:rPr>
                <w:sz w:val="24"/>
                <w:szCs w:val="24"/>
                <w:lang w:val="en-US"/>
              </w:rPr>
              <w:t>1.05 (0.90, 1.22)</w:t>
            </w:r>
          </w:p>
        </w:tc>
        <w:tc>
          <w:tcPr>
            <w:tcW w:w="247" w:type="dxa"/>
            <w:tcBorders>
              <w:top w:val="nil"/>
              <w:bottom w:val="nil"/>
            </w:tcBorders>
          </w:tcPr>
          <w:p w14:paraId="14EFD1F3" w14:textId="77777777" w:rsidR="00474747" w:rsidRPr="00F930D1" w:rsidRDefault="00474747" w:rsidP="009F12FA">
            <w:pPr>
              <w:spacing w:line="480" w:lineRule="auto"/>
              <w:jc w:val="center"/>
              <w:rPr>
                <w:sz w:val="24"/>
                <w:szCs w:val="24"/>
                <w:lang w:val="en-US"/>
              </w:rPr>
            </w:pPr>
          </w:p>
        </w:tc>
        <w:tc>
          <w:tcPr>
            <w:tcW w:w="1513" w:type="dxa"/>
            <w:tcBorders>
              <w:top w:val="nil"/>
              <w:bottom w:val="nil"/>
            </w:tcBorders>
          </w:tcPr>
          <w:p w14:paraId="4F561F95" w14:textId="77777777" w:rsidR="00474747" w:rsidRPr="00F930D1" w:rsidRDefault="00474747" w:rsidP="009F12FA">
            <w:pPr>
              <w:spacing w:line="480" w:lineRule="auto"/>
              <w:jc w:val="center"/>
              <w:rPr>
                <w:sz w:val="24"/>
                <w:szCs w:val="24"/>
                <w:lang w:val="en-US"/>
              </w:rPr>
            </w:pPr>
            <w:r w:rsidRPr="00F930D1">
              <w:rPr>
                <w:sz w:val="24"/>
                <w:szCs w:val="24"/>
                <w:lang w:val="en-US"/>
              </w:rPr>
              <w:t>0.99 (0.87, 1.13)</w:t>
            </w:r>
          </w:p>
        </w:tc>
        <w:tc>
          <w:tcPr>
            <w:tcW w:w="1604" w:type="dxa"/>
            <w:tcBorders>
              <w:top w:val="nil"/>
              <w:bottom w:val="nil"/>
            </w:tcBorders>
          </w:tcPr>
          <w:p w14:paraId="36067BD5" w14:textId="77777777" w:rsidR="00474747" w:rsidRPr="00F930D1" w:rsidRDefault="00474747" w:rsidP="009F12FA">
            <w:pPr>
              <w:spacing w:line="480" w:lineRule="auto"/>
              <w:jc w:val="center"/>
              <w:rPr>
                <w:sz w:val="24"/>
                <w:szCs w:val="24"/>
                <w:lang w:val="en-US"/>
              </w:rPr>
            </w:pPr>
            <w:r w:rsidRPr="00F930D1">
              <w:rPr>
                <w:sz w:val="24"/>
                <w:szCs w:val="24"/>
                <w:lang w:val="en-US"/>
              </w:rPr>
              <w:t>1.02 (0.89, 1.17)</w:t>
            </w:r>
          </w:p>
        </w:tc>
        <w:tc>
          <w:tcPr>
            <w:tcW w:w="1517" w:type="dxa"/>
            <w:tcBorders>
              <w:top w:val="nil"/>
              <w:bottom w:val="nil"/>
            </w:tcBorders>
          </w:tcPr>
          <w:p w14:paraId="31C97904" w14:textId="77777777" w:rsidR="00474747" w:rsidRPr="00F930D1" w:rsidRDefault="00474747" w:rsidP="009F12FA">
            <w:pPr>
              <w:spacing w:line="480" w:lineRule="auto"/>
              <w:jc w:val="center"/>
              <w:rPr>
                <w:sz w:val="24"/>
                <w:szCs w:val="24"/>
                <w:lang w:val="en-US"/>
              </w:rPr>
            </w:pPr>
            <w:r w:rsidRPr="00F930D1">
              <w:rPr>
                <w:sz w:val="24"/>
                <w:szCs w:val="24"/>
                <w:lang w:val="en-US"/>
              </w:rPr>
              <w:t>1.02 (0.90, 1.17)</w:t>
            </w:r>
          </w:p>
        </w:tc>
      </w:tr>
      <w:tr w:rsidR="00474747" w:rsidRPr="00F930D1" w14:paraId="387C29B0" w14:textId="77777777" w:rsidTr="00537809">
        <w:trPr>
          <w:trHeight w:val="251"/>
        </w:trPr>
        <w:tc>
          <w:tcPr>
            <w:tcW w:w="1563" w:type="dxa"/>
          </w:tcPr>
          <w:p w14:paraId="07309DD9" w14:textId="77777777" w:rsidR="00474747" w:rsidRPr="00F930D1" w:rsidRDefault="00474747" w:rsidP="009F12FA">
            <w:pPr>
              <w:spacing w:line="480" w:lineRule="auto"/>
              <w:rPr>
                <w:sz w:val="24"/>
                <w:szCs w:val="24"/>
                <w:lang w:val="en-US"/>
              </w:rPr>
            </w:pPr>
            <w:r w:rsidRPr="00F930D1">
              <w:rPr>
                <w:sz w:val="24"/>
                <w:szCs w:val="24"/>
                <w:lang w:val="en-US"/>
              </w:rPr>
              <w:t xml:space="preserve">  CV, %</w:t>
            </w:r>
          </w:p>
        </w:tc>
        <w:tc>
          <w:tcPr>
            <w:tcW w:w="2063" w:type="dxa"/>
            <w:tcBorders>
              <w:top w:val="nil"/>
            </w:tcBorders>
          </w:tcPr>
          <w:p w14:paraId="6F244DAB" w14:textId="77777777" w:rsidR="00474747" w:rsidRPr="00F930D1" w:rsidRDefault="00474747" w:rsidP="009F12FA">
            <w:pPr>
              <w:spacing w:line="480" w:lineRule="auto"/>
              <w:jc w:val="center"/>
              <w:rPr>
                <w:sz w:val="24"/>
                <w:szCs w:val="24"/>
                <w:lang w:val="en-US"/>
              </w:rPr>
            </w:pPr>
            <w:r w:rsidRPr="00F930D1">
              <w:rPr>
                <w:sz w:val="24"/>
                <w:szCs w:val="24"/>
                <w:lang w:val="en-US"/>
              </w:rPr>
              <w:t>23.17 (22.39, 23.98)</w:t>
            </w:r>
          </w:p>
        </w:tc>
        <w:tc>
          <w:tcPr>
            <w:tcW w:w="1869" w:type="dxa"/>
            <w:tcBorders>
              <w:top w:val="nil"/>
            </w:tcBorders>
          </w:tcPr>
          <w:p w14:paraId="5EC49008" w14:textId="77777777" w:rsidR="00474747" w:rsidRPr="00F930D1" w:rsidRDefault="00474747" w:rsidP="009F12FA">
            <w:pPr>
              <w:spacing w:line="480" w:lineRule="auto"/>
              <w:jc w:val="center"/>
              <w:rPr>
                <w:sz w:val="24"/>
                <w:szCs w:val="24"/>
                <w:lang w:val="en-US"/>
              </w:rPr>
            </w:pPr>
            <w:r w:rsidRPr="00F930D1">
              <w:rPr>
                <w:sz w:val="24"/>
                <w:szCs w:val="24"/>
                <w:lang w:val="en-US"/>
              </w:rPr>
              <w:t>22.55 (20.53, 24.77)</w:t>
            </w:r>
          </w:p>
        </w:tc>
        <w:tc>
          <w:tcPr>
            <w:tcW w:w="247" w:type="dxa"/>
            <w:tcBorders>
              <w:top w:val="nil"/>
            </w:tcBorders>
          </w:tcPr>
          <w:p w14:paraId="35D666F0" w14:textId="77777777" w:rsidR="00474747" w:rsidRPr="00F930D1" w:rsidRDefault="00474747" w:rsidP="009F12FA">
            <w:pPr>
              <w:spacing w:line="480" w:lineRule="auto"/>
              <w:jc w:val="center"/>
              <w:rPr>
                <w:sz w:val="24"/>
                <w:szCs w:val="24"/>
                <w:lang w:val="en-US"/>
              </w:rPr>
            </w:pPr>
          </w:p>
        </w:tc>
        <w:tc>
          <w:tcPr>
            <w:tcW w:w="1513" w:type="dxa"/>
            <w:tcBorders>
              <w:top w:val="nil"/>
            </w:tcBorders>
          </w:tcPr>
          <w:p w14:paraId="7D37CB78" w14:textId="77777777" w:rsidR="00474747" w:rsidRPr="00F930D1" w:rsidRDefault="00474747" w:rsidP="009F12FA">
            <w:pPr>
              <w:spacing w:line="480" w:lineRule="auto"/>
              <w:jc w:val="center"/>
              <w:rPr>
                <w:sz w:val="24"/>
                <w:szCs w:val="24"/>
                <w:lang w:val="en-US"/>
              </w:rPr>
            </w:pPr>
            <w:r w:rsidRPr="00F930D1">
              <w:rPr>
                <w:sz w:val="24"/>
                <w:szCs w:val="24"/>
                <w:lang w:val="en-US"/>
              </w:rPr>
              <w:t>0.96 (0.86, 1.06)</w:t>
            </w:r>
          </w:p>
        </w:tc>
        <w:tc>
          <w:tcPr>
            <w:tcW w:w="1604" w:type="dxa"/>
            <w:tcBorders>
              <w:top w:val="nil"/>
            </w:tcBorders>
          </w:tcPr>
          <w:p w14:paraId="6085A2F8" w14:textId="77777777" w:rsidR="00474747" w:rsidRPr="00F930D1" w:rsidRDefault="00474747" w:rsidP="009F12FA">
            <w:pPr>
              <w:spacing w:line="480" w:lineRule="auto"/>
              <w:jc w:val="center"/>
              <w:rPr>
                <w:sz w:val="24"/>
                <w:szCs w:val="24"/>
                <w:lang w:val="en-US"/>
              </w:rPr>
            </w:pPr>
            <w:r w:rsidRPr="00F930D1">
              <w:rPr>
                <w:sz w:val="24"/>
                <w:szCs w:val="24"/>
                <w:lang w:val="en-US"/>
              </w:rPr>
              <w:t>0.96 (0.86, 1.08)</w:t>
            </w:r>
          </w:p>
        </w:tc>
        <w:tc>
          <w:tcPr>
            <w:tcW w:w="1517" w:type="dxa"/>
            <w:tcBorders>
              <w:top w:val="nil"/>
            </w:tcBorders>
          </w:tcPr>
          <w:p w14:paraId="01C9DEFC" w14:textId="77777777" w:rsidR="00474747" w:rsidRPr="00F930D1" w:rsidRDefault="00474747" w:rsidP="009F12FA">
            <w:pPr>
              <w:spacing w:line="480" w:lineRule="auto"/>
              <w:jc w:val="center"/>
              <w:rPr>
                <w:sz w:val="24"/>
                <w:szCs w:val="24"/>
                <w:lang w:val="en-US"/>
              </w:rPr>
            </w:pPr>
            <w:r w:rsidRPr="00F930D1">
              <w:rPr>
                <w:sz w:val="24"/>
                <w:szCs w:val="24"/>
                <w:lang w:val="en-US"/>
              </w:rPr>
              <w:t>0.96 (0.86, 1.07)</w:t>
            </w:r>
          </w:p>
        </w:tc>
      </w:tr>
      <w:tr w:rsidR="00474747" w:rsidRPr="00F930D1" w14:paraId="2CE23873" w14:textId="77777777" w:rsidTr="00537809">
        <w:trPr>
          <w:trHeight w:val="251"/>
        </w:trPr>
        <w:tc>
          <w:tcPr>
            <w:tcW w:w="1563" w:type="dxa"/>
          </w:tcPr>
          <w:p w14:paraId="0E580B00" w14:textId="77777777" w:rsidR="00474747" w:rsidRPr="00F930D1" w:rsidRDefault="00474747" w:rsidP="009F12FA">
            <w:pPr>
              <w:spacing w:line="480" w:lineRule="auto"/>
              <w:rPr>
                <w:sz w:val="24"/>
                <w:szCs w:val="24"/>
                <w:lang w:val="en-US"/>
              </w:rPr>
            </w:pPr>
            <w:r w:rsidRPr="00F930D1">
              <w:rPr>
                <w:sz w:val="24"/>
                <w:szCs w:val="24"/>
                <w:lang w:val="en-US"/>
              </w:rPr>
              <w:t xml:space="preserve">  MAGE, mmol/L</w:t>
            </w:r>
          </w:p>
        </w:tc>
        <w:tc>
          <w:tcPr>
            <w:tcW w:w="2063" w:type="dxa"/>
          </w:tcPr>
          <w:p w14:paraId="62AAC31C" w14:textId="77777777" w:rsidR="00474747" w:rsidRPr="00F930D1" w:rsidRDefault="00474747" w:rsidP="009F12FA">
            <w:pPr>
              <w:spacing w:line="480" w:lineRule="auto"/>
              <w:jc w:val="center"/>
              <w:rPr>
                <w:sz w:val="24"/>
                <w:szCs w:val="24"/>
                <w:lang w:val="en-US"/>
              </w:rPr>
            </w:pPr>
            <w:r w:rsidRPr="00F930D1">
              <w:rPr>
                <w:sz w:val="24"/>
                <w:szCs w:val="24"/>
                <w:lang w:val="en-US"/>
              </w:rPr>
              <w:t>2.70 (2.59, 2.81)</w:t>
            </w:r>
          </w:p>
        </w:tc>
        <w:tc>
          <w:tcPr>
            <w:tcW w:w="1869" w:type="dxa"/>
          </w:tcPr>
          <w:p w14:paraId="4C0BE748" w14:textId="77777777" w:rsidR="00474747" w:rsidRPr="00F930D1" w:rsidRDefault="00474747" w:rsidP="009F12FA">
            <w:pPr>
              <w:spacing w:line="480" w:lineRule="auto"/>
              <w:jc w:val="center"/>
              <w:rPr>
                <w:sz w:val="24"/>
                <w:szCs w:val="24"/>
                <w:lang w:val="en-US"/>
              </w:rPr>
            </w:pPr>
            <w:r w:rsidRPr="00F930D1">
              <w:rPr>
                <w:sz w:val="24"/>
                <w:szCs w:val="24"/>
                <w:lang w:val="en-US"/>
              </w:rPr>
              <w:t>2.76 (2.38, 3.21)</w:t>
            </w:r>
          </w:p>
        </w:tc>
        <w:tc>
          <w:tcPr>
            <w:tcW w:w="247" w:type="dxa"/>
          </w:tcPr>
          <w:p w14:paraId="7FB49463" w14:textId="77777777" w:rsidR="00474747" w:rsidRPr="00F930D1" w:rsidRDefault="00474747" w:rsidP="009F12FA">
            <w:pPr>
              <w:spacing w:line="480" w:lineRule="auto"/>
              <w:jc w:val="center"/>
              <w:rPr>
                <w:sz w:val="24"/>
                <w:szCs w:val="24"/>
                <w:lang w:val="en-US"/>
              </w:rPr>
            </w:pPr>
          </w:p>
        </w:tc>
        <w:tc>
          <w:tcPr>
            <w:tcW w:w="1513" w:type="dxa"/>
          </w:tcPr>
          <w:p w14:paraId="4DAD94FF" w14:textId="77777777" w:rsidR="00474747" w:rsidRPr="00F930D1" w:rsidRDefault="00474747" w:rsidP="009F12FA">
            <w:pPr>
              <w:spacing w:line="480" w:lineRule="auto"/>
              <w:jc w:val="center"/>
              <w:rPr>
                <w:sz w:val="24"/>
                <w:szCs w:val="24"/>
                <w:lang w:val="en-US"/>
              </w:rPr>
            </w:pPr>
            <w:r w:rsidRPr="00F930D1">
              <w:rPr>
                <w:sz w:val="24"/>
                <w:szCs w:val="24"/>
                <w:lang w:val="en-US"/>
              </w:rPr>
              <w:t>1.01 (0.88, 1.15)</w:t>
            </w:r>
          </w:p>
        </w:tc>
        <w:tc>
          <w:tcPr>
            <w:tcW w:w="1604" w:type="dxa"/>
          </w:tcPr>
          <w:p w14:paraId="1739DE38" w14:textId="77777777" w:rsidR="00474747" w:rsidRPr="00F930D1" w:rsidRDefault="00474747" w:rsidP="009F12FA">
            <w:pPr>
              <w:spacing w:line="480" w:lineRule="auto"/>
              <w:jc w:val="center"/>
              <w:rPr>
                <w:sz w:val="24"/>
                <w:szCs w:val="24"/>
                <w:lang w:val="en-US"/>
              </w:rPr>
            </w:pPr>
            <w:r w:rsidRPr="00F930D1">
              <w:rPr>
                <w:sz w:val="24"/>
                <w:szCs w:val="24"/>
                <w:lang w:val="en-US"/>
              </w:rPr>
              <w:t>1.03 (0.90, 1.19)</w:t>
            </w:r>
          </w:p>
        </w:tc>
        <w:tc>
          <w:tcPr>
            <w:tcW w:w="1517" w:type="dxa"/>
          </w:tcPr>
          <w:p w14:paraId="220ECD2F" w14:textId="77777777" w:rsidR="00474747" w:rsidRPr="00F930D1" w:rsidRDefault="00474747" w:rsidP="009F12FA">
            <w:pPr>
              <w:spacing w:line="480" w:lineRule="auto"/>
              <w:jc w:val="center"/>
              <w:rPr>
                <w:sz w:val="24"/>
                <w:szCs w:val="24"/>
                <w:lang w:val="en-US"/>
              </w:rPr>
            </w:pPr>
            <w:r w:rsidRPr="00F930D1">
              <w:rPr>
                <w:sz w:val="24"/>
                <w:szCs w:val="24"/>
                <w:lang w:val="en-US"/>
              </w:rPr>
              <w:t>1.04 (0.90, 1.19)</w:t>
            </w:r>
          </w:p>
        </w:tc>
      </w:tr>
    </w:tbl>
    <w:p w14:paraId="7D9C6C57" w14:textId="77777777" w:rsidR="00474747" w:rsidRPr="00F930D1" w:rsidRDefault="00474747" w:rsidP="009F12FA">
      <w:pPr>
        <w:spacing w:line="480" w:lineRule="auto"/>
        <w:rPr>
          <w:lang w:val="en-US"/>
        </w:rPr>
      </w:pPr>
      <w:r w:rsidRPr="00F930D1">
        <w:rPr>
          <w:lang w:val="en-US"/>
        </w:rPr>
        <w:t xml:space="preserve">Data were analyzed using multiple linear regression models for </w:t>
      </w:r>
      <w:proofErr w:type="gramStart"/>
      <w:r w:rsidRPr="00F930D1">
        <w:rPr>
          <w:lang w:val="en-US"/>
        </w:rPr>
        <w:t>log</w:t>
      </w:r>
      <w:r w:rsidRPr="00F930D1">
        <w:rPr>
          <w:vertAlign w:val="subscript"/>
          <w:lang w:val="en-US"/>
        </w:rPr>
        <w:t>e</w:t>
      </w:r>
      <w:r w:rsidRPr="00F930D1">
        <w:rPr>
          <w:lang w:val="en-US"/>
        </w:rPr>
        <w:t>-transformed</w:t>
      </w:r>
      <w:proofErr w:type="gramEnd"/>
      <w:r w:rsidRPr="00F930D1">
        <w:rPr>
          <w:lang w:val="en-US"/>
        </w:rPr>
        <w:t xml:space="preserve"> CGM measures. CGM, continuous glucose monitoring; CI, confidence interval; PDE, </w:t>
      </w:r>
      <w:r w:rsidRPr="00F930D1">
        <w:rPr>
          <w:lang w:val="en-US"/>
        </w:rPr>
        <w:lastRenderedPageBreak/>
        <w:t xml:space="preserve">predominantly day-eating; PNE, predominantly night-eating; GMI, glucose management indicator; TIR, percentage of time in range 3.5 – 7.8 mmol/L; TAR, percentage of time above target range 7.8 mmol/L; TBR, percentage of time below target range 3.5 mmol/L; SD, standard deviation; CV, coefficient of variation; MAGE, Mean amplitude of glycemic excursions. </w:t>
      </w:r>
    </w:p>
    <w:p w14:paraId="74F53A44" w14:textId="77777777" w:rsidR="00474747" w:rsidRPr="00F930D1" w:rsidRDefault="00474747" w:rsidP="009F12FA">
      <w:pPr>
        <w:spacing w:line="480" w:lineRule="auto"/>
        <w:rPr>
          <w:lang w:val="en-US"/>
        </w:rPr>
      </w:pPr>
      <w:r w:rsidRPr="00F930D1">
        <w:rPr>
          <w:vertAlign w:val="superscript"/>
          <w:lang w:val="en-US"/>
        </w:rPr>
        <w:t>*</w:t>
      </w:r>
      <w:r w:rsidRPr="00F930D1">
        <w:rPr>
          <w:lang w:val="en-US"/>
        </w:rPr>
        <w:t xml:space="preserve">Model 1: adjusted for age, ethnicity, education, employment status, pre-pregnancy body mass index, and total daily energy intake. </w:t>
      </w:r>
    </w:p>
    <w:p w14:paraId="7EC93BDC" w14:textId="77777777" w:rsidR="00474747" w:rsidRPr="00F930D1" w:rsidRDefault="00474747" w:rsidP="009F12FA">
      <w:pPr>
        <w:spacing w:line="480" w:lineRule="auto"/>
        <w:rPr>
          <w:lang w:val="en-US"/>
        </w:rPr>
      </w:pPr>
      <w:r w:rsidRPr="00F930D1">
        <w:rPr>
          <w:color w:val="383636"/>
          <w:shd w:val="clear" w:color="auto" w:fill="FFFFFF"/>
          <w:vertAlign w:val="superscript"/>
          <w:lang w:val="en-US"/>
        </w:rPr>
        <w:t>†</w:t>
      </w:r>
      <w:r w:rsidRPr="00F930D1">
        <w:rPr>
          <w:lang w:val="en-US"/>
        </w:rPr>
        <w:t>Model 2: adjusted for Model 1 + bedtime, irregular meal, and physical activity.</w:t>
      </w:r>
    </w:p>
    <w:p w14:paraId="090A5C30" w14:textId="77777777" w:rsidR="00474747" w:rsidRPr="00F930D1" w:rsidRDefault="00474747" w:rsidP="009F12FA">
      <w:pPr>
        <w:spacing w:line="480" w:lineRule="auto"/>
        <w:rPr>
          <w:lang w:val="en-US"/>
        </w:rPr>
      </w:pPr>
      <w:r w:rsidRPr="00F930D1">
        <w:rPr>
          <w:color w:val="383636"/>
          <w:shd w:val="clear" w:color="auto" w:fill="FFFFFF"/>
          <w:vertAlign w:val="superscript"/>
          <w:lang w:val="en-US"/>
        </w:rPr>
        <w:t>‡</w:t>
      </w:r>
      <w:r w:rsidRPr="00F930D1">
        <w:rPr>
          <w:lang w:val="en-US"/>
        </w:rPr>
        <w:t>Model 3: adjusted for Model 2 + percentage of energy from night-time protein intake and percentage of energy from night-time fat intake.</w:t>
      </w:r>
    </w:p>
    <w:p w14:paraId="6D7F5B40" w14:textId="77777777" w:rsidR="00474747" w:rsidRPr="00F930D1" w:rsidRDefault="00474747" w:rsidP="009F12FA">
      <w:pPr>
        <w:spacing w:line="480" w:lineRule="auto"/>
        <w:rPr>
          <w:lang w:val="en-US"/>
        </w:rPr>
      </w:pPr>
    </w:p>
    <w:p w14:paraId="49DCA0D5" w14:textId="77777777" w:rsidR="00474747" w:rsidRPr="00F930D1" w:rsidRDefault="00474747" w:rsidP="009F12FA">
      <w:pPr>
        <w:spacing w:line="480" w:lineRule="auto"/>
        <w:ind w:firstLine="720"/>
        <w:rPr>
          <w:lang w:val="en-US"/>
        </w:rPr>
      </w:pPr>
      <w:r w:rsidRPr="00F930D1">
        <w:rPr>
          <w:lang w:val="en-US"/>
        </w:rPr>
        <w:t xml:space="preserve">In the GEE </w:t>
      </w:r>
      <w:r w:rsidRPr="00F930D1">
        <w:rPr>
          <w:color w:val="000000"/>
          <w:lang w:val="en-US"/>
        </w:rPr>
        <w:t>analysis, the</w:t>
      </w:r>
      <w:r w:rsidRPr="00F930D1">
        <w:rPr>
          <w:lang w:val="en-US"/>
        </w:rPr>
        <w:t xml:space="preserve"> PNE women had a higher glucose level across 24 hours compared </w:t>
      </w:r>
      <w:r w:rsidRPr="00F930D1">
        <w:rPr>
          <w:color w:val="000000"/>
          <w:lang w:val="en-US"/>
        </w:rPr>
        <w:t>to the</w:t>
      </w:r>
      <w:r w:rsidRPr="00F930D1">
        <w:rPr>
          <w:lang w:val="en-US"/>
        </w:rPr>
        <w:t xml:space="preserve"> PDE women (1.10 (1.02, 1.19)). When the adjusted predicted mean glucose levels from GEE were plotted for the PNE and PDE groups (</w:t>
      </w:r>
      <w:r w:rsidRPr="00F930D1">
        <w:rPr>
          <w:b/>
          <w:lang w:val="en-US"/>
        </w:rPr>
        <w:t>Fig. 1</w:t>
      </w:r>
      <w:r w:rsidRPr="00F930D1">
        <w:rPr>
          <w:lang w:val="en-US"/>
        </w:rPr>
        <w:t xml:space="preserve">), it was evident that PNE women had consistently higher glucose levels compared to PDE women, especially around midnight from 23:00 to 03:00 h. When analysis was restricted to women with a complete 10 days 24-hour glucose ambulatory profile (n=108), the effect sizes became stronger </w:t>
      </w:r>
      <w:r w:rsidRPr="00F930D1">
        <w:rPr>
          <w:b/>
          <w:bCs/>
          <w:lang w:val="en-US"/>
        </w:rPr>
        <w:t xml:space="preserve">(Supplementary Table 4 </w:t>
      </w:r>
      <w:r w:rsidRPr="00F930D1">
        <w:rPr>
          <w:lang w:val="en-US"/>
        </w:rPr>
        <w:t>and</w:t>
      </w:r>
      <w:r w:rsidRPr="00F930D1">
        <w:rPr>
          <w:b/>
          <w:bCs/>
          <w:lang w:val="en-US"/>
        </w:rPr>
        <w:t xml:space="preserve"> Supplementary Figure 1)</w:t>
      </w:r>
      <w:r w:rsidRPr="00F930D1">
        <w:rPr>
          <w:lang w:val="en-US"/>
        </w:rPr>
        <w:t xml:space="preserve">. </w:t>
      </w:r>
    </w:p>
    <w:p w14:paraId="2BD1C6BA" w14:textId="77777777" w:rsidR="00474747" w:rsidRPr="00F930D1" w:rsidRDefault="00474747" w:rsidP="009F12FA">
      <w:pPr>
        <w:spacing w:line="480" w:lineRule="auto"/>
        <w:ind w:firstLine="720"/>
        <w:rPr>
          <w:lang w:val="en-US"/>
        </w:rPr>
      </w:pPr>
      <w:r w:rsidRPr="00F930D1">
        <w:rPr>
          <w:lang w:val="en-US"/>
        </w:rPr>
        <w:t xml:space="preserve">We observed no interactions between PNE and pre-pregnancy BMI in relation to plasma glycemic and CGM measures (all </w:t>
      </w:r>
      <w:r w:rsidRPr="00F930D1">
        <w:rPr>
          <w:i/>
          <w:iCs/>
          <w:lang w:val="en-US"/>
        </w:rPr>
        <w:t>p</w:t>
      </w:r>
      <w:r w:rsidRPr="00F930D1">
        <w:rPr>
          <w:lang w:val="en-US"/>
        </w:rPr>
        <w:t>-interaction ≥0.100), except for fasting glycemia (</w:t>
      </w:r>
      <w:r w:rsidRPr="00F930D1">
        <w:rPr>
          <w:i/>
          <w:iCs/>
          <w:lang w:val="en-US"/>
        </w:rPr>
        <w:t>P</w:t>
      </w:r>
      <w:r w:rsidRPr="00F930D1">
        <w:rPr>
          <w:lang w:val="en-US"/>
        </w:rPr>
        <w:t>-interaction 0.027); the association between PNE and fasting glycemia was stronger in women with a pre-pregnancy BMI ≥23 kg/m</w:t>
      </w:r>
      <w:r w:rsidRPr="00F930D1">
        <w:rPr>
          <w:vertAlign w:val="superscript"/>
          <w:lang w:val="en-US"/>
        </w:rPr>
        <w:t>2</w:t>
      </w:r>
      <w:r w:rsidRPr="00F930D1">
        <w:rPr>
          <w:lang w:val="en-US"/>
        </w:rPr>
        <w:t xml:space="preserve"> (1.07 (1.00, 1.14)) than those with a pre-pregnancy BMI &lt;23 kg/m</w:t>
      </w:r>
      <w:r w:rsidRPr="00F930D1">
        <w:rPr>
          <w:vertAlign w:val="superscript"/>
          <w:lang w:val="en-US"/>
        </w:rPr>
        <w:t>2</w:t>
      </w:r>
      <w:r w:rsidRPr="00F930D1">
        <w:rPr>
          <w:lang w:val="en-US"/>
        </w:rPr>
        <w:t xml:space="preserve"> (1.01 (0.97, 1.06)) </w:t>
      </w:r>
      <w:r w:rsidRPr="00F930D1">
        <w:rPr>
          <w:b/>
          <w:bCs/>
          <w:lang w:val="en-US"/>
        </w:rPr>
        <w:t>(Supplementary Table 5)</w:t>
      </w:r>
      <w:r w:rsidRPr="00F930D1">
        <w:rPr>
          <w:lang w:val="en-US"/>
        </w:rPr>
        <w:t>.</w:t>
      </w:r>
    </w:p>
    <w:p w14:paraId="29C1A46A" w14:textId="77777777" w:rsidR="00474747" w:rsidRPr="00F930D1" w:rsidRDefault="00474747" w:rsidP="009F12FA">
      <w:pPr>
        <w:pStyle w:val="NormalWeb"/>
        <w:spacing w:before="0" w:beforeAutospacing="0" w:after="0" w:afterAutospacing="0" w:line="480" w:lineRule="auto"/>
        <w:rPr>
          <w:lang w:val="en-US"/>
        </w:rPr>
      </w:pPr>
    </w:p>
    <w:p w14:paraId="04CD3DFE" w14:textId="77777777" w:rsidR="00474747" w:rsidRPr="00F930D1" w:rsidRDefault="00474747" w:rsidP="009F12FA">
      <w:pPr>
        <w:pStyle w:val="Heading3"/>
        <w:spacing w:before="0" w:beforeAutospacing="0" w:after="0" w:afterAutospacing="0" w:line="480" w:lineRule="auto"/>
        <w:rPr>
          <w:sz w:val="28"/>
          <w:szCs w:val="28"/>
          <w:lang w:val="en-US"/>
        </w:rPr>
      </w:pPr>
      <w:r w:rsidRPr="00F930D1">
        <w:rPr>
          <w:sz w:val="28"/>
          <w:szCs w:val="28"/>
          <w:lang w:val="en-US"/>
        </w:rPr>
        <w:t xml:space="preserve">Discussion </w:t>
      </w:r>
    </w:p>
    <w:p w14:paraId="50CFF7B0" w14:textId="77777777" w:rsidR="00474747" w:rsidRPr="00F930D1" w:rsidRDefault="00474747" w:rsidP="009F12FA">
      <w:pPr>
        <w:spacing w:line="480" w:lineRule="auto"/>
        <w:rPr>
          <w:b/>
          <w:bCs/>
          <w:lang w:val="en-US"/>
        </w:rPr>
      </w:pPr>
      <w:r w:rsidRPr="00F930D1">
        <w:rPr>
          <w:b/>
          <w:bCs/>
          <w:lang w:val="en-US"/>
        </w:rPr>
        <w:lastRenderedPageBreak/>
        <w:t>Main findings</w:t>
      </w:r>
    </w:p>
    <w:p w14:paraId="555E008A" w14:textId="7FFBF472" w:rsidR="00474747" w:rsidRPr="00F930D1" w:rsidRDefault="00474747" w:rsidP="009F12FA">
      <w:pPr>
        <w:spacing w:line="480" w:lineRule="auto"/>
        <w:rPr>
          <w:lang w:val="en-US"/>
        </w:rPr>
      </w:pPr>
      <w:r w:rsidRPr="00F930D1">
        <w:rPr>
          <w:lang w:val="en-US"/>
        </w:rPr>
        <w:t xml:space="preserve">In this prospective cohort study involving healthy pregnant women in the second trimester of pregnancy, we found that maternal consumption of relatively more calories at night than during the day was associated with higher fasting and 1-hour plasma glucose following the OGTT, poorer glycemic control, and consistently higher interstitial glucose levels across 24 hours based on their ambulatory glucose profile. </w:t>
      </w:r>
      <w:r w:rsidRPr="00F930D1">
        <w:rPr>
          <w:color w:val="000000"/>
          <w:lang w:val="en-US"/>
        </w:rPr>
        <w:t>Furthermore,</w:t>
      </w:r>
      <w:r w:rsidRPr="00F930D1">
        <w:rPr>
          <w:lang w:val="en-US"/>
        </w:rPr>
        <w:t xml:space="preserve"> PNE women were also found to have lower fasting insulin secretion </w:t>
      </w:r>
      <w:r w:rsidR="00500B77">
        <w:rPr>
          <w:lang w:val="en-US"/>
        </w:rPr>
        <w:t xml:space="preserve">and poorer </w:t>
      </w:r>
      <w:r w:rsidR="00500B77" w:rsidRPr="00F930D1">
        <w:rPr>
          <w:lang w:val="en-US"/>
        </w:rPr>
        <w:t xml:space="preserve">β-cell function </w:t>
      </w:r>
      <w:r w:rsidRPr="00F930D1">
        <w:rPr>
          <w:lang w:val="en-US"/>
        </w:rPr>
        <w:t xml:space="preserve">compared </w:t>
      </w:r>
      <w:r w:rsidRPr="00F930D1">
        <w:rPr>
          <w:color w:val="000000"/>
          <w:lang w:val="en-US"/>
        </w:rPr>
        <w:t>to</w:t>
      </w:r>
      <w:r w:rsidRPr="00F930D1">
        <w:rPr>
          <w:lang w:val="en-US"/>
        </w:rPr>
        <w:t xml:space="preserve"> PDE women. All these associations were independent of maternal sociodemographic characteristics, pre-pregnancy BMI, lifestyle factors, total daily energy intake, and diet composition. </w:t>
      </w:r>
    </w:p>
    <w:p w14:paraId="124793AA" w14:textId="77777777" w:rsidR="00474747" w:rsidRPr="00F930D1" w:rsidRDefault="00474747" w:rsidP="009F12FA">
      <w:pPr>
        <w:spacing w:line="480" w:lineRule="auto"/>
        <w:rPr>
          <w:lang w:val="en-US"/>
        </w:rPr>
      </w:pPr>
    </w:p>
    <w:p w14:paraId="5EF898F4" w14:textId="77777777" w:rsidR="00474747" w:rsidRPr="00F930D1" w:rsidRDefault="00474747" w:rsidP="009F12FA">
      <w:pPr>
        <w:spacing w:line="480" w:lineRule="auto"/>
        <w:rPr>
          <w:b/>
          <w:bCs/>
          <w:lang w:val="en-US"/>
        </w:rPr>
      </w:pPr>
      <w:r w:rsidRPr="00F930D1">
        <w:rPr>
          <w:b/>
          <w:bCs/>
          <w:lang w:val="en-US"/>
        </w:rPr>
        <w:t xml:space="preserve">Comparison with other studies </w:t>
      </w:r>
    </w:p>
    <w:p w14:paraId="0210AB53" w14:textId="77777777" w:rsidR="00474747" w:rsidRPr="00F930D1" w:rsidRDefault="00474747" w:rsidP="009F12FA">
      <w:pPr>
        <w:spacing w:line="480" w:lineRule="auto"/>
        <w:rPr>
          <w:lang w:val="en-US"/>
        </w:rPr>
      </w:pPr>
      <w:r w:rsidRPr="00F930D1">
        <w:rPr>
          <w:lang w:val="en-US"/>
        </w:rPr>
        <w:t xml:space="preserve">In the present study, 12% of women were found to practice PNE at a mean of 20 weeks gestation. Using the same definition, we previously observed a PNE incidence proportion of 15% among 985 pregnant women from Singapore at a mean of 26 weeks gestation </w:t>
      </w:r>
      <w:r w:rsidRPr="00F930D1">
        <w:rPr>
          <w:noProof/>
          <w:lang w:val="en-US"/>
        </w:rPr>
        <w:t>(8-10)</w:t>
      </w:r>
      <w:r w:rsidRPr="00F930D1">
        <w:rPr>
          <w:lang w:val="en-US"/>
        </w:rPr>
        <w:t xml:space="preserve">. The slight difference in the incidence proportions of PNE between these two studies is in line with the findings from a prospective cohort study involving 100 Brazilian pregnant women, showing almost similar proportions of women who reported meals after dinner, which were at 36% and 38% in the second and third trimesters of pregnancy, respectively </w:t>
      </w:r>
      <w:r w:rsidRPr="00F930D1">
        <w:rPr>
          <w:noProof/>
          <w:lang w:val="en-US"/>
        </w:rPr>
        <w:t>(41)</w:t>
      </w:r>
      <w:r w:rsidRPr="00F930D1">
        <w:rPr>
          <w:lang w:val="en-US"/>
        </w:rPr>
        <w:t xml:space="preserve">. This Brazilian study showed that there was no difference in maternal night-time energy intake throughout gestation trimesters </w:t>
      </w:r>
      <w:r w:rsidRPr="00F930D1">
        <w:rPr>
          <w:noProof/>
          <w:lang w:val="en-US"/>
        </w:rPr>
        <w:t>(41)</w:t>
      </w:r>
      <w:r w:rsidRPr="00F930D1">
        <w:rPr>
          <w:lang w:val="en-US"/>
        </w:rPr>
        <w:t>, suggesting that our pregnant women could have engaged in PNE since early or even before pregnancy.</w:t>
      </w:r>
      <w:r w:rsidRPr="00F930D1">
        <w:rPr>
          <w:color w:val="4472C4"/>
          <w:lang w:val="en-US"/>
        </w:rPr>
        <w:t xml:space="preserve"> </w:t>
      </w:r>
      <w:r w:rsidRPr="00F930D1">
        <w:rPr>
          <w:lang w:val="en-US"/>
        </w:rPr>
        <w:t xml:space="preserve"> </w:t>
      </w:r>
    </w:p>
    <w:p w14:paraId="54894B18" w14:textId="753B55C4" w:rsidR="00474747" w:rsidRPr="00F930D1" w:rsidRDefault="00474747" w:rsidP="009F12FA">
      <w:pPr>
        <w:spacing w:line="480" w:lineRule="auto"/>
        <w:ind w:firstLine="720"/>
        <w:jc w:val="both"/>
        <w:rPr>
          <w:color w:val="4472C4"/>
          <w:lang w:val="en-US"/>
        </w:rPr>
      </w:pPr>
      <w:r w:rsidRPr="00F930D1">
        <w:rPr>
          <w:lang w:val="en-US"/>
        </w:rPr>
        <w:t xml:space="preserve">We confirmed and extended previous studies by showing that maternal night-eating was not only associated with increased fasting glucose </w:t>
      </w:r>
      <w:r w:rsidRPr="00F930D1">
        <w:rPr>
          <w:noProof/>
          <w:lang w:val="en-US"/>
        </w:rPr>
        <w:t>(8-10)</w:t>
      </w:r>
      <w:r w:rsidRPr="00F930D1">
        <w:rPr>
          <w:lang w:val="en-US"/>
        </w:rPr>
        <w:t xml:space="preserve">, </w:t>
      </w:r>
      <w:proofErr w:type="gramStart"/>
      <w:r w:rsidRPr="00F930D1">
        <w:rPr>
          <w:lang w:val="en-US"/>
        </w:rPr>
        <w:t>it</w:t>
      </w:r>
      <w:proofErr w:type="gramEnd"/>
      <w:r w:rsidRPr="00F930D1">
        <w:rPr>
          <w:lang w:val="en-US"/>
        </w:rPr>
        <w:t xml:space="preserve"> was also associated with elevated 1-hour post-load glucose and 24-hour glucose levels, as well as reduced fasting insulin secretion during pregnancy. These findings are supported by a cross-sectional study involving </w:t>
      </w:r>
      <w:r w:rsidRPr="00F930D1">
        <w:rPr>
          <w:lang w:val="en-US"/>
        </w:rPr>
        <w:lastRenderedPageBreak/>
        <w:t xml:space="preserve">40 low-income </w:t>
      </w:r>
      <w:proofErr w:type="gramStart"/>
      <w:r w:rsidRPr="00F930D1">
        <w:rPr>
          <w:lang w:val="en-US"/>
        </w:rPr>
        <w:t>African-American</w:t>
      </w:r>
      <w:proofErr w:type="gramEnd"/>
      <w:r w:rsidRPr="00F930D1">
        <w:rPr>
          <w:lang w:val="en-US"/>
        </w:rPr>
        <w:t xml:space="preserve"> pregnant women, showing impaired glucose tolerance and early phase insulin action as assessed by 7-point OGTT in those with late-night eating at late pregnancy, in particular among women with obesity </w:t>
      </w:r>
      <w:r w:rsidRPr="00F930D1">
        <w:rPr>
          <w:noProof/>
          <w:lang w:val="en-US"/>
        </w:rPr>
        <w:t>(8)</w:t>
      </w:r>
      <w:r w:rsidRPr="00F930D1">
        <w:rPr>
          <w:lang w:val="en-US"/>
        </w:rPr>
        <w:t xml:space="preserve">. Therefore, we posit that there are potential negative effects of night-eating on glucose regulation and β-cell function during pregnancy. Meanwhile, the weight-dependent effect of night-eating on glycemic status remained uncertain due to inconsistent findings across studies </w:t>
      </w:r>
      <w:r w:rsidRPr="00F930D1">
        <w:rPr>
          <w:noProof/>
          <w:lang w:val="en-US"/>
        </w:rPr>
        <w:t>(8-10)</w:t>
      </w:r>
      <w:r w:rsidRPr="00F930D1">
        <w:rPr>
          <w:lang w:val="en-US"/>
        </w:rPr>
        <w:t>.</w:t>
      </w:r>
      <w:r w:rsidRPr="00F930D1">
        <w:rPr>
          <w:color w:val="4472C4"/>
          <w:lang w:val="en-US"/>
        </w:rPr>
        <w:t xml:space="preserve"> </w:t>
      </w:r>
      <w:r w:rsidRPr="00F930D1">
        <w:rPr>
          <w:color w:val="000000" w:themeColor="text1"/>
          <w:lang w:val="en-US"/>
        </w:rPr>
        <w:t xml:space="preserve">Nevertheless, we acknowledge the possibility of reverse causation where pregnant women experiencing nocturnal hypoglycemia or impaired nocturnal fat oxidation might adopt night-eating as a compensatory mechanism for their symptoms or condition </w:t>
      </w:r>
      <w:r w:rsidRPr="00F930D1">
        <w:rPr>
          <w:noProof/>
          <w:color w:val="000000" w:themeColor="text1"/>
          <w:lang w:val="en-US"/>
        </w:rPr>
        <w:t>(42)</w:t>
      </w:r>
      <w:r w:rsidRPr="00F930D1">
        <w:rPr>
          <w:color w:val="000000" w:themeColor="text1"/>
          <w:lang w:val="en-US"/>
        </w:rPr>
        <w:t>. However, our study showed that the percentage of TBR for the PNE group was low, and this group of women consistently demonstrated higher glucose levels across 24 hours compared to the PDE women. This is not in keeping with the hypothesis of low glucose triggering night-eating.</w:t>
      </w:r>
      <w:r w:rsidRPr="00F930D1">
        <w:rPr>
          <w:color w:val="4472C4" w:themeColor="accent1"/>
          <w:lang w:val="en-US"/>
        </w:rPr>
        <w:t xml:space="preserve">      </w:t>
      </w:r>
    </w:p>
    <w:p w14:paraId="3212BD8D" w14:textId="79C85626" w:rsidR="00474747" w:rsidRPr="00F930D1" w:rsidRDefault="00474747" w:rsidP="009F12FA">
      <w:pPr>
        <w:spacing w:line="480" w:lineRule="auto"/>
        <w:ind w:firstLine="720"/>
        <w:rPr>
          <w:lang w:val="en-US"/>
        </w:rPr>
      </w:pPr>
      <w:r w:rsidRPr="00F930D1">
        <w:rPr>
          <w:color w:val="000000" w:themeColor="text1"/>
          <w:lang w:val="en-US"/>
        </w:rPr>
        <w:t xml:space="preserve">In the present study, the effect size for insulin resistance slightly increased after adjusting for fasting glucose levels, indicating the robustness of the association between nocturnal eating and insulin resistance. This suggests that the observed effect might not be solely driven by alterations in glucose metabolism but could involve other pathways such as lipid regulation </w:t>
      </w:r>
      <w:r w:rsidRPr="00F930D1">
        <w:rPr>
          <w:noProof/>
          <w:color w:val="000000" w:themeColor="text1"/>
          <w:lang w:val="en-US"/>
        </w:rPr>
        <w:t>(41, 43)</w:t>
      </w:r>
      <w:r w:rsidRPr="00F930D1">
        <w:rPr>
          <w:color w:val="000000" w:themeColor="text1"/>
          <w:lang w:val="en-US"/>
        </w:rPr>
        <w:t xml:space="preserve">. Conversely, the adjustment of fasting insulin led to a change in the direction of the effect size for </w:t>
      </w:r>
      <w:r w:rsidR="0063471A" w:rsidRPr="00F930D1">
        <w:rPr>
          <w:color w:val="000000" w:themeColor="text1"/>
          <w:lang w:val="en-US"/>
        </w:rPr>
        <w:t>insulin resistance</w:t>
      </w:r>
      <w:r w:rsidRPr="00F930D1">
        <w:rPr>
          <w:color w:val="000000" w:themeColor="text1"/>
          <w:lang w:val="en-US"/>
        </w:rPr>
        <w:t>, which underscores the pivotal role of insulin. This highlights that night</w:t>
      </w:r>
      <w:r w:rsidR="00114EB9" w:rsidRPr="00F930D1">
        <w:rPr>
          <w:color w:val="000000" w:themeColor="text1"/>
          <w:lang w:val="en-US"/>
        </w:rPr>
        <w:t>-</w:t>
      </w:r>
      <w:r w:rsidRPr="00F930D1">
        <w:rPr>
          <w:color w:val="000000" w:themeColor="text1"/>
          <w:lang w:val="en-US"/>
        </w:rPr>
        <w:t xml:space="preserve">eating </w:t>
      </w:r>
      <w:r w:rsidR="00175970">
        <w:rPr>
          <w:color w:val="000000" w:themeColor="text1"/>
          <w:lang w:val="en-US"/>
        </w:rPr>
        <w:t xml:space="preserve">may </w:t>
      </w:r>
      <w:r w:rsidRPr="00F930D1">
        <w:rPr>
          <w:color w:val="000000" w:themeColor="text1"/>
          <w:lang w:val="en-US"/>
        </w:rPr>
        <w:t xml:space="preserve">increase insulin resistance indirectly through its impact on insulin levels. </w:t>
      </w:r>
      <w:r w:rsidR="00FA318A">
        <w:rPr>
          <w:color w:val="000000" w:themeColor="text1"/>
          <w:lang w:val="en-US"/>
        </w:rPr>
        <w:t>However, further investigation of the underlying mechanisms explaining the relationship between night-eating and insulin resistance is required to confirm the present observations. Based on</w:t>
      </w:r>
      <w:r w:rsidRPr="00F930D1">
        <w:rPr>
          <w:color w:val="000000" w:themeColor="text1"/>
          <w:lang w:val="en-US"/>
        </w:rPr>
        <w:t xml:space="preserve"> the </w:t>
      </w:r>
      <w:r w:rsidRPr="00F930D1">
        <w:rPr>
          <w:lang w:val="en-US"/>
        </w:rPr>
        <w:t xml:space="preserve">findings of lower fasting insulin secretion and higher glucose levels in women with PNE than those with PDE, this suggests that the β-cells have evolved and progressed into the decompensation stage in PNE women, which is </w:t>
      </w:r>
      <w:proofErr w:type="gramStart"/>
      <w:r w:rsidRPr="00F930D1">
        <w:rPr>
          <w:lang w:val="en-US"/>
        </w:rPr>
        <w:t>similar to</w:t>
      </w:r>
      <w:proofErr w:type="gramEnd"/>
      <w:r w:rsidRPr="00F930D1">
        <w:rPr>
          <w:lang w:val="en-US"/>
        </w:rPr>
        <w:t xml:space="preserve"> prediabetes </w:t>
      </w:r>
      <w:r w:rsidRPr="00F930D1">
        <w:rPr>
          <w:noProof/>
          <w:lang w:val="en-US"/>
        </w:rPr>
        <w:t>(44)</w:t>
      </w:r>
      <w:r w:rsidRPr="00F930D1">
        <w:rPr>
          <w:lang w:val="en-US"/>
        </w:rPr>
        <w:t xml:space="preserve">. Although we are unable to determine whether such an abnormal glucose metabolism </w:t>
      </w:r>
      <w:r w:rsidRPr="00F930D1">
        <w:rPr>
          <w:lang w:val="en-US"/>
        </w:rPr>
        <w:lastRenderedPageBreak/>
        <w:t xml:space="preserve">was the result of PNE during pregnancy or if it was already present in women with PNE before conception, the coexistence of both increased </w:t>
      </w:r>
      <w:r w:rsidR="00922CBF">
        <w:rPr>
          <w:lang w:val="en-US"/>
        </w:rPr>
        <w:t>glucose</w:t>
      </w:r>
      <w:r w:rsidRPr="00F930D1">
        <w:rPr>
          <w:lang w:val="en-US"/>
        </w:rPr>
        <w:t xml:space="preserve"> </w:t>
      </w:r>
      <w:r w:rsidR="00922CBF">
        <w:rPr>
          <w:lang w:val="en-US"/>
        </w:rPr>
        <w:t xml:space="preserve">levels </w:t>
      </w:r>
      <w:r w:rsidRPr="00F930D1">
        <w:rPr>
          <w:lang w:val="en-US"/>
        </w:rPr>
        <w:t xml:space="preserve">and reduced β-cell function as observed in PNE women is worrying as it might subject them to higher risk of developing type 2 diabetes during their postnatal phase </w:t>
      </w:r>
      <w:r w:rsidRPr="00F930D1">
        <w:rPr>
          <w:noProof/>
          <w:lang w:val="en-US"/>
        </w:rPr>
        <w:t>(45)</w:t>
      </w:r>
      <w:r w:rsidRPr="00F930D1">
        <w:rPr>
          <w:lang w:val="en-US"/>
        </w:rPr>
        <w:t xml:space="preserve">. </w:t>
      </w:r>
    </w:p>
    <w:p w14:paraId="13FE8EEF" w14:textId="77777777" w:rsidR="00474747" w:rsidRPr="00F930D1" w:rsidRDefault="00474747" w:rsidP="009F12FA">
      <w:pPr>
        <w:spacing w:line="480" w:lineRule="auto"/>
        <w:ind w:firstLine="720"/>
        <w:rPr>
          <w:lang w:val="en-US"/>
        </w:rPr>
      </w:pPr>
      <w:r w:rsidRPr="00F930D1">
        <w:rPr>
          <w:lang w:val="en-US"/>
        </w:rPr>
        <w:t xml:space="preserve">Although PNE was not associated with glucose fluctuation, the higher mean 24-hour glucose and GMI in PNE women raise concerns that these women indeed have suboptimal glycemic control. The consistently higher 24-hour glucose levels as observed around 20 weeks gestation from the ambulatory glucose profile, especially after midnight among women with PNE, may help to explain the higher fasting glucose in the morning that was detected around 25 weeks gestation. Along with the higher 1-hour glucose, to some extent, these observations support the hypothesis that the concurrence of elevated melatonin concentrations (during dinner close to bedtime) and food intake decreases glucose tolerance </w:t>
      </w:r>
      <w:r w:rsidRPr="00F930D1">
        <w:rPr>
          <w:noProof/>
          <w:lang w:val="en-US"/>
        </w:rPr>
        <w:t>(46)</w:t>
      </w:r>
      <w:r w:rsidRPr="00F930D1">
        <w:rPr>
          <w:lang w:val="en-US"/>
        </w:rPr>
        <w:t xml:space="preserve">. In a randomized crossover trial among 845 Spanish adults, the authors confirmed that late evening eating acutely impaired glucose tolerance through a defect in insulin secretion rather than a reduction in insulin sensitivity; this might be partly due to a higher melatonin concentration observed in late eaters than early eaters </w:t>
      </w:r>
      <w:r w:rsidRPr="00F930D1">
        <w:rPr>
          <w:noProof/>
          <w:lang w:val="en-US"/>
        </w:rPr>
        <w:t>(47)</w:t>
      </w:r>
      <w:r w:rsidRPr="00F930D1">
        <w:rPr>
          <w:lang w:val="en-US"/>
        </w:rPr>
        <w:t xml:space="preserve">. </w:t>
      </w:r>
    </w:p>
    <w:p w14:paraId="27BE2FF5" w14:textId="77777777" w:rsidR="00474747" w:rsidRPr="00F930D1" w:rsidRDefault="00474747" w:rsidP="009F12FA">
      <w:pPr>
        <w:spacing w:line="480" w:lineRule="auto"/>
        <w:ind w:firstLine="720"/>
        <w:rPr>
          <w:color w:val="4472C4"/>
          <w:lang w:val="en-US"/>
        </w:rPr>
      </w:pPr>
      <w:r w:rsidRPr="00F930D1">
        <w:rPr>
          <w:lang w:val="en-US"/>
        </w:rPr>
        <w:t>Even though PNE was not significantly associated with GDM risk, this may be largely attributable to a small sample size; any slight increment in glucose levels (</w:t>
      </w:r>
      <w:proofErr w:type="gramStart"/>
      <w:r w:rsidRPr="00F930D1">
        <w:rPr>
          <w:lang w:val="en-US"/>
        </w:rPr>
        <w:t>i.e.</w:t>
      </w:r>
      <w:proofErr w:type="gramEnd"/>
      <w:r w:rsidRPr="00F930D1">
        <w:rPr>
          <w:lang w:val="en-US"/>
        </w:rPr>
        <w:t xml:space="preserve"> every 0.12 mmol/L increase in fasting glucose or 0.45 mmol/L increase in 1-hour glucose) has the potential to adversely influence birth outcomes despite being below the GDM diagnostic threshold </w:t>
      </w:r>
      <w:r w:rsidRPr="00F930D1">
        <w:rPr>
          <w:noProof/>
          <w:lang w:val="en-US"/>
        </w:rPr>
        <w:t>(13)</w:t>
      </w:r>
      <w:r w:rsidRPr="00F930D1">
        <w:rPr>
          <w:lang w:val="en-US"/>
        </w:rPr>
        <w:t xml:space="preserve">, highlighting the obstetric implications of PNE. A study investigating the role of maternal temporal glucose variation on birth size has shown that 0.50 mmol/L higher mean nocturnal glucose between 00:30 and 06:30 h as assessed by CGM was associated with large-for-gestational age in treated GDM </w:t>
      </w:r>
      <w:r w:rsidRPr="00F930D1">
        <w:rPr>
          <w:noProof/>
          <w:lang w:val="en-US"/>
        </w:rPr>
        <w:t>(43)</w:t>
      </w:r>
      <w:r w:rsidRPr="00F930D1">
        <w:rPr>
          <w:lang w:val="en-US"/>
        </w:rPr>
        <w:t xml:space="preserve">.The observed 0.19 mmol/L higher fasting glucose, 0.57 mmol/L higher 1-hour glucose, and 0.52 mmol/L higher 24-hour glucose especially </w:t>
      </w:r>
      <w:r w:rsidRPr="00F930D1">
        <w:rPr>
          <w:lang w:val="en-US"/>
        </w:rPr>
        <w:lastRenderedPageBreak/>
        <w:t>during post-midnight in women with PNE than those with PDE might have clinically appreciable effects on neonatal and long-term offspring health.</w:t>
      </w:r>
      <w:r w:rsidRPr="00F930D1">
        <w:rPr>
          <w:color w:val="4472C4" w:themeColor="accent1"/>
          <w:lang w:val="en-US"/>
        </w:rPr>
        <w:tab/>
      </w:r>
    </w:p>
    <w:p w14:paraId="46428845" w14:textId="77777777" w:rsidR="00474747" w:rsidRPr="00F930D1" w:rsidRDefault="00474747" w:rsidP="009F12FA">
      <w:pPr>
        <w:spacing w:line="480" w:lineRule="auto"/>
        <w:jc w:val="both"/>
        <w:rPr>
          <w:color w:val="4472C4"/>
          <w:lang w:val="en-US"/>
        </w:rPr>
      </w:pPr>
    </w:p>
    <w:p w14:paraId="017296BD" w14:textId="77777777" w:rsidR="00474747" w:rsidRPr="00F930D1" w:rsidRDefault="00474747" w:rsidP="009F12FA">
      <w:pPr>
        <w:spacing w:line="480" w:lineRule="auto"/>
        <w:rPr>
          <w:b/>
          <w:bCs/>
          <w:lang w:val="en-US"/>
        </w:rPr>
      </w:pPr>
      <w:r w:rsidRPr="00F930D1">
        <w:rPr>
          <w:b/>
          <w:bCs/>
          <w:lang w:val="en-US"/>
        </w:rPr>
        <w:t>Strengths and limitations of the study</w:t>
      </w:r>
    </w:p>
    <w:p w14:paraId="240D71B5" w14:textId="77777777" w:rsidR="00474747" w:rsidRPr="00F930D1" w:rsidRDefault="00474747" w:rsidP="009F12FA">
      <w:pPr>
        <w:spacing w:line="480" w:lineRule="auto"/>
        <w:rPr>
          <w:lang w:val="en-US"/>
        </w:rPr>
      </w:pPr>
      <w:r w:rsidRPr="00F930D1">
        <w:rPr>
          <w:lang w:val="en-US"/>
        </w:rPr>
        <w:t xml:space="preserve">The main strength of this study is the comprehensive evaluation of multiple maternal glycemic measures in response to night-eating during pregnancy, which included 24-hour glucose levels, glycemic control, and variability measures. This study also has one of the largest CGM datasets reported in apparently healthy pregnant women (non-GDM diagnosis). </w:t>
      </w:r>
      <w:proofErr w:type="gramStart"/>
      <w:r w:rsidRPr="00F930D1">
        <w:rPr>
          <w:lang w:val="en-US"/>
        </w:rPr>
        <w:t>Last but not least</w:t>
      </w:r>
      <w:proofErr w:type="gramEnd"/>
      <w:r w:rsidRPr="00F930D1">
        <w:rPr>
          <w:lang w:val="en-US"/>
        </w:rPr>
        <w:t>, this study utilized both a food diary and a food picture mobile app to record maternal dietary intake up to four days, which improved the accuracy of dietary information captured.  </w:t>
      </w:r>
    </w:p>
    <w:p w14:paraId="32CFE434" w14:textId="77777777" w:rsidR="00474747" w:rsidRPr="00F930D1" w:rsidRDefault="00474747" w:rsidP="009F12FA">
      <w:pPr>
        <w:spacing w:line="480" w:lineRule="auto"/>
        <w:ind w:firstLine="720"/>
        <w:rPr>
          <w:lang w:val="en-US"/>
        </w:rPr>
      </w:pPr>
      <w:r w:rsidRPr="00F930D1">
        <w:rPr>
          <w:color w:val="000000" w:themeColor="text1"/>
          <w:lang w:val="en-US"/>
        </w:rPr>
        <w:t xml:space="preserve">While no significant difference was observed in total or night-time macronutrient distributions between PDE and PNE, it remains uncertain whether dietary quality at night, based on dietary fat types or glycemic index </w:t>
      </w:r>
      <w:r w:rsidRPr="00F930D1">
        <w:rPr>
          <w:noProof/>
          <w:color w:val="000000" w:themeColor="text1"/>
          <w:lang w:val="en-US"/>
        </w:rPr>
        <w:t>(4)</w:t>
      </w:r>
      <w:r w:rsidRPr="00F930D1">
        <w:rPr>
          <w:color w:val="000000" w:themeColor="text1"/>
          <w:lang w:val="en-US"/>
        </w:rPr>
        <w:t xml:space="preserve">, could influence the association between PNE and glucose levels. </w:t>
      </w:r>
      <w:r w:rsidRPr="00F930D1">
        <w:rPr>
          <w:lang w:val="en-US"/>
        </w:rPr>
        <w:t xml:space="preserve">In addition, despite the exclusion of pregnant women engaged in routine night-shift work, a study limitation we could not explore was the specific day-shift occupations or job types of the participants. Certain occupations can entail distinct stressors, physical demands and environmental factors that could potentially influence eating behavior and glycemic outcomes. Although employing years of education and employment status as indicators of socioeconomic status is a recognized approach </w:t>
      </w:r>
      <w:r w:rsidRPr="00F930D1">
        <w:rPr>
          <w:noProof/>
          <w:lang w:val="en-US"/>
        </w:rPr>
        <w:t>(17)</w:t>
      </w:r>
      <w:r w:rsidRPr="00F930D1">
        <w:rPr>
          <w:lang w:val="en-US"/>
        </w:rPr>
        <w:t xml:space="preserve">, these indicators might not comprehensively capture the complexity of socioeconomic diversity and unmeasured variables related to socioeconomic status could impact the study’s findings.   </w:t>
      </w:r>
    </w:p>
    <w:p w14:paraId="6C726DC0" w14:textId="77777777" w:rsidR="00474747" w:rsidRPr="00F930D1" w:rsidRDefault="00474747" w:rsidP="009F12FA">
      <w:pPr>
        <w:spacing w:line="480" w:lineRule="auto"/>
        <w:ind w:firstLine="720"/>
        <w:rPr>
          <w:lang w:val="en-US"/>
        </w:rPr>
      </w:pPr>
      <w:r w:rsidRPr="00F930D1">
        <w:rPr>
          <w:color w:val="000000" w:themeColor="text1"/>
          <w:lang w:val="en-US"/>
        </w:rPr>
        <w:t xml:space="preserve">Furthermore, there was no baseline measurement of glycemic variables at 20 weeks corresponding to the starting point of the assessment of eating behaviors. Such a measurement could have provided insights into the change in insulin resistance with </w:t>
      </w:r>
      <w:r w:rsidRPr="00F930D1">
        <w:rPr>
          <w:color w:val="000000" w:themeColor="text1"/>
          <w:lang w:val="en-US"/>
        </w:rPr>
        <w:lastRenderedPageBreak/>
        <w:t xml:space="preserve">increasing gestation. It is also possible that changes in eating habits, and consequently glycemic variables, occur between 20 weeks and 25 weeks. However, it has been reported that the temporal distribution of eating patterns, including meal timing and frequency, remains constant throughout the trimesters </w:t>
      </w:r>
      <w:r w:rsidRPr="00F930D1">
        <w:rPr>
          <w:noProof/>
          <w:color w:val="000000" w:themeColor="text1"/>
          <w:lang w:val="en-US"/>
        </w:rPr>
        <w:t>(41)</w:t>
      </w:r>
      <w:r w:rsidRPr="00F930D1">
        <w:rPr>
          <w:color w:val="000000" w:themeColor="text1"/>
          <w:lang w:val="en-US"/>
        </w:rPr>
        <w:t>.</w:t>
      </w:r>
      <w:r w:rsidRPr="00F930D1">
        <w:rPr>
          <w:color w:val="4472C4" w:themeColor="accent1"/>
          <w:lang w:val="en-US"/>
        </w:rPr>
        <w:t xml:space="preserve"> </w:t>
      </w:r>
      <w:r w:rsidRPr="00F930D1">
        <w:rPr>
          <w:color w:val="000000" w:themeColor="text1"/>
          <w:lang w:val="en-US"/>
        </w:rPr>
        <w:t xml:space="preserve">Additionally, we observed a larger 95% CI in the predicted mean glucose levels over a 24-hour period for the PNE group as compared to the PDE group. This observation indicates a higher degree of variability in the predicted mean glucose levels among the PNE women, perhaps partly also reflecting the smaller sample size, in contrast to the PDE women. </w:t>
      </w:r>
      <w:r w:rsidRPr="00F930D1">
        <w:rPr>
          <w:lang w:val="en-US"/>
        </w:rPr>
        <w:t xml:space="preserve">There may also be a self-selection bias in view of the high refusal and low compliance rates for CGM sensor wearing with only 57% of the women having complete CGM data for at least three days. However, a Heckman selection regression model similarly suggested that PNE was associated with poorer glycemic control. Finally, since this study was not population-based, the generalizability of the results may be compromised. Nonetheless, the PNE and GDM rates in this study are comparable with the prevalence reported in the largest pregnancy cohort in Singapore </w:t>
      </w:r>
      <w:r w:rsidRPr="00F930D1">
        <w:rPr>
          <w:noProof/>
          <w:lang w:val="en-US"/>
        </w:rPr>
        <w:t>(48)</w:t>
      </w:r>
      <w:r w:rsidRPr="00F930D1">
        <w:rPr>
          <w:lang w:val="en-US"/>
        </w:rPr>
        <w:t xml:space="preserve">.  </w:t>
      </w:r>
    </w:p>
    <w:p w14:paraId="7CE9528C" w14:textId="77777777" w:rsidR="00474747" w:rsidRPr="00F930D1" w:rsidRDefault="00474747" w:rsidP="009F12FA">
      <w:pPr>
        <w:spacing w:line="480" w:lineRule="auto"/>
        <w:ind w:firstLine="720"/>
        <w:rPr>
          <w:lang w:val="en-US"/>
        </w:rPr>
      </w:pPr>
    </w:p>
    <w:p w14:paraId="1E10CDC1" w14:textId="77777777" w:rsidR="00474747" w:rsidRPr="00F930D1" w:rsidRDefault="00474747" w:rsidP="009F12FA">
      <w:pPr>
        <w:spacing w:line="480" w:lineRule="auto"/>
        <w:outlineLvl w:val="1"/>
        <w:rPr>
          <w:b/>
          <w:bCs/>
          <w:sz w:val="28"/>
          <w:szCs w:val="28"/>
          <w:lang w:val="en-US"/>
        </w:rPr>
      </w:pPr>
      <w:r w:rsidRPr="00F930D1">
        <w:rPr>
          <w:b/>
          <w:bCs/>
          <w:sz w:val="28"/>
          <w:szCs w:val="28"/>
          <w:lang w:val="en-US"/>
        </w:rPr>
        <w:t xml:space="preserve">Conclusion </w:t>
      </w:r>
    </w:p>
    <w:p w14:paraId="05B23990" w14:textId="77777777" w:rsidR="00474747" w:rsidRPr="00F930D1" w:rsidRDefault="00474747" w:rsidP="009F12FA">
      <w:pPr>
        <w:spacing w:line="480" w:lineRule="auto"/>
        <w:outlineLvl w:val="1"/>
        <w:rPr>
          <w:lang w:val="en-US"/>
        </w:rPr>
      </w:pPr>
      <w:r w:rsidRPr="00F930D1">
        <w:rPr>
          <w:lang w:val="en-US"/>
        </w:rPr>
        <w:t xml:space="preserve">In conclusion, among healthy pregnant women at mid-gestation, consumption of relatively more calories at night compared to during the day was associated with dysregulated glycemic status, decompensated pancreatic β-cell function, and increased glucose levels throughout 24 hours. These findings suggest that misalignment of eating time with the day-night cycle may disrupt glucose homeostasis during pregnancy and highlights the crucial importance of mealtimes on antenatal glycemic control in addition to the conventional focus on dietary composition alone. Pregnant mothers, even with the absence of diabetes, are encouraged to refrain from developing or continuing PNE practice, which has potential to exacerbate the already increased risk of poor glucose control throughout their pregnancy. However, further </w:t>
      </w:r>
      <w:r w:rsidRPr="00F930D1">
        <w:rPr>
          <w:lang w:val="en-US"/>
        </w:rPr>
        <w:lastRenderedPageBreak/>
        <w:t xml:space="preserve">studies are required to investigate the applicability of dietary intervention using </w:t>
      </w:r>
      <w:proofErr w:type="spellStart"/>
      <w:r w:rsidRPr="00F930D1">
        <w:rPr>
          <w:lang w:val="en-US"/>
        </w:rPr>
        <w:t>chrononutrition</w:t>
      </w:r>
      <w:proofErr w:type="spellEnd"/>
      <w:r w:rsidRPr="00F930D1">
        <w:rPr>
          <w:lang w:val="en-US"/>
        </w:rPr>
        <w:t xml:space="preserve"> approach in addressing PNE during pregnancy, and its clinical outcomes. In addition, the use of CGM monitoring to guide the control of maternal glycemic levels in patients demonstrating PNE remains to be elucidated. </w:t>
      </w:r>
    </w:p>
    <w:p w14:paraId="2156F1A0" w14:textId="77777777" w:rsidR="00474747" w:rsidRPr="00F930D1" w:rsidRDefault="00474747" w:rsidP="009F12FA">
      <w:pPr>
        <w:pStyle w:val="Heading3"/>
        <w:spacing w:before="0" w:beforeAutospacing="0" w:after="0" w:afterAutospacing="0" w:line="480" w:lineRule="auto"/>
        <w:rPr>
          <w:sz w:val="24"/>
          <w:szCs w:val="24"/>
          <w:lang w:val="en-US"/>
        </w:rPr>
      </w:pPr>
    </w:p>
    <w:p w14:paraId="1F805654" w14:textId="77777777" w:rsidR="00474747" w:rsidRPr="00F930D1" w:rsidRDefault="00474747" w:rsidP="009F12FA">
      <w:pPr>
        <w:pStyle w:val="Heading3"/>
        <w:spacing w:before="0" w:beforeAutospacing="0" w:after="0" w:afterAutospacing="0" w:line="480" w:lineRule="auto"/>
        <w:rPr>
          <w:sz w:val="28"/>
          <w:szCs w:val="28"/>
          <w:lang w:val="en-US"/>
        </w:rPr>
      </w:pPr>
      <w:r w:rsidRPr="00F930D1">
        <w:rPr>
          <w:sz w:val="28"/>
          <w:szCs w:val="28"/>
          <w:lang w:val="en-US"/>
        </w:rPr>
        <w:t>Acknowledgements</w:t>
      </w:r>
    </w:p>
    <w:p w14:paraId="197C87C5" w14:textId="77777777" w:rsidR="00474747" w:rsidRPr="00F930D1" w:rsidRDefault="00474747" w:rsidP="009F12FA">
      <w:pPr>
        <w:spacing w:line="480" w:lineRule="auto"/>
        <w:rPr>
          <w:lang w:val="en-US"/>
        </w:rPr>
      </w:pPr>
      <w:r w:rsidRPr="00F930D1">
        <w:rPr>
          <w:shd w:val="clear" w:color="auto" w:fill="FFFFFF"/>
          <w:lang w:val="en-US"/>
        </w:rPr>
        <w:t>We thank KKH for the institutional support received during this study.</w:t>
      </w:r>
      <w:r w:rsidRPr="00F930D1">
        <w:rPr>
          <w:lang w:val="en-US"/>
        </w:rPr>
        <w:t xml:space="preserve"> We also thank the pregnant women who participated in the study, and the clinical research coordinators, research officers, and healthcare providers who have been committed to this study. </w:t>
      </w:r>
    </w:p>
    <w:p w14:paraId="59714D55" w14:textId="77777777" w:rsidR="00474747" w:rsidRPr="00F930D1" w:rsidRDefault="00474747" w:rsidP="009F12FA">
      <w:pPr>
        <w:spacing w:line="480" w:lineRule="auto"/>
        <w:rPr>
          <w:lang w:val="en-US"/>
        </w:rPr>
      </w:pPr>
    </w:p>
    <w:p w14:paraId="6AB09BA1" w14:textId="77777777" w:rsidR="00474747" w:rsidRPr="00F930D1" w:rsidRDefault="00474747" w:rsidP="009F12FA">
      <w:pPr>
        <w:pBdr>
          <w:bottom w:val="single" w:sz="6" w:space="1" w:color="auto"/>
        </w:pBdr>
        <w:spacing w:line="480" w:lineRule="auto"/>
        <w:rPr>
          <w:b/>
          <w:bCs/>
          <w:sz w:val="28"/>
          <w:szCs w:val="28"/>
          <w:lang w:val="en-US"/>
        </w:rPr>
      </w:pPr>
      <w:r w:rsidRPr="00F930D1">
        <w:rPr>
          <w:b/>
          <w:bCs/>
          <w:sz w:val="28"/>
          <w:szCs w:val="28"/>
          <w:lang w:val="en-US"/>
        </w:rPr>
        <w:t>Funding statement</w:t>
      </w:r>
    </w:p>
    <w:p w14:paraId="144F62F5" w14:textId="77777777" w:rsidR="00474747" w:rsidRPr="00F930D1" w:rsidRDefault="00474747" w:rsidP="009F12FA">
      <w:pPr>
        <w:pBdr>
          <w:bottom w:val="single" w:sz="6" w:space="1" w:color="auto"/>
        </w:pBdr>
        <w:spacing w:line="480" w:lineRule="auto"/>
        <w:rPr>
          <w:b/>
          <w:bCs/>
          <w:lang w:val="en-US"/>
        </w:rPr>
      </w:pPr>
      <w:r w:rsidRPr="00F930D1">
        <w:rPr>
          <w:lang w:val="en-US"/>
        </w:rPr>
        <w:t xml:space="preserve">This work was supported by the Singapore Ministry of Health’s National Medical Research Council under its Open Fund-Young Individual Research Grant (NMRC/OFYIRG/0082/2018). CWK and JKYC are supported by the National Medical Research Council, Ministry of Health, Singapore (NMRC/MOH-000596-00 and NMRC/CSA-SI-008-2016, MOH-001266-01, MOH-001221-01 and MOH-000932-01, respectively). KMG is supported by the UK Medical Research Council (MC_UU_12011/4), the National Institute for Health Research (NIHR Senior Investigator (NF-SI-0515-10042) and NIHR Southampton Biomedical Research Centre (IS-BRC-1215-20004)), the European Union (Erasmus+ </w:t>
      </w:r>
      <w:proofErr w:type="spellStart"/>
      <w:r w:rsidRPr="00F930D1">
        <w:rPr>
          <w:lang w:val="en-US"/>
        </w:rPr>
        <w:t>Programme</w:t>
      </w:r>
      <w:proofErr w:type="spellEnd"/>
      <w:r w:rsidRPr="00F930D1">
        <w:rPr>
          <w:lang w:val="en-US"/>
        </w:rPr>
        <w:t xml:space="preserve"> </w:t>
      </w:r>
      <w:proofErr w:type="spellStart"/>
      <w:r w:rsidRPr="00F930D1">
        <w:rPr>
          <w:lang w:val="en-US"/>
        </w:rPr>
        <w:t>ImpENSA</w:t>
      </w:r>
      <w:proofErr w:type="spellEnd"/>
      <w:r w:rsidRPr="00F930D1">
        <w:rPr>
          <w:lang w:val="en-US"/>
        </w:rPr>
        <w:t xml:space="preserve"> 598488-EPP-1-2018-1-DE-EPPKA2-CBHE-JP) and the British Heart Foundation (RG/15/17/3174, SP/F/21/150013). The funding sources had no role in the design and conduct of the study; collection, management, analysis, and interpretation of the data; preparation, review, or approval of the manuscript; and decision to submit the manuscript for publication. </w:t>
      </w:r>
      <w:proofErr w:type="gramStart"/>
      <w:r w:rsidRPr="00F930D1">
        <w:rPr>
          <w:color w:val="242424"/>
          <w:shd w:val="clear" w:color="auto" w:fill="FFFFFF"/>
          <w:lang w:val="en-US"/>
        </w:rPr>
        <w:t>For the purpose of</w:t>
      </w:r>
      <w:proofErr w:type="gramEnd"/>
      <w:r w:rsidRPr="00F930D1">
        <w:rPr>
          <w:color w:val="242424"/>
          <w:shd w:val="clear" w:color="auto" w:fill="FFFFFF"/>
          <w:lang w:val="en-US"/>
        </w:rPr>
        <w:t xml:space="preserve"> Open Access, the author has </w:t>
      </w:r>
      <w:r w:rsidRPr="00F930D1">
        <w:rPr>
          <w:color w:val="242424"/>
          <w:shd w:val="clear" w:color="auto" w:fill="FFFFFF"/>
          <w:lang w:val="en-US"/>
        </w:rPr>
        <w:lastRenderedPageBreak/>
        <w:t>applied a Creative Commons Attribution (CC BY) license to any Author Accepted Manuscript version arising from this submission.</w:t>
      </w:r>
    </w:p>
    <w:p w14:paraId="449400F5" w14:textId="77777777" w:rsidR="00474747" w:rsidRPr="00F930D1" w:rsidRDefault="00474747" w:rsidP="009F12FA">
      <w:pPr>
        <w:pBdr>
          <w:bottom w:val="single" w:sz="6" w:space="1" w:color="auto"/>
        </w:pBdr>
        <w:spacing w:line="480" w:lineRule="auto"/>
        <w:rPr>
          <w:color w:val="242424"/>
          <w:shd w:val="clear" w:color="auto" w:fill="FFFFFF"/>
          <w:lang w:val="en-US"/>
        </w:rPr>
      </w:pPr>
    </w:p>
    <w:p w14:paraId="7CF59A6E" w14:textId="77777777" w:rsidR="00474747" w:rsidRPr="00F930D1" w:rsidRDefault="00474747" w:rsidP="009F12FA">
      <w:pPr>
        <w:pBdr>
          <w:bottom w:val="single" w:sz="6" w:space="1" w:color="auto"/>
        </w:pBdr>
        <w:spacing w:line="480" w:lineRule="auto"/>
        <w:rPr>
          <w:sz w:val="28"/>
          <w:szCs w:val="28"/>
          <w:lang w:val="en-US"/>
        </w:rPr>
      </w:pPr>
      <w:r w:rsidRPr="00F930D1">
        <w:rPr>
          <w:b/>
          <w:bCs/>
          <w:sz w:val="28"/>
          <w:szCs w:val="28"/>
          <w:lang w:val="en-US"/>
        </w:rPr>
        <w:t>Conflict of Interest</w:t>
      </w:r>
    </w:p>
    <w:p w14:paraId="75326F95" w14:textId="20529F84" w:rsidR="00474747" w:rsidRPr="00F930D1" w:rsidRDefault="00474747" w:rsidP="009F12FA">
      <w:pPr>
        <w:pBdr>
          <w:bottom w:val="single" w:sz="6" w:space="1" w:color="auto"/>
        </w:pBdr>
        <w:spacing w:line="480" w:lineRule="auto"/>
        <w:rPr>
          <w:lang w:val="en-US" w:bidi="en-US"/>
        </w:rPr>
      </w:pPr>
      <w:r w:rsidRPr="00F930D1">
        <w:rPr>
          <w:lang w:val="en-US"/>
        </w:rPr>
        <w:t xml:space="preserve">KMG </w:t>
      </w:r>
      <w:r w:rsidR="009C50C8">
        <w:rPr>
          <w:lang w:val="en-US"/>
        </w:rPr>
        <w:t xml:space="preserve">and FY </w:t>
      </w:r>
      <w:r w:rsidRPr="00F930D1">
        <w:rPr>
          <w:lang w:val="en-US" w:bidi="en-US"/>
        </w:rPr>
        <w:t>received reimbursement for speaking at conferences sponsored by companies selling nutritional products</w:t>
      </w:r>
      <w:r w:rsidR="009C50C8">
        <w:rPr>
          <w:lang w:val="en-US" w:bidi="en-US"/>
        </w:rPr>
        <w:t>. KMG</w:t>
      </w:r>
      <w:r w:rsidRPr="00F930D1">
        <w:rPr>
          <w:lang w:val="en-US" w:bidi="en-US"/>
        </w:rPr>
        <w:t xml:space="preserve"> is part of an academic consortium that received research funding from Abbott Nutrition, Nestle and Danone. All other authors declare no competing interests.</w:t>
      </w:r>
    </w:p>
    <w:p w14:paraId="2AEFB079" w14:textId="77777777" w:rsidR="00474747" w:rsidRPr="00F930D1" w:rsidRDefault="00474747" w:rsidP="009F12FA">
      <w:pPr>
        <w:pBdr>
          <w:bottom w:val="single" w:sz="6" w:space="1" w:color="auto"/>
        </w:pBdr>
        <w:spacing w:line="480" w:lineRule="auto"/>
        <w:rPr>
          <w:lang w:val="en-US"/>
        </w:rPr>
      </w:pPr>
    </w:p>
    <w:p w14:paraId="4851E9D9" w14:textId="77777777" w:rsidR="00474747" w:rsidRPr="00F930D1" w:rsidRDefault="00474747" w:rsidP="009F12FA">
      <w:pPr>
        <w:pBdr>
          <w:bottom w:val="single" w:sz="6" w:space="1" w:color="auto"/>
        </w:pBdr>
        <w:spacing w:line="480" w:lineRule="auto"/>
        <w:rPr>
          <w:b/>
          <w:bCs/>
          <w:sz w:val="28"/>
          <w:szCs w:val="28"/>
          <w:lang w:val="en-US"/>
        </w:rPr>
      </w:pPr>
      <w:r w:rsidRPr="00F930D1">
        <w:rPr>
          <w:b/>
          <w:bCs/>
          <w:sz w:val="28"/>
          <w:szCs w:val="28"/>
          <w:lang w:val="en-US"/>
        </w:rPr>
        <w:t xml:space="preserve">Author Contributions </w:t>
      </w:r>
    </w:p>
    <w:p w14:paraId="09850626" w14:textId="77777777" w:rsidR="00474747" w:rsidRPr="00F930D1" w:rsidRDefault="00474747" w:rsidP="009F12FA">
      <w:pPr>
        <w:pBdr>
          <w:bottom w:val="single" w:sz="6" w:space="1" w:color="auto"/>
        </w:pBdr>
        <w:spacing w:line="480" w:lineRule="auto"/>
        <w:rPr>
          <w:lang w:val="en-US"/>
        </w:rPr>
      </w:pPr>
      <w:r w:rsidRPr="00F930D1">
        <w:rPr>
          <w:lang w:val="en-US"/>
        </w:rPr>
        <w:t>SLL and CWK served as co-first authors and contributed equally to this work. SLL, YBC, JKYC and FY conceived and designed the study. CWK, KHT, NL, MFFC, JKYC and FY contributed to the study implementation. YBC advised on statistical analysis. RZT cleaned the data. SLL, RZT and LWC analyzed the data. SLL, CWK, CHFL and TYC wrote the first draft of the manuscript. All authors contributed to the interpretation of the results and critical revision of the manuscript for important intellectual content and approved the final version of the manuscript. The corresponding authors attest that all listed authors meet authorship criteria and that no others meeting the criteria have been omitted. SLL obtained funding and is the study guarantor and, as such, had full access to all the data in the study and takes responsibility for the integrity of the data and the accuracy of the data analysis.</w:t>
      </w:r>
    </w:p>
    <w:p w14:paraId="4F498AE3" w14:textId="77777777" w:rsidR="00474747" w:rsidRPr="00F930D1" w:rsidRDefault="00474747" w:rsidP="009F12FA">
      <w:pPr>
        <w:pBdr>
          <w:bottom w:val="single" w:sz="6" w:space="1" w:color="auto"/>
        </w:pBdr>
        <w:spacing w:line="480" w:lineRule="auto"/>
        <w:rPr>
          <w:lang w:val="en-US"/>
        </w:rPr>
      </w:pPr>
    </w:p>
    <w:p w14:paraId="53621150" w14:textId="77777777" w:rsidR="00474747" w:rsidRPr="00F930D1" w:rsidRDefault="00474747" w:rsidP="009F12FA">
      <w:pPr>
        <w:pBdr>
          <w:bottom w:val="single" w:sz="6" w:space="1" w:color="auto"/>
        </w:pBdr>
        <w:spacing w:line="480" w:lineRule="auto"/>
        <w:rPr>
          <w:b/>
          <w:bCs/>
          <w:lang w:val="en-US"/>
        </w:rPr>
      </w:pPr>
      <w:proofErr w:type="spellStart"/>
      <w:r w:rsidRPr="00F930D1">
        <w:rPr>
          <w:b/>
          <w:bCs/>
          <w:lang w:val="en-US"/>
        </w:rPr>
        <w:t>CRediT</w:t>
      </w:r>
      <w:proofErr w:type="spellEnd"/>
      <w:r w:rsidRPr="00F930D1">
        <w:rPr>
          <w:b/>
          <w:bCs/>
          <w:lang w:val="en-US"/>
        </w:rPr>
        <w:t xml:space="preserve"> author statement </w:t>
      </w:r>
    </w:p>
    <w:p w14:paraId="743F04A6" w14:textId="77777777" w:rsidR="00474747" w:rsidRPr="00F930D1" w:rsidRDefault="00474747" w:rsidP="009F12FA">
      <w:pPr>
        <w:pBdr>
          <w:bottom w:val="single" w:sz="6" w:space="1" w:color="auto"/>
        </w:pBdr>
        <w:spacing w:line="480" w:lineRule="auto"/>
        <w:rPr>
          <w:lang w:val="en-US"/>
        </w:rPr>
      </w:pPr>
      <w:r w:rsidRPr="00F930D1">
        <w:rPr>
          <w:b/>
          <w:bCs/>
          <w:lang w:val="en-US"/>
        </w:rPr>
        <w:t xml:space="preserve">See Ling Loy: </w:t>
      </w:r>
      <w:r w:rsidRPr="00F930D1">
        <w:rPr>
          <w:lang w:val="en-US"/>
        </w:rPr>
        <w:t xml:space="preserve">Conceptualization, Methodology, Formal analysis, Writing – Original draft, Writing – Review &amp; editing </w:t>
      </w:r>
      <w:r w:rsidRPr="00F930D1">
        <w:rPr>
          <w:b/>
          <w:bCs/>
          <w:lang w:val="en-US"/>
        </w:rPr>
        <w:t xml:space="preserve">Chee Wai Ku: </w:t>
      </w:r>
      <w:r w:rsidRPr="00F930D1">
        <w:rPr>
          <w:lang w:val="en-US"/>
        </w:rPr>
        <w:t xml:space="preserve">Writing – Original draft, Investigation, Writing – Review &amp; editing </w:t>
      </w:r>
      <w:r w:rsidRPr="00F930D1">
        <w:rPr>
          <w:b/>
          <w:bCs/>
          <w:lang w:val="en-US"/>
        </w:rPr>
        <w:t xml:space="preserve">Ruther Teo Zheng: </w:t>
      </w:r>
      <w:r w:rsidRPr="00F930D1">
        <w:rPr>
          <w:lang w:val="en-US"/>
        </w:rPr>
        <w:t xml:space="preserve">Formal analysis, Data curation </w:t>
      </w:r>
      <w:r w:rsidRPr="00F930D1">
        <w:rPr>
          <w:b/>
          <w:bCs/>
          <w:lang w:val="en-US"/>
        </w:rPr>
        <w:t xml:space="preserve">Celeste Hong Fei </w:t>
      </w:r>
      <w:r w:rsidRPr="00F930D1">
        <w:rPr>
          <w:b/>
          <w:bCs/>
          <w:lang w:val="en-US"/>
        </w:rPr>
        <w:lastRenderedPageBreak/>
        <w:t xml:space="preserve">Lim:  </w:t>
      </w:r>
      <w:r w:rsidRPr="00F930D1">
        <w:rPr>
          <w:lang w:val="en-US"/>
        </w:rPr>
        <w:t>Writing – Original draft, Writing – Review &amp; editing</w:t>
      </w:r>
      <w:r w:rsidRPr="00F930D1">
        <w:rPr>
          <w:b/>
          <w:bCs/>
          <w:lang w:val="en-US"/>
        </w:rPr>
        <w:t xml:space="preserve"> Ting Yu Chang: </w:t>
      </w:r>
      <w:r w:rsidRPr="00F930D1">
        <w:rPr>
          <w:lang w:val="en-US"/>
        </w:rPr>
        <w:t>Writing – Original draft, Writing – Review &amp; editing</w:t>
      </w:r>
      <w:r w:rsidRPr="00F930D1">
        <w:rPr>
          <w:b/>
          <w:bCs/>
          <w:lang w:val="en-US"/>
        </w:rPr>
        <w:t xml:space="preserve"> Ling-Wei Chen: </w:t>
      </w:r>
      <w:r w:rsidRPr="00F930D1">
        <w:rPr>
          <w:lang w:val="en-US"/>
        </w:rPr>
        <w:t xml:space="preserve">Formal analysis </w:t>
      </w:r>
      <w:r w:rsidRPr="00F930D1">
        <w:rPr>
          <w:b/>
          <w:bCs/>
          <w:lang w:val="en-US"/>
        </w:rPr>
        <w:t xml:space="preserve">Yin Bun Cheung: </w:t>
      </w:r>
      <w:r w:rsidRPr="00F930D1">
        <w:rPr>
          <w:lang w:val="en-US"/>
        </w:rPr>
        <w:t>Conceptualization, Methodology, Formal analysis</w:t>
      </w:r>
      <w:r w:rsidRPr="00F930D1">
        <w:rPr>
          <w:b/>
          <w:bCs/>
          <w:lang w:val="en-US"/>
        </w:rPr>
        <w:t xml:space="preserve"> Keith M. Godfrey: </w:t>
      </w:r>
      <w:r w:rsidRPr="00F930D1">
        <w:rPr>
          <w:lang w:val="en-US"/>
        </w:rPr>
        <w:t>Investigation, Writing – Review &amp; editing</w:t>
      </w:r>
      <w:r w:rsidRPr="00F930D1">
        <w:rPr>
          <w:b/>
          <w:bCs/>
          <w:lang w:val="en-US"/>
        </w:rPr>
        <w:t xml:space="preserve">  Kok Hian Tan: </w:t>
      </w:r>
      <w:r w:rsidRPr="00F930D1">
        <w:rPr>
          <w:lang w:val="en-US"/>
        </w:rPr>
        <w:t xml:space="preserve">Investigation, Writing – Review &amp; editing </w:t>
      </w:r>
      <w:r w:rsidRPr="00F930D1">
        <w:rPr>
          <w:b/>
          <w:bCs/>
          <w:lang w:val="en-US"/>
        </w:rPr>
        <w:t>Mary Foong-Fong Chong:</w:t>
      </w:r>
      <w:r w:rsidRPr="00F930D1">
        <w:rPr>
          <w:lang w:val="en-US"/>
        </w:rPr>
        <w:t xml:space="preserve"> Investigation, Writing – Review &amp; editing</w:t>
      </w:r>
      <w:r w:rsidRPr="00F930D1">
        <w:rPr>
          <w:b/>
          <w:bCs/>
          <w:lang w:val="en-US"/>
        </w:rPr>
        <w:t xml:space="preserve"> Jerry Kok Yen Chan: </w:t>
      </w:r>
      <w:r w:rsidRPr="00F930D1">
        <w:rPr>
          <w:lang w:val="en-US"/>
        </w:rPr>
        <w:t>Conceptualization, Methodology, Investigation, Writing – Review &amp; editing</w:t>
      </w:r>
      <w:r w:rsidRPr="00F930D1">
        <w:rPr>
          <w:b/>
          <w:bCs/>
          <w:lang w:val="en-US"/>
        </w:rPr>
        <w:t xml:space="preserve"> Ngee Lek: </w:t>
      </w:r>
      <w:r w:rsidRPr="00F930D1">
        <w:rPr>
          <w:lang w:val="en-US"/>
        </w:rPr>
        <w:t xml:space="preserve">Investigation, Writing – Review &amp; editing </w:t>
      </w:r>
      <w:r w:rsidRPr="00F930D1">
        <w:rPr>
          <w:b/>
          <w:bCs/>
          <w:lang w:val="en-US"/>
        </w:rPr>
        <w:t>Fabian Yap:</w:t>
      </w:r>
      <w:r w:rsidRPr="00F930D1">
        <w:rPr>
          <w:lang w:val="en-US"/>
        </w:rPr>
        <w:t xml:space="preserve"> Conceptualization, Methodology, Investigation, Writing – Review &amp; editing</w:t>
      </w:r>
    </w:p>
    <w:p w14:paraId="30A2454C" w14:textId="77777777" w:rsidR="00474747" w:rsidRPr="00F930D1" w:rsidRDefault="00474747" w:rsidP="009F12FA">
      <w:pPr>
        <w:pStyle w:val="Heading3"/>
        <w:spacing w:before="0" w:beforeAutospacing="0" w:after="0" w:afterAutospacing="0" w:line="480" w:lineRule="auto"/>
        <w:jc w:val="both"/>
        <w:rPr>
          <w:sz w:val="24"/>
          <w:szCs w:val="24"/>
          <w:lang w:val="en-US"/>
        </w:rPr>
      </w:pPr>
      <w:r w:rsidRPr="00F930D1">
        <w:rPr>
          <w:sz w:val="24"/>
          <w:szCs w:val="24"/>
          <w:lang w:val="en-US"/>
        </w:rPr>
        <w:t xml:space="preserve">References </w:t>
      </w:r>
    </w:p>
    <w:p w14:paraId="5C494B26" w14:textId="77777777" w:rsidR="00474747" w:rsidRPr="00F930D1" w:rsidRDefault="00474747" w:rsidP="009F12FA">
      <w:pPr>
        <w:spacing w:line="480" w:lineRule="auto"/>
        <w:rPr>
          <w:lang w:val="en-US"/>
        </w:rPr>
      </w:pPr>
    </w:p>
    <w:p w14:paraId="02D4E925" w14:textId="77777777" w:rsidR="00474747" w:rsidRPr="00F930D1" w:rsidRDefault="00474747" w:rsidP="009F12FA">
      <w:pPr>
        <w:pStyle w:val="EndNoteBibliography"/>
        <w:spacing w:line="480" w:lineRule="auto"/>
        <w:rPr>
          <w:noProof/>
          <w:lang w:val="en-US"/>
        </w:rPr>
      </w:pPr>
      <w:r w:rsidRPr="00F930D1">
        <w:rPr>
          <w:noProof/>
          <w:lang w:val="en-US"/>
        </w:rPr>
        <w:t>1.</w:t>
      </w:r>
      <w:r w:rsidRPr="00F930D1">
        <w:rPr>
          <w:noProof/>
          <w:lang w:val="en-US"/>
        </w:rPr>
        <w:tab/>
        <w:t>Bordeleau M, Fernandez de Cossio L, Chakravarty MM, Tremblay ME. From Maternal Diet to Neurodevelopmental Disorders: A Story of Neuroinflammation. Front Cell Neurosci. 2020;14:612705.</w:t>
      </w:r>
    </w:p>
    <w:p w14:paraId="3D00D8FA" w14:textId="77777777" w:rsidR="00474747" w:rsidRPr="00F930D1" w:rsidRDefault="00474747" w:rsidP="009F12FA">
      <w:pPr>
        <w:pStyle w:val="EndNoteBibliography"/>
        <w:spacing w:line="480" w:lineRule="auto"/>
        <w:rPr>
          <w:noProof/>
          <w:lang w:val="en-US"/>
        </w:rPr>
      </w:pPr>
      <w:r w:rsidRPr="00F930D1">
        <w:rPr>
          <w:noProof/>
          <w:lang w:val="en-US"/>
        </w:rPr>
        <w:t>2.</w:t>
      </w:r>
      <w:r w:rsidRPr="00F930D1">
        <w:rPr>
          <w:noProof/>
          <w:lang w:val="en-US"/>
        </w:rPr>
        <w:tab/>
        <w:t>Yelverton CA, Rafferty AA, Moore RL, Byrne DF, Mehegan J, Cotter PD, et al. Diet and mental health in pregnancy: Nutrients of importance based on large observational cohort data. Nutrition. 2022;96:111582.</w:t>
      </w:r>
    </w:p>
    <w:p w14:paraId="6490D2ED" w14:textId="77777777" w:rsidR="00474747" w:rsidRPr="00F930D1" w:rsidRDefault="00474747" w:rsidP="009F12FA">
      <w:pPr>
        <w:pStyle w:val="EndNoteBibliography"/>
        <w:spacing w:line="480" w:lineRule="auto"/>
        <w:rPr>
          <w:noProof/>
          <w:lang w:val="en-US"/>
        </w:rPr>
      </w:pPr>
      <w:r w:rsidRPr="00F930D1">
        <w:rPr>
          <w:noProof/>
          <w:lang w:val="en-US"/>
        </w:rPr>
        <w:t>3.</w:t>
      </w:r>
      <w:r w:rsidRPr="00F930D1">
        <w:rPr>
          <w:noProof/>
          <w:lang w:val="en-US"/>
        </w:rPr>
        <w:tab/>
        <w:t>Pot GK, Almoosawi S, Stephen AM. Meal irregularity and cardiometabolic consequences: results from observational and intervention studies. Proc Nutr Soc. 2016;75(4):475-86.</w:t>
      </w:r>
    </w:p>
    <w:p w14:paraId="22F8B25B" w14:textId="77777777" w:rsidR="00474747" w:rsidRPr="00F930D1" w:rsidRDefault="00474747" w:rsidP="009F12FA">
      <w:pPr>
        <w:pStyle w:val="EndNoteBibliography"/>
        <w:spacing w:line="480" w:lineRule="auto"/>
        <w:rPr>
          <w:noProof/>
          <w:lang w:val="en-US"/>
        </w:rPr>
      </w:pPr>
      <w:r w:rsidRPr="00F930D1">
        <w:rPr>
          <w:noProof/>
          <w:lang w:val="en-US"/>
        </w:rPr>
        <w:t>4.</w:t>
      </w:r>
      <w:r w:rsidRPr="00F930D1">
        <w:rPr>
          <w:noProof/>
          <w:lang w:val="en-US"/>
        </w:rPr>
        <w:tab/>
        <w:t>Hernandez E, Kim M, Kim WG, Yoon J. Nutritional aspects of night eating and its association with weight status among Korean adolescents. Nutr Res Pract. 2016;10(4):448-55.</w:t>
      </w:r>
    </w:p>
    <w:p w14:paraId="39DF01E2" w14:textId="77777777" w:rsidR="00474747" w:rsidRPr="00F930D1" w:rsidRDefault="00474747" w:rsidP="009F12FA">
      <w:pPr>
        <w:pStyle w:val="EndNoteBibliography"/>
        <w:spacing w:line="480" w:lineRule="auto"/>
        <w:rPr>
          <w:noProof/>
          <w:lang w:val="en-US"/>
        </w:rPr>
      </w:pPr>
      <w:r w:rsidRPr="00F930D1">
        <w:rPr>
          <w:noProof/>
          <w:lang w:val="en-US"/>
        </w:rPr>
        <w:t>5.</w:t>
      </w:r>
      <w:r w:rsidRPr="00F930D1">
        <w:rPr>
          <w:noProof/>
          <w:lang w:val="en-US"/>
        </w:rPr>
        <w:tab/>
        <w:t>Chen Y-E, Loy SL, Chen L-W. Chrononutrition during Pregnancy and Its Association with Maternal and Offspring Outcomes: A Systematic Review and Meta-Analysis of Ramadan and Non-Ramadan Studies. Nutrients. 2023;15(3):756.</w:t>
      </w:r>
    </w:p>
    <w:p w14:paraId="3B58171D" w14:textId="77777777" w:rsidR="00474747" w:rsidRPr="00F930D1" w:rsidRDefault="00474747" w:rsidP="009F12FA">
      <w:pPr>
        <w:pStyle w:val="EndNoteBibliography"/>
        <w:spacing w:line="480" w:lineRule="auto"/>
        <w:rPr>
          <w:noProof/>
          <w:lang w:val="en-US"/>
        </w:rPr>
      </w:pPr>
      <w:r w:rsidRPr="00F930D1">
        <w:rPr>
          <w:noProof/>
          <w:lang w:val="en-US"/>
        </w:rPr>
        <w:lastRenderedPageBreak/>
        <w:t>6.</w:t>
      </w:r>
      <w:r w:rsidRPr="00F930D1">
        <w:rPr>
          <w:noProof/>
          <w:lang w:val="en-US"/>
        </w:rPr>
        <w:tab/>
        <w:t>Loy SL, Loo RSX, Godfrey KM, Chong Y-S, Shek LP-C, Tan KH, et al. Chrononutrition during Pregnancy: A Review on Maternal Night-Time Eating. Nutrients. 2020;12(9):2783.</w:t>
      </w:r>
    </w:p>
    <w:p w14:paraId="3D7B8F79" w14:textId="77777777" w:rsidR="00474747" w:rsidRPr="00F930D1" w:rsidRDefault="00474747" w:rsidP="009F12FA">
      <w:pPr>
        <w:pStyle w:val="EndNoteBibliography"/>
        <w:spacing w:line="480" w:lineRule="auto"/>
        <w:rPr>
          <w:noProof/>
          <w:lang w:val="en-US"/>
        </w:rPr>
      </w:pPr>
      <w:r w:rsidRPr="00F930D1">
        <w:rPr>
          <w:noProof/>
          <w:lang w:val="en-US"/>
        </w:rPr>
        <w:t>7.</w:t>
      </w:r>
      <w:r w:rsidRPr="00F930D1">
        <w:rPr>
          <w:noProof/>
          <w:lang w:val="en-US"/>
        </w:rPr>
        <w:tab/>
        <w:t>Almoosawi S, Vingeliene S, Karagounis LG, Pot GK. Chrono-nutrition: a review of current evidence from observational studies on global trends in time-of-day of energy intake and its association with obesity. Proc Nutr Soc. 2016;75(4):487-500.</w:t>
      </w:r>
    </w:p>
    <w:p w14:paraId="483BE9ED" w14:textId="77777777" w:rsidR="00474747" w:rsidRPr="00F930D1" w:rsidRDefault="00474747" w:rsidP="009F12FA">
      <w:pPr>
        <w:pStyle w:val="EndNoteBibliography"/>
        <w:spacing w:line="480" w:lineRule="auto"/>
        <w:rPr>
          <w:noProof/>
          <w:lang w:val="en-US"/>
        </w:rPr>
      </w:pPr>
      <w:r w:rsidRPr="00F930D1">
        <w:rPr>
          <w:noProof/>
          <w:lang w:val="en-US"/>
        </w:rPr>
        <w:t>8.</w:t>
      </w:r>
      <w:r w:rsidRPr="00F930D1">
        <w:rPr>
          <w:noProof/>
          <w:lang w:val="en-US"/>
        </w:rPr>
        <w:tab/>
        <w:t>Chandler-Laney PC, Schneider CR, Gower BA, Granger WM, Mancuso MS, Biggio JR. Association of late-night carbohydrate intake with glucose tolerance among pregnant African American women. Matern Child Nutr. 2016;12(4):688-98.</w:t>
      </w:r>
    </w:p>
    <w:p w14:paraId="3D8A0230" w14:textId="77777777" w:rsidR="00474747" w:rsidRPr="00F930D1" w:rsidRDefault="00474747" w:rsidP="009F12FA">
      <w:pPr>
        <w:pStyle w:val="EndNoteBibliography"/>
        <w:spacing w:line="480" w:lineRule="auto"/>
        <w:rPr>
          <w:noProof/>
          <w:lang w:val="en-US"/>
        </w:rPr>
      </w:pPr>
      <w:r w:rsidRPr="00F930D1">
        <w:rPr>
          <w:noProof/>
          <w:lang w:val="en-US"/>
        </w:rPr>
        <w:t>9.</w:t>
      </w:r>
      <w:r w:rsidRPr="00F930D1">
        <w:rPr>
          <w:noProof/>
          <w:lang w:val="en-US"/>
        </w:rPr>
        <w:tab/>
        <w:t>Deniz ÇD, Özler S, Sayın FK, MA E. Associations between night eating syndrome and metabolic parameters in pregnant women. Turk J Obstet Gynecol 2019 Jun;16(2):107-111 2019.</w:t>
      </w:r>
    </w:p>
    <w:p w14:paraId="7282C426" w14:textId="77777777" w:rsidR="00474747" w:rsidRPr="00F930D1" w:rsidRDefault="00474747" w:rsidP="009F12FA">
      <w:pPr>
        <w:pStyle w:val="EndNoteBibliography"/>
        <w:spacing w:line="480" w:lineRule="auto"/>
        <w:rPr>
          <w:noProof/>
          <w:lang w:val="en-US"/>
        </w:rPr>
      </w:pPr>
      <w:r w:rsidRPr="00F930D1">
        <w:rPr>
          <w:noProof/>
          <w:lang w:val="en-US"/>
        </w:rPr>
        <w:t>10.</w:t>
      </w:r>
      <w:r w:rsidRPr="00F930D1">
        <w:rPr>
          <w:noProof/>
          <w:lang w:val="en-US"/>
        </w:rPr>
        <w:tab/>
        <w:t>Loy SL, Cheng TS, Colega MT, Cheung YB, Godfrey KM, Gluckman PD, et al. Predominantly night-time feeding and maternal glycaemic levels during pregnancy. Br J Nutr. 2016;115(9):1563-70.</w:t>
      </w:r>
    </w:p>
    <w:p w14:paraId="1DABE868" w14:textId="77777777" w:rsidR="00474747" w:rsidRPr="00F930D1" w:rsidRDefault="00474747" w:rsidP="009F12FA">
      <w:pPr>
        <w:pStyle w:val="EndNoteBibliography"/>
        <w:spacing w:line="480" w:lineRule="auto"/>
        <w:rPr>
          <w:noProof/>
          <w:lang w:val="en-US"/>
        </w:rPr>
      </w:pPr>
      <w:r w:rsidRPr="00F930D1">
        <w:rPr>
          <w:noProof/>
          <w:lang w:val="en-US"/>
        </w:rPr>
        <w:t>11.</w:t>
      </w:r>
      <w:r w:rsidRPr="00F930D1">
        <w:rPr>
          <w:noProof/>
          <w:lang w:val="en-US"/>
        </w:rPr>
        <w:tab/>
        <w:t>Ribas-Latre A, Eckel-Mahan K. Interdependence of nutrient metabolism and the circadian clock system: Importance for metabolic health. Mol Metab. 2016;5(3):133-52.</w:t>
      </w:r>
    </w:p>
    <w:p w14:paraId="66FFA855" w14:textId="77777777" w:rsidR="00474747" w:rsidRPr="00F930D1" w:rsidRDefault="00474747" w:rsidP="009F12FA">
      <w:pPr>
        <w:pStyle w:val="EndNoteBibliography"/>
        <w:spacing w:line="480" w:lineRule="auto"/>
        <w:rPr>
          <w:noProof/>
          <w:lang w:val="en-US"/>
        </w:rPr>
      </w:pPr>
      <w:r w:rsidRPr="00F930D1">
        <w:rPr>
          <w:noProof/>
          <w:lang w:val="en-US"/>
        </w:rPr>
        <w:t>12.</w:t>
      </w:r>
      <w:r w:rsidRPr="00F930D1">
        <w:rPr>
          <w:noProof/>
          <w:lang w:val="en-US"/>
        </w:rPr>
        <w:tab/>
        <w:t>Lain KY, Catalano PM. Metabolic changes in pregnancy. Clin Obstet Gynecol. 2007;50(4):938-48.</w:t>
      </w:r>
    </w:p>
    <w:p w14:paraId="78E9BAD0" w14:textId="77777777" w:rsidR="00474747" w:rsidRPr="00F930D1" w:rsidRDefault="00474747" w:rsidP="009F12FA">
      <w:pPr>
        <w:pStyle w:val="EndNoteBibliography"/>
        <w:spacing w:line="480" w:lineRule="auto"/>
        <w:rPr>
          <w:noProof/>
          <w:lang w:val="en-US"/>
        </w:rPr>
      </w:pPr>
      <w:r w:rsidRPr="00F930D1">
        <w:rPr>
          <w:noProof/>
          <w:lang w:val="en-US"/>
        </w:rPr>
        <w:t>13.</w:t>
      </w:r>
      <w:r w:rsidRPr="00F930D1">
        <w:rPr>
          <w:noProof/>
          <w:lang w:val="en-US"/>
        </w:rPr>
        <w:tab/>
        <w:t>Lowe LP, Metzger BE, Dyer AR, Lowe J, McCance DR, Lappin TR, et al. Hyperglycemia and Adverse Pregnancy Outcome (HAPO) Study: associations of maternal A1C and glucose with pregnancy outcomes. Diabetes Care. 2012;35(3):574-80.</w:t>
      </w:r>
    </w:p>
    <w:p w14:paraId="39B0BA05" w14:textId="77777777" w:rsidR="00474747" w:rsidRPr="00F930D1" w:rsidRDefault="00474747" w:rsidP="009F12FA">
      <w:pPr>
        <w:pStyle w:val="EndNoteBibliography"/>
        <w:spacing w:line="480" w:lineRule="auto"/>
        <w:rPr>
          <w:noProof/>
          <w:lang w:val="en-US"/>
        </w:rPr>
      </w:pPr>
      <w:r w:rsidRPr="00F930D1">
        <w:rPr>
          <w:noProof/>
          <w:lang w:val="en-US"/>
        </w:rPr>
        <w:t>14.</w:t>
      </w:r>
      <w:r w:rsidRPr="00F930D1">
        <w:rPr>
          <w:noProof/>
          <w:lang w:val="en-US"/>
        </w:rPr>
        <w:tab/>
        <w:t>Chen YE, Loy SL, Chen LW. Chrononutrition during Pregnancy and Its Association with Maternal and Offspring Outcomes: A Systematic Review and Meta-Analysis of Ramadan and Non-Ramadan Studies. Nutrients. 2023;15(3).</w:t>
      </w:r>
    </w:p>
    <w:p w14:paraId="4BDD206A" w14:textId="77777777" w:rsidR="00474747" w:rsidRPr="00F930D1" w:rsidRDefault="00474747" w:rsidP="009F12FA">
      <w:pPr>
        <w:pStyle w:val="EndNoteBibliography"/>
        <w:spacing w:line="480" w:lineRule="auto"/>
        <w:rPr>
          <w:noProof/>
          <w:lang w:val="en-US"/>
        </w:rPr>
      </w:pPr>
      <w:r w:rsidRPr="00F930D1">
        <w:rPr>
          <w:noProof/>
          <w:lang w:val="en-US"/>
        </w:rPr>
        <w:lastRenderedPageBreak/>
        <w:t>15.</w:t>
      </w:r>
      <w:r w:rsidRPr="00F930D1">
        <w:rPr>
          <w:noProof/>
          <w:lang w:val="en-US"/>
        </w:rPr>
        <w:tab/>
        <w:t>Loy SL, Cheung YB, Chong M, Muller-Riemenschneider F, Lek N, Lee YS, et al. Maternal night-eating pattern and glucose tolerance during pregnancy: study protocol for a longitudinal study. BMJ Open. 2019;9(10):e030036.</w:t>
      </w:r>
    </w:p>
    <w:p w14:paraId="7D317119" w14:textId="77777777" w:rsidR="00474747" w:rsidRPr="00F930D1" w:rsidRDefault="00474747" w:rsidP="009F12FA">
      <w:pPr>
        <w:pStyle w:val="EndNoteBibliography"/>
        <w:spacing w:line="480" w:lineRule="auto"/>
        <w:rPr>
          <w:noProof/>
          <w:lang w:val="en-US"/>
        </w:rPr>
      </w:pPr>
      <w:r w:rsidRPr="00F930D1">
        <w:rPr>
          <w:noProof/>
          <w:lang w:val="en-US"/>
        </w:rPr>
        <w:t>16.</w:t>
      </w:r>
      <w:r w:rsidRPr="00F930D1">
        <w:rPr>
          <w:noProof/>
          <w:lang w:val="en-US"/>
        </w:rPr>
        <w:tab/>
        <w:t>von Elm E, Altman DG, Egger M, Pocock SJ, Gotzsche PC, Vandenbroucke JP, et al. Strengthening the Reporting of Observational Studies in Epidemiology (STROBE) statement: guidelines for reporting observational studies. BMJ. 2007;335(7624):806-8.</w:t>
      </w:r>
    </w:p>
    <w:p w14:paraId="6CCCD02E" w14:textId="77777777" w:rsidR="00474747" w:rsidRPr="00F930D1" w:rsidRDefault="00474747" w:rsidP="009F12FA">
      <w:pPr>
        <w:pStyle w:val="EndNoteBibliography"/>
        <w:spacing w:line="480" w:lineRule="auto"/>
        <w:rPr>
          <w:noProof/>
          <w:lang w:val="en-US"/>
        </w:rPr>
      </w:pPr>
      <w:r w:rsidRPr="00F930D1">
        <w:rPr>
          <w:noProof/>
          <w:lang w:val="en-US"/>
        </w:rPr>
        <w:t>17.</w:t>
      </w:r>
      <w:r w:rsidRPr="00F930D1">
        <w:rPr>
          <w:noProof/>
          <w:lang w:val="en-US"/>
        </w:rPr>
        <w:tab/>
        <w:t>Galobardes B, Lynch J, Smith GD. Measuring socioeconomic position in health research. Br Med Bull. 2007;81-82:21-37.</w:t>
      </w:r>
    </w:p>
    <w:p w14:paraId="085B578C" w14:textId="77777777" w:rsidR="00474747" w:rsidRPr="00F930D1" w:rsidRDefault="00474747" w:rsidP="009F12FA">
      <w:pPr>
        <w:pStyle w:val="EndNoteBibliography"/>
        <w:spacing w:line="480" w:lineRule="auto"/>
        <w:rPr>
          <w:noProof/>
          <w:lang w:val="en-US"/>
        </w:rPr>
      </w:pPr>
      <w:r w:rsidRPr="00F930D1">
        <w:rPr>
          <w:noProof/>
          <w:lang w:val="en-US"/>
        </w:rPr>
        <w:t>18.</w:t>
      </w:r>
      <w:r w:rsidRPr="00F930D1">
        <w:rPr>
          <w:noProof/>
          <w:lang w:val="en-US"/>
        </w:rPr>
        <w:tab/>
        <w:t>Craig CL, Marshall AL, Sjostrom M, Bauman AE, Booth ML, Ainsworth BE, et al. International physical activity questionnaire: 12-country reliability and validity. Med Sci Sports Exerc. 2003;35(8):1381-95.</w:t>
      </w:r>
    </w:p>
    <w:p w14:paraId="333A3974" w14:textId="77777777" w:rsidR="00474747" w:rsidRPr="00F930D1" w:rsidRDefault="00474747" w:rsidP="009F12FA">
      <w:pPr>
        <w:pStyle w:val="EndNoteBibliography"/>
        <w:spacing w:line="480" w:lineRule="auto"/>
        <w:rPr>
          <w:noProof/>
          <w:lang w:val="en-US"/>
        </w:rPr>
      </w:pPr>
      <w:r w:rsidRPr="00F930D1">
        <w:rPr>
          <w:noProof/>
          <w:lang w:val="en-US"/>
        </w:rPr>
        <w:t>19.</w:t>
      </w:r>
      <w:r w:rsidRPr="00F930D1">
        <w:rPr>
          <w:noProof/>
          <w:lang w:val="en-US"/>
        </w:rPr>
        <w:tab/>
        <w:t>Loy SL, Cheung YB, Cai S, Colega MT, Godfrey KM, Chong YS, et al. Maternal night-time eating and sleep duration in relation to length of gestation and preterm birth. Clin Nutr. 2020;39(6):1935-42.</w:t>
      </w:r>
    </w:p>
    <w:p w14:paraId="5BBAD554" w14:textId="77777777" w:rsidR="00474747" w:rsidRPr="00F930D1" w:rsidRDefault="00474747" w:rsidP="009F12FA">
      <w:pPr>
        <w:pStyle w:val="EndNoteBibliography"/>
        <w:spacing w:line="480" w:lineRule="auto"/>
        <w:rPr>
          <w:noProof/>
          <w:lang w:val="en-US"/>
        </w:rPr>
      </w:pPr>
      <w:r w:rsidRPr="00F930D1">
        <w:rPr>
          <w:noProof/>
          <w:lang w:val="en-US"/>
        </w:rPr>
        <w:t>20.</w:t>
      </w:r>
      <w:r w:rsidRPr="00F930D1">
        <w:rPr>
          <w:noProof/>
          <w:lang w:val="en-US"/>
        </w:rPr>
        <w:tab/>
        <w:t>Cheng TS, Loy SL, Toh JY, Cheung YB, Chan JK, Godfrey KM, et al. Predominantly nighttime feeding and weight outcomes in infants. Am J Clin Nutr. 2016;104(2):380-8.</w:t>
      </w:r>
    </w:p>
    <w:p w14:paraId="2996EE94" w14:textId="77777777" w:rsidR="00474747" w:rsidRPr="00F930D1" w:rsidRDefault="00474747" w:rsidP="009F12FA">
      <w:pPr>
        <w:pStyle w:val="EndNoteBibliography"/>
        <w:spacing w:line="480" w:lineRule="auto"/>
        <w:rPr>
          <w:noProof/>
          <w:lang w:val="en-US"/>
        </w:rPr>
      </w:pPr>
      <w:r w:rsidRPr="00F930D1">
        <w:rPr>
          <w:noProof/>
          <w:lang w:val="en-US"/>
        </w:rPr>
        <w:t>21.</w:t>
      </w:r>
      <w:r w:rsidRPr="00F930D1">
        <w:rPr>
          <w:noProof/>
          <w:lang w:val="en-US"/>
        </w:rPr>
        <w:tab/>
        <w:t>Loy SL, Cheung YB, Colega MT, Chia A, Han CY, Godfrey KM, et al. Associations of Circadian Eating Pattern and Diet Quality with Substantial Postpartum Weight Retention. Nutrients. 2019;11(11).</w:t>
      </w:r>
    </w:p>
    <w:p w14:paraId="1E4B6F4C" w14:textId="77777777" w:rsidR="00474747" w:rsidRPr="00F930D1" w:rsidRDefault="00474747" w:rsidP="009F12FA">
      <w:pPr>
        <w:pStyle w:val="EndNoteBibliography"/>
        <w:spacing w:line="480" w:lineRule="auto"/>
        <w:rPr>
          <w:noProof/>
          <w:lang w:val="en-US"/>
        </w:rPr>
      </w:pPr>
      <w:r w:rsidRPr="00F930D1">
        <w:rPr>
          <w:noProof/>
          <w:lang w:val="en-US"/>
        </w:rPr>
        <w:t>22.</w:t>
      </w:r>
      <w:r w:rsidRPr="00F930D1">
        <w:rPr>
          <w:noProof/>
          <w:lang w:val="en-US"/>
        </w:rPr>
        <w:tab/>
        <w:t>Marcheva B, Ramsey KM, Peek CB, Affinati A, Maury E, Bass J. Circadian clocks and metabolism. Handb Exp Pharmacol. 2013(217):127-55.</w:t>
      </w:r>
    </w:p>
    <w:p w14:paraId="4EF96DAE" w14:textId="77777777" w:rsidR="00474747" w:rsidRPr="00F930D1" w:rsidRDefault="00474747" w:rsidP="009F12FA">
      <w:pPr>
        <w:pStyle w:val="EndNoteBibliography"/>
        <w:spacing w:line="480" w:lineRule="auto"/>
        <w:rPr>
          <w:noProof/>
          <w:lang w:val="en-US"/>
        </w:rPr>
      </w:pPr>
      <w:r w:rsidRPr="00F930D1">
        <w:rPr>
          <w:noProof/>
          <w:lang w:val="en-US"/>
        </w:rPr>
        <w:t>23.</w:t>
      </w:r>
      <w:r w:rsidRPr="00F930D1">
        <w:rPr>
          <w:noProof/>
          <w:lang w:val="en-US"/>
        </w:rPr>
        <w:tab/>
        <w:t>Wright KP, Jr., McHill AW, Birks BR, Griffin BR, Rusterholz T, Chinoy ED. Entrainment of the human circadian clock to the natural light-dark cycle. Curr Biol. 2013;23(16):1554-8.</w:t>
      </w:r>
    </w:p>
    <w:p w14:paraId="51F19975" w14:textId="77777777" w:rsidR="00474747" w:rsidRPr="00F930D1" w:rsidRDefault="00474747" w:rsidP="009F12FA">
      <w:pPr>
        <w:pStyle w:val="EndNoteBibliography"/>
        <w:spacing w:line="480" w:lineRule="auto"/>
        <w:rPr>
          <w:noProof/>
          <w:lang w:val="en-US"/>
        </w:rPr>
      </w:pPr>
      <w:r w:rsidRPr="00F930D1">
        <w:rPr>
          <w:noProof/>
          <w:lang w:val="en-US"/>
        </w:rPr>
        <w:lastRenderedPageBreak/>
        <w:t>24.</w:t>
      </w:r>
      <w:r w:rsidRPr="00F930D1">
        <w:rPr>
          <w:noProof/>
          <w:lang w:val="en-US"/>
        </w:rPr>
        <w:tab/>
        <w:t>International Association of Diabetes and Pregnancy Study Groups Consensus Panel, Metzger BE, Gabbe SG, Persson B, Buchanan TA, Catalano PA, et al. International association of diabetes and pregnancy study groups recommendations on the diagnosis and classification of hyperglycemia in pregnancy. Diabetes Care. 2010;33(3):676-82.</w:t>
      </w:r>
    </w:p>
    <w:p w14:paraId="3C98F0E6" w14:textId="77777777" w:rsidR="00474747" w:rsidRPr="00F930D1" w:rsidRDefault="00474747" w:rsidP="009F12FA">
      <w:pPr>
        <w:pStyle w:val="EndNoteBibliography"/>
        <w:spacing w:line="480" w:lineRule="auto"/>
        <w:rPr>
          <w:noProof/>
          <w:lang w:val="en-US"/>
        </w:rPr>
      </w:pPr>
      <w:r w:rsidRPr="00F930D1">
        <w:rPr>
          <w:noProof/>
          <w:lang w:val="en-US"/>
        </w:rPr>
        <w:t>25.</w:t>
      </w:r>
      <w:r w:rsidRPr="00F930D1">
        <w:rPr>
          <w:noProof/>
          <w:lang w:val="en-US"/>
        </w:rPr>
        <w:tab/>
        <w:t>Levy JC, Matthews DR, Hermans MP. Correct homeostasis model assessment (HOMA) evaluation uses the computer program. Diabetes Care. 1998;21(12):2191-2.</w:t>
      </w:r>
    </w:p>
    <w:p w14:paraId="525E87C3" w14:textId="77777777" w:rsidR="00474747" w:rsidRPr="00F930D1" w:rsidRDefault="00474747" w:rsidP="009F12FA">
      <w:pPr>
        <w:pStyle w:val="EndNoteBibliography"/>
        <w:spacing w:line="480" w:lineRule="auto"/>
        <w:rPr>
          <w:noProof/>
          <w:lang w:val="en-US"/>
        </w:rPr>
      </w:pPr>
      <w:r w:rsidRPr="00F930D1">
        <w:rPr>
          <w:noProof/>
          <w:lang w:val="en-US"/>
        </w:rPr>
        <w:t>26.</w:t>
      </w:r>
      <w:r w:rsidRPr="00F930D1">
        <w:rPr>
          <w:noProof/>
          <w:lang w:val="en-US"/>
        </w:rPr>
        <w:tab/>
        <w:t>Bergenstal RM, Beck RW, Close KL, Grunberger G, Sacks DB, Kowalski A, et al. Glucose Management Indicator (GMI): A New Term for Estimating A1C From Continuous Glucose Monitoring. Diabetes Care. 2018;41(11):2275-80.</w:t>
      </w:r>
    </w:p>
    <w:p w14:paraId="0F8B2660" w14:textId="77777777" w:rsidR="00474747" w:rsidRPr="00F930D1" w:rsidRDefault="00474747" w:rsidP="009F12FA">
      <w:pPr>
        <w:pStyle w:val="EndNoteBibliography"/>
        <w:spacing w:line="480" w:lineRule="auto"/>
        <w:rPr>
          <w:noProof/>
          <w:lang w:val="en-US"/>
        </w:rPr>
      </w:pPr>
      <w:r w:rsidRPr="00F930D1">
        <w:rPr>
          <w:noProof/>
          <w:lang w:val="en-US"/>
        </w:rPr>
        <w:t>27.</w:t>
      </w:r>
      <w:r w:rsidRPr="00F930D1">
        <w:rPr>
          <w:noProof/>
          <w:lang w:val="en-US"/>
        </w:rPr>
        <w:tab/>
        <w:t>Wojcicki JM. "J"-index. A new proposition of the assessment of current glucose control in diabetic patients. Horm Metab Res. 1995;27(1):41-2.</w:t>
      </w:r>
    </w:p>
    <w:p w14:paraId="684BDEE1" w14:textId="77777777" w:rsidR="00474747" w:rsidRPr="00F930D1" w:rsidRDefault="00474747" w:rsidP="009F12FA">
      <w:pPr>
        <w:pStyle w:val="EndNoteBibliography"/>
        <w:spacing w:line="480" w:lineRule="auto"/>
        <w:rPr>
          <w:noProof/>
          <w:lang w:val="en-US"/>
        </w:rPr>
      </w:pPr>
      <w:r w:rsidRPr="00F930D1">
        <w:rPr>
          <w:noProof/>
          <w:lang w:val="en-US"/>
        </w:rPr>
        <w:t>28.</w:t>
      </w:r>
      <w:r w:rsidRPr="00F930D1">
        <w:rPr>
          <w:noProof/>
          <w:lang w:val="en-US"/>
        </w:rPr>
        <w:tab/>
        <w:t>Gáborová M, Doničová V, Bačová I, Pallayová M, Bona M, Peregrim I, et al. Glycaemic Variability and Risk Factors of Pregnant Women with and without Gestational Diabetes Mellitus Measured by Continuous Glucose Monitoring. . Int J Environ Res Public Health. 2021;2021;18(7):3402. .</w:t>
      </w:r>
    </w:p>
    <w:p w14:paraId="41B24BCF" w14:textId="77777777" w:rsidR="00474747" w:rsidRPr="00F930D1" w:rsidRDefault="00474747" w:rsidP="009F12FA">
      <w:pPr>
        <w:pStyle w:val="EndNoteBibliography"/>
        <w:spacing w:line="480" w:lineRule="auto"/>
        <w:rPr>
          <w:noProof/>
          <w:lang w:val="en-US"/>
        </w:rPr>
      </w:pPr>
      <w:r w:rsidRPr="00F930D1">
        <w:rPr>
          <w:noProof/>
          <w:lang w:val="en-US"/>
        </w:rPr>
        <w:t>29.</w:t>
      </w:r>
      <w:r w:rsidRPr="00F930D1">
        <w:rPr>
          <w:noProof/>
          <w:lang w:val="en-US"/>
        </w:rPr>
        <w:tab/>
        <w:t>Moscardo V, Gimenez M, Oliver N, Hill NR. Updated Software for Automated Assessment of Glucose Variability and Quality of Glycemic Control in Diabetes. Diabetes Technol Ther. 2020;22(10):701-8.</w:t>
      </w:r>
    </w:p>
    <w:p w14:paraId="70131784" w14:textId="77777777" w:rsidR="00474747" w:rsidRPr="00F930D1" w:rsidRDefault="00474747" w:rsidP="009F12FA">
      <w:pPr>
        <w:pStyle w:val="EndNoteBibliography"/>
        <w:spacing w:line="480" w:lineRule="auto"/>
        <w:rPr>
          <w:noProof/>
          <w:lang w:val="en-US"/>
        </w:rPr>
      </w:pPr>
      <w:r w:rsidRPr="00F930D1">
        <w:rPr>
          <w:noProof/>
          <w:lang w:val="en-US"/>
        </w:rPr>
        <w:t>30.</w:t>
      </w:r>
      <w:r w:rsidRPr="00F930D1">
        <w:rPr>
          <w:noProof/>
          <w:lang w:val="en-US"/>
        </w:rPr>
        <w:tab/>
        <w:t>Faulds ER, Dungan KM, McNett M. Implementation of Continuous Glucose Monitoring in Critical Care: A Scoping Review. Curr Diab Rep. 2023;23(6):69-87.</w:t>
      </w:r>
    </w:p>
    <w:p w14:paraId="277A228F" w14:textId="77777777" w:rsidR="00474747" w:rsidRPr="00F930D1" w:rsidRDefault="00474747" w:rsidP="009F12FA">
      <w:pPr>
        <w:pStyle w:val="EndNoteBibliography"/>
        <w:spacing w:line="480" w:lineRule="auto"/>
        <w:rPr>
          <w:noProof/>
          <w:lang w:val="en-US"/>
        </w:rPr>
      </w:pPr>
      <w:r w:rsidRPr="00F930D1">
        <w:rPr>
          <w:noProof/>
          <w:lang w:val="en-US"/>
        </w:rPr>
        <w:t>31.</w:t>
      </w:r>
      <w:r w:rsidRPr="00F930D1">
        <w:rPr>
          <w:noProof/>
          <w:lang w:val="en-US"/>
        </w:rPr>
        <w:tab/>
        <w:t>Barrett-Connor E, Schrott HG, Greendale G, Kritz-Silverstein D, Espeland MA, Stern MP, et al. Factors associated with glucose and insulin levels in healthy postmenopausal women. Diabetes Care. 1996;19(4):333-40.</w:t>
      </w:r>
    </w:p>
    <w:p w14:paraId="138C8851" w14:textId="77777777" w:rsidR="00474747" w:rsidRPr="00F930D1" w:rsidRDefault="00474747" w:rsidP="009F12FA">
      <w:pPr>
        <w:pStyle w:val="EndNoteBibliography"/>
        <w:spacing w:line="480" w:lineRule="auto"/>
        <w:rPr>
          <w:noProof/>
          <w:lang w:val="en-US"/>
        </w:rPr>
      </w:pPr>
      <w:r w:rsidRPr="00F930D1">
        <w:rPr>
          <w:noProof/>
          <w:lang w:val="en-US"/>
        </w:rPr>
        <w:t>32.</w:t>
      </w:r>
      <w:r w:rsidRPr="00F930D1">
        <w:rPr>
          <w:noProof/>
          <w:lang w:val="en-US"/>
        </w:rPr>
        <w:tab/>
        <w:t>Zhu S, Surampudi P, Field NT, M. C. Meal Timing and Glycemic Control during Pregnancy—Is There a Link? Nutrients. 2021;2021;13(10):3379.</w:t>
      </w:r>
    </w:p>
    <w:p w14:paraId="11564007" w14:textId="77777777" w:rsidR="00474747" w:rsidRPr="00F930D1" w:rsidRDefault="00474747" w:rsidP="009F12FA">
      <w:pPr>
        <w:pStyle w:val="EndNoteBibliography"/>
        <w:spacing w:line="480" w:lineRule="auto"/>
        <w:rPr>
          <w:noProof/>
          <w:lang w:val="en-US"/>
        </w:rPr>
      </w:pPr>
      <w:r w:rsidRPr="00F930D1">
        <w:rPr>
          <w:noProof/>
          <w:lang w:val="en-US"/>
        </w:rPr>
        <w:lastRenderedPageBreak/>
        <w:t>33.</w:t>
      </w:r>
      <w:r w:rsidRPr="00F930D1">
        <w:rPr>
          <w:noProof/>
          <w:lang w:val="en-US"/>
        </w:rPr>
        <w:tab/>
        <w:t>VanderWeele TJ, Shpitser I. A new criterion for confounder selection. Biometrics. 2011;67(4):1406-13.</w:t>
      </w:r>
    </w:p>
    <w:p w14:paraId="34E313A7" w14:textId="77777777" w:rsidR="00474747" w:rsidRPr="00F930D1" w:rsidRDefault="00474747" w:rsidP="009F12FA">
      <w:pPr>
        <w:pStyle w:val="EndNoteBibliography"/>
        <w:spacing w:line="480" w:lineRule="auto"/>
        <w:rPr>
          <w:noProof/>
          <w:lang w:val="en-US"/>
        </w:rPr>
      </w:pPr>
      <w:r w:rsidRPr="00F930D1">
        <w:rPr>
          <w:noProof/>
          <w:lang w:val="en-US"/>
        </w:rPr>
        <w:t>34.</w:t>
      </w:r>
      <w:r w:rsidRPr="00F930D1">
        <w:rPr>
          <w:noProof/>
          <w:lang w:val="en-US"/>
        </w:rPr>
        <w:tab/>
        <w:t>Loo RSX, Yap F, Ku CW, Cheung YB, Tan KH, Chan JKY, et al. Maternal meal irregularities during pregnancy and lifestyle correlates. Appetite. 2022;168:105747.</w:t>
      </w:r>
    </w:p>
    <w:p w14:paraId="0675AF9C" w14:textId="77777777" w:rsidR="00474747" w:rsidRPr="00F930D1" w:rsidRDefault="00474747" w:rsidP="009F12FA">
      <w:pPr>
        <w:pStyle w:val="EndNoteBibliography"/>
        <w:spacing w:line="480" w:lineRule="auto"/>
        <w:rPr>
          <w:noProof/>
          <w:lang w:val="en-US"/>
        </w:rPr>
      </w:pPr>
      <w:r w:rsidRPr="00F930D1">
        <w:rPr>
          <w:noProof/>
          <w:lang w:val="en-US"/>
        </w:rPr>
        <w:t>35.</w:t>
      </w:r>
      <w:r w:rsidRPr="00F930D1">
        <w:rPr>
          <w:noProof/>
          <w:lang w:val="en-US"/>
        </w:rPr>
        <w:tab/>
        <w:t>Loy SL, Chan JK, Wee PH, Colega MT, Cheung YB, Godfrey KM, et al. Maternal Circadian Eating Time and Frequency Are Associated with Blood Glucose Concentrations during Pregnancy. J Nutr. 2017;147(1):70-7.</w:t>
      </w:r>
    </w:p>
    <w:p w14:paraId="6BDEA127" w14:textId="77777777" w:rsidR="00474747" w:rsidRPr="00F930D1" w:rsidRDefault="00474747" w:rsidP="009F12FA">
      <w:pPr>
        <w:pStyle w:val="EndNoteBibliography"/>
        <w:spacing w:line="480" w:lineRule="auto"/>
        <w:rPr>
          <w:noProof/>
          <w:lang w:val="en-US"/>
        </w:rPr>
      </w:pPr>
      <w:r w:rsidRPr="00F930D1">
        <w:rPr>
          <w:noProof/>
          <w:lang w:val="en-US"/>
        </w:rPr>
        <w:t>36.</w:t>
      </w:r>
      <w:r w:rsidRPr="00F930D1">
        <w:rPr>
          <w:noProof/>
          <w:lang w:val="en-US"/>
        </w:rPr>
        <w:tab/>
        <w:t>Wallace TM, Levy JC, Matthews DR. Use and abuse of HOMA modeling. Diabetes Care. 2004;27(6):1487-95.</w:t>
      </w:r>
    </w:p>
    <w:p w14:paraId="56D938D2" w14:textId="77777777" w:rsidR="00474747" w:rsidRPr="00F930D1" w:rsidRDefault="00474747" w:rsidP="009F12FA">
      <w:pPr>
        <w:pStyle w:val="EndNoteBibliography"/>
        <w:spacing w:line="480" w:lineRule="auto"/>
        <w:rPr>
          <w:noProof/>
          <w:lang w:val="en-US"/>
        </w:rPr>
      </w:pPr>
      <w:r w:rsidRPr="00F930D1">
        <w:rPr>
          <w:noProof/>
          <w:lang w:val="en-US"/>
        </w:rPr>
        <w:t>37.</w:t>
      </w:r>
      <w:r w:rsidRPr="00F930D1">
        <w:rPr>
          <w:noProof/>
          <w:lang w:val="en-US"/>
        </w:rPr>
        <w:tab/>
        <w:t>Zhang S, Mwiberi S, Pickford R, Breitner S, Huth C, Koenig W, et al. Longitudinal associations between ambient air pollution and insulin sensitivity: results from the KORA cohort study. The Lancet Planetary Health. 2021;5(1):e39-e49.</w:t>
      </w:r>
    </w:p>
    <w:p w14:paraId="6665C074" w14:textId="77777777" w:rsidR="00474747" w:rsidRPr="00F930D1" w:rsidRDefault="00474747" w:rsidP="009F12FA">
      <w:pPr>
        <w:pStyle w:val="EndNoteBibliography"/>
        <w:spacing w:line="480" w:lineRule="auto"/>
        <w:rPr>
          <w:noProof/>
          <w:lang w:val="en-US"/>
        </w:rPr>
      </w:pPr>
      <w:r w:rsidRPr="00F930D1">
        <w:rPr>
          <w:noProof/>
          <w:lang w:val="en-US"/>
        </w:rPr>
        <w:t>38.</w:t>
      </w:r>
      <w:r w:rsidRPr="00F930D1">
        <w:rPr>
          <w:noProof/>
          <w:lang w:val="en-US"/>
        </w:rPr>
        <w:tab/>
        <w:t>Loy SL, Loo RSX, Godfrey KM, Chong YS, Shek LP, Tan KH, et al. Chrononutrition during Pregnancy: A Review on Maternal Night-Time Eating. Nutrients. 2020;12(9).</w:t>
      </w:r>
    </w:p>
    <w:p w14:paraId="68951F1E" w14:textId="77777777" w:rsidR="00474747" w:rsidRPr="00F930D1" w:rsidRDefault="00474747" w:rsidP="009F12FA">
      <w:pPr>
        <w:pStyle w:val="EndNoteBibliography"/>
        <w:spacing w:line="480" w:lineRule="auto"/>
        <w:rPr>
          <w:noProof/>
          <w:lang w:val="en-US"/>
        </w:rPr>
      </w:pPr>
      <w:r w:rsidRPr="00F930D1">
        <w:rPr>
          <w:noProof/>
          <w:lang w:val="en-US"/>
        </w:rPr>
        <w:t>39.</w:t>
      </w:r>
      <w:r w:rsidRPr="00F930D1">
        <w:rPr>
          <w:noProof/>
          <w:lang w:val="en-US"/>
        </w:rPr>
        <w:tab/>
        <w:t>WHO Expert Consultation. Appropriate body-mass index for Asian populations and its implications for policy and intervention strategies. Lancet. 2004;363(9403):157-63.</w:t>
      </w:r>
    </w:p>
    <w:p w14:paraId="3BD7C134" w14:textId="77777777" w:rsidR="00474747" w:rsidRPr="00F930D1" w:rsidRDefault="00474747" w:rsidP="009F12FA">
      <w:pPr>
        <w:pStyle w:val="EndNoteBibliography"/>
        <w:spacing w:line="480" w:lineRule="auto"/>
        <w:rPr>
          <w:noProof/>
          <w:lang w:val="en-US"/>
        </w:rPr>
      </w:pPr>
      <w:r w:rsidRPr="00F930D1">
        <w:rPr>
          <w:noProof/>
          <w:lang w:val="en-US"/>
        </w:rPr>
        <w:t>40.</w:t>
      </w:r>
      <w:r w:rsidRPr="00F930D1">
        <w:rPr>
          <w:noProof/>
          <w:lang w:val="en-US"/>
        </w:rPr>
        <w:tab/>
        <w:t>Battelino T, Danne T, Bergenstal RM, Amiel SA, Beck R, Biester T, et al. Clinical Targets for Continuous Glucose Monitoring Data Interpretation: Recommendations From the International Consensus on Time in Range. Diabetes Care. 2019;42(8):1593-603.</w:t>
      </w:r>
    </w:p>
    <w:p w14:paraId="5F1BB2AB" w14:textId="77777777" w:rsidR="00474747" w:rsidRPr="00F930D1" w:rsidRDefault="00474747" w:rsidP="009F12FA">
      <w:pPr>
        <w:pStyle w:val="EndNoteBibliography"/>
        <w:spacing w:line="480" w:lineRule="auto"/>
        <w:rPr>
          <w:noProof/>
          <w:lang w:val="en-US"/>
        </w:rPr>
      </w:pPr>
      <w:r w:rsidRPr="00F930D1">
        <w:rPr>
          <w:noProof/>
          <w:lang w:val="en-US"/>
        </w:rPr>
        <w:t>41.</w:t>
      </w:r>
      <w:r w:rsidRPr="00F930D1">
        <w:rPr>
          <w:noProof/>
          <w:lang w:val="en-US"/>
        </w:rPr>
        <w:tab/>
        <w:t>Gontijo CA, Balieiro LCT, Teixeira GP, Fahmy WM, Crispim CA, Maia YCdP. Higher energy intake at night effects daily energy distribution and contributes to excessive weight gain during pregnancy. Nutrition. 2020;74:110756.</w:t>
      </w:r>
    </w:p>
    <w:p w14:paraId="44A22E9A" w14:textId="77777777" w:rsidR="00474747" w:rsidRPr="00F930D1" w:rsidRDefault="00474747" w:rsidP="009F12FA">
      <w:pPr>
        <w:pStyle w:val="EndNoteBibliography"/>
        <w:spacing w:line="480" w:lineRule="auto"/>
        <w:rPr>
          <w:noProof/>
          <w:lang w:val="en-US"/>
        </w:rPr>
      </w:pPr>
      <w:r w:rsidRPr="00F930D1">
        <w:rPr>
          <w:noProof/>
          <w:lang w:val="en-US"/>
        </w:rPr>
        <w:t>42.</w:t>
      </w:r>
      <w:r w:rsidRPr="00F930D1">
        <w:rPr>
          <w:noProof/>
          <w:lang w:val="en-US"/>
        </w:rPr>
        <w:tab/>
        <w:t>Kroeger EN, Carson TL, Baskin ML, Langaigne A, Schneider CR, Bertrand B, et al. Reasons for Late-Night Eating and Willingness to Change:A Qualitative Study in Pregnant Black Women. J Nutr Educ Behav. 2019;51(5):598-607.</w:t>
      </w:r>
    </w:p>
    <w:p w14:paraId="1CE293AD" w14:textId="77777777" w:rsidR="00474747" w:rsidRPr="00F930D1" w:rsidRDefault="00474747" w:rsidP="009F12FA">
      <w:pPr>
        <w:pStyle w:val="EndNoteBibliography"/>
        <w:spacing w:line="480" w:lineRule="auto"/>
        <w:rPr>
          <w:noProof/>
          <w:lang w:val="en-US"/>
        </w:rPr>
      </w:pPr>
      <w:r w:rsidRPr="00F930D1">
        <w:rPr>
          <w:noProof/>
          <w:lang w:val="en-US"/>
        </w:rPr>
        <w:lastRenderedPageBreak/>
        <w:t>43.</w:t>
      </w:r>
      <w:r w:rsidRPr="00F930D1">
        <w:rPr>
          <w:noProof/>
          <w:lang w:val="en-US"/>
        </w:rPr>
        <w:tab/>
        <w:t>Law GR, Alnaji A, Alrefaii L, Endersby D, Cartland SJ, Gilbey SG, et al. Suboptimal Nocturnal Glucose Control Is Associated With Large for Gestational Age in Treated Gestational Diabetes Mellitus. Diabetes Care. 2019;42(5):810-5.</w:t>
      </w:r>
    </w:p>
    <w:p w14:paraId="3B48237F" w14:textId="77777777" w:rsidR="00474747" w:rsidRPr="00F930D1" w:rsidRDefault="00474747" w:rsidP="009F12FA">
      <w:pPr>
        <w:pStyle w:val="EndNoteBibliography"/>
        <w:spacing w:line="480" w:lineRule="auto"/>
        <w:rPr>
          <w:noProof/>
          <w:lang w:val="en-US"/>
        </w:rPr>
      </w:pPr>
      <w:r w:rsidRPr="00F930D1">
        <w:rPr>
          <w:noProof/>
          <w:lang w:val="en-US"/>
        </w:rPr>
        <w:t>44.</w:t>
      </w:r>
      <w:r w:rsidRPr="00F930D1">
        <w:rPr>
          <w:noProof/>
          <w:lang w:val="en-US"/>
        </w:rPr>
        <w:tab/>
        <w:t>Weir GC, Bonner-Weir S. Five stages of evolving beta-cell dysfunction during progression to diabetes. Diabetes. 2004;53 Suppl 3:S16-21.</w:t>
      </w:r>
    </w:p>
    <w:p w14:paraId="59869C32" w14:textId="77777777" w:rsidR="00474747" w:rsidRPr="00F930D1" w:rsidRDefault="00474747" w:rsidP="009F12FA">
      <w:pPr>
        <w:pStyle w:val="EndNoteBibliography"/>
        <w:spacing w:line="480" w:lineRule="auto"/>
        <w:rPr>
          <w:noProof/>
          <w:lang w:val="en-US"/>
        </w:rPr>
      </w:pPr>
      <w:r w:rsidRPr="00F930D1">
        <w:rPr>
          <w:noProof/>
          <w:lang w:val="en-US"/>
        </w:rPr>
        <w:t>45.</w:t>
      </w:r>
      <w:r w:rsidRPr="00F930D1">
        <w:rPr>
          <w:noProof/>
          <w:lang w:val="en-US"/>
        </w:rPr>
        <w:tab/>
        <w:t>Fan B, Wu H, Shi M, Yang A, Lau ESH, Tam CHT, et al. Associations of the HOMA2-%B and HOMA2-IR with progression to diabetes and glycaemic deterioration in young and middle-aged Chinese. Diabetes Metab Res Rev. 2022;38(5):e3525.</w:t>
      </w:r>
    </w:p>
    <w:p w14:paraId="1C231AEF" w14:textId="77777777" w:rsidR="00474747" w:rsidRPr="00F930D1" w:rsidRDefault="00474747" w:rsidP="009F12FA">
      <w:pPr>
        <w:pStyle w:val="EndNoteBibliography"/>
        <w:spacing w:line="480" w:lineRule="auto"/>
        <w:rPr>
          <w:noProof/>
          <w:lang w:val="en-US"/>
        </w:rPr>
      </w:pPr>
      <w:r w:rsidRPr="00F930D1">
        <w:rPr>
          <w:noProof/>
          <w:lang w:val="en-US"/>
        </w:rPr>
        <w:t>46.</w:t>
      </w:r>
      <w:r w:rsidRPr="00F930D1">
        <w:rPr>
          <w:noProof/>
          <w:lang w:val="en-US"/>
        </w:rPr>
        <w:tab/>
        <w:t>Lopez-Minguez J, Saxena R, Bandin C, Scheer FA, Garaulet M. Late dinner impairs glucose tolerance in MTNR1B risk allele carriers: A randomized, cross-over study. Clin Nutr. 2018;37(4):1133-40.</w:t>
      </w:r>
    </w:p>
    <w:p w14:paraId="09CD0477" w14:textId="77777777" w:rsidR="00474747" w:rsidRPr="00F930D1" w:rsidRDefault="00474747" w:rsidP="009F12FA">
      <w:pPr>
        <w:pStyle w:val="EndNoteBibliography"/>
        <w:spacing w:line="480" w:lineRule="auto"/>
        <w:rPr>
          <w:noProof/>
          <w:lang w:val="en-US"/>
        </w:rPr>
      </w:pPr>
      <w:r w:rsidRPr="00F930D1">
        <w:rPr>
          <w:noProof/>
          <w:lang w:val="en-US"/>
        </w:rPr>
        <w:t>47.</w:t>
      </w:r>
      <w:r w:rsidRPr="00F930D1">
        <w:rPr>
          <w:noProof/>
          <w:lang w:val="en-US"/>
        </w:rPr>
        <w:tab/>
        <w:t>Garaulet M, Lopez-Minguez J, Dashti HS, Vetter C, Hernández-Martínez AM, Pérez-Ayala M, et al. Interplay of Dinner Timing and MTNR1B Type 2 Diabetes Risk Variant on Glucose Tolerance and Insulin Secretion: A Randomized Crossover Trial. Diabetes Care. 2022;45(3):512-9.</w:t>
      </w:r>
    </w:p>
    <w:p w14:paraId="3468696E" w14:textId="11BBE9CA" w:rsidR="00CF4677" w:rsidRPr="00F930D1" w:rsidRDefault="00474747" w:rsidP="000174CB">
      <w:pPr>
        <w:pStyle w:val="EndNoteBibliography"/>
        <w:spacing w:line="480" w:lineRule="auto"/>
        <w:rPr>
          <w:noProof/>
          <w:lang w:val="en-US"/>
        </w:rPr>
      </w:pPr>
      <w:r w:rsidRPr="00F930D1">
        <w:rPr>
          <w:noProof/>
          <w:lang w:val="en-US"/>
        </w:rPr>
        <w:t>48.</w:t>
      </w:r>
      <w:r w:rsidRPr="00F930D1">
        <w:rPr>
          <w:noProof/>
          <w:lang w:val="en-US"/>
        </w:rPr>
        <w:tab/>
        <w:t>Chi C, Loy SL, Chan SY, Choong C, Cai S, Soh SE, et al. Impact of adopting the 2013 World Health Organization criteria for diagnosis of gestational diabetes in a multi-ethnic Asian cohort: a prospective study. BMC Pregnancy Childbirth. 2018;2018 Mar 21;18(1):69.</w:t>
      </w:r>
    </w:p>
    <w:p w14:paraId="2CA4521B" w14:textId="77777777" w:rsidR="007A36C2" w:rsidRPr="00F930D1" w:rsidRDefault="007A36C2">
      <w:pPr>
        <w:rPr>
          <w:b/>
          <w:bCs/>
          <w:lang w:val="en-US"/>
        </w:rPr>
      </w:pPr>
      <w:r w:rsidRPr="00F930D1">
        <w:rPr>
          <w:b/>
          <w:bCs/>
          <w:lang w:val="en-US"/>
        </w:rPr>
        <w:br w:type="page"/>
      </w:r>
    </w:p>
    <w:p w14:paraId="1645433A" w14:textId="2FC8279C" w:rsidR="007A36C2" w:rsidRPr="007A36C2" w:rsidRDefault="007A36C2" w:rsidP="007A36C2">
      <w:pPr>
        <w:autoSpaceDE w:val="0"/>
        <w:autoSpaceDN w:val="0"/>
        <w:adjustRightInd w:val="0"/>
        <w:spacing w:line="480" w:lineRule="auto"/>
        <w:rPr>
          <w:rFonts w:eastAsiaTheme="minorEastAsia"/>
          <w:lang w:val="en-US"/>
        </w:rPr>
      </w:pPr>
      <w:r w:rsidRPr="00F930D1">
        <w:rPr>
          <w:b/>
          <w:bCs/>
          <w:lang w:val="en-US"/>
        </w:rPr>
        <w:lastRenderedPageBreak/>
        <w:t>Figure 1</w:t>
      </w:r>
      <w:r w:rsidRPr="00F930D1">
        <w:rPr>
          <w:lang w:val="en-US"/>
        </w:rPr>
        <w:t xml:space="preserve"> The predicted 24-hour interstitial glucose levels from generalized estimating equations among</w:t>
      </w:r>
      <w:r w:rsidRPr="00F930D1">
        <w:rPr>
          <w:rFonts w:eastAsiaTheme="minorEastAsia"/>
          <w:lang w:val="en-US"/>
        </w:rPr>
        <w:t xml:space="preserve"> predominantly day-eating and predominantly night-eating pregnant women, adjusted for age, ethnicity, education, pre-pregnancy body mass index, total daily energy intake, bedtime, irregular meal, physical activity, percentage of energy from night-time protein intake, and percentage of energy from night-time fat intake. The circle markers and capped vertical lines represent the predicted mean glucose levels and the respective 95% confidence intervals. Geometric mean ratio 1.10 (95% confidence interval 1.02, 1.19)</w:t>
      </w:r>
      <w:r w:rsidRPr="00F930D1">
        <w:rPr>
          <w:lang w:val="en-US"/>
        </w:rPr>
        <w:t>, equivalent to 0.52 mmol/L glucose.</w:t>
      </w:r>
    </w:p>
    <w:sectPr w:rsidR="007A36C2" w:rsidRPr="007A36C2" w:rsidSect="00933B7F">
      <w:footerReference w:type="default" r:id="rId7"/>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A04F3" w14:textId="77777777" w:rsidR="002F4FE9" w:rsidRDefault="002F4FE9" w:rsidP="00797208">
      <w:r>
        <w:separator/>
      </w:r>
    </w:p>
  </w:endnote>
  <w:endnote w:type="continuationSeparator" w:id="0">
    <w:p w14:paraId="50250A82" w14:textId="77777777" w:rsidR="002F4FE9" w:rsidRDefault="002F4FE9" w:rsidP="0079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313608"/>
      <w:docPartObj>
        <w:docPartGallery w:val="Page Numbers (Bottom of Page)"/>
        <w:docPartUnique/>
      </w:docPartObj>
    </w:sdtPr>
    <w:sdtEndPr>
      <w:rPr>
        <w:noProof/>
      </w:rPr>
    </w:sdtEndPr>
    <w:sdtContent>
      <w:p w14:paraId="5820C9C3" w14:textId="18493CD7" w:rsidR="00797208" w:rsidRDefault="007972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9511CE" w14:textId="77777777" w:rsidR="00797208" w:rsidRDefault="00797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83C35" w14:textId="77777777" w:rsidR="002F4FE9" w:rsidRDefault="002F4FE9" w:rsidP="00797208">
      <w:r>
        <w:separator/>
      </w:r>
    </w:p>
  </w:footnote>
  <w:footnote w:type="continuationSeparator" w:id="0">
    <w:p w14:paraId="3BC6A1A4" w14:textId="77777777" w:rsidR="002F4FE9" w:rsidRDefault="002F4FE9" w:rsidP="00797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474747"/>
    <w:rsid w:val="00001F89"/>
    <w:rsid w:val="00003685"/>
    <w:rsid w:val="00010B45"/>
    <w:rsid w:val="000174CB"/>
    <w:rsid w:val="0007397E"/>
    <w:rsid w:val="00083B82"/>
    <w:rsid w:val="00094A5A"/>
    <w:rsid w:val="000B0E27"/>
    <w:rsid w:val="001010F5"/>
    <w:rsid w:val="00114EB9"/>
    <w:rsid w:val="00175970"/>
    <w:rsid w:val="00196528"/>
    <w:rsid w:val="001A3BAC"/>
    <w:rsid w:val="001D3FEC"/>
    <w:rsid w:val="001F3AFE"/>
    <w:rsid w:val="001F3CBF"/>
    <w:rsid w:val="00216FED"/>
    <w:rsid w:val="00251A37"/>
    <w:rsid w:val="00264FFA"/>
    <w:rsid w:val="002A0781"/>
    <w:rsid w:val="002B7E47"/>
    <w:rsid w:val="002E67FF"/>
    <w:rsid w:val="002F4FE9"/>
    <w:rsid w:val="0039729C"/>
    <w:rsid w:val="003C45BE"/>
    <w:rsid w:val="003D0E68"/>
    <w:rsid w:val="003D257E"/>
    <w:rsid w:val="003E14FB"/>
    <w:rsid w:val="004150E9"/>
    <w:rsid w:val="0045265C"/>
    <w:rsid w:val="0045737F"/>
    <w:rsid w:val="00474747"/>
    <w:rsid w:val="004764C3"/>
    <w:rsid w:val="004842F0"/>
    <w:rsid w:val="004B0D90"/>
    <w:rsid w:val="004B281F"/>
    <w:rsid w:val="004D5299"/>
    <w:rsid w:val="004F4C35"/>
    <w:rsid w:val="00500B77"/>
    <w:rsid w:val="00500CC2"/>
    <w:rsid w:val="00524465"/>
    <w:rsid w:val="005341A2"/>
    <w:rsid w:val="005C4780"/>
    <w:rsid w:val="005C69D5"/>
    <w:rsid w:val="006230FE"/>
    <w:rsid w:val="00630222"/>
    <w:rsid w:val="0063471A"/>
    <w:rsid w:val="006865F0"/>
    <w:rsid w:val="00687163"/>
    <w:rsid w:val="006A4CCA"/>
    <w:rsid w:val="00702D24"/>
    <w:rsid w:val="0070524B"/>
    <w:rsid w:val="00743044"/>
    <w:rsid w:val="00747505"/>
    <w:rsid w:val="0076183B"/>
    <w:rsid w:val="007658C7"/>
    <w:rsid w:val="007810D6"/>
    <w:rsid w:val="00792F71"/>
    <w:rsid w:val="00797208"/>
    <w:rsid w:val="007A1291"/>
    <w:rsid w:val="007A36C2"/>
    <w:rsid w:val="007F4AEA"/>
    <w:rsid w:val="00802E02"/>
    <w:rsid w:val="00811D06"/>
    <w:rsid w:val="00814192"/>
    <w:rsid w:val="008176A2"/>
    <w:rsid w:val="0083223F"/>
    <w:rsid w:val="00854DF5"/>
    <w:rsid w:val="00863A9E"/>
    <w:rsid w:val="008739A7"/>
    <w:rsid w:val="00894A92"/>
    <w:rsid w:val="008B65DA"/>
    <w:rsid w:val="008F1241"/>
    <w:rsid w:val="00922CBF"/>
    <w:rsid w:val="00933B7F"/>
    <w:rsid w:val="00954406"/>
    <w:rsid w:val="00972E86"/>
    <w:rsid w:val="00980DB8"/>
    <w:rsid w:val="009940AF"/>
    <w:rsid w:val="009C50C8"/>
    <w:rsid w:val="009D1FF4"/>
    <w:rsid w:val="009D4226"/>
    <w:rsid w:val="009E5233"/>
    <w:rsid w:val="00A07353"/>
    <w:rsid w:val="00AA4070"/>
    <w:rsid w:val="00AB744C"/>
    <w:rsid w:val="00AE28CA"/>
    <w:rsid w:val="00AE7405"/>
    <w:rsid w:val="00B26E65"/>
    <w:rsid w:val="00B67ABE"/>
    <w:rsid w:val="00BB418B"/>
    <w:rsid w:val="00BB64F3"/>
    <w:rsid w:val="00BC53E8"/>
    <w:rsid w:val="00BD0CD6"/>
    <w:rsid w:val="00BF23C2"/>
    <w:rsid w:val="00C03E53"/>
    <w:rsid w:val="00C07FED"/>
    <w:rsid w:val="00C27F71"/>
    <w:rsid w:val="00C65EE8"/>
    <w:rsid w:val="00C77324"/>
    <w:rsid w:val="00CA4408"/>
    <w:rsid w:val="00CA7B1D"/>
    <w:rsid w:val="00CC01A6"/>
    <w:rsid w:val="00CC095F"/>
    <w:rsid w:val="00CC0E33"/>
    <w:rsid w:val="00CF4677"/>
    <w:rsid w:val="00D456A3"/>
    <w:rsid w:val="00D84357"/>
    <w:rsid w:val="00DA0B96"/>
    <w:rsid w:val="00E32396"/>
    <w:rsid w:val="00E4502B"/>
    <w:rsid w:val="00E93767"/>
    <w:rsid w:val="00E96B12"/>
    <w:rsid w:val="00EA5313"/>
    <w:rsid w:val="00EC1132"/>
    <w:rsid w:val="00ED24DB"/>
    <w:rsid w:val="00ED48A1"/>
    <w:rsid w:val="00EE3BDC"/>
    <w:rsid w:val="00EF27D0"/>
    <w:rsid w:val="00F71E19"/>
    <w:rsid w:val="00F930D1"/>
    <w:rsid w:val="00F958BB"/>
    <w:rsid w:val="00F95FFD"/>
    <w:rsid w:val="00F963D2"/>
    <w:rsid w:val="00FA318A"/>
    <w:rsid w:val="00FB063A"/>
    <w:rsid w:val="00FC6E46"/>
    <w:rsid w:val="00FE177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86BC"/>
  <w15:chartTrackingRefBased/>
  <w15:docId w15:val="{AE0C7562-D680-1943-9A1B-3F6F0215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SG"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747"/>
    <w:rPr>
      <w:rFonts w:ascii="Times New Roman" w:eastAsia="Times New Roman" w:hAnsi="Times New Roman" w:cs="Times New Roman"/>
      <w:kern w:val="0"/>
      <w14:ligatures w14:val="none"/>
    </w:rPr>
  </w:style>
  <w:style w:type="paragraph" w:styleId="Heading3">
    <w:name w:val="heading 3"/>
    <w:basedOn w:val="Normal"/>
    <w:link w:val="Heading3Char"/>
    <w:uiPriority w:val="9"/>
    <w:qFormat/>
    <w:rsid w:val="0047474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74747"/>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unhideWhenUsed/>
    <w:rsid w:val="00474747"/>
    <w:rPr>
      <w:color w:val="0563C1" w:themeColor="hyperlink"/>
      <w:u w:val="single"/>
    </w:rPr>
  </w:style>
  <w:style w:type="paragraph" w:customStyle="1" w:styleId="EndNoteBibliographyTitle">
    <w:name w:val="EndNote Bibliography Title"/>
    <w:basedOn w:val="Normal"/>
    <w:link w:val="EndNoteBibliographyTitleChar"/>
    <w:rsid w:val="00474747"/>
    <w:pPr>
      <w:jc w:val="center"/>
    </w:pPr>
  </w:style>
  <w:style w:type="character" w:customStyle="1" w:styleId="EndNoteBibliographyTitleChar">
    <w:name w:val="EndNote Bibliography Title Char"/>
    <w:basedOn w:val="DefaultParagraphFont"/>
    <w:link w:val="EndNoteBibliographyTitle"/>
    <w:rsid w:val="00474747"/>
    <w:rPr>
      <w:rFonts w:ascii="Times New Roman" w:eastAsia="Times New Roman" w:hAnsi="Times New Roman" w:cs="Times New Roman"/>
      <w:kern w:val="0"/>
      <w14:ligatures w14:val="none"/>
    </w:rPr>
  </w:style>
  <w:style w:type="paragraph" w:customStyle="1" w:styleId="EndNoteBibliography">
    <w:name w:val="EndNote Bibliography"/>
    <w:basedOn w:val="Normal"/>
    <w:link w:val="EndNoteBibliographyChar"/>
    <w:rsid w:val="00474747"/>
  </w:style>
  <w:style w:type="character" w:customStyle="1" w:styleId="EndNoteBibliographyChar">
    <w:name w:val="EndNote Bibliography Char"/>
    <w:basedOn w:val="DefaultParagraphFont"/>
    <w:link w:val="EndNoteBibliography"/>
    <w:rsid w:val="00474747"/>
    <w:rPr>
      <w:rFonts w:ascii="Times New Roman" w:eastAsia="Times New Roman" w:hAnsi="Times New Roman" w:cs="Times New Roman"/>
      <w:kern w:val="0"/>
      <w14:ligatures w14:val="none"/>
    </w:rPr>
  </w:style>
  <w:style w:type="paragraph" w:styleId="Subtitle">
    <w:name w:val="Subtitle"/>
    <w:basedOn w:val="Normal"/>
    <w:next w:val="Normal"/>
    <w:link w:val="SubtitleChar"/>
    <w:uiPriority w:val="11"/>
    <w:qFormat/>
    <w:rsid w:val="0047474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74747"/>
    <w:rPr>
      <w:color w:val="5A5A5A" w:themeColor="text1" w:themeTint="A5"/>
      <w:spacing w:val="15"/>
      <w:kern w:val="0"/>
      <w:sz w:val="22"/>
      <w:szCs w:val="22"/>
      <w14:ligatures w14:val="none"/>
    </w:rPr>
  </w:style>
  <w:style w:type="character" w:customStyle="1" w:styleId="cf01">
    <w:name w:val="cf01"/>
    <w:basedOn w:val="DefaultParagraphFont"/>
    <w:rsid w:val="00474747"/>
    <w:rPr>
      <w:rFonts w:ascii="Segoe UI" w:hAnsi="Segoe UI" w:cs="Segoe UI" w:hint="default"/>
      <w:sz w:val="18"/>
      <w:szCs w:val="18"/>
    </w:rPr>
  </w:style>
  <w:style w:type="character" w:styleId="CommentReference">
    <w:name w:val="annotation reference"/>
    <w:basedOn w:val="DefaultParagraphFont"/>
    <w:uiPriority w:val="99"/>
    <w:semiHidden/>
    <w:unhideWhenUsed/>
    <w:rsid w:val="00474747"/>
    <w:rPr>
      <w:sz w:val="16"/>
      <w:szCs w:val="16"/>
    </w:rPr>
  </w:style>
  <w:style w:type="paragraph" w:styleId="CommentText">
    <w:name w:val="annotation text"/>
    <w:basedOn w:val="Normal"/>
    <w:link w:val="CommentTextChar"/>
    <w:uiPriority w:val="99"/>
    <w:semiHidden/>
    <w:unhideWhenUsed/>
    <w:rsid w:val="00474747"/>
    <w:rPr>
      <w:sz w:val="20"/>
      <w:szCs w:val="20"/>
    </w:rPr>
  </w:style>
  <w:style w:type="character" w:customStyle="1" w:styleId="CommentTextChar">
    <w:name w:val="Comment Text Char"/>
    <w:basedOn w:val="DefaultParagraphFont"/>
    <w:link w:val="CommentText"/>
    <w:uiPriority w:val="99"/>
    <w:semiHidden/>
    <w:rsid w:val="0047474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74747"/>
    <w:rPr>
      <w:b/>
      <w:bCs/>
    </w:rPr>
  </w:style>
  <w:style w:type="character" w:customStyle="1" w:styleId="CommentSubjectChar">
    <w:name w:val="Comment Subject Char"/>
    <w:basedOn w:val="CommentTextChar"/>
    <w:link w:val="CommentSubject"/>
    <w:uiPriority w:val="99"/>
    <w:semiHidden/>
    <w:rsid w:val="00474747"/>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unhideWhenUsed/>
    <w:rsid w:val="00474747"/>
    <w:pPr>
      <w:spacing w:before="100" w:beforeAutospacing="1" w:after="100" w:afterAutospacing="1"/>
    </w:pPr>
  </w:style>
  <w:style w:type="table" w:styleId="TableGrid">
    <w:name w:val="Table Grid"/>
    <w:basedOn w:val="TableNormal"/>
    <w:uiPriority w:val="39"/>
    <w:rsid w:val="0047474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74747"/>
  </w:style>
  <w:style w:type="paragraph" w:styleId="Header">
    <w:name w:val="header"/>
    <w:basedOn w:val="Normal"/>
    <w:link w:val="HeaderChar"/>
    <w:uiPriority w:val="99"/>
    <w:unhideWhenUsed/>
    <w:rsid w:val="00474747"/>
    <w:pPr>
      <w:tabs>
        <w:tab w:val="center" w:pos="4513"/>
        <w:tab w:val="right" w:pos="9026"/>
      </w:tabs>
    </w:pPr>
  </w:style>
  <w:style w:type="character" w:customStyle="1" w:styleId="HeaderChar">
    <w:name w:val="Header Char"/>
    <w:basedOn w:val="DefaultParagraphFont"/>
    <w:link w:val="Header"/>
    <w:uiPriority w:val="99"/>
    <w:rsid w:val="00474747"/>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74747"/>
    <w:pPr>
      <w:tabs>
        <w:tab w:val="center" w:pos="4513"/>
        <w:tab w:val="right" w:pos="9026"/>
      </w:tabs>
    </w:pPr>
  </w:style>
  <w:style w:type="character" w:customStyle="1" w:styleId="FooterChar">
    <w:name w:val="Footer Char"/>
    <w:basedOn w:val="DefaultParagraphFont"/>
    <w:link w:val="Footer"/>
    <w:uiPriority w:val="99"/>
    <w:rsid w:val="00474747"/>
    <w:rPr>
      <w:rFonts w:ascii="Times New Roman" w:eastAsia="Times New Roman" w:hAnsi="Times New Roman" w:cs="Times New Roman"/>
      <w:kern w:val="0"/>
      <w14:ligatures w14:val="none"/>
    </w:rPr>
  </w:style>
  <w:style w:type="paragraph" w:styleId="Revision">
    <w:name w:val="Revision"/>
    <w:hidden/>
    <w:uiPriority w:val="99"/>
    <w:semiHidden/>
    <w:rsid w:val="00792F7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869E5-053C-8E4C-990D-4875F717B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7898</Words>
  <Characters>45022</Characters>
  <Application>Microsoft Office Word</Application>
  <DocSecurity>4</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Lim</dc:creator>
  <cp:keywords/>
  <dc:description/>
  <cp:lastModifiedBy>Karen Drake</cp:lastModifiedBy>
  <cp:revision>2</cp:revision>
  <dcterms:created xsi:type="dcterms:W3CDTF">2023-11-09T10:28:00Z</dcterms:created>
  <dcterms:modified xsi:type="dcterms:W3CDTF">2023-11-09T10:28:00Z</dcterms:modified>
</cp:coreProperties>
</file>