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87ED1" w:rsidRDefault="00082627">
      <w:pPr>
        <w:spacing w:after="0" w:line="240" w:lineRule="auto"/>
        <w:rPr>
          <w:rFonts w:ascii="Times New Roman" w:eastAsia="Times New Roman" w:hAnsi="Times New Roman" w:cs="Times New Roman"/>
          <w:color w:val="000052"/>
          <w:sz w:val="17"/>
          <w:szCs w:val="17"/>
        </w:rPr>
      </w:pPr>
      <w:r>
        <w:rPr>
          <w:rFonts w:ascii="Times New Roman" w:eastAsia="Times New Roman" w:hAnsi="Times New Roman" w:cs="Times New Roman"/>
          <w:color w:val="000052"/>
          <w:sz w:val="17"/>
          <w:szCs w:val="17"/>
        </w:rPr>
        <w:t>RESEARCH ARTICLE</w:t>
      </w:r>
    </w:p>
    <w:p w14:paraId="00000002" w14:textId="77777777" w:rsidR="00F87ED1" w:rsidRDefault="00F87ED1">
      <w:pPr>
        <w:spacing w:after="0" w:line="240" w:lineRule="auto"/>
        <w:rPr>
          <w:rFonts w:ascii="Times New Roman" w:eastAsia="Times New Roman" w:hAnsi="Times New Roman" w:cs="Times New Roman"/>
          <w:color w:val="000052"/>
          <w:sz w:val="17"/>
          <w:szCs w:val="17"/>
        </w:rPr>
      </w:pPr>
    </w:p>
    <w:p w14:paraId="00000003" w14:textId="3EC46B78" w:rsidR="00F87ED1" w:rsidRDefault="00E05BF9">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w:t>
      </w:r>
      <w:r w:rsidR="00082627">
        <w:rPr>
          <w:rFonts w:ascii="Times New Roman" w:eastAsia="Times New Roman" w:hAnsi="Times New Roman" w:cs="Times New Roman"/>
          <w:color w:val="000000"/>
          <w:sz w:val="24"/>
          <w:szCs w:val="24"/>
        </w:rPr>
        <w:t>Sensitivity Analysis Evaluation</w:t>
      </w:r>
    </w:p>
    <w:p w14:paraId="00000004" w14:textId="77777777" w:rsidR="00F87ED1" w:rsidRDefault="00F87ED1">
      <w:pPr>
        <w:rPr>
          <w:rFonts w:ascii="Times New Roman" w:eastAsia="Times New Roman" w:hAnsi="Times New Roman" w:cs="Times New Roman"/>
          <w:sz w:val="24"/>
          <w:szCs w:val="24"/>
        </w:rPr>
      </w:pPr>
    </w:p>
    <w:p w14:paraId="00000005" w14:textId="77777777" w:rsidR="00F87ED1" w:rsidRDefault="00082627">
      <w:pPr>
        <w:rPr>
          <w:rFonts w:ascii="Times New Roman" w:eastAsia="Times New Roman" w:hAnsi="Times New Roman" w:cs="Times New Roman"/>
        </w:rPr>
      </w:pPr>
      <w:bookmarkStart w:id="0" w:name="_Hlk126517580"/>
      <w:r>
        <w:rPr>
          <w:rFonts w:ascii="Source Sans Pro SemiBold" w:eastAsia="Source Sans Pro SemiBold" w:hAnsi="Source Sans Pro SemiBold" w:cs="Source Sans Pro SemiBold"/>
          <w:color w:val="000052"/>
          <w:sz w:val="32"/>
          <w:szCs w:val="32"/>
        </w:rPr>
        <w:t>Evaluation of Global Sensitivity Analysis Methods for Computational Structural Mechanics Problems</w:t>
      </w:r>
    </w:p>
    <w:bookmarkEnd w:id="0"/>
    <w:p w14:paraId="00000006" w14:textId="337D7F89" w:rsidR="00F87ED1" w:rsidRDefault="00082627">
      <w:pPr>
        <w:rPr>
          <w:rFonts w:ascii="Times New Roman" w:eastAsia="Times New Roman" w:hAnsi="Times New Roman" w:cs="Times New Roman"/>
        </w:rPr>
      </w:pPr>
      <w:r>
        <w:rPr>
          <w:rFonts w:ascii="Times New Roman" w:eastAsia="Times New Roman" w:hAnsi="Times New Roman" w:cs="Times New Roman"/>
        </w:rPr>
        <w:t>Cody R. Crusenberry,</w:t>
      </w:r>
      <w:r>
        <w:rPr>
          <w:rFonts w:ascii="Times New Roman" w:eastAsia="Times New Roman" w:hAnsi="Times New Roman" w:cs="Times New Roman"/>
          <w:vertAlign w:val="superscript"/>
        </w:rPr>
        <w:t>1</w:t>
      </w:r>
      <w:r>
        <w:rPr>
          <w:rFonts w:ascii="Times New Roman" w:eastAsia="Times New Roman" w:hAnsi="Times New Roman" w:cs="Times New Roman"/>
        </w:rPr>
        <w:t>* Adam J. Sobey,</w:t>
      </w:r>
      <w:r>
        <w:rPr>
          <w:rFonts w:ascii="Times New Roman" w:eastAsia="Times New Roman" w:hAnsi="Times New Roman" w:cs="Times New Roman"/>
          <w:vertAlign w:val="superscript"/>
        </w:rPr>
        <w:t>2</w:t>
      </w:r>
      <w:r w:rsidR="005E1FFF">
        <w:rPr>
          <w:rFonts w:ascii="Times New Roman" w:eastAsia="Times New Roman" w:hAnsi="Times New Roman" w:cs="Times New Roman"/>
          <w:vertAlign w:val="superscript"/>
        </w:rPr>
        <w:t>,3</w:t>
      </w:r>
      <w:r>
        <w:rPr>
          <w:rFonts w:ascii="Times New Roman" w:eastAsia="Times New Roman" w:hAnsi="Times New Roman" w:cs="Times New Roman"/>
          <w:vertAlign w:val="superscript"/>
        </w:rPr>
        <w:t>†</w:t>
      </w:r>
      <w:r>
        <w:rPr>
          <w:rFonts w:ascii="Times New Roman" w:eastAsia="Times New Roman" w:hAnsi="Times New Roman" w:cs="Times New Roman"/>
        </w:rPr>
        <w:t xml:space="preserve"> and Stephanie C. TerMaath</w:t>
      </w:r>
      <w:r>
        <w:rPr>
          <w:rFonts w:ascii="Times New Roman" w:eastAsia="Times New Roman" w:hAnsi="Times New Roman" w:cs="Times New Roman"/>
          <w:vertAlign w:val="superscript"/>
        </w:rPr>
        <w:t>1†</w:t>
      </w:r>
    </w:p>
    <w:p w14:paraId="00000007" w14:textId="77777777" w:rsidR="00F87ED1" w:rsidRDefault="00082627">
      <w:pP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Department of Mechanical, Aerospace, and Biomedical Engineering, University of Tennessee, Nathan W. Dougherty Engineering Building, 1512 Middle Dr, Knoxville, TN 37920, USA</w:t>
      </w:r>
    </w:p>
    <w:p w14:paraId="1F11AD2A" w14:textId="77777777" w:rsidR="005E1FFF" w:rsidRDefault="00000000" w:rsidP="005E1FFF">
      <w:pPr>
        <w:pBdr>
          <w:top w:val="nil"/>
          <w:left w:val="nil"/>
          <w:bottom w:val="nil"/>
          <w:right w:val="nil"/>
          <w:between w:val="nil"/>
        </w:pBdr>
        <w:spacing w:before="360" w:after="360" w:line="276" w:lineRule="auto"/>
        <w:jc w:val="both"/>
        <w:rPr>
          <w:rFonts w:ascii="Times New Roman" w:eastAsia="Times New Roman" w:hAnsi="Times New Roman" w:cs="Times New Roman"/>
          <w:color w:val="000000"/>
        </w:rPr>
      </w:pPr>
      <w:sdt>
        <w:sdtPr>
          <w:tag w:val="goog_rdk_0"/>
          <w:id w:val="983200079"/>
        </w:sdtPr>
        <w:sdtContent/>
      </w:sdt>
      <w:r w:rsidR="005E1FFF" w:rsidRPr="00B87421">
        <w:rPr>
          <w:rFonts w:ascii="Times New Roman" w:eastAsia="Times New Roman" w:hAnsi="Times New Roman" w:cs="Times New Roman"/>
          <w:color w:val="000000"/>
          <w:vertAlign w:val="superscript"/>
        </w:rPr>
        <w:t>2</w:t>
      </w:r>
      <w:r w:rsidR="005E1FFF" w:rsidRPr="00B87421">
        <w:rPr>
          <w:rFonts w:ascii="Times New Roman" w:eastAsia="Times New Roman" w:hAnsi="Times New Roman" w:cs="Times New Roman"/>
          <w:color w:val="000000"/>
        </w:rPr>
        <w:t xml:space="preserve">Maritime Engineering, University of Southampton, </w:t>
      </w:r>
      <w:proofErr w:type="spellStart"/>
      <w:r w:rsidR="005E1FFF" w:rsidRPr="00B87421">
        <w:rPr>
          <w:rFonts w:ascii="Times New Roman" w:eastAsia="Times New Roman" w:hAnsi="Times New Roman" w:cs="Times New Roman"/>
          <w:color w:val="000000"/>
        </w:rPr>
        <w:t>Boldrewood</w:t>
      </w:r>
      <w:proofErr w:type="spellEnd"/>
      <w:r w:rsidR="005E1FFF" w:rsidRPr="00B87421">
        <w:rPr>
          <w:rFonts w:ascii="Times New Roman" w:eastAsia="Times New Roman" w:hAnsi="Times New Roman" w:cs="Times New Roman"/>
          <w:color w:val="000000"/>
        </w:rPr>
        <w:t xml:space="preserve"> Innovation Campus, Southampton, SO16 7QF, UK   </w:t>
      </w:r>
    </w:p>
    <w:p w14:paraId="042CF260" w14:textId="77777777" w:rsidR="005E1FFF" w:rsidRPr="00B87421" w:rsidRDefault="005E1FFF" w:rsidP="005E1FFF">
      <w:pPr>
        <w:pBdr>
          <w:top w:val="nil"/>
          <w:left w:val="nil"/>
          <w:bottom w:val="nil"/>
          <w:right w:val="nil"/>
          <w:between w:val="nil"/>
        </w:pBdr>
        <w:spacing w:before="360" w:after="360" w:line="276" w:lineRule="auto"/>
        <w:jc w:val="both"/>
        <w:rPr>
          <w:rFonts w:ascii="Times New Roman" w:eastAsia="Times New Roman" w:hAnsi="Times New Roman" w:cs="Times New Roman"/>
          <w:color w:val="000000"/>
        </w:rPr>
      </w:pPr>
      <w:r w:rsidRPr="00B87421">
        <w:rPr>
          <w:rFonts w:ascii="Times New Roman" w:eastAsia="Times New Roman" w:hAnsi="Times New Roman" w:cs="Times New Roman"/>
          <w:color w:val="000000"/>
          <w:vertAlign w:val="superscript"/>
        </w:rPr>
        <w:t>3</w:t>
      </w:r>
      <w:r w:rsidRPr="00B87421">
        <w:rPr>
          <w:rFonts w:ascii="Times New Roman" w:eastAsia="Times New Roman" w:hAnsi="Times New Roman" w:cs="Times New Roman"/>
          <w:color w:val="000000"/>
        </w:rPr>
        <w:t xml:space="preserve">Data-Centric Engineering, The Alan Turing Institute, The British Library, London, </w:t>
      </w:r>
      <w:r w:rsidRPr="00B87421">
        <w:rPr>
          <w:rFonts w:ascii="Times New Roman" w:hAnsi="Times New Roman" w:cs="Times New Roman"/>
          <w:color w:val="202124"/>
          <w:shd w:val="clear" w:color="auto" w:fill="FFFFFF"/>
        </w:rPr>
        <w:t>NW1 2DB, UK</w:t>
      </w:r>
      <w:r w:rsidRPr="00B87421">
        <w:rPr>
          <w:rFonts w:ascii="Times New Roman" w:eastAsia="Times New Roman" w:hAnsi="Times New Roman" w:cs="Times New Roman"/>
          <w:color w:val="000000"/>
        </w:rPr>
        <w:t xml:space="preserve">  </w:t>
      </w:r>
    </w:p>
    <w:p w14:paraId="00000009" w14:textId="0C11B9CD" w:rsidR="00F87ED1" w:rsidRDefault="00082627" w:rsidP="005E1FFF">
      <w:pPr>
        <w:pBdr>
          <w:top w:val="nil"/>
          <w:left w:val="nil"/>
          <w:bottom w:val="nil"/>
          <w:right w:val="nil"/>
          <w:between w:val="nil"/>
        </w:pBdr>
        <w:spacing w:before="360" w:after="360" w:line="276" w:lineRule="auto"/>
        <w:jc w:val="both"/>
        <w:rPr>
          <w:rFonts w:ascii="Times New Roman" w:eastAsia="Times New Roman" w:hAnsi="Times New Roman" w:cs="Times New Roman"/>
        </w:rPr>
      </w:pPr>
      <w:r>
        <w:rPr>
          <w:rFonts w:ascii="Times New Roman" w:eastAsia="Times New Roman" w:hAnsi="Times New Roman" w:cs="Times New Roman"/>
        </w:rPr>
        <w:t>*Corresponding author: ccrusenb@vols.utk.edu</w:t>
      </w:r>
    </w:p>
    <w:p w14:paraId="0000000A" w14:textId="77777777" w:rsidR="00F87ED1" w:rsidRDefault="00082627">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equally contributed</w:t>
      </w:r>
    </w:p>
    <w:p w14:paraId="0000000B" w14:textId="77777777" w:rsidR="00F87ED1" w:rsidRDefault="00082627">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Received:----</w:t>
      </w:r>
      <w:proofErr w:type="gramEnd"/>
      <w:r>
        <w:rPr>
          <w:rFonts w:ascii="Times New Roman" w:eastAsia="Times New Roman" w:hAnsi="Times New Roman" w:cs="Times New Roman"/>
        </w:rPr>
        <w:t>; Revised:----; Accepted:-----;</w:t>
      </w:r>
    </w:p>
    <w:p w14:paraId="0000000C" w14:textId="77777777" w:rsidR="00F87ED1" w:rsidRDefault="00F87ED1">
      <w:pPr>
        <w:spacing w:after="0" w:line="240" w:lineRule="auto"/>
        <w:rPr>
          <w:rFonts w:ascii="Times New Roman" w:eastAsia="Times New Roman" w:hAnsi="Times New Roman" w:cs="Times New Roman"/>
          <w:color w:val="000052"/>
          <w:sz w:val="17"/>
          <w:szCs w:val="17"/>
        </w:rPr>
      </w:pPr>
    </w:p>
    <w:p w14:paraId="0000000D" w14:textId="0A32E6D6" w:rsidR="00F87ED1" w:rsidRDefault="000826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Keywords: </w:t>
      </w:r>
      <w:r>
        <w:rPr>
          <w:rFonts w:ascii="Times New Roman" w:eastAsia="Times New Roman" w:hAnsi="Times New Roman" w:cs="Times New Roman"/>
          <w:sz w:val="18"/>
          <w:szCs w:val="18"/>
        </w:rPr>
        <w:t>Sensitivity analysis; computational model</w:t>
      </w:r>
      <w:r w:rsidR="001C4E83">
        <w:rPr>
          <w:rFonts w:ascii="Times New Roman" w:eastAsia="Times New Roman" w:hAnsi="Times New Roman" w:cs="Times New Roman"/>
          <w:sz w:val="18"/>
          <w:szCs w:val="18"/>
        </w:rPr>
        <w:t>l</w:t>
      </w:r>
      <w:r>
        <w:rPr>
          <w:rFonts w:ascii="Times New Roman" w:eastAsia="Times New Roman" w:hAnsi="Times New Roman" w:cs="Times New Roman"/>
          <w:sz w:val="18"/>
          <w:szCs w:val="18"/>
        </w:rPr>
        <w:t xml:space="preserve">ing; </w:t>
      </w:r>
      <w:proofErr w:type="spellStart"/>
      <w:r>
        <w:rPr>
          <w:rFonts w:ascii="Times New Roman" w:eastAsia="Times New Roman" w:hAnsi="Times New Roman" w:cs="Times New Roman"/>
          <w:sz w:val="18"/>
          <w:szCs w:val="18"/>
        </w:rPr>
        <w:t>peridynamics</w:t>
      </w:r>
      <w:proofErr w:type="spellEnd"/>
      <w:r>
        <w:rPr>
          <w:rFonts w:ascii="Times New Roman" w:eastAsia="Times New Roman" w:hAnsi="Times New Roman" w:cs="Times New Roman"/>
          <w:sz w:val="18"/>
          <w:szCs w:val="18"/>
        </w:rPr>
        <w:t>; finite element analysis; surrogate model</w:t>
      </w:r>
      <w:r w:rsidR="001C4E83">
        <w:rPr>
          <w:rFonts w:ascii="Times New Roman" w:eastAsia="Times New Roman" w:hAnsi="Times New Roman" w:cs="Times New Roman"/>
          <w:sz w:val="18"/>
          <w:szCs w:val="18"/>
        </w:rPr>
        <w:t>l</w:t>
      </w:r>
      <w:r>
        <w:rPr>
          <w:rFonts w:ascii="Times New Roman" w:eastAsia="Times New Roman" w:hAnsi="Times New Roman" w:cs="Times New Roman"/>
          <w:sz w:val="18"/>
          <w:szCs w:val="18"/>
        </w:rPr>
        <w:t>ing.</w:t>
      </w:r>
    </w:p>
    <w:p w14:paraId="0000000E" w14:textId="77777777" w:rsidR="00F87ED1" w:rsidRDefault="00F87ED1">
      <w:pPr>
        <w:spacing w:after="0" w:line="240" w:lineRule="auto"/>
        <w:rPr>
          <w:rFonts w:ascii="Times New Roman" w:eastAsia="Times New Roman" w:hAnsi="Times New Roman" w:cs="Times New Roman"/>
          <w:color w:val="000000"/>
          <w:sz w:val="16"/>
          <w:szCs w:val="16"/>
        </w:rPr>
      </w:pPr>
    </w:p>
    <w:p w14:paraId="0000000F" w14:textId="2EDDD0E6" w:rsidR="00F87ED1" w:rsidRDefault="00082627">
      <w:pPr>
        <w:spacing w:line="240" w:lineRule="auto"/>
        <w:rPr>
          <w:rFonts w:ascii="Source Sans Pro SemiBold" w:eastAsia="Source Sans Pro SemiBold" w:hAnsi="Source Sans Pro SemiBold" w:cs="Source Sans Pro SemiBold"/>
          <w:color w:val="000052"/>
          <w:sz w:val="18"/>
          <w:szCs w:val="18"/>
        </w:rPr>
      </w:pPr>
      <w:r>
        <w:rPr>
          <w:rFonts w:ascii="Source Sans Pro SemiBold" w:eastAsia="Source Sans Pro SemiBold" w:hAnsi="Source Sans Pro SemiBold" w:cs="Source Sans Pro SemiBold"/>
          <w:color w:val="000052"/>
          <w:sz w:val="18"/>
          <w:szCs w:val="18"/>
        </w:rPr>
        <w:t>Abstract</w:t>
      </w:r>
    </w:p>
    <w:p w14:paraId="41E5DE83" w14:textId="722AF4E5" w:rsidR="004F7A6E" w:rsidRPr="00E879CA" w:rsidRDefault="004F7A6E" w:rsidP="004F7A6E">
      <w:pPr>
        <w:spacing w:line="258" w:lineRule="auto"/>
        <w:textDirection w:val="btLr"/>
        <w:rPr>
          <w:sz w:val="20"/>
          <w:szCs w:val="20"/>
        </w:rPr>
      </w:pPr>
      <w:r w:rsidRPr="002A0C21">
        <w:rPr>
          <w:rFonts w:ascii="Times New Roman" w:eastAsia="Times New Roman" w:hAnsi="Times New Roman" w:cs="Times New Roman"/>
          <w:color w:val="000000"/>
          <w:sz w:val="20"/>
          <w:szCs w:val="20"/>
        </w:rPr>
        <w:t xml:space="preserve">The curse of dimensionality confounds comprehensive evaluation of computational structural mechanics problems. Adequately capturing complex material behaviour and interacting physics phenomenon in models can lead to long run times and memory requirements resulting in the need for substantial computational resources to analyse one scenario for a single set of input parameters. The computational requirements are then compounded when considering the number and range of input parameters, spanning material properties, loading, boundary conditions, and model geometry, that must be evaluated to characterize behaviour, identify dominant parameters, perform uncertainty quantification, and optimize performance. To reduce model dimensionality, </w:t>
      </w:r>
      <w:r w:rsidRPr="002A0C21">
        <w:rPr>
          <w:rFonts w:ascii="Times New Roman" w:eastAsia="Times New Roman" w:hAnsi="Times New Roman" w:cs="Times New Roman"/>
          <w:sz w:val="20"/>
          <w:szCs w:val="20"/>
        </w:rPr>
        <w:t xml:space="preserve">Global Sensitivity Analysis enables the identification of dominant input parameters for a specific structural performance output. However, many distinct types of </w:t>
      </w:r>
      <w:r>
        <w:rPr>
          <w:rFonts w:ascii="Times New Roman" w:eastAsia="Times New Roman" w:hAnsi="Times New Roman" w:cs="Times New Roman"/>
          <w:sz w:val="20"/>
          <w:szCs w:val="20"/>
        </w:rPr>
        <w:t>Global Sensitivity Analysis</w:t>
      </w:r>
      <w:r w:rsidRPr="002A0C21">
        <w:rPr>
          <w:rFonts w:ascii="Times New Roman" w:eastAsia="Times New Roman" w:hAnsi="Times New Roman" w:cs="Times New Roman"/>
          <w:sz w:val="20"/>
          <w:szCs w:val="20"/>
        </w:rPr>
        <w:t xml:space="preserve"> methods are available, presenting a challenge when selecting the optimal approach for a specific problem. While substantial documentation is available in the literature providing details on the methodology and derivation of </w:t>
      </w:r>
      <w:r>
        <w:rPr>
          <w:rFonts w:ascii="Times New Roman" w:eastAsia="Times New Roman" w:hAnsi="Times New Roman" w:cs="Times New Roman"/>
          <w:sz w:val="20"/>
          <w:szCs w:val="20"/>
        </w:rPr>
        <w:t>Global Sensitivity Analysis</w:t>
      </w:r>
      <w:r w:rsidRPr="002A0C21">
        <w:rPr>
          <w:rFonts w:ascii="Times New Roman" w:eastAsia="Times New Roman" w:hAnsi="Times New Roman" w:cs="Times New Roman"/>
          <w:sz w:val="20"/>
          <w:szCs w:val="20"/>
        </w:rPr>
        <w:t xml:space="preserve"> methods, application-based case studies focus on fields such as finance, chemistry, and environmental science. To inform selection and implementation of a </w:t>
      </w:r>
      <w:r>
        <w:rPr>
          <w:rFonts w:ascii="Times New Roman" w:eastAsia="Times New Roman" w:hAnsi="Times New Roman" w:cs="Times New Roman"/>
          <w:sz w:val="20"/>
          <w:szCs w:val="20"/>
        </w:rPr>
        <w:t>Global Sensitivity Analysis</w:t>
      </w:r>
      <w:r w:rsidRPr="002A0C21">
        <w:rPr>
          <w:rFonts w:ascii="Times New Roman" w:eastAsia="Times New Roman" w:hAnsi="Times New Roman" w:cs="Times New Roman"/>
          <w:sz w:val="20"/>
          <w:szCs w:val="20"/>
        </w:rPr>
        <w:t xml:space="preserve"> method for structural mechanics problems, this paper investigates five of the most widespread </w:t>
      </w:r>
      <w:r>
        <w:rPr>
          <w:rFonts w:ascii="Times New Roman" w:eastAsia="Times New Roman" w:hAnsi="Times New Roman" w:cs="Times New Roman"/>
          <w:sz w:val="20"/>
          <w:szCs w:val="20"/>
        </w:rPr>
        <w:t>Global Sensitivity Analysis</w:t>
      </w:r>
      <w:r w:rsidRPr="002A0C21">
        <w:rPr>
          <w:rFonts w:ascii="Times New Roman" w:eastAsia="Times New Roman" w:hAnsi="Times New Roman" w:cs="Times New Roman"/>
          <w:sz w:val="20"/>
          <w:szCs w:val="20"/>
        </w:rPr>
        <w:t xml:space="preserve"> methods with commonly used structural mechanics methods and models of varying dimensionality and complexity. </w:t>
      </w:r>
      <w:r w:rsidR="00E879CA" w:rsidRPr="00E879CA">
        <w:rPr>
          <w:rFonts w:ascii="Times New Roman" w:eastAsia="Times New Roman" w:hAnsi="Times New Roman" w:cs="Times New Roman"/>
          <w:sz w:val="20"/>
          <w:szCs w:val="20"/>
        </w:rPr>
        <w:t xml:space="preserve">It is concluded that </w:t>
      </w:r>
      <w:r w:rsidR="00E879CA">
        <w:rPr>
          <w:rFonts w:ascii="Times New Roman" w:eastAsia="Times New Roman" w:hAnsi="Times New Roman" w:cs="Times New Roman"/>
          <w:sz w:val="20"/>
          <w:szCs w:val="20"/>
        </w:rPr>
        <w:t xml:space="preserve">all methods can identify the most dominant parameters, although at significantly different computational costs. </w:t>
      </w:r>
      <w:proofErr w:type="gramStart"/>
      <w:r w:rsidR="00E879CA">
        <w:rPr>
          <w:rFonts w:ascii="Times New Roman" w:eastAsia="Times New Roman" w:hAnsi="Times New Roman" w:cs="Times New Roman"/>
          <w:sz w:val="20"/>
          <w:szCs w:val="20"/>
        </w:rPr>
        <w:t>And,</w:t>
      </w:r>
      <w:proofErr w:type="gramEnd"/>
      <w:r w:rsidR="00E879CA">
        <w:rPr>
          <w:rFonts w:ascii="Times New Roman" w:eastAsia="Times New Roman" w:hAnsi="Times New Roman" w:cs="Times New Roman"/>
          <w:sz w:val="20"/>
          <w:szCs w:val="20"/>
        </w:rPr>
        <w:t xml:space="preserve"> different methods provide different quantitative capabilities. Therefore, </w:t>
      </w:r>
      <w:r w:rsidR="00E879CA" w:rsidRPr="00E879CA">
        <w:rPr>
          <w:rFonts w:ascii="Times New Roman" w:eastAsia="Times New Roman" w:hAnsi="Times New Roman" w:cs="Times New Roman"/>
          <w:sz w:val="20"/>
          <w:szCs w:val="20"/>
        </w:rPr>
        <w:t>method selection is dependent on computational resources, information required from the GSA, and available data.</w:t>
      </w:r>
    </w:p>
    <w:p w14:paraId="00000012" w14:textId="4FC3373B" w:rsidR="00F87ED1" w:rsidRDefault="00F87ED1">
      <w:pPr>
        <w:spacing w:after="0" w:line="240" w:lineRule="auto"/>
        <w:rPr>
          <w:rFonts w:ascii="Times New Roman" w:eastAsia="Times New Roman" w:hAnsi="Times New Roman" w:cs="Times New Roman"/>
          <w:color w:val="000000"/>
          <w:sz w:val="18"/>
          <w:szCs w:val="18"/>
        </w:rPr>
      </w:pPr>
    </w:p>
    <w:p w14:paraId="00000013" w14:textId="031B32C4" w:rsidR="00F87ED1" w:rsidRDefault="00F87ED1">
      <w:pPr>
        <w:spacing w:after="0" w:line="240" w:lineRule="auto"/>
        <w:rPr>
          <w:rFonts w:ascii="Times New Roman" w:eastAsia="Times New Roman" w:hAnsi="Times New Roman" w:cs="Times New Roman"/>
          <w:color w:val="000000"/>
          <w:sz w:val="18"/>
          <w:szCs w:val="18"/>
        </w:rPr>
      </w:pPr>
    </w:p>
    <w:p w14:paraId="00000014" w14:textId="0EA3C620" w:rsidR="00F87ED1" w:rsidRDefault="00DD0654">
      <w:pPr>
        <w:spacing w:after="0" w:line="240" w:lineRule="auto"/>
        <w:rPr>
          <w:rFonts w:ascii="Times New Roman" w:eastAsia="Times New Roman" w:hAnsi="Times New Roman" w:cs="Times New Roman"/>
          <w:color w:val="000000"/>
          <w:sz w:val="18"/>
          <w:szCs w:val="18"/>
        </w:rPr>
      </w:pPr>
      <w:r>
        <w:rPr>
          <w:noProof/>
        </w:rPr>
        <w:lastRenderedPageBreak/>
        <mc:AlternateContent>
          <mc:Choice Requires="wps">
            <w:drawing>
              <wp:anchor distT="45720" distB="45720" distL="114300" distR="114300" simplePos="0" relativeHeight="251658240" behindDoc="0" locked="0" layoutInCell="1" hidden="0" allowOverlap="1" wp14:anchorId="5A5B2525" wp14:editId="3FA2E904">
                <wp:simplePos x="0" y="0"/>
                <wp:positionH relativeFrom="column">
                  <wp:posOffset>-38100</wp:posOffset>
                </wp:positionH>
                <wp:positionV relativeFrom="paragraph">
                  <wp:posOffset>95250</wp:posOffset>
                </wp:positionV>
                <wp:extent cx="5287010" cy="2781300"/>
                <wp:effectExtent l="0" t="0" r="27940" b="19050"/>
                <wp:wrapSquare wrapText="bothSides" distT="45720" distB="45720" distL="114300" distR="114300"/>
                <wp:docPr id="241" name="Rectangle 241"/>
                <wp:cNvGraphicFramePr/>
                <a:graphic xmlns:a="http://schemas.openxmlformats.org/drawingml/2006/main">
                  <a:graphicData uri="http://schemas.microsoft.com/office/word/2010/wordprocessingShape">
                    <wps:wsp>
                      <wps:cNvSpPr/>
                      <wps:spPr>
                        <a:xfrm>
                          <a:off x="0" y="0"/>
                          <a:ext cx="5287010" cy="2781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7FEA34" w14:textId="2879DECC" w:rsidR="00FF3FA9" w:rsidRDefault="00FF3FA9">
                            <w:pPr>
                              <w:spacing w:after="0" w:line="240" w:lineRule="auto"/>
                              <w:textDirection w:val="btLr"/>
                              <w:rPr>
                                <w:rFonts w:ascii="Source Sans Pro SemiBold" w:eastAsia="Source Sans Pro SemiBold" w:hAnsi="Source Sans Pro SemiBold" w:cs="Source Sans Pro SemiBold"/>
                                <w:color w:val="000000"/>
                                <w:sz w:val="19"/>
                              </w:rPr>
                            </w:pPr>
                            <w:r>
                              <w:rPr>
                                <w:rFonts w:ascii="Source Sans Pro SemiBold" w:eastAsia="Source Sans Pro SemiBold" w:hAnsi="Source Sans Pro SemiBold" w:cs="Source Sans Pro SemiBold"/>
                                <w:color w:val="000000"/>
                                <w:sz w:val="19"/>
                              </w:rPr>
                              <w:t>Impact Statement</w:t>
                            </w:r>
                          </w:p>
                          <w:p w14:paraId="4E434AE3" w14:textId="72115C2F" w:rsidR="00FF3FA9" w:rsidRDefault="00FF3FA9" w:rsidP="00DD0654">
                            <w:pPr>
                              <w:rPr>
                                <w:rFonts w:ascii="Times New Roman" w:eastAsia="Times New Roman" w:hAnsi="Times New Roman" w:cs="Times New Roman"/>
                                <w:color w:val="000000"/>
                                <w:sz w:val="18"/>
                                <w:szCs w:val="18"/>
                              </w:rPr>
                            </w:pPr>
                            <w:r>
                              <w:rPr>
                                <w:rFonts w:ascii="Times New Roman" w:eastAsia="Times New Roman" w:hAnsi="Times New Roman" w:cs="Times New Roman"/>
                                <w:sz w:val="20"/>
                                <w:szCs w:val="20"/>
                              </w:rPr>
                              <w:t>The lack of practical guidance for nonexperts and general users when selecting candidate Global Sensitivity Analysis methods promotes the use of inadequate approaches for a given workflow, such as the implementation of local methods on non-linear problems. Using an inadequate Global Sensitivity Analysis method can result in the introduction of error, inconclusive results, and the potential for unnecessarily high or inaccurately low model dimensionality. Critically, using a Global Sensitivity Analysis method lacking the required functionality also deprives the user of potentially notable discoveries pertaining to parameter behaviours and interactions.  Moreover, existing case studies often overlook the importance of Global Sensitivity Analysis sample size on prediction accuracy, as the results are often assumed, not proven, to converge. Therefore, the current literature often concludes that either all methods are adequate for the given model, or a particular method is best suited based on ease of implementation. Our aim is to supplement the methodology focused literature with structural mechanics case studies aimed at illuminating the selection of an appropriate Global Sensitivity Analysis method based on modelling and analysis attributes. This paper is written from a practical viewpoint to inform nonexperts in selecting a Global Sensitivity Analysis method as evaluated by desired accuracy, required information, and available computational resources.</w:t>
                            </w:r>
                          </w:p>
                          <w:p w14:paraId="666510D3" w14:textId="77777777" w:rsidR="00FF3FA9" w:rsidRDefault="00FF3FA9">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5B2525" id="Rectangle 241" o:spid="_x0000_s1026" style="position:absolute;margin-left:-3pt;margin-top:7.5pt;width:416.3pt;height:21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">
                <v:stroke startarrowwidth="narrow" startarrowlength="short" endarrowwidth="narrow" endarrowlength="short"/>
                <v:textbox inset="2.53958mm,1.2694mm,2.53958mm,1.2694mm">
                  <w:txbxContent>
                    <w:p w14:paraId="677FEA34" w14:textId="2879DECC" w:rsidR="00FF3FA9" w:rsidRDefault="00FF3FA9">
                      <w:pPr>
                        <w:spacing w:after="0" w:line="240" w:lineRule="auto"/>
                        <w:textDirection w:val="btLr"/>
                        <w:rPr>
                          <w:rFonts w:ascii="Source Sans Pro SemiBold" w:eastAsia="Source Sans Pro SemiBold" w:hAnsi="Source Sans Pro SemiBold" w:cs="Source Sans Pro SemiBold"/>
                          <w:color w:val="000000"/>
                          <w:sz w:val="19"/>
                        </w:rPr>
                      </w:pPr>
                      <w:r>
                        <w:rPr>
                          <w:rFonts w:ascii="Source Sans Pro SemiBold" w:eastAsia="Source Sans Pro SemiBold" w:hAnsi="Source Sans Pro SemiBold" w:cs="Source Sans Pro SemiBold"/>
                          <w:color w:val="000000"/>
                          <w:sz w:val="19"/>
                        </w:rPr>
                        <w:t>Impact Statement</w:t>
                      </w:r>
                    </w:p>
                    <w:p w14:paraId="4E434AE3" w14:textId="72115C2F" w:rsidR="00FF3FA9" w:rsidRDefault="00FF3FA9" w:rsidP="00DD0654">
                      <w:pPr>
                        <w:rPr>
                          <w:rFonts w:ascii="Times New Roman" w:eastAsia="Times New Roman" w:hAnsi="Times New Roman" w:cs="Times New Roman"/>
                          <w:color w:val="000000"/>
                          <w:sz w:val="18"/>
                          <w:szCs w:val="18"/>
                        </w:rPr>
                      </w:pPr>
                      <w:r>
                        <w:rPr>
                          <w:rFonts w:ascii="Times New Roman" w:eastAsia="Times New Roman" w:hAnsi="Times New Roman" w:cs="Times New Roman"/>
                          <w:sz w:val="20"/>
                          <w:szCs w:val="20"/>
                        </w:rPr>
                        <w:t>The lack of practical guidance for nonexperts and general users when selecting candidate Global Sensitivity Analysis methods promotes the use of inadequate approaches for a given workflow, such as the implementation of local methods on non-linear problems. Using an inadequate Global Sensitivity Analysis method can result in the introduction of error, inconclusive results, and the potential for unnecessarily high or inaccurately low model dimensionality. Critically, using a Global Sensitivity Analysis method lacking the required functionality also deprives the user of potentially notable discoveries pertaining to parameter behaviours and interactions.  Moreover, existing case studies often overlook the importance of Global Sensitivity Analysis sample size on prediction accuracy, as the results are often assumed, not proven, to converge. Therefore, the current literature often concludes that either all methods are adequate for the given model, or a particular method is best suited based on ease of implementation. Our aim is to supplement the methodology focused literature with structural mechanics case studies aimed at illuminating the selection of an appropriate Global Sensitivity Analysis method based on modelling and analysis attributes. This paper is written from a practical viewpoint to inform nonexperts in selecting a Global Sensitivity Analysis method as evaluated by desired accuracy, required information, and available computational resources.</w:t>
                      </w:r>
                    </w:p>
                    <w:p w14:paraId="666510D3" w14:textId="77777777" w:rsidR="00FF3FA9" w:rsidRDefault="00FF3FA9">
                      <w:pPr>
                        <w:spacing w:after="0" w:line="240" w:lineRule="auto"/>
                        <w:textDirection w:val="btLr"/>
                      </w:pPr>
                    </w:p>
                  </w:txbxContent>
                </v:textbox>
                <w10:wrap type="square"/>
              </v:rect>
            </w:pict>
          </mc:Fallback>
        </mc:AlternateContent>
      </w:r>
    </w:p>
    <w:p w14:paraId="00000015" w14:textId="1A018035" w:rsidR="00F87ED1" w:rsidRDefault="00F87ED1">
      <w:pPr>
        <w:spacing w:after="0" w:line="240" w:lineRule="auto"/>
        <w:rPr>
          <w:rFonts w:ascii="Times New Roman" w:eastAsia="Times New Roman" w:hAnsi="Times New Roman" w:cs="Times New Roman"/>
          <w:b/>
          <w:color w:val="000052"/>
          <w:sz w:val="20"/>
          <w:szCs w:val="20"/>
        </w:rPr>
      </w:pPr>
    </w:p>
    <w:p w14:paraId="00000016" w14:textId="44FE8B0C" w:rsidR="00F87ED1" w:rsidRDefault="00F87ED1">
      <w:pPr>
        <w:spacing w:after="0" w:line="240" w:lineRule="auto"/>
        <w:rPr>
          <w:rFonts w:ascii="Times New Roman" w:eastAsia="Times New Roman" w:hAnsi="Times New Roman" w:cs="Times New Roman"/>
          <w:b/>
          <w:color w:val="000052"/>
          <w:sz w:val="20"/>
          <w:szCs w:val="20"/>
        </w:rPr>
      </w:pPr>
    </w:p>
    <w:p w14:paraId="00000017" w14:textId="0A5B7261" w:rsidR="00F87ED1" w:rsidRDefault="00F87ED1">
      <w:pPr>
        <w:spacing w:after="0" w:line="240" w:lineRule="auto"/>
        <w:rPr>
          <w:rFonts w:ascii="Times New Roman" w:eastAsia="Times New Roman" w:hAnsi="Times New Roman" w:cs="Times New Roman"/>
          <w:b/>
          <w:color w:val="000052"/>
          <w:sz w:val="20"/>
          <w:szCs w:val="20"/>
        </w:rPr>
      </w:pPr>
    </w:p>
    <w:p w14:paraId="00000018" w14:textId="6E62565E" w:rsidR="00F87ED1" w:rsidRDefault="00F87ED1">
      <w:pPr>
        <w:spacing w:after="0" w:line="240" w:lineRule="auto"/>
        <w:rPr>
          <w:rFonts w:ascii="Times New Roman" w:eastAsia="Times New Roman" w:hAnsi="Times New Roman" w:cs="Times New Roman"/>
          <w:b/>
          <w:color w:val="000052"/>
          <w:sz w:val="20"/>
          <w:szCs w:val="20"/>
        </w:rPr>
      </w:pPr>
    </w:p>
    <w:p w14:paraId="00000019" w14:textId="77777777" w:rsidR="00F87ED1" w:rsidRDefault="00F87ED1">
      <w:pPr>
        <w:spacing w:after="0" w:line="240" w:lineRule="auto"/>
        <w:rPr>
          <w:rFonts w:ascii="Times New Roman" w:eastAsia="Times New Roman" w:hAnsi="Times New Roman" w:cs="Times New Roman"/>
          <w:b/>
          <w:color w:val="000052"/>
          <w:sz w:val="20"/>
          <w:szCs w:val="20"/>
        </w:rPr>
      </w:pPr>
    </w:p>
    <w:p w14:paraId="0000001A" w14:textId="77777777" w:rsidR="00F87ED1" w:rsidRDefault="00F87ED1">
      <w:pPr>
        <w:spacing w:after="0" w:line="240" w:lineRule="auto"/>
        <w:rPr>
          <w:rFonts w:ascii="Times New Roman" w:eastAsia="Times New Roman" w:hAnsi="Times New Roman" w:cs="Times New Roman"/>
          <w:b/>
          <w:color w:val="000052"/>
          <w:sz w:val="20"/>
          <w:szCs w:val="20"/>
        </w:rPr>
      </w:pPr>
    </w:p>
    <w:p w14:paraId="0000001B" w14:textId="77777777" w:rsidR="00F87ED1" w:rsidRDefault="00F87ED1">
      <w:pPr>
        <w:spacing w:after="0" w:line="240" w:lineRule="auto"/>
        <w:rPr>
          <w:rFonts w:ascii="Times New Roman" w:eastAsia="Times New Roman" w:hAnsi="Times New Roman" w:cs="Times New Roman"/>
          <w:b/>
          <w:color w:val="000052"/>
          <w:sz w:val="20"/>
          <w:szCs w:val="20"/>
        </w:rPr>
      </w:pPr>
    </w:p>
    <w:p w14:paraId="6F32B38E" w14:textId="77777777" w:rsidR="00DD0654" w:rsidRDefault="00DD0654">
      <w:pPr>
        <w:spacing w:after="0" w:line="240" w:lineRule="auto"/>
        <w:rPr>
          <w:rFonts w:ascii="Times New Roman" w:eastAsia="Times New Roman" w:hAnsi="Times New Roman" w:cs="Times New Roman"/>
          <w:b/>
          <w:color w:val="000052"/>
          <w:sz w:val="21"/>
          <w:szCs w:val="21"/>
        </w:rPr>
      </w:pPr>
    </w:p>
    <w:p w14:paraId="557D9FF5" w14:textId="77777777" w:rsidR="00DD0654" w:rsidRDefault="00DD0654">
      <w:pPr>
        <w:spacing w:after="0" w:line="240" w:lineRule="auto"/>
        <w:rPr>
          <w:rFonts w:ascii="Times New Roman" w:eastAsia="Times New Roman" w:hAnsi="Times New Roman" w:cs="Times New Roman"/>
          <w:b/>
          <w:color w:val="000052"/>
          <w:sz w:val="21"/>
          <w:szCs w:val="21"/>
        </w:rPr>
      </w:pPr>
    </w:p>
    <w:p w14:paraId="5628FBED" w14:textId="77777777" w:rsidR="00DD0654" w:rsidRDefault="00DD0654">
      <w:pPr>
        <w:spacing w:after="0" w:line="240" w:lineRule="auto"/>
        <w:rPr>
          <w:rFonts w:ascii="Times New Roman" w:eastAsia="Times New Roman" w:hAnsi="Times New Roman" w:cs="Times New Roman"/>
          <w:b/>
          <w:color w:val="000052"/>
          <w:sz w:val="21"/>
          <w:szCs w:val="21"/>
        </w:rPr>
      </w:pPr>
    </w:p>
    <w:p w14:paraId="55D60751" w14:textId="77777777" w:rsidR="00DD0654" w:rsidRDefault="00DD0654">
      <w:pPr>
        <w:spacing w:after="0" w:line="240" w:lineRule="auto"/>
        <w:rPr>
          <w:rFonts w:ascii="Times New Roman" w:eastAsia="Times New Roman" w:hAnsi="Times New Roman" w:cs="Times New Roman"/>
          <w:b/>
          <w:color w:val="000052"/>
          <w:sz w:val="21"/>
          <w:szCs w:val="21"/>
        </w:rPr>
      </w:pPr>
    </w:p>
    <w:p w14:paraId="4A1D684E" w14:textId="77777777" w:rsidR="00DD0654" w:rsidRDefault="00DD0654">
      <w:pPr>
        <w:spacing w:after="0" w:line="240" w:lineRule="auto"/>
        <w:rPr>
          <w:rFonts w:ascii="Times New Roman" w:eastAsia="Times New Roman" w:hAnsi="Times New Roman" w:cs="Times New Roman"/>
          <w:b/>
          <w:color w:val="000052"/>
          <w:sz w:val="21"/>
          <w:szCs w:val="21"/>
        </w:rPr>
      </w:pPr>
    </w:p>
    <w:p w14:paraId="17E5082D" w14:textId="77777777" w:rsidR="00DD0654" w:rsidRDefault="00DD0654">
      <w:pPr>
        <w:spacing w:after="0" w:line="240" w:lineRule="auto"/>
        <w:rPr>
          <w:rFonts w:ascii="Times New Roman" w:eastAsia="Times New Roman" w:hAnsi="Times New Roman" w:cs="Times New Roman"/>
          <w:b/>
          <w:color w:val="000052"/>
          <w:sz w:val="21"/>
          <w:szCs w:val="21"/>
        </w:rPr>
      </w:pPr>
    </w:p>
    <w:p w14:paraId="26AF3A76" w14:textId="77777777" w:rsidR="00DD0654" w:rsidRDefault="00DD0654">
      <w:pPr>
        <w:spacing w:after="0" w:line="240" w:lineRule="auto"/>
        <w:rPr>
          <w:rFonts w:ascii="Times New Roman" w:eastAsia="Times New Roman" w:hAnsi="Times New Roman" w:cs="Times New Roman"/>
          <w:b/>
          <w:color w:val="000052"/>
          <w:sz w:val="21"/>
          <w:szCs w:val="21"/>
        </w:rPr>
      </w:pPr>
    </w:p>
    <w:p w14:paraId="00A225C2" w14:textId="77777777" w:rsidR="00DD0654" w:rsidRDefault="00DD0654">
      <w:pPr>
        <w:spacing w:after="0" w:line="240" w:lineRule="auto"/>
        <w:rPr>
          <w:rFonts w:ascii="Times New Roman" w:eastAsia="Times New Roman" w:hAnsi="Times New Roman" w:cs="Times New Roman"/>
          <w:b/>
          <w:color w:val="000052"/>
          <w:sz w:val="21"/>
          <w:szCs w:val="21"/>
        </w:rPr>
      </w:pPr>
    </w:p>
    <w:p w14:paraId="7BC9057C" w14:textId="77777777" w:rsidR="00DD0654" w:rsidRDefault="00DD0654">
      <w:pPr>
        <w:spacing w:after="0" w:line="240" w:lineRule="auto"/>
        <w:rPr>
          <w:rFonts w:ascii="Times New Roman" w:eastAsia="Times New Roman" w:hAnsi="Times New Roman" w:cs="Times New Roman"/>
          <w:b/>
          <w:color w:val="000052"/>
          <w:sz w:val="21"/>
          <w:szCs w:val="21"/>
        </w:rPr>
      </w:pPr>
    </w:p>
    <w:p w14:paraId="77CF329D" w14:textId="77777777" w:rsidR="00DD0654" w:rsidRDefault="00DD0654">
      <w:pPr>
        <w:spacing w:after="0" w:line="240" w:lineRule="auto"/>
        <w:rPr>
          <w:rFonts w:ascii="Times New Roman" w:eastAsia="Times New Roman" w:hAnsi="Times New Roman" w:cs="Times New Roman"/>
          <w:b/>
          <w:color w:val="000052"/>
          <w:sz w:val="21"/>
          <w:szCs w:val="21"/>
        </w:rPr>
      </w:pPr>
    </w:p>
    <w:p w14:paraId="3C535398" w14:textId="77777777" w:rsidR="00DD0654" w:rsidRDefault="00DD0654">
      <w:pPr>
        <w:spacing w:after="0" w:line="240" w:lineRule="auto"/>
        <w:rPr>
          <w:rFonts w:ascii="Times New Roman" w:eastAsia="Times New Roman" w:hAnsi="Times New Roman" w:cs="Times New Roman"/>
          <w:b/>
          <w:color w:val="000052"/>
          <w:sz w:val="21"/>
          <w:szCs w:val="21"/>
        </w:rPr>
      </w:pPr>
    </w:p>
    <w:p w14:paraId="26E087EC" w14:textId="77777777" w:rsidR="00273917" w:rsidRDefault="00273917">
      <w:pPr>
        <w:spacing w:after="0" w:line="240" w:lineRule="auto"/>
        <w:rPr>
          <w:rFonts w:ascii="Times New Roman" w:eastAsia="Times New Roman" w:hAnsi="Times New Roman" w:cs="Times New Roman"/>
          <w:b/>
          <w:color w:val="000052"/>
          <w:sz w:val="21"/>
          <w:szCs w:val="21"/>
        </w:rPr>
      </w:pPr>
    </w:p>
    <w:p w14:paraId="0000001C" w14:textId="68447F9D" w:rsidR="00F87ED1" w:rsidRDefault="00082627">
      <w:pPr>
        <w:spacing w:after="0" w:line="240" w:lineRule="auto"/>
        <w:rPr>
          <w:rFonts w:ascii="Times New Roman" w:eastAsia="Times New Roman" w:hAnsi="Times New Roman" w:cs="Times New Roman"/>
          <w:b/>
          <w:color w:val="000052"/>
          <w:sz w:val="21"/>
          <w:szCs w:val="21"/>
        </w:rPr>
      </w:pPr>
      <w:r>
        <w:rPr>
          <w:rFonts w:ascii="Times New Roman" w:eastAsia="Times New Roman" w:hAnsi="Times New Roman" w:cs="Times New Roman"/>
          <w:b/>
          <w:color w:val="000052"/>
          <w:sz w:val="21"/>
          <w:szCs w:val="21"/>
        </w:rPr>
        <w:t>1. Introduction</w:t>
      </w:r>
    </w:p>
    <w:p w14:paraId="0000001D" w14:textId="413014B6" w:rsidR="00F87ED1" w:rsidRDefault="00082627">
      <w:pPr>
        <w:spacing w:after="0" w:line="240" w:lineRule="auto"/>
        <w:rPr>
          <w:rFonts w:ascii="Times New Roman" w:eastAsia="Times New Roman" w:hAnsi="Times New Roman" w:cs="Times New Roman"/>
          <w:sz w:val="20"/>
          <w:szCs w:val="20"/>
        </w:rPr>
      </w:pPr>
      <w:r>
        <w:rPr>
          <w:rFonts w:ascii="Times" w:eastAsia="Times" w:hAnsi="Times" w:cs="Times"/>
          <w:sz w:val="20"/>
          <w:szCs w:val="20"/>
        </w:rPr>
        <w:t>The rapid growth of accessible computing power has enabled the formulation and analysis of complex, physics-based computational models in the field of structural mechanics. Researchers can now realistically capture the physics, chemistry, and mechanics necessary to simulate phenomen</w:t>
      </w:r>
      <w:r w:rsidR="00463ECC">
        <w:rPr>
          <w:rFonts w:ascii="Times" w:eastAsia="Times" w:hAnsi="Times" w:cs="Times"/>
          <w:sz w:val="20"/>
          <w:szCs w:val="20"/>
        </w:rPr>
        <w:t>a</w:t>
      </w:r>
      <w:r>
        <w:rPr>
          <w:rFonts w:ascii="Times" w:eastAsia="Times" w:hAnsi="Times" w:cs="Times"/>
          <w:sz w:val="20"/>
          <w:szCs w:val="20"/>
        </w:rPr>
        <w:t xml:space="preserve"> ranging from the atomic scale (such as exploring the effects of chemical composition on mechanical properties</w:t>
      </w:r>
      <w:r w:rsidR="006A5E4B">
        <w:rPr>
          <w:rFonts w:ascii="Times" w:eastAsia="Times" w:hAnsi="Times" w:cs="Times"/>
          <w:sz w:val="20"/>
          <w:szCs w:val="20"/>
        </w:rPr>
        <w:t>,</w:t>
      </w:r>
      <w:r>
        <w:rPr>
          <w:rFonts w:ascii="Times" w:eastAsia="Times" w:hAnsi="Times" w:cs="Times"/>
          <w:sz w:val="20"/>
          <w:szCs w:val="20"/>
        </w:rPr>
        <w:t>) to the macro scale</w:t>
      </w:r>
      <w:r w:rsidR="006A5E4B">
        <w:rPr>
          <w:rFonts w:ascii="Times" w:eastAsia="Times" w:hAnsi="Times" w:cs="Times"/>
          <w:sz w:val="20"/>
          <w:szCs w:val="20"/>
        </w:rPr>
        <w:t>,</w:t>
      </w:r>
      <w:r>
        <w:rPr>
          <w:rFonts w:ascii="Times" w:eastAsia="Times" w:hAnsi="Times" w:cs="Times"/>
          <w:sz w:val="20"/>
          <w:szCs w:val="20"/>
        </w:rPr>
        <w:t xml:space="preserve"> (such as investigating progressive failure of layered</w:t>
      </w:r>
      <w:r w:rsidR="006A5E4B">
        <w:rPr>
          <w:rFonts w:ascii="Times" w:eastAsia="Times" w:hAnsi="Times" w:cs="Times"/>
          <w:sz w:val="20"/>
          <w:szCs w:val="20"/>
        </w:rPr>
        <w:t xml:space="preserve"> or </w:t>
      </w:r>
      <w:r>
        <w:rPr>
          <w:rFonts w:ascii="Times" w:eastAsia="Times" w:hAnsi="Times" w:cs="Times"/>
          <w:sz w:val="20"/>
          <w:szCs w:val="20"/>
        </w:rPr>
        <w:t>hybrid structure</w:t>
      </w:r>
      <w:r w:rsidR="006A5E4B">
        <w:rPr>
          <w:rFonts w:ascii="Times" w:eastAsia="Times" w:hAnsi="Times" w:cs="Times"/>
          <w:sz w:val="20"/>
          <w:szCs w:val="20"/>
        </w:rPr>
        <w:t>s</w:t>
      </w:r>
      <w:r>
        <w:rPr>
          <w:rFonts w:ascii="Times" w:eastAsia="Times" w:hAnsi="Times" w:cs="Times"/>
          <w:sz w:val="20"/>
          <w:szCs w:val="20"/>
        </w:rPr>
        <w:t xml:space="preserve">). Techniques and methods used to formulate these computational models vary substantially with respect to fidelity, computational demands, and complexity </w:t>
      </w:r>
      <w:r w:rsidR="000A2EE1">
        <w:rPr>
          <w:rFonts w:ascii="Times" w:eastAsia="Times" w:hAnsi="Times" w:cs="Times"/>
          <w:sz w:val="20"/>
          <w:szCs w:val="20"/>
        </w:rPr>
        <w:t xml:space="preserve">where the selection is </w:t>
      </w:r>
      <w:r>
        <w:rPr>
          <w:rFonts w:ascii="Times" w:eastAsia="Times" w:hAnsi="Times" w:cs="Times"/>
          <w:sz w:val="20"/>
          <w:szCs w:val="20"/>
        </w:rPr>
        <w:t xml:space="preserve">based on the physical process to be simulated, data quality, and required accuracy. Simulating a specific scenario in a reasonable amount of time, even one with a high dimensionality and complex behaviour, is achievable with today’s computational capabilities. However, </w:t>
      </w:r>
      <w:r>
        <w:rPr>
          <w:rFonts w:ascii="Times New Roman" w:eastAsia="Times New Roman" w:hAnsi="Times New Roman" w:cs="Times New Roman"/>
          <w:sz w:val="20"/>
          <w:szCs w:val="20"/>
        </w:rPr>
        <w:t xml:space="preserve">comprehensive exploration of the design and analysis space to understand the change in structural performance caused by geometry, loading, boundary conditions, and material properties can quickly become intractable, even when utilizing high performance computing (HPC) resources.  </w:t>
      </w:r>
    </w:p>
    <w:p w14:paraId="0000001E" w14:textId="77777777" w:rsidR="00F87ED1" w:rsidRDefault="00F87ED1">
      <w:pPr>
        <w:spacing w:after="0" w:line="240" w:lineRule="auto"/>
        <w:rPr>
          <w:rFonts w:ascii="Times New Roman" w:eastAsia="Times New Roman" w:hAnsi="Times New Roman" w:cs="Times New Roman"/>
          <w:sz w:val="20"/>
          <w:szCs w:val="20"/>
        </w:rPr>
      </w:pPr>
    </w:p>
    <w:p w14:paraId="0000001F" w14:textId="1CEC5423" w:rsidR="00F87ED1" w:rsidRDefault="000826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w:t>
      </w:r>
      <w:r w:rsidR="00EA275E">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curse of dimensionality must therefore be overcome by reducing the parameter space to include only the most influential parameters on the outputs under evaluation and identifying the significant interactions between parameters. Such information then informs </w:t>
      </w:r>
      <w:r w:rsidR="004F7A6E">
        <w:rPr>
          <w:rFonts w:ascii="Times New Roman" w:eastAsia="Times New Roman" w:hAnsi="Times New Roman" w:cs="Times New Roman"/>
          <w:sz w:val="20"/>
          <w:szCs w:val="20"/>
        </w:rPr>
        <w:t>uncertainty quantification</w:t>
      </w:r>
      <w:r>
        <w:rPr>
          <w:rFonts w:ascii="Times New Roman" w:eastAsia="Times New Roman" w:hAnsi="Times New Roman" w:cs="Times New Roman"/>
          <w:sz w:val="20"/>
          <w:szCs w:val="20"/>
        </w:rPr>
        <w:t xml:space="preserve"> and improved model formulation to ensure that the most dominant parameters and behaviours are fully characterized and captured.  Additionally, experimental testing and parameter characterization can then focus on limited data collection to fully quantify the influential input parameters and to better understand significant parameter behaviour </w:t>
      </w:r>
      <w:r w:rsidR="00306514">
        <w:rPr>
          <w:rFonts w:ascii="Times New Roman" w:eastAsia="Times New Roman" w:hAnsi="Times New Roman" w:cs="Times New Roman"/>
          <w:sz w:val="20"/>
          <w:szCs w:val="20"/>
        </w:rPr>
        <w:t xml:space="preserve">and interactions </w:t>
      </w:r>
      <w:r>
        <w:rPr>
          <w:rFonts w:ascii="Times New Roman" w:eastAsia="Times New Roman" w:hAnsi="Times New Roman" w:cs="Times New Roman"/>
          <w:sz w:val="20"/>
          <w:szCs w:val="20"/>
        </w:rPr>
        <w:t>that impact model performance. Identification of the most significant input parameters also informs the development of fast running</w:t>
      </w:r>
      <w:r w:rsidR="00E65D0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yet accurate</w:t>
      </w:r>
      <w:r w:rsidR="00E65D0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lower fidelity models, such as a reduced order surrogate model. Therefore, an approach to efficiently sample the input space so that the model is evaluated as few times as possible while capturing the important statistical properties of the response is </w:t>
      </w:r>
      <w:r w:rsidR="00E65D01">
        <w:rPr>
          <w:rFonts w:ascii="Times New Roman" w:eastAsia="Times New Roman" w:hAnsi="Times New Roman" w:cs="Times New Roman"/>
          <w:sz w:val="20"/>
          <w:szCs w:val="20"/>
        </w:rPr>
        <w:t>essential</w:t>
      </w:r>
      <w:r>
        <w:rPr>
          <w:rFonts w:ascii="Times New Roman" w:eastAsia="Times New Roman" w:hAnsi="Times New Roman" w:cs="Times New Roman"/>
          <w:sz w:val="20"/>
          <w:szCs w:val="20"/>
        </w:rPr>
        <w:t xml:space="preserve"> to </w:t>
      </w:r>
      <w:r w:rsidR="00E65D01">
        <w:rPr>
          <w:rFonts w:ascii="Times New Roman" w:eastAsia="Times New Roman" w:hAnsi="Times New Roman" w:cs="Times New Roman"/>
          <w:sz w:val="20"/>
          <w:szCs w:val="20"/>
        </w:rPr>
        <w:t>inform</w:t>
      </w:r>
      <w:r>
        <w:rPr>
          <w:rFonts w:ascii="Times New Roman" w:eastAsia="Times New Roman" w:hAnsi="Times New Roman" w:cs="Times New Roman"/>
          <w:sz w:val="20"/>
          <w:szCs w:val="20"/>
        </w:rPr>
        <w:t xml:space="preserve"> model development, data collection, and interpretation of the results.</w:t>
      </w:r>
    </w:p>
    <w:p w14:paraId="00000020" w14:textId="77777777" w:rsidR="00F87ED1" w:rsidRDefault="00F87ED1">
      <w:pPr>
        <w:spacing w:after="0" w:line="240" w:lineRule="auto"/>
        <w:rPr>
          <w:rFonts w:ascii="Times New Roman" w:eastAsia="Times New Roman" w:hAnsi="Times New Roman" w:cs="Times New Roman"/>
          <w:sz w:val="20"/>
          <w:szCs w:val="20"/>
        </w:rPr>
      </w:pPr>
    </w:p>
    <w:p w14:paraId="00000021" w14:textId="0B95A14A" w:rsidR="00F87ED1" w:rsidRDefault="000826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Simply put, sensitivity analysis is a method which </w:t>
      </w:r>
      <w:r w:rsidR="007A02B1">
        <w:rPr>
          <w:rFonts w:ascii="Times New Roman" w:eastAsia="Times New Roman" w:hAnsi="Times New Roman" w:cs="Times New Roman"/>
          <w:sz w:val="20"/>
          <w:szCs w:val="20"/>
        </w:rPr>
        <w:t xml:space="preserve">links </w:t>
      </w:r>
      <w:r>
        <w:rPr>
          <w:rFonts w:ascii="Times New Roman" w:eastAsia="Times New Roman" w:hAnsi="Times New Roman" w:cs="Times New Roman"/>
          <w:sz w:val="20"/>
          <w:szCs w:val="20"/>
        </w:rPr>
        <w:t xml:space="preserve">the uncertainty in the output of a computational model </w:t>
      </w:r>
      <w:r w:rsidR="007A02B1">
        <w:rPr>
          <w:rFonts w:ascii="Times New Roman" w:eastAsia="Times New Roman" w:hAnsi="Times New Roman" w:cs="Times New Roman"/>
          <w:sz w:val="20"/>
          <w:szCs w:val="20"/>
        </w:rPr>
        <w:t xml:space="preserve">to </w:t>
      </w:r>
      <w:r>
        <w:rPr>
          <w:rFonts w:ascii="Times New Roman" w:eastAsia="Times New Roman" w:hAnsi="Times New Roman" w:cs="Times New Roman"/>
          <w:sz w:val="20"/>
          <w:szCs w:val="20"/>
        </w:rPr>
        <w:t>the</w:t>
      </w:r>
      <w:r w:rsidR="007A02B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input parameters. While a local sensitivity analysis captures sensitivity relative to an individual parameter, global sensitivity analysis (GSA) evaluates sensitivity with regards to the entire parameter space. Thus, results from a GSA can be used to rank the influence of each parameter on a particular response. While GSA provides the necessary information to identify dominant input parameters, many distinct types of GSA methods exist, presenting a challenge when selecting the optimal approach for a specific problem. This ambiguity is exacerbated as the GSA literature is comprised mostly of papers describing the complex mathematics of the methodology with infrequent cases of application-based studies and conclusions, especially in the field of structural mechanics. Current GSA literature focused on applied problems is concentrated on dissimilar fields to structural mechanics, such as finance, </w:t>
      </w:r>
      <w:r>
        <w:rPr>
          <w:rFonts w:ascii="Times New Roman" w:eastAsia="Times New Roman" w:hAnsi="Times New Roman" w:cs="Times New Roman"/>
          <w:sz w:val="20"/>
          <w:szCs w:val="20"/>
        </w:rPr>
        <w:lastRenderedPageBreak/>
        <w:t>chemistry, and environmental science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1997;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Tarantola</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2005). </w:t>
      </w:r>
    </w:p>
    <w:p w14:paraId="00000022" w14:textId="77777777" w:rsidR="00F87ED1" w:rsidRDefault="00F87ED1">
      <w:pPr>
        <w:spacing w:after="0" w:line="240" w:lineRule="auto"/>
        <w:rPr>
          <w:rFonts w:ascii="Times New Roman" w:eastAsia="Times New Roman" w:hAnsi="Times New Roman" w:cs="Times New Roman"/>
          <w:sz w:val="20"/>
          <w:szCs w:val="20"/>
        </w:rPr>
      </w:pPr>
    </w:p>
    <w:p w14:paraId="00000023" w14:textId="4BAE3C5F" w:rsidR="00F87ED1" w:rsidRDefault="000826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lack of practical guidance for nonexperts and general users when selecting candidate GSA methods promotes the use of inadequate approaches for a given workflow or the implementation of local methods on non-linear problems, which continues to permeate the literature, </w:t>
      </w:r>
      <w:r w:rsidR="00B27654">
        <w:rPr>
          <w:rFonts w:ascii="Times New Roman" w:eastAsia="Times New Roman" w:hAnsi="Times New Roman" w:cs="Times New Roman"/>
          <w:sz w:val="20"/>
          <w:szCs w:val="20"/>
        </w:rPr>
        <w:t>while</w:t>
      </w:r>
      <w:r w:rsidR="00EA23C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 relatively low percentage of engineering specific publications utilize appropriate methods</w:t>
      </w:r>
      <w:r w:rsidR="007A02B1">
        <w:rPr>
          <w:rFonts w:ascii="Times New Roman" w:eastAsia="Times New Roman" w:hAnsi="Times New Roman" w:cs="Times New Roman"/>
          <w:sz w:val="20"/>
          <w:szCs w:val="20"/>
        </w:rPr>
        <w:t>,</w:t>
      </w:r>
      <w:r w:rsidR="007A02B1" w:rsidRPr="007A02B1">
        <w:rPr>
          <w:rFonts w:ascii="Times New Roman" w:eastAsia="Times New Roman" w:hAnsi="Times New Roman" w:cs="Times New Roman"/>
          <w:sz w:val="20"/>
          <w:szCs w:val="20"/>
        </w:rPr>
        <w:t xml:space="preserve"> </w:t>
      </w:r>
      <w:proofErr w:type="spellStart"/>
      <w:r w:rsidR="007A02B1">
        <w:rPr>
          <w:rFonts w:ascii="Times New Roman" w:eastAsia="Times New Roman" w:hAnsi="Times New Roman" w:cs="Times New Roman"/>
          <w:sz w:val="20"/>
          <w:szCs w:val="20"/>
        </w:rPr>
        <w:t>Saltelli</w:t>
      </w:r>
      <w:proofErr w:type="spellEnd"/>
      <w:r w:rsidR="007A02B1">
        <w:rPr>
          <w:rFonts w:ascii="Times New Roman" w:eastAsia="Times New Roman" w:hAnsi="Times New Roman" w:cs="Times New Roman"/>
          <w:sz w:val="20"/>
          <w:szCs w:val="20"/>
        </w:rPr>
        <w:t xml:space="preserve"> et al. (2019)</w:t>
      </w:r>
      <w:r>
        <w:rPr>
          <w:rFonts w:ascii="Times New Roman" w:eastAsia="Times New Roman" w:hAnsi="Times New Roman" w:cs="Times New Roman"/>
          <w:sz w:val="20"/>
          <w:szCs w:val="20"/>
        </w:rPr>
        <w:t xml:space="preserve">. Using an inadequate GSA method for a computational structural mechanics problem leads to the introduction of error, inconclusive results, and the potential for unnecessarily high model dimensionality. Critically, using a GSA method lacking the required functionality also deprives the user of potentially notable discoveries pertaining to parameter behaviour and interactions.  Our aim is to supplement the methodology focused literature with case studies aimed at illuminating the selection of an appropriate GSA method based on modelling and analysis attributes. The GSA methods selected for evaluation are available from open-source code and readily implemented using generally accessible computational hardware/resources. Optimal performance is evaluated based on a variety of criteria including convergence, required resources, and </w:t>
      </w:r>
      <w:r w:rsidR="008E0BED">
        <w:rPr>
          <w:rFonts w:ascii="Times New Roman" w:eastAsia="Times New Roman" w:hAnsi="Times New Roman" w:cs="Times New Roman"/>
          <w:sz w:val="20"/>
          <w:szCs w:val="20"/>
        </w:rPr>
        <w:t xml:space="preserve">relative </w:t>
      </w:r>
      <w:r>
        <w:rPr>
          <w:rFonts w:ascii="Times New Roman" w:eastAsia="Times New Roman" w:hAnsi="Times New Roman" w:cs="Times New Roman"/>
          <w:sz w:val="20"/>
          <w:szCs w:val="20"/>
        </w:rPr>
        <w:t>accuracy.</w:t>
      </w:r>
    </w:p>
    <w:p w14:paraId="00000024" w14:textId="77777777" w:rsidR="00F87ED1" w:rsidRDefault="00082627">
      <w:pPr>
        <w:pStyle w:val="Heading1"/>
        <w:tabs>
          <w:tab w:val="center" w:pos="4800"/>
          <w:tab w:val="right" w:pos="9500"/>
        </w:tabs>
        <w:rPr>
          <w:rFonts w:ascii="Times New Roman" w:eastAsia="Times New Roman" w:hAnsi="Times New Roman"/>
          <w:color w:val="000052"/>
          <w:sz w:val="20"/>
          <w:szCs w:val="20"/>
        </w:rPr>
      </w:pPr>
      <w:r>
        <w:rPr>
          <w:rFonts w:ascii="Times New Roman" w:eastAsia="Times New Roman" w:hAnsi="Times New Roman"/>
          <w:color w:val="000052"/>
          <w:sz w:val="20"/>
          <w:szCs w:val="20"/>
        </w:rPr>
        <w:t xml:space="preserve">2. Overview of GSA methods </w:t>
      </w:r>
    </w:p>
    <w:p w14:paraId="00000025" w14:textId="3F05104A" w:rsidR="00F87ED1" w:rsidRDefault="00082627">
      <w:pPr>
        <w:rPr>
          <w:rFonts w:ascii="Times New Roman" w:eastAsia="Times New Roman" w:hAnsi="Times New Roman" w:cs="Times New Roman"/>
          <w:b/>
          <w:sz w:val="20"/>
          <w:szCs w:val="20"/>
        </w:rPr>
      </w:pPr>
      <w:r>
        <w:rPr>
          <w:rFonts w:ascii="Times New Roman" w:eastAsia="Times New Roman" w:hAnsi="Times New Roman" w:cs="Times New Roman"/>
          <w:sz w:val="20"/>
          <w:szCs w:val="20"/>
        </w:rPr>
        <w:t>GSA method selection was based on popularity, documentation, open-source availability, and computational resource requirements. A total of five GSA methods were evaluated representing a range of mathematical approaches, namely Sobol’ Indices, Morris Method, Extended Fourier Amplitude Sensitivity Test (EFAST</w:t>
      </w:r>
      <w:proofErr w:type="gramStart"/>
      <w:r>
        <w:rPr>
          <w:rFonts w:ascii="Times New Roman" w:eastAsia="Times New Roman" w:hAnsi="Times New Roman" w:cs="Times New Roman"/>
          <w:sz w:val="20"/>
          <w:szCs w:val="20"/>
        </w:rPr>
        <w:t>),Random</w:t>
      </w:r>
      <w:proofErr w:type="gramEnd"/>
      <w:r>
        <w:rPr>
          <w:rFonts w:ascii="Times New Roman" w:eastAsia="Times New Roman" w:hAnsi="Times New Roman" w:cs="Times New Roman"/>
          <w:sz w:val="20"/>
          <w:szCs w:val="20"/>
        </w:rPr>
        <w:t xml:space="preserve"> Sampling-High Dimensional Model Representation (RS-HDMR), and Derivative-Based Global Sensitivity Measure (DGSM). Each of these methods w</w:t>
      </w:r>
      <w:r w:rsidR="00CE70D9">
        <w:rPr>
          <w:rFonts w:ascii="Times New Roman" w:eastAsia="Times New Roman" w:hAnsi="Times New Roman" w:cs="Times New Roman"/>
          <w:sz w:val="20"/>
          <w:szCs w:val="20"/>
        </w:rPr>
        <w:t>ere</w:t>
      </w:r>
      <w:r>
        <w:rPr>
          <w:rFonts w:ascii="Times New Roman" w:eastAsia="Times New Roman" w:hAnsi="Times New Roman" w:cs="Times New Roman"/>
          <w:sz w:val="20"/>
          <w:szCs w:val="20"/>
        </w:rPr>
        <w:t xml:space="preserve"> analysed using sampling methods considered to be optimal by the literature, and a brief mathematical/conceptual overview of each method is included. Table 1 compares various functionalities of each method along with a reference for additional information</w:t>
      </w:r>
      <w:r w:rsidR="00CE70D9">
        <w:rPr>
          <w:rFonts w:ascii="Times New Roman" w:eastAsia="Times New Roman" w:hAnsi="Times New Roman" w:cs="Times New Roman"/>
          <w:sz w:val="20"/>
          <w:szCs w:val="20"/>
        </w:rPr>
        <w:t>, where the ability to estimate the first</w:t>
      </w:r>
      <w:r w:rsidR="003C0944">
        <w:rPr>
          <w:rFonts w:ascii="Times New Roman" w:eastAsia="Times New Roman" w:hAnsi="Times New Roman" w:cs="Times New Roman"/>
          <w:sz w:val="20"/>
          <w:szCs w:val="20"/>
        </w:rPr>
        <w:t xml:space="preserve"> (Si), </w:t>
      </w:r>
      <w:r w:rsidR="00CE70D9">
        <w:rPr>
          <w:rFonts w:ascii="Times New Roman" w:eastAsia="Times New Roman" w:hAnsi="Times New Roman" w:cs="Times New Roman"/>
          <w:sz w:val="20"/>
          <w:szCs w:val="20"/>
        </w:rPr>
        <w:t>total</w:t>
      </w:r>
      <w:r w:rsidR="003C0944">
        <w:rPr>
          <w:rFonts w:ascii="Times New Roman" w:eastAsia="Times New Roman" w:hAnsi="Times New Roman" w:cs="Times New Roman"/>
          <w:sz w:val="20"/>
          <w:szCs w:val="20"/>
        </w:rPr>
        <w:t xml:space="preserve"> (ST), and higher</w:t>
      </w:r>
      <w:r w:rsidR="00CE70D9">
        <w:rPr>
          <w:rFonts w:ascii="Times New Roman" w:eastAsia="Times New Roman" w:hAnsi="Times New Roman" w:cs="Times New Roman"/>
          <w:sz w:val="20"/>
          <w:szCs w:val="20"/>
        </w:rPr>
        <w:t xml:space="preserve"> order</w:t>
      </w:r>
      <w:r w:rsidR="003C0944">
        <w:rPr>
          <w:rFonts w:ascii="Times New Roman" w:eastAsia="Times New Roman" w:hAnsi="Times New Roman" w:cs="Times New Roman"/>
          <w:sz w:val="20"/>
          <w:szCs w:val="20"/>
        </w:rPr>
        <w:t xml:space="preserve"> (n-order) </w:t>
      </w:r>
      <w:r w:rsidR="00CE70D9">
        <w:rPr>
          <w:rFonts w:ascii="Times New Roman" w:eastAsia="Times New Roman" w:hAnsi="Times New Roman" w:cs="Times New Roman"/>
          <w:sz w:val="20"/>
          <w:szCs w:val="20"/>
        </w:rPr>
        <w:t>sensitivity measures is noted</w:t>
      </w:r>
      <w:r>
        <w:rPr>
          <w:rFonts w:ascii="Times New Roman" w:eastAsia="Times New Roman" w:hAnsi="Times New Roman" w:cs="Times New Roman"/>
          <w:sz w:val="20"/>
          <w:szCs w:val="20"/>
        </w:rPr>
        <w:t xml:space="preserve">. </w:t>
      </w:r>
      <w:r w:rsidR="003C0944">
        <w:rPr>
          <w:rFonts w:ascii="Times New Roman" w:eastAsia="Times New Roman" w:hAnsi="Times New Roman" w:cs="Times New Roman"/>
          <w:sz w:val="20"/>
          <w:szCs w:val="20"/>
        </w:rPr>
        <w:t>The first order sensitivity measure is a parameter’s estimated contribution to the variance of the model output independent of possible interaction with other parameters. The total order sensitivity measure is a parameter’s estimated contribution to a model’s variance inclusive of interactions between all other model parameters. A methods ability to estimate a parameter’s n-order sensitivity measures allows for the inspection of the parameter’s contribution to the model variance while including interactive effects from n number of parameters, where a 2</w:t>
      </w:r>
      <w:r w:rsidR="003C0944" w:rsidRPr="003C0944">
        <w:rPr>
          <w:rFonts w:ascii="Times New Roman" w:eastAsia="Times New Roman" w:hAnsi="Times New Roman" w:cs="Times New Roman"/>
          <w:sz w:val="20"/>
          <w:szCs w:val="20"/>
          <w:vertAlign w:val="superscript"/>
        </w:rPr>
        <w:t>nd</w:t>
      </w:r>
      <w:r w:rsidR="003C0944">
        <w:rPr>
          <w:rFonts w:ascii="Times New Roman" w:eastAsia="Times New Roman" w:hAnsi="Times New Roman" w:cs="Times New Roman"/>
          <w:sz w:val="20"/>
          <w:szCs w:val="20"/>
        </w:rPr>
        <w:t xml:space="preserve"> order interaction would yield a parameter’s estimated contribution inclusive of interaction from a second parameter. </w:t>
      </w:r>
      <w:r>
        <w:rPr>
          <w:rFonts w:ascii="Times New Roman" w:eastAsia="Times New Roman" w:hAnsi="Times New Roman" w:cs="Times New Roman"/>
          <w:sz w:val="20"/>
          <w:szCs w:val="20"/>
        </w:rPr>
        <w:t>Although the Morris method and the DGSM do not calculate first order measures, these methods were included in this study due to their application in grouping/screening</w:t>
      </w:r>
      <w:r w:rsidR="00964158">
        <w:rPr>
          <w:rFonts w:ascii="Times New Roman" w:eastAsia="Times New Roman" w:hAnsi="Times New Roman" w:cs="Times New Roman"/>
          <w:sz w:val="20"/>
          <w:szCs w:val="20"/>
        </w:rPr>
        <w:t xml:space="preserve"> procedures</w:t>
      </w:r>
      <w:r>
        <w:rPr>
          <w:rFonts w:ascii="Times New Roman" w:eastAsia="Times New Roman" w:hAnsi="Times New Roman" w:cs="Times New Roman"/>
          <w:sz w:val="20"/>
          <w:szCs w:val="20"/>
        </w:rPr>
        <w:t xml:space="preserve"> where they are commonly used as an initial step to reduce model dimensionality prior to employing more computationally expensive variance-based methods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2008;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2006). All investigated methods are readily implemented using consumer grade workstations (do not require HPC access) and are available in the open-source python library, SALib (Herman, 2017). </w:t>
      </w:r>
    </w:p>
    <w:p w14:paraId="00000026" w14:textId="77777777" w:rsidR="00F87ED1" w:rsidRDefault="0008262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1. Comparison of the GSA methods </w:t>
      </w:r>
    </w:p>
    <w:tbl>
      <w:tblPr>
        <w:tblStyle w:val="a"/>
        <w:tblW w:w="9625" w:type="dxa"/>
        <w:jc w:val="center"/>
        <w:tblLayout w:type="fixed"/>
        <w:tblLook w:val="0400" w:firstRow="0" w:lastRow="0" w:firstColumn="0" w:lastColumn="0" w:noHBand="0" w:noVBand="1"/>
      </w:tblPr>
      <w:tblGrid>
        <w:gridCol w:w="985"/>
        <w:gridCol w:w="720"/>
        <w:gridCol w:w="720"/>
        <w:gridCol w:w="720"/>
        <w:gridCol w:w="1260"/>
        <w:gridCol w:w="1530"/>
        <w:gridCol w:w="1170"/>
        <w:gridCol w:w="1260"/>
        <w:gridCol w:w="1260"/>
      </w:tblGrid>
      <w:tr w:rsidR="00F87ED1" w14:paraId="4B81A1FC" w14:textId="77777777">
        <w:trPr>
          <w:trHeight w:val="315"/>
          <w:jc w:val="center"/>
        </w:trPr>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027" w14:textId="77777777" w:rsidR="00F87ED1" w:rsidRDefault="0008262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40" w:type="dxa"/>
            <w:gridSpan w:val="8"/>
            <w:tcBorders>
              <w:top w:val="single" w:sz="4" w:space="0" w:color="000000"/>
              <w:left w:val="nil"/>
              <w:bottom w:val="single" w:sz="4" w:space="0" w:color="000000"/>
              <w:right w:val="single" w:sz="4" w:space="0" w:color="000000"/>
            </w:tcBorders>
            <w:shd w:val="clear" w:color="auto" w:fill="auto"/>
            <w:vAlign w:val="center"/>
          </w:tcPr>
          <w:p w14:paraId="00000028"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Capabilities</w:t>
            </w:r>
          </w:p>
        </w:tc>
      </w:tr>
      <w:tr w:rsidR="00F87ED1" w14:paraId="473019A3" w14:textId="77777777">
        <w:trPr>
          <w:trHeight w:val="315"/>
          <w:jc w:val="center"/>
        </w:trPr>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030" w14:textId="77777777" w:rsidR="00F87ED1" w:rsidRDefault="00F87ED1">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720" w:type="dxa"/>
            <w:tcBorders>
              <w:top w:val="nil"/>
              <w:left w:val="nil"/>
              <w:bottom w:val="single" w:sz="4" w:space="0" w:color="000000"/>
              <w:right w:val="single" w:sz="4" w:space="0" w:color="000000"/>
            </w:tcBorders>
            <w:shd w:val="clear" w:color="auto" w:fill="auto"/>
            <w:vAlign w:val="center"/>
          </w:tcPr>
          <w:p w14:paraId="00000031"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First Order </w:t>
            </w:r>
          </w:p>
        </w:tc>
        <w:tc>
          <w:tcPr>
            <w:tcW w:w="720" w:type="dxa"/>
            <w:tcBorders>
              <w:top w:val="nil"/>
              <w:left w:val="nil"/>
              <w:bottom w:val="single" w:sz="4" w:space="0" w:color="000000"/>
              <w:right w:val="single" w:sz="4" w:space="0" w:color="000000"/>
            </w:tcBorders>
            <w:shd w:val="clear" w:color="auto" w:fill="auto"/>
            <w:vAlign w:val="center"/>
          </w:tcPr>
          <w:p w14:paraId="00000032"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Total Order </w:t>
            </w:r>
          </w:p>
        </w:tc>
        <w:tc>
          <w:tcPr>
            <w:tcW w:w="720" w:type="dxa"/>
            <w:tcBorders>
              <w:top w:val="nil"/>
              <w:left w:val="nil"/>
              <w:bottom w:val="single" w:sz="4" w:space="0" w:color="000000"/>
              <w:right w:val="single" w:sz="4" w:space="0" w:color="000000"/>
            </w:tcBorders>
            <w:shd w:val="clear" w:color="auto" w:fill="auto"/>
            <w:vAlign w:val="center"/>
          </w:tcPr>
          <w:p w14:paraId="00000033"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n-Order </w:t>
            </w:r>
          </w:p>
        </w:tc>
        <w:tc>
          <w:tcPr>
            <w:tcW w:w="1260" w:type="dxa"/>
            <w:tcBorders>
              <w:top w:val="nil"/>
              <w:left w:val="nil"/>
              <w:bottom w:val="single" w:sz="4" w:space="0" w:color="000000"/>
              <w:right w:val="single" w:sz="4" w:space="0" w:color="000000"/>
            </w:tcBorders>
            <w:shd w:val="clear" w:color="auto" w:fill="auto"/>
            <w:vAlign w:val="center"/>
          </w:tcPr>
          <w:p w14:paraId="00000034"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Quantitative </w:t>
            </w:r>
          </w:p>
        </w:tc>
        <w:tc>
          <w:tcPr>
            <w:tcW w:w="1530" w:type="dxa"/>
            <w:tcBorders>
              <w:top w:val="nil"/>
              <w:left w:val="nil"/>
              <w:bottom w:val="single" w:sz="4" w:space="0" w:color="000000"/>
              <w:right w:val="single" w:sz="4" w:space="0" w:color="000000"/>
            </w:tcBorders>
            <w:shd w:val="clear" w:color="auto" w:fill="auto"/>
            <w:vAlign w:val="center"/>
          </w:tcPr>
          <w:p w14:paraId="00000035"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Sampling Method</w:t>
            </w:r>
          </w:p>
        </w:tc>
        <w:tc>
          <w:tcPr>
            <w:tcW w:w="1170" w:type="dxa"/>
            <w:tcBorders>
              <w:top w:val="nil"/>
              <w:left w:val="nil"/>
              <w:bottom w:val="single" w:sz="4" w:space="0" w:color="000000"/>
              <w:right w:val="single" w:sz="4" w:space="0" w:color="000000"/>
            </w:tcBorders>
            <w:shd w:val="clear" w:color="auto" w:fill="auto"/>
            <w:vAlign w:val="center"/>
          </w:tcPr>
          <w:p w14:paraId="00000036"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Sample Size Limitations </w:t>
            </w:r>
          </w:p>
        </w:tc>
        <w:tc>
          <w:tcPr>
            <w:tcW w:w="1260" w:type="dxa"/>
            <w:tcBorders>
              <w:top w:val="nil"/>
              <w:left w:val="nil"/>
              <w:bottom w:val="single" w:sz="4" w:space="0" w:color="000000"/>
              <w:right w:val="single" w:sz="4" w:space="0" w:color="000000"/>
            </w:tcBorders>
            <w:shd w:val="clear" w:color="auto" w:fill="auto"/>
            <w:vAlign w:val="center"/>
          </w:tcPr>
          <w:p w14:paraId="00000037"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Algorithmic Basis</w:t>
            </w:r>
          </w:p>
        </w:tc>
        <w:tc>
          <w:tcPr>
            <w:tcW w:w="1260" w:type="dxa"/>
            <w:tcBorders>
              <w:top w:val="nil"/>
              <w:left w:val="nil"/>
              <w:bottom w:val="single" w:sz="4" w:space="0" w:color="000000"/>
              <w:right w:val="single" w:sz="4" w:space="0" w:color="000000"/>
            </w:tcBorders>
            <w:shd w:val="clear" w:color="auto" w:fill="auto"/>
            <w:vAlign w:val="center"/>
          </w:tcPr>
          <w:p w14:paraId="00000038"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Primary Citation</w:t>
            </w:r>
          </w:p>
        </w:tc>
      </w:tr>
      <w:tr w:rsidR="00F87ED1" w14:paraId="1B545AEF"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00000039"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Sobol </w:t>
            </w:r>
          </w:p>
        </w:tc>
        <w:tc>
          <w:tcPr>
            <w:tcW w:w="720" w:type="dxa"/>
            <w:tcBorders>
              <w:top w:val="nil"/>
              <w:left w:val="nil"/>
              <w:bottom w:val="single" w:sz="4" w:space="0" w:color="000000"/>
              <w:right w:val="single" w:sz="4" w:space="0" w:color="000000"/>
            </w:tcBorders>
            <w:shd w:val="clear" w:color="auto" w:fill="auto"/>
            <w:vAlign w:val="center"/>
          </w:tcPr>
          <w:p w14:paraId="0000003A"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Yes </w:t>
            </w:r>
          </w:p>
        </w:tc>
        <w:tc>
          <w:tcPr>
            <w:tcW w:w="720" w:type="dxa"/>
            <w:tcBorders>
              <w:top w:val="nil"/>
              <w:left w:val="nil"/>
              <w:bottom w:val="single" w:sz="4" w:space="0" w:color="000000"/>
              <w:right w:val="single" w:sz="4" w:space="0" w:color="000000"/>
            </w:tcBorders>
            <w:shd w:val="clear" w:color="auto" w:fill="auto"/>
            <w:vAlign w:val="center"/>
          </w:tcPr>
          <w:p w14:paraId="0000003B"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720" w:type="dxa"/>
            <w:tcBorders>
              <w:top w:val="nil"/>
              <w:left w:val="nil"/>
              <w:bottom w:val="single" w:sz="4" w:space="0" w:color="000000"/>
              <w:right w:val="single" w:sz="4" w:space="0" w:color="000000"/>
            </w:tcBorders>
            <w:shd w:val="clear" w:color="auto" w:fill="auto"/>
            <w:vAlign w:val="center"/>
          </w:tcPr>
          <w:p w14:paraId="0000003C"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260" w:type="dxa"/>
            <w:tcBorders>
              <w:top w:val="nil"/>
              <w:left w:val="nil"/>
              <w:bottom w:val="single" w:sz="4" w:space="0" w:color="000000"/>
              <w:right w:val="single" w:sz="4" w:space="0" w:color="000000"/>
            </w:tcBorders>
            <w:shd w:val="clear" w:color="auto" w:fill="auto"/>
            <w:vAlign w:val="center"/>
          </w:tcPr>
          <w:p w14:paraId="0000003D"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530" w:type="dxa"/>
            <w:tcBorders>
              <w:top w:val="nil"/>
              <w:left w:val="nil"/>
              <w:bottom w:val="single" w:sz="4" w:space="0" w:color="000000"/>
              <w:right w:val="single" w:sz="4" w:space="0" w:color="000000"/>
            </w:tcBorders>
            <w:shd w:val="clear" w:color="auto" w:fill="auto"/>
            <w:vAlign w:val="center"/>
          </w:tcPr>
          <w:p w14:paraId="0000003E" w14:textId="77777777" w:rsidR="00F87ED1" w:rsidRDefault="00082627">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Saltelli</w:t>
            </w:r>
            <w:proofErr w:type="spellEnd"/>
            <w:r>
              <w:rPr>
                <w:rFonts w:ascii="Times New Roman" w:eastAsia="Times New Roman" w:hAnsi="Times New Roman" w:cs="Times New Roman"/>
                <w:color w:val="000000"/>
                <w:sz w:val="18"/>
                <w:szCs w:val="18"/>
              </w:rPr>
              <w:t xml:space="preserve"> Extension – Sobol’ Sequence</w:t>
            </w:r>
          </w:p>
        </w:tc>
        <w:tc>
          <w:tcPr>
            <w:tcW w:w="1170" w:type="dxa"/>
            <w:tcBorders>
              <w:top w:val="nil"/>
              <w:left w:val="nil"/>
              <w:bottom w:val="single" w:sz="4" w:space="0" w:color="000000"/>
              <w:right w:val="single" w:sz="4" w:space="0" w:color="000000"/>
            </w:tcBorders>
            <w:shd w:val="clear" w:color="auto" w:fill="auto"/>
            <w:vAlign w:val="center"/>
          </w:tcPr>
          <w:p w14:paraId="0000003F"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260" w:type="dxa"/>
            <w:tcBorders>
              <w:top w:val="nil"/>
              <w:left w:val="nil"/>
              <w:bottom w:val="single" w:sz="4" w:space="0" w:color="000000"/>
              <w:right w:val="single" w:sz="4" w:space="0" w:color="000000"/>
            </w:tcBorders>
            <w:shd w:val="clear" w:color="auto" w:fill="auto"/>
            <w:vAlign w:val="center"/>
          </w:tcPr>
          <w:p w14:paraId="00000040"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Variance </w:t>
            </w:r>
          </w:p>
        </w:tc>
        <w:tc>
          <w:tcPr>
            <w:tcW w:w="1260" w:type="dxa"/>
            <w:tcBorders>
              <w:top w:val="nil"/>
              <w:left w:val="nil"/>
              <w:bottom w:val="single" w:sz="4" w:space="0" w:color="000000"/>
              <w:right w:val="single" w:sz="4" w:space="0" w:color="000000"/>
            </w:tcBorders>
            <w:shd w:val="clear" w:color="auto" w:fill="auto"/>
            <w:vAlign w:val="center"/>
          </w:tcPr>
          <w:p w14:paraId="00000041" w14:textId="77777777" w:rsidR="00F87ED1" w:rsidRDefault="00082627">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Saltelli</w:t>
            </w:r>
            <w:proofErr w:type="spellEnd"/>
            <w:r>
              <w:rPr>
                <w:rFonts w:ascii="Times New Roman" w:eastAsia="Times New Roman" w:hAnsi="Times New Roman" w:cs="Times New Roman"/>
                <w:color w:val="000000"/>
                <w:sz w:val="18"/>
                <w:szCs w:val="18"/>
              </w:rPr>
              <w:t xml:space="preserve"> et al. </w:t>
            </w:r>
            <w:r>
              <w:rPr>
                <w:rFonts w:ascii="Times New Roman" w:eastAsia="Times New Roman" w:hAnsi="Times New Roman" w:cs="Times New Roman"/>
                <w:sz w:val="18"/>
                <w:szCs w:val="18"/>
              </w:rPr>
              <w:t>(2010)</w:t>
            </w:r>
          </w:p>
        </w:tc>
      </w:tr>
      <w:tr w:rsidR="00F87ED1" w14:paraId="0E3138B3"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00000042"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Morris</w:t>
            </w:r>
          </w:p>
        </w:tc>
        <w:tc>
          <w:tcPr>
            <w:tcW w:w="720" w:type="dxa"/>
            <w:tcBorders>
              <w:top w:val="nil"/>
              <w:left w:val="nil"/>
              <w:bottom w:val="single" w:sz="4" w:space="0" w:color="000000"/>
              <w:right w:val="single" w:sz="4" w:space="0" w:color="000000"/>
            </w:tcBorders>
            <w:shd w:val="clear" w:color="auto" w:fill="auto"/>
            <w:vAlign w:val="center"/>
          </w:tcPr>
          <w:p w14:paraId="00000043"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720" w:type="dxa"/>
            <w:tcBorders>
              <w:top w:val="nil"/>
              <w:left w:val="nil"/>
              <w:bottom w:val="single" w:sz="4" w:space="0" w:color="000000"/>
              <w:right w:val="single" w:sz="4" w:space="0" w:color="000000"/>
            </w:tcBorders>
            <w:shd w:val="clear" w:color="auto" w:fill="auto"/>
            <w:vAlign w:val="center"/>
          </w:tcPr>
          <w:p w14:paraId="00000044"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720" w:type="dxa"/>
            <w:tcBorders>
              <w:top w:val="nil"/>
              <w:left w:val="nil"/>
              <w:bottom w:val="single" w:sz="4" w:space="0" w:color="000000"/>
              <w:right w:val="single" w:sz="4" w:space="0" w:color="000000"/>
            </w:tcBorders>
            <w:shd w:val="clear" w:color="auto" w:fill="auto"/>
            <w:vAlign w:val="center"/>
          </w:tcPr>
          <w:p w14:paraId="00000045"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260" w:type="dxa"/>
            <w:tcBorders>
              <w:top w:val="nil"/>
              <w:left w:val="nil"/>
              <w:bottom w:val="single" w:sz="4" w:space="0" w:color="000000"/>
              <w:right w:val="single" w:sz="4" w:space="0" w:color="000000"/>
            </w:tcBorders>
            <w:shd w:val="clear" w:color="auto" w:fill="auto"/>
            <w:vAlign w:val="center"/>
          </w:tcPr>
          <w:p w14:paraId="00000046"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530" w:type="dxa"/>
            <w:tcBorders>
              <w:top w:val="nil"/>
              <w:left w:val="nil"/>
              <w:bottom w:val="single" w:sz="4" w:space="0" w:color="000000"/>
              <w:right w:val="single" w:sz="4" w:space="0" w:color="000000"/>
            </w:tcBorders>
            <w:shd w:val="clear" w:color="auto" w:fill="auto"/>
            <w:vAlign w:val="center"/>
          </w:tcPr>
          <w:p w14:paraId="00000047" w14:textId="77777777" w:rsidR="00F87ED1" w:rsidRDefault="00082627">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Campolongo</w:t>
            </w:r>
            <w:proofErr w:type="spellEnd"/>
            <w:r>
              <w:rPr>
                <w:rFonts w:ascii="Times New Roman" w:eastAsia="Times New Roman" w:hAnsi="Times New Roman" w:cs="Times New Roman"/>
                <w:color w:val="000000"/>
                <w:sz w:val="18"/>
                <w:szCs w:val="18"/>
              </w:rPr>
              <w:t xml:space="preserve"> –Trajectories</w:t>
            </w:r>
          </w:p>
        </w:tc>
        <w:tc>
          <w:tcPr>
            <w:tcW w:w="1170" w:type="dxa"/>
            <w:tcBorders>
              <w:top w:val="nil"/>
              <w:left w:val="nil"/>
              <w:bottom w:val="single" w:sz="4" w:space="0" w:color="000000"/>
              <w:right w:val="single" w:sz="4" w:space="0" w:color="000000"/>
            </w:tcBorders>
            <w:shd w:val="clear" w:color="auto" w:fill="auto"/>
            <w:vAlign w:val="center"/>
          </w:tcPr>
          <w:p w14:paraId="00000048"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260" w:type="dxa"/>
            <w:tcBorders>
              <w:top w:val="nil"/>
              <w:left w:val="nil"/>
              <w:bottom w:val="single" w:sz="4" w:space="0" w:color="000000"/>
              <w:right w:val="single" w:sz="4" w:space="0" w:color="000000"/>
            </w:tcBorders>
            <w:shd w:val="clear" w:color="auto" w:fill="auto"/>
            <w:vAlign w:val="center"/>
          </w:tcPr>
          <w:p w14:paraId="00000049"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Derivative</w:t>
            </w:r>
          </w:p>
        </w:tc>
        <w:tc>
          <w:tcPr>
            <w:tcW w:w="1260" w:type="dxa"/>
            <w:tcBorders>
              <w:top w:val="nil"/>
              <w:left w:val="nil"/>
              <w:bottom w:val="single" w:sz="4" w:space="0" w:color="000000"/>
              <w:right w:val="single" w:sz="4" w:space="0" w:color="000000"/>
            </w:tcBorders>
            <w:shd w:val="clear" w:color="auto" w:fill="auto"/>
            <w:vAlign w:val="center"/>
          </w:tcPr>
          <w:p w14:paraId="0000004A" w14:textId="77777777" w:rsidR="00F87ED1" w:rsidRDefault="00082627">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Campolongo</w:t>
            </w:r>
            <w:proofErr w:type="spellEnd"/>
            <w:r>
              <w:rPr>
                <w:rFonts w:ascii="Times New Roman" w:eastAsia="Times New Roman" w:hAnsi="Times New Roman" w:cs="Times New Roman"/>
                <w:color w:val="000000"/>
                <w:sz w:val="18"/>
                <w:szCs w:val="18"/>
              </w:rPr>
              <w:t xml:space="preserve"> et al. (2007)</w:t>
            </w:r>
          </w:p>
        </w:tc>
      </w:tr>
      <w:tr w:rsidR="00F87ED1" w14:paraId="1158F582"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0000004B"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EFAST</w:t>
            </w:r>
          </w:p>
        </w:tc>
        <w:tc>
          <w:tcPr>
            <w:tcW w:w="720" w:type="dxa"/>
            <w:tcBorders>
              <w:top w:val="nil"/>
              <w:left w:val="nil"/>
              <w:bottom w:val="single" w:sz="4" w:space="0" w:color="000000"/>
              <w:right w:val="single" w:sz="4" w:space="0" w:color="000000"/>
            </w:tcBorders>
            <w:shd w:val="clear" w:color="auto" w:fill="auto"/>
            <w:vAlign w:val="center"/>
          </w:tcPr>
          <w:p w14:paraId="0000004C"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Yes </w:t>
            </w:r>
          </w:p>
        </w:tc>
        <w:tc>
          <w:tcPr>
            <w:tcW w:w="720" w:type="dxa"/>
            <w:tcBorders>
              <w:top w:val="nil"/>
              <w:left w:val="nil"/>
              <w:bottom w:val="single" w:sz="4" w:space="0" w:color="000000"/>
              <w:right w:val="single" w:sz="4" w:space="0" w:color="000000"/>
            </w:tcBorders>
            <w:shd w:val="clear" w:color="auto" w:fill="auto"/>
            <w:vAlign w:val="center"/>
          </w:tcPr>
          <w:p w14:paraId="0000004D"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720" w:type="dxa"/>
            <w:tcBorders>
              <w:top w:val="nil"/>
              <w:left w:val="nil"/>
              <w:bottom w:val="single" w:sz="4" w:space="0" w:color="000000"/>
              <w:right w:val="single" w:sz="4" w:space="0" w:color="000000"/>
            </w:tcBorders>
            <w:shd w:val="clear" w:color="auto" w:fill="auto"/>
            <w:vAlign w:val="center"/>
          </w:tcPr>
          <w:p w14:paraId="0000004E"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260" w:type="dxa"/>
            <w:tcBorders>
              <w:top w:val="nil"/>
              <w:left w:val="nil"/>
              <w:bottom w:val="single" w:sz="4" w:space="0" w:color="000000"/>
              <w:right w:val="single" w:sz="4" w:space="0" w:color="000000"/>
            </w:tcBorders>
            <w:shd w:val="clear" w:color="auto" w:fill="auto"/>
            <w:vAlign w:val="center"/>
          </w:tcPr>
          <w:p w14:paraId="0000004F"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530" w:type="dxa"/>
            <w:tcBorders>
              <w:top w:val="nil"/>
              <w:left w:val="nil"/>
              <w:bottom w:val="single" w:sz="4" w:space="0" w:color="000000"/>
              <w:right w:val="single" w:sz="4" w:space="0" w:color="000000"/>
            </w:tcBorders>
            <w:shd w:val="clear" w:color="auto" w:fill="auto"/>
            <w:vAlign w:val="center"/>
          </w:tcPr>
          <w:p w14:paraId="00000050"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Search-Curve – </w:t>
            </w:r>
            <w:proofErr w:type="spellStart"/>
            <w:r>
              <w:rPr>
                <w:rFonts w:ascii="Times New Roman" w:eastAsia="Times New Roman" w:hAnsi="Times New Roman" w:cs="Times New Roman"/>
                <w:color w:val="000000"/>
                <w:sz w:val="18"/>
                <w:szCs w:val="18"/>
              </w:rPr>
              <w:t>Saltelli</w:t>
            </w:r>
            <w:proofErr w:type="spellEnd"/>
            <w:r>
              <w:rPr>
                <w:rFonts w:ascii="Times New Roman" w:eastAsia="Times New Roman" w:hAnsi="Times New Roman" w:cs="Times New Roman"/>
                <w:color w:val="000000"/>
                <w:sz w:val="18"/>
                <w:szCs w:val="18"/>
              </w:rPr>
              <w:t xml:space="preserve"> Proposed Transformation</w:t>
            </w:r>
          </w:p>
        </w:tc>
        <w:tc>
          <w:tcPr>
            <w:tcW w:w="1170" w:type="dxa"/>
            <w:tcBorders>
              <w:top w:val="nil"/>
              <w:left w:val="nil"/>
              <w:bottom w:val="single" w:sz="4" w:space="0" w:color="000000"/>
              <w:right w:val="single" w:sz="4" w:space="0" w:color="000000"/>
            </w:tcBorders>
            <w:shd w:val="clear" w:color="auto" w:fill="auto"/>
            <w:vAlign w:val="center"/>
          </w:tcPr>
          <w:p w14:paraId="00000051"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260" w:type="dxa"/>
            <w:tcBorders>
              <w:top w:val="nil"/>
              <w:left w:val="nil"/>
              <w:bottom w:val="single" w:sz="4" w:space="0" w:color="000000"/>
              <w:right w:val="single" w:sz="4" w:space="0" w:color="000000"/>
            </w:tcBorders>
            <w:shd w:val="clear" w:color="auto" w:fill="auto"/>
            <w:vAlign w:val="center"/>
          </w:tcPr>
          <w:p w14:paraId="00000052"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Variance </w:t>
            </w:r>
          </w:p>
        </w:tc>
        <w:tc>
          <w:tcPr>
            <w:tcW w:w="1260" w:type="dxa"/>
            <w:tcBorders>
              <w:top w:val="nil"/>
              <w:left w:val="nil"/>
              <w:bottom w:val="single" w:sz="4" w:space="0" w:color="000000"/>
              <w:right w:val="single" w:sz="4" w:space="0" w:color="000000"/>
            </w:tcBorders>
            <w:shd w:val="clear" w:color="auto" w:fill="auto"/>
            <w:vAlign w:val="center"/>
          </w:tcPr>
          <w:p w14:paraId="00000053" w14:textId="77777777" w:rsidR="00F87ED1" w:rsidRDefault="00082627">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Saltelli</w:t>
            </w:r>
            <w:proofErr w:type="spellEnd"/>
            <w:r>
              <w:rPr>
                <w:rFonts w:ascii="Times New Roman" w:eastAsia="Times New Roman" w:hAnsi="Times New Roman" w:cs="Times New Roman"/>
                <w:color w:val="000000"/>
                <w:sz w:val="18"/>
                <w:szCs w:val="18"/>
              </w:rPr>
              <w:t xml:space="preserve"> et al. (1999)</w:t>
            </w:r>
          </w:p>
        </w:tc>
      </w:tr>
      <w:tr w:rsidR="00F87ED1" w14:paraId="1CCF44D6"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00000054"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HDMR</w:t>
            </w:r>
          </w:p>
        </w:tc>
        <w:tc>
          <w:tcPr>
            <w:tcW w:w="720" w:type="dxa"/>
            <w:tcBorders>
              <w:top w:val="nil"/>
              <w:left w:val="nil"/>
              <w:bottom w:val="single" w:sz="4" w:space="0" w:color="000000"/>
              <w:right w:val="single" w:sz="4" w:space="0" w:color="000000"/>
            </w:tcBorders>
            <w:shd w:val="clear" w:color="auto" w:fill="auto"/>
            <w:vAlign w:val="center"/>
          </w:tcPr>
          <w:p w14:paraId="00000055"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Yes </w:t>
            </w:r>
          </w:p>
        </w:tc>
        <w:tc>
          <w:tcPr>
            <w:tcW w:w="720" w:type="dxa"/>
            <w:tcBorders>
              <w:top w:val="nil"/>
              <w:left w:val="nil"/>
              <w:bottom w:val="single" w:sz="4" w:space="0" w:color="000000"/>
              <w:right w:val="single" w:sz="4" w:space="0" w:color="000000"/>
            </w:tcBorders>
            <w:shd w:val="clear" w:color="auto" w:fill="auto"/>
            <w:vAlign w:val="center"/>
          </w:tcPr>
          <w:p w14:paraId="00000056"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720" w:type="dxa"/>
            <w:tcBorders>
              <w:top w:val="nil"/>
              <w:left w:val="nil"/>
              <w:bottom w:val="single" w:sz="4" w:space="0" w:color="000000"/>
              <w:right w:val="single" w:sz="4" w:space="0" w:color="000000"/>
            </w:tcBorders>
            <w:shd w:val="clear" w:color="auto" w:fill="auto"/>
            <w:vAlign w:val="center"/>
          </w:tcPr>
          <w:p w14:paraId="00000057"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260" w:type="dxa"/>
            <w:tcBorders>
              <w:top w:val="nil"/>
              <w:left w:val="nil"/>
              <w:bottom w:val="single" w:sz="4" w:space="0" w:color="000000"/>
              <w:right w:val="single" w:sz="4" w:space="0" w:color="000000"/>
            </w:tcBorders>
            <w:shd w:val="clear" w:color="auto" w:fill="auto"/>
            <w:vAlign w:val="center"/>
          </w:tcPr>
          <w:p w14:paraId="00000058"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530" w:type="dxa"/>
            <w:tcBorders>
              <w:top w:val="nil"/>
              <w:left w:val="nil"/>
              <w:bottom w:val="single" w:sz="4" w:space="0" w:color="000000"/>
              <w:right w:val="single" w:sz="4" w:space="0" w:color="000000"/>
            </w:tcBorders>
            <w:shd w:val="clear" w:color="auto" w:fill="auto"/>
            <w:vAlign w:val="center"/>
          </w:tcPr>
          <w:p w14:paraId="00000059"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Stratified Latin Hypercube</w:t>
            </w:r>
          </w:p>
        </w:tc>
        <w:tc>
          <w:tcPr>
            <w:tcW w:w="1170" w:type="dxa"/>
            <w:tcBorders>
              <w:top w:val="nil"/>
              <w:left w:val="nil"/>
              <w:bottom w:val="single" w:sz="4" w:space="0" w:color="000000"/>
              <w:right w:val="single" w:sz="4" w:space="0" w:color="000000"/>
            </w:tcBorders>
            <w:shd w:val="clear" w:color="auto" w:fill="auto"/>
            <w:vAlign w:val="center"/>
          </w:tcPr>
          <w:p w14:paraId="0000005A"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1260" w:type="dxa"/>
            <w:tcBorders>
              <w:top w:val="nil"/>
              <w:left w:val="nil"/>
              <w:bottom w:val="single" w:sz="4" w:space="0" w:color="000000"/>
              <w:right w:val="single" w:sz="4" w:space="0" w:color="000000"/>
            </w:tcBorders>
            <w:shd w:val="clear" w:color="auto" w:fill="auto"/>
            <w:vAlign w:val="center"/>
          </w:tcPr>
          <w:p w14:paraId="0000005B"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Variance </w:t>
            </w:r>
          </w:p>
        </w:tc>
        <w:tc>
          <w:tcPr>
            <w:tcW w:w="1260" w:type="dxa"/>
            <w:tcBorders>
              <w:top w:val="nil"/>
              <w:left w:val="nil"/>
              <w:bottom w:val="single" w:sz="4" w:space="0" w:color="000000"/>
              <w:right w:val="single" w:sz="4" w:space="0" w:color="000000"/>
            </w:tcBorders>
            <w:shd w:val="clear" w:color="auto" w:fill="auto"/>
            <w:vAlign w:val="center"/>
          </w:tcPr>
          <w:p w14:paraId="0000005C"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 et al. (2010)</w:t>
            </w:r>
          </w:p>
        </w:tc>
      </w:tr>
      <w:tr w:rsidR="00F87ED1" w14:paraId="56907997" w14:textId="77777777">
        <w:trPr>
          <w:trHeight w:val="315"/>
          <w:jc w:val="center"/>
        </w:trPr>
        <w:tc>
          <w:tcPr>
            <w:tcW w:w="985" w:type="dxa"/>
            <w:tcBorders>
              <w:top w:val="nil"/>
              <w:left w:val="single" w:sz="4" w:space="0" w:color="000000"/>
              <w:bottom w:val="single" w:sz="4" w:space="0" w:color="000000"/>
              <w:right w:val="single" w:sz="4" w:space="0" w:color="000000"/>
            </w:tcBorders>
            <w:shd w:val="clear" w:color="auto" w:fill="auto"/>
            <w:vAlign w:val="center"/>
          </w:tcPr>
          <w:p w14:paraId="0000005D" w14:textId="77777777" w:rsidR="00F87ED1" w:rsidRDefault="0008262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DGSM</w:t>
            </w:r>
          </w:p>
        </w:tc>
        <w:tc>
          <w:tcPr>
            <w:tcW w:w="720" w:type="dxa"/>
            <w:tcBorders>
              <w:top w:val="nil"/>
              <w:left w:val="nil"/>
              <w:bottom w:val="single" w:sz="4" w:space="0" w:color="000000"/>
              <w:right w:val="single" w:sz="4" w:space="0" w:color="000000"/>
            </w:tcBorders>
            <w:shd w:val="clear" w:color="auto" w:fill="auto"/>
            <w:vAlign w:val="center"/>
          </w:tcPr>
          <w:p w14:paraId="0000005E"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720" w:type="dxa"/>
            <w:tcBorders>
              <w:top w:val="nil"/>
              <w:left w:val="nil"/>
              <w:bottom w:val="single" w:sz="4" w:space="0" w:color="000000"/>
              <w:right w:val="single" w:sz="4" w:space="0" w:color="000000"/>
            </w:tcBorders>
            <w:shd w:val="clear" w:color="auto" w:fill="auto"/>
            <w:vAlign w:val="center"/>
          </w:tcPr>
          <w:p w14:paraId="0000005F"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c>
          <w:tcPr>
            <w:tcW w:w="720" w:type="dxa"/>
            <w:tcBorders>
              <w:top w:val="nil"/>
              <w:left w:val="nil"/>
              <w:bottom w:val="single" w:sz="4" w:space="0" w:color="000000"/>
              <w:right w:val="single" w:sz="4" w:space="0" w:color="000000"/>
            </w:tcBorders>
            <w:shd w:val="clear" w:color="auto" w:fill="auto"/>
            <w:vAlign w:val="center"/>
          </w:tcPr>
          <w:p w14:paraId="00000060"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260" w:type="dxa"/>
            <w:tcBorders>
              <w:top w:val="nil"/>
              <w:left w:val="nil"/>
              <w:bottom w:val="single" w:sz="4" w:space="0" w:color="000000"/>
              <w:right w:val="single" w:sz="4" w:space="0" w:color="000000"/>
            </w:tcBorders>
            <w:shd w:val="clear" w:color="auto" w:fill="auto"/>
            <w:vAlign w:val="center"/>
          </w:tcPr>
          <w:p w14:paraId="00000061"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530" w:type="dxa"/>
            <w:tcBorders>
              <w:top w:val="nil"/>
              <w:left w:val="nil"/>
              <w:bottom w:val="single" w:sz="4" w:space="0" w:color="000000"/>
              <w:right w:val="single" w:sz="4" w:space="0" w:color="000000"/>
            </w:tcBorders>
            <w:shd w:val="clear" w:color="auto" w:fill="auto"/>
            <w:vAlign w:val="center"/>
          </w:tcPr>
          <w:p w14:paraId="00000062"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Morris – Trajectories</w:t>
            </w:r>
          </w:p>
        </w:tc>
        <w:tc>
          <w:tcPr>
            <w:tcW w:w="1170" w:type="dxa"/>
            <w:tcBorders>
              <w:top w:val="nil"/>
              <w:left w:val="nil"/>
              <w:bottom w:val="single" w:sz="4" w:space="0" w:color="000000"/>
              <w:right w:val="single" w:sz="4" w:space="0" w:color="000000"/>
            </w:tcBorders>
            <w:shd w:val="clear" w:color="auto" w:fill="auto"/>
            <w:vAlign w:val="center"/>
          </w:tcPr>
          <w:p w14:paraId="00000063"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1260" w:type="dxa"/>
            <w:tcBorders>
              <w:top w:val="nil"/>
              <w:left w:val="nil"/>
              <w:bottom w:val="single" w:sz="4" w:space="0" w:color="000000"/>
              <w:right w:val="single" w:sz="4" w:space="0" w:color="000000"/>
            </w:tcBorders>
            <w:shd w:val="clear" w:color="auto" w:fill="auto"/>
            <w:vAlign w:val="center"/>
          </w:tcPr>
          <w:p w14:paraId="00000064"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Derivative </w:t>
            </w:r>
          </w:p>
        </w:tc>
        <w:tc>
          <w:tcPr>
            <w:tcW w:w="1260" w:type="dxa"/>
            <w:tcBorders>
              <w:top w:val="nil"/>
              <w:left w:val="nil"/>
              <w:bottom w:val="single" w:sz="4" w:space="0" w:color="000000"/>
              <w:right w:val="single" w:sz="4" w:space="0" w:color="000000"/>
            </w:tcBorders>
            <w:shd w:val="clear" w:color="auto" w:fill="auto"/>
            <w:vAlign w:val="center"/>
          </w:tcPr>
          <w:p w14:paraId="00000065" w14:textId="77777777" w:rsidR="00F87ED1" w:rsidRDefault="000826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Sobol &amp; </w:t>
            </w:r>
            <w:proofErr w:type="spellStart"/>
            <w:r>
              <w:rPr>
                <w:rFonts w:ascii="Times New Roman" w:eastAsia="Times New Roman" w:hAnsi="Times New Roman" w:cs="Times New Roman"/>
                <w:color w:val="000000"/>
                <w:sz w:val="18"/>
                <w:szCs w:val="18"/>
              </w:rPr>
              <w:t>Kucherenko</w:t>
            </w:r>
            <w:proofErr w:type="spellEnd"/>
            <w:r>
              <w:rPr>
                <w:rFonts w:ascii="Times New Roman" w:eastAsia="Times New Roman" w:hAnsi="Times New Roman" w:cs="Times New Roman"/>
                <w:color w:val="000000"/>
                <w:sz w:val="18"/>
                <w:szCs w:val="18"/>
              </w:rPr>
              <w:t xml:space="preserve"> (2009)</w:t>
            </w:r>
          </w:p>
        </w:tc>
      </w:tr>
    </w:tbl>
    <w:p w14:paraId="00000066" w14:textId="77777777" w:rsidR="00F87ED1" w:rsidRDefault="00F87ED1">
      <w:pPr>
        <w:jc w:val="center"/>
        <w:rPr>
          <w:rFonts w:ascii="Times New Roman" w:eastAsia="Times New Roman" w:hAnsi="Times New Roman" w:cs="Times New Roman"/>
          <w:sz w:val="24"/>
          <w:szCs w:val="24"/>
        </w:rPr>
      </w:pPr>
    </w:p>
    <w:p w14:paraId="00000067"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 xml:space="preserve">2.1 Sobol’ Indices: Variance-Based </w:t>
      </w:r>
    </w:p>
    <w:p w14:paraId="00000068" w14:textId="60840A51"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GSA method, originally formulated by</w:t>
      </w:r>
      <w:r w:rsidR="00FC259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Sobol’ (1990), applies analysis of variance to estimate the significance of an input parameter based on first and total order indices. A significant advantage of the Sobol’ method is that higher order indices can be calculated to further investigate parameter interactions. </w:t>
      </w:r>
      <w:r w:rsidR="00554EB2">
        <w:rPr>
          <w:rFonts w:ascii="Times New Roman" w:eastAsia="Times New Roman" w:hAnsi="Times New Roman" w:cs="Times New Roman"/>
          <w:sz w:val="20"/>
          <w:szCs w:val="20"/>
        </w:rPr>
        <w:t>This</w:t>
      </w:r>
      <w:r>
        <w:rPr>
          <w:rFonts w:ascii="Times New Roman" w:eastAsia="Times New Roman" w:hAnsi="Times New Roman" w:cs="Times New Roman"/>
          <w:sz w:val="20"/>
          <w:szCs w:val="20"/>
        </w:rPr>
        <w:t xml:space="preserve"> method measures the contribution of an input parameter by first determining the total variance of the model throughout the sample space. Then by fixing a single parameter and evaluating the model throughout the sample space again</w:t>
      </w:r>
      <w:r w:rsidR="001B5BB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 comparison can be made between the total variance of the model and the variance with the single input being fixed. The significance of the fixed parameter is then based on the difference between these two variances. The original Sobol’ method used a Monte Carlo algorithm to determine the first order sensitivity measure estimates of an arbitrary group of parameters with respect to a function </w:t>
      </w:r>
      <m:oMath>
        <m:r>
          <w:rPr>
            <w:rFonts w:ascii="Cambria Math" w:eastAsia="Cambria Math" w:hAnsi="Cambria Math" w:cs="Cambria Math"/>
            <w:sz w:val="20"/>
            <w:szCs w:val="20"/>
          </w:rPr>
          <m:t>f</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oMath>
      <w:r>
        <w:rPr>
          <w:rFonts w:ascii="Times New Roman" w:eastAsia="Times New Roman" w:hAnsi="Times New Roman" w:cs="Times New Roman"/>
          <w:sz w:val="20"/>
          <w:szCs w:val="20"/>
        </w:rPr>
        <w:t xml:space="preserve"> decomposed into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2</m:t>
            </m:r>
          </m:e>
          <m:sup>
            <m:r>
              <w:rPr>
                <w:rFonts w:ascii="Cambria Math" w:eastAsia="Cambria Math" w:hAnsi="Cambria Math" w:cs="Cambria Math"/>
                <w:sz w:val="20"/>
                <w:szCs w:val="20"/>
              </w:rPr>
              <m:t>k</m:t>
            </m:r>
          </m:sup>
        </m:sSup>
      </m:oMath>
      <w:r>
        <w:rPr>
          <w:rFonts w:ascii="Times New Roman" w:eastAsia="Times New Roman" w:hAnsi="Times New Roman" w:cs="Times New Roman"/>
          <w:sz w:val="20"/>
          <w:szCs w:val="20"/>
        </w:rPr>
        <w:t xml:space="preserve"> summands, where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 is the number of parameters in the function </w:t>
      </w:r>
      <w:r w:rsidR="008625B4">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x=[</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k</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First order indexes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quantify the significance of a single, independent parameter on the uncertainty of the model output. </w:t>
      </w:r>
    </w:p>
    <w:p w14:paraId="00000069" w14:textId="7A3C1FBF"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Multiple modifications</w:t>
      </w:r>
      <w:r w:rsidR="00912257">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 xml:space="preserve">contributions were made to the original algorithm by exploring various sampling methods, estimators, capabilities, and limitations (Jansen, 1999; Jansen, </w:t>
      </w:r>
      <w:proofErr w:type="spellStart"/>
      <w:r>
        <w:rPr>
          <w:rFonts w:ascii="Times New Roman" w:eastAsia="Times New Roman" w:hAnsi="Times New Roman" w:cs="Times New Roman"/>
          <w:sz w:val="20"/>
          <w:szCs w:val="20"/>
        </w:rPr>
        <w:t>Rossing</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Daamen</w:t>
      </w:r>
      <w:proofErr w:type="spellEnd"/>
      <w:r>
        <w:rPr>
          <w:rFonts w:ascii="Times New Roman" w:eastAsia="Times New Roman" w:hAnsi="Times New Roman" w:cs="Times New Roman"/>
          <w:sz w:val="20"/>
          <w:szCs w:val="20"/>
        </w:rPr>
        <w:t xml:space="preserve">, 1994;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2010; Sobol', 2001; Sobol', 2005). An improved sampling method expanded on Sobol’s quasi-random </w:t>
      </w:r>
      <w:proofErr w:type="spellStart"/>
      <w:r>
        <w:rPr>
          <w:rFonts w:ascii="Times New Roman" w:eastAsia="Times New Roman" w:hAnsi="Times New Roman" w:cs="Times New Roman"/>
          <w:sz w:val="20"/>
          <w:szCs w:val="20"/>
        </w:rPr>
        <w:t>LPt</w:t>
      </w:r>
      <w:proofErr w:type="spellEnd"/>
      <w:r>
        <w:rPr>
          <w:rFonts w:ascii="Times New Roman" w:eastAsia="Times New Roman" w:hAnsi="Times New Roman" w:cs="Times New Roman"/>
          <w:sz w:val="20"/>
          <w:szCs w:val="20"/>
        </w:rPr>
        <w:t xml:space="preserve">-sequence (Sobol’ &amp; </w:t>
      </w:r>
      <w:proofErr w:type="spellStart"/>
      <w:r>
        <w:rPr>
          <w:rFonts w:ascii="Times New Roman" w:eastAsia="Times New Roman" w:hAnsi="Times New Roman" w:cs="Times New Roman"/>
          <w:sz w:val="20"/>
          <w:szCs w:val="20"/>
        </w:rPr>
        <w:t>Shukhman</w:t>
      </w:r>
      <w:proofErr w:type="spellEnd"/>
      <w:r>
        <w:rPr>
          <w:rFonts w:ascii="Times New Roman" w:eastAsia="Times New Roman" w:hAnsi="Times New Roman" w:cs="Times New Roman"/>
          <w:sz w:val="20"/>
          <w:szCs w:val="20"/>
        </w:rPr>
        <w:t>, 1995). Of these contributions</w:t>
      </w:r>
      <w:r w:rsidR="009D6FF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(2010) and Jansen (1999) publications are considered particularly noteworthy, where the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(2010) approach introduces an algorithm where first and total order indices can be calculated simultaneously while utilising the Jansen (1999) estimator. The total order index,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T</m:t>
            </m:r>
          </m:sub>
        </m:sSub>
      </m:oMath>
      <w:r>
        <w:rPr>
          <w:rFonts w:ascii="Times New Roman" w:eastAsia="Times New Roman" w:hAnsi="Times New Roman" w:cs="Times New Roman"/>
          <w:sz w:val="20"/>
          <w:szCs w:val="20"/>
        </w:rPr>
        <w:t xml:space="preserve">, highlights the significance of a parameter while also considering all </w:t>
      </w:r>
      <w:r w:rsidRPr="00C1542B">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-number interactions with the other parameters </w:t>
      </w:r>
      <w:r w:rsidR="008400B6">
        <w:rPr>
          <w:rFonts w:ascii="Times New Roman" w:eastAsia="Times New Roman" w:hAnsi="Times New Roman" w:cs="Times New Roman"/>
          <w:sz w:val="20"/>
          <w:szCs w:val="20"/>
        </w:rPr>
        <w:t>with</w:t>
      </w:r>
      <w:r>
        <w:rPr>
          <w:rFonts w:ascii="Times New Roman" w:eastAsia="Times New Roman" w:hAnsi="Times New Roman" w:cs="Times New Roman"/>
          <w:sz w:val="20"/>
          <w:szCs w:val="20"/>
        </w:rPr>
        <w:t xml:space="preserve"> respect to the model output. The distinction between a parameter’s first and total indices is significant in evaluating and identifying interactions with other parameters.  If the first and total order indices are similar in value, then minimal interaction is present. If the first and total order indices are significantly different, then the parameter is interacting with other parameters. While not explicitly available in the SALib library, it is also possible for the Sobol’ method to estimate a parameter’s significance based on its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n</m:t>
            </m:r>
          </m:e>
          <m:sup>
            <m:r>
              <w:rPr>
                <w:rFonts w:ascii="Cambria Math" w:eastAsia="Cambria Math" w:hAnsi="Cambria Math" w:cs="Cambria Math"/>
                <w:sz w:val="20"/>
                <w:szCs w:val="20"/>
              </w:rPr>
              <m:t>th</m:t>
            </m:r>
          </m:sup>
        </m:sSup>
      </m:oMath>
      <w:r>
        <w:rPr>
          <w:rFonts w:ascii="Times New Roman" w:eastAsia="Times New Roman" w:hAnsi="Times New Roman" w:cs="Times New Roman"/>
          <w:sz w:val="20"/>
          <w:szCs w:val="20"/>
        </w:rPr>
        <w:t xml:space="preserve">-order index, where the index is based on the parameter’s own contribution and its interaction with all the other parameters at the nth level, where </w:t>
      </w:r>
      <m:oMath>
        <m:r>
          <w:rPr>
            <w:rFonts w:ascii="Cambria Math" w:eastAsia="Cambria Math" w:hAnsi="Cambria Math" w:cs="Cambria Math"/>
            <w:sz w:val="20"/>
            <w:szCs w:val="20"/>
          </w:rPr>
          <m:t>n&lt; k</m:t>
        </m:r>
      </m:oMath>
      <w:r>
        <w:rPr>
          <w:rFonts w:ascii="Times New Roman" w:eastAsia="Times New Roman" w:hAnsi="Times New Roman" w:cs="Times New Roman"/>
          <w:sz w:val="20"/>
          <w:szCs w:val="20"/>
        </w:rPr>
        <w:t xml:space="preserve">, with respect to the model output, while if </w:t>
      </w:r>
      <m:oMath>
        <m:r>
          <w:rPr>
            <w:rFonts w:ascii="Cambria Math" w:eastAsia="Cambria Math" w:hAnsi="Cambria Math" w:cs="Cambria Math"/>
            <w:sz w:val="20"/>
            <w:szCs w:val="20"/>
          </w:rPr>
          <m:t>n=k</m:t>
        </m:r>
      </m:oMath>
      <w:r>
        <w:rPr>
          <w:rFonts w:ascii="Times New Roman" w:eastAsia="Times New Roman" w:hAnsi="Times New Roman" w:cs="Times New Roman"/>
          <w:sz w:val="20"/>
          <w:szCs w:val="20"/>
        </w:rPr>
        <w:t xml:space="preserve"> the resulting estimation </w:t>
      </w:r>
      <w:r w:rsidR="00D367F6">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simply the total order index. </w:t>
      </w:r>
    </w:p>
    <w:p w14:paraId="0000006A" w14:textId="0EDE6DEA"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Sobol’ method was chosen for investigation based on its widespread use, the ability to explore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n</m:t>
            </m:r>
          </m:e>
          <m:sup>
            <m:r>
              <w:rPr>
                <w:rFonts w:ascii="Cambria Math" w:eastAsia="Cambria Math" w:hAnsi="Cambria Math" w:cs="Cambria Math"/>
                <w:sz w:val="20"/>
                <w:szCs w:val="20"/>
              </w:rPr>
              <m:t>th</m:t>
            </m:r>
          </m:sup>
        </m:sSup>
      </m:oMath>
      <w:r>
        <w:rPr>
          <w:rFonts w:ascii="Times New Roman" w:eastAsia="Times New Roman" w:hAnsi="Times New Roman" w:cs="Times New Roman"/>
          <w:sz w:val="20"/>
          <w:szCs w:val="20"/>
        </w:rPr>
        <w:t xml:space="preserve">-order interactions, and its robustness. The specific implementation by Saltelli (2010) with the total-order effects determined using Janson’s </w:t>
      </w:r>
      <w:r w:rsidR="00CE3F21">
        <w:rPr>
          <w:rFonts w:ascii="Times New Roman" w:eastAsia="Times New Roman" w:hAnsi="Times New Roman" w:cs="Times New Roman"/>
          <w:sz w:val="20"/>
          <w:szCs w:val="20"/>
        </w:rPr>
        <w:t>(19</w:t>
      </w:r>
      <w:r>
        <w:rPr>
          <w:rFonts w:ascii="Times New Roman" w:eastAsia="Times New Roman" w:hAnsi="Times New Roman" w:cs="Times New Roman"/>
          <w:sz w:val="20"/>
          <w:szCs w:val="20"/>
        </w:rPr>
        <w:t>99</w:t>
      </w:r>
      <w:r w:rsidR="00CE3F2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rever</w:t>
      </w:r>
      <w:r w:rsidR="00E11C97">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ed estimator scheme was evaluated (Puy, Becker, Piano, &amp;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2022). A brief mathematical overview begins with the decomposition form of the function in question </w:t>
      </w:r>
      <m:oMath>
        <m:r>
          <w:rPr>
            <w:rFonts w:ascii="Cambria Math" w:eastAsia="Cambria Math" w:hAnsi="Cambria Math" w:cs="Cambria Math"/>
            <w:sz w:val="20"/>
            <w:szCs w:val="20"/>
          </w:rPr>
          <m:t>f</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oMath>
      <w:r>
        <w:rPr>
          <w:rFonts w:ascii="Times New Roman" w:eastAsia="Times New Roman" w:hAnsi="Times New Roman" w:cs="Times New Roman"/>
          <w:sz w:val="20"/>
          <w:szCs w:val="20"/>
        </w:rPr>
        <w:t xml:space="preserve"> as shown in Eq.1, where each term is square integrable over</w:t>
      </w:r>
      <m:oMath>
        <m:r>
          <w:rPr>
            <w:rFonts w:ascii="Cambria Math" w:eastAsia="Cambria Math" w:hAnsi="Cambria Math" w:cs="Cambria Math"/>
            <w:sz w:val="20"/>
            <w:szCs w:val="20"/>
          </w:rPr>
          <m:t xml:space="preserve"> Ω</m:t>
        </m:r>
      </m:oMath>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6B" w14:textId="1D778A8C" w:rsidR="00F87ED1" w:rsidRDefault="008D1E7C" w:rsidP="001E1F1E">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f=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0</m:t>
            </m:r>
          </m:sub>
        </m:sSub>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m:t>
            </m:r>
          </m:sub>
          <m:sup/>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e>
        </m:nary>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m:t>
            </m:r>
          </m:sub>
          <m:sup/>
          <m:e>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i&lt;j</m:t>
                </m:r>
              </m:sub>
              <m:sup/>
              <m:e/>
            </m:nary>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ij</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12…k</m:t>
            </m:r>
          </m:sub>
        </m:sSub>
        <m:r>
          <w:rPr>
            <w:rFonts w:ascii="Cambria Math" w:eastAsia="Cambria Math" w:hAnsi="Cambria Math" w:cs="Cambria Math"/>
            <w:sz w:val="24"/>
            <w:szCs w:val="24"/>
          </w:rPr>
          <m:t xml:space="preserve"> </m:t>
        </m:r>
        <m:r>
          <w:rPr>
            <w:rFonts w:ascii="Cambria Math" w:eastAsia="Times New Roman" w:hAnsi="Cambria Math" w:cs="Times New Roman"/>
            <w:sz w:val="24"/>
            <w:szCs w:val="24"/>
          </w:rPr>
          <m:t>,</m:t>
        </m:r>
      </m:oMath>
      <w:r>
        <w:rPr>
          <w:rFonts w:ascii="Cambria Math" w:eastAsia="Cambria Math" w:hAnsi="Cambria Math" w:cs="Cambria Math"/>
          <w:sz w:val="24"/>
          <w:szCs w:val="24"/>
        </w:rPr>
        <w:tab/>
      </w:r>
      <m:oMath>
        <m:r>
          <w:rPr>
            <w:rFonts w:ascii="Cambria Math" w:eastAsia="Cambria Math" w:hAnsi="Cambria Math" w:cs="Cambria Math"/>
            <w:sz w:val="20"/>
            <w:szCs w:val="20"/>
          </w:rPr>
          <m:t>[1]</m:t>
        </m:r>
      </m:oMath>
    </w:p>
    <w:p w14:paraId="0000006C" w14:textId="062B57A5"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Each term in Eq.1 is obtained from the series of conditionals shown in Eq</w:t>
      </w:r>
      <w:r w:rsidR="00AA2348">
        <w:rPr>
          <w:rFonts w:ascii="Times New Roman" w:eastAsia="Times New Roman" w:hAnsi="Times New Roman" w:cs="Times New Roman"/>
          <w:sz w:val="20"/>
          <w:szCs w:val="20"/>
        </w:rPr>
        <w:t>s</w:t>
      </w:r>
      <w:r>
        <w:rPr>
          <w:rFonts w:ascii="Times New Roman" w:eastAsia="Times New Roman" w:hAnsi="Times New Roman" w:cs="Times New Roman"/>
          <w:sz w:val="20"/>
          <w:szCs w:val="20"/>
        </w:rPr>
        <w:t>.2</w:t>
      </w:r>
      <w:r w:rsidR="006056CE">
        <w:rPr>
          <w:rFonts w:ascii="Times New Roman" w:eastAsia="Times New Roman" w:hAnsi="Times New Roman" w:cs="Times New Roman"/>
          <w:sz w:val="20"/>
          <w:szCs w:val="20"/>
        </w:rPr>
        <w:t>a</w:t>
      </w:r>
      <w:r w:rsidR="00AA2348">
        <w:rPr>
          <w:rFonts w:ascii="Times New Roman" w:eastAsia="Times New Roman" w:hAnsi="Times New Roman" w:cs="Times New Roman"/>
          <w:sz w:val="20"/>
          <w:szCs w:val="20"/>
        </w:rPr>
        <w:t>-c</w:t>
      </w:r>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6D" w14:textId="453B1582" w:rsidR="00F87ED1" w:rsidRPr="00A81C31" w:rsidRDefault="00613BA4" w:rsidP="008C33C6">
      <w:pPr>
        <w:tabs>
          <w:tab w:val="right" w:pos="9360"/>
        </w:tabs>
        <w:jc w:val="center"/>
        <w:rPr>
          <w:rFonts w:ascii="Times New Roman" w:eastAsia="Cambria Math"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0</m:t>
            </m:r>
          </m:sub>
        </m:sSub>
        <m:r>
          <w:rPr>
            <w:rFonts w:ascii="Cambria Math" w:eastAsia="Cambria Math" w:hAnsi="Cambria Math" w:cs="Cambria Math"/>
            <w:sz w:val="24"/>
            <w:szCs w:val="24"/>
          </w:rPr>
          <m:t>=E</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oMath>
      <w:r w:rsidR="00E11C97">
        <w:rPr>
          <w:rFonts w:ascii="Times New Roman" w:eastAsia="Times New Roman" w:hAnsi="Times New Roman" w:cs="Times New Roman"/>
          <w:sz w:val="24"/>
          <w:szCs w:val="24"/>
        </w:rPr>
        <w:t>,</w:t>
      </w:r>
      <w:r w:rsidR="00A2167A">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A81C31" w:rsidRPr="00A81C31">
        <w:rPr>
          <w:rFonts w:ascii="Times New Roman" w:eastAsia="Cambria Math" w:hAnsi="Times New Roman" w:cs="Times New Roman"/>
          <w:sz w:val="20"/>
          <w:szCs w:val="20"/>
        </w:rPr>
        <w:t>[2a]</w:t>
      </w:r>
    </w:p>
    <w:p w14:paraId="0000006E" w14:textId="7EBDB1F9" w:rsidR="00F87ED1" w:rsidRDefault="00CE3F21" w:rsidP="00633621">
      <w:pPr>
        <w:tabs>
          <w:tab w:val="right" w:pos="9360"/>
        </w:tabs>
        <w:rPr>
          <w:rFonts w:ascii="Cambria Math" w:eastAsia="Cambria Math" w:hAnsi="Cambria Math" w:cs="Cambria Math"/>
          <w:sz w:val="24"/>
          <w:szCs w:val="24"/>
        </w:rPr>
      </w:pPr>
      <w:r>
        <w:rPr>
          <w:rFonts w:ascii="Cambria Math" w:eastAsia="Cambria Math" w:hAnsi="Cambria Math" w:cs="Cambria Math"/>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e>
        </m:d>
        <m:r>
          <w:rPr>
            <w:rFonts w:ascii="Cambria Math" w:eastAsia="Cambria Math" w:hAnsi="Cambria Math" w:cs="Cambria Math"/>
            <w:sz w:val="24"/>
            <w:szCs w:val="24"/>
          </w:rPr>
          <m:t>-E</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r>
          <w:rPr>
            <w:rFonts w:ascii="Cambria Math" w:eastAsia="Cambria Math" w:hAnsi="Cambria Math" w:cs="Cambria Math"/>
            <w:sz w:val="24"/>
            <w:szCs w:val="24"/>
          </w:rPr>
          <m:t>,</m:t>
        </m:r>
      </m:oMath>
      <w:r>
        <w:rPr>
          <w:rFonts w:ascii="Cambria Math" w:eastAsia="Cambria Math" w:hAnsi="Cambria Math" w:cs="Cambria Math"/>
          <w:sz w:val="24"/>
          <w:szCs w:val="24"/>
        </w:rPr>
        <w:tab/>
      </w:r>
      <w:r>
        <w:rPr>
          <w:rFonts w:ascii="Times New Roman" w:eastAsia="Times New Roman" w:hAnsi="Times New Roman" w:cs="Times New Roman"/>
          <w:sz w:val="20"/>
          <w:szCs w:val="20"/>
        </w:rPr>
        <w:t>[2</w:t>
      </w:r>
      <w:r w:rsidR="006056CE">
        <w:rPr>
          <w:rFonts w:ascii="Times New Roman" w:eastAsia="Times New Roman" w:hAnsi="Times New Roman" w:cs="Times New Roman"/>
          <w:sz w:val="20"/>
          <w:szCs w:val="20"/>
        </w:rPr>
        <w:t>b</w:t>
      </w:r>
      <w:r>
        <w:rPr>
          <w:rFonts w:ascii="Times New Roman" w:eastAsia="Times New Roman" w:hAnsi="Times New Roman" w:cs="Times New Roman"/>
          <w:sz w:val="20"/>
          <w:szCs w:val="20"/>
        </w:rPr>
        <w:t>]</w:t>
      </w:r>
    </w:p>
    <w:p w14:paraId="0000006F" w14:textId="7C1153E5" w:rsidR="00F87ED1" w:rsidRDefault="00613BA4" w:rsidP="00613BA4">
      <w:pPr>
        <w:tabs>
          <w:tab w:val="right" w:pos="9360"/>
        </w:tabs>
        <w:jc w:val="center"/>
        <w:rPr>
          <w:rFonts w:ascii="Times New Roman" w:eastAsia="Times New Roman" w:hAnsi="Times New Roman" w:cs="Times New Roman"/>
          <w:sz w:val="24"/>
          <w:szCs w:val="24"/>
        </w:rPr>
      </w:pPr>
      <w:r>
        <w:rPr>
          <w:rFonts w:ascii="Cambria Math" w:eastAsia="Cambria Math" w:hAnsi="Cambria Math" w:cs="Cambria Math"/>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ij</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X~ij</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j</m:t>
                </m:r>
              </m:sub>
            </m:sSub>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j</m:t>
            </m:r>
          </m:sub>
        </m:sSub>
        <m:r>
          <w:rPr>
            <w:rFonts w:ascii="Cambria Math" w:eastAsia="Cambria Math" w:hAnsi="Cambria Math" w:cs="Cambria Math"/>
            <w:sz w:val="24"/>
            <w:szCs w:val="24"/>
          </w:rPr>
          <m:t>-E(Y)</m:t>
        </m:r>
      </m:oMath>
      <w:r w:rsidR="00E11C97">
        <w:rPr>
          <w:rFonts w:ascii="Cambria Math" w:eastAsia="Cambria Math" w:hAnsi="Cambria Math" w:cs="Cambria Math"/>
          <w:sz w:val="24"/>
          <w:szCs w:val="24"/>
        </w:rPr>
        <w:t>…</w:t>
      </w:r>
      <w:r w:rsidR="006056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6056CE" w:rsidRPr="00A2167A">
        <w:rPr>
          <w:rFonts w:ascii="Times New Roman" w:eastAsia="Times New Roman" w:hAnsi="Times New Roman" w:cs="Times New Roman"/>
          <w:sz w:val="20"/>
          <w:szCs w:val="20"/>
        </w:rPr>
        <w:t>[2c]</w:t>
      </w:r>
    </w:p>
    <w:p w14:paraId="00000070" w14:textId="47CE082C" w:rsidR="00F87ED1" w:rsidRDefault="00082627" w:rsidP="00A2167A">
      <w:pPr>
        <w:rPr>
          <w:rFonts w:ascii="Times New Roman" w:eastAsia="Times New Roman" w:hAnsi="Times New Roman" w:cs="Times New Roman"/>
          <w:sz w:val="20"/>
          <w:szCs w:val="20"/>
        </w:rPr>
      </w:pPr>
      <w:r>
        <w:rPr>
          <w:rFonts w:ascii="Times New Roman" w:eastAsia="Times New Roman" w:hAnsi="Times New Roman" w:cs="Times New Roman"/>
          <w:sz w:val="20"/>
          <w:szCs w:val="20"/>
        </w:rPr>
        <w:t>and so on for higher order terms</w:t>
      </w:r>
      <w:r w:rsidR="00CE3F21">
        <w:rPr>
          <w:rFonts w:ascii="Times New Roman" w:eastAsia="Times New Roman" w:hAnsi="Times New Roman" w:cs="Times New Roman"/>
          <w:sz w:val="20"/>
          <w:szCs w:val="20"/>
        </w:rPr>
        <w:t>.</w:t>
      </w:r>
      <w:r w:rsidR="00CE3F21">
        <w:rPr>
          <w:rFonts w:ascii="Times New Roman" w:eastAsia="Times New Roman" w:hAnsi="Times New Roman" w:cs="Times New Roman"/>
          <w:sz w:val="20"/>
          <w:szCs w:val="20"/>
        </w:rPr>
        <w:tab/>
      </w:r>
      <w:r w:rsidR="00CE3F21">
        <w:rPr>
          <w:rFonts w:ascii="Times New Roman" w:eastAsia="Times New Roman" w:hAnsi="Times New Roman" w:cs="Times New Roman"/>
          <w:sz w:val="20"/>
          <w:szCs w:val="20"/>
        </w:rPr>
        <w:tab/>
      </w:r>
    </w:p>
    <w:p w14:paraId="00000071" w14:textId="461C6AF7"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partial variance is shown in Eq.3</w:t>
      </w:r>
      <w:r w:rsidR="00A2167A">
        <w:rPr>
          <w:rFonts w:ascii="Times New Roman" w:eastAsia="Times New Roman" w:hAnsi="Times New Roman" w:cs="Times New Roman"/>
          <w:sz w:val="20"/>
          <w:szCs w:val="20"/>
        </w:rPr>
        <w:t>a</w:t>
      </w:r>
      <w:r w:rsidR="00EC2399">
        <w:rPr>
          <w:rFonts w:ascii="Times New Roman" w:eastAsia="Times New Roman" w:hAnsi="Times New Roman" w:cs="Times New Roman"/>
          <w:sz w:val="20"/>
          <w:szCs w:val="20"/>
        </w:rPr>
        <w:t>-</w:t>
      </w:r>
      <w:r w:rsidR="00A2167A">
        <w:rPr>
          <w:rFonts w:ascii="Times New Roman" w:eastAsia="Times New Roman" w:hAnsi="Times New Roman" w:cs="Times New Roman"/>
          <w:sz w:val="20"/>
          <w:szCs w:val="20"/>
        </w:rPr>
        <w:t>b</w:t>
      </w:r>
      <w:r w:rsidR="00E11C97">
        <w:rPr>
          <w:rFonts w:ascii="Times New Roman" w:eastAsia="Times New Roman" w:hAnsi="Times New Roman" w:cs="Times New Roman"/>
          <w:sz w:val="20"/>
          <w:szCs w:val="20"/>
        </w:rPr>
        <w:t>,</w:t>
      </w:r>
    </w:p>
    <w:p w14:paraId="00000072" w14:textId="01D16C71" w:rsidR="00F87ED1" w:rsidRDefault="000B5644" w:rsidP="001E1F1E">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sub>
        </m:sSub>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e>
            </m:d>
          </m:e>
        </m:d>
        <m:r>
          <w:rPr>
            <w:rFonts w:ascii="Cambria Math" w:eastAsia="Cambria Math" w:hAnsi="Cambria Math" w:cs="Cambria Math"/>
            <w:sz w:val="24"/>
            <w:szCs w:val="24"/>
          </w:rPr>
          <m:t>,</m:t>
        </m:r>
      </m:oMath>
      <w:r w:rsidR="003D76FC">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3D76FC" w:rsidRPr="003D76FC">
        <w:rPr>
          <w:rFonts w:ascii="Times New Roman" w:eastAsia="Cambria Math" w:hAnsi="Times New Roman" w:cs="Times New Roman"/>
          <w:sz w:val="20"/>
          <w:szCs w:val="20"/>
        </w:rPr>
        <w:t>[3a]</w:t>
      </w:r>
    </w:p>
    <w:p w14:paraId="00000073" w14:textId="7D80335D" w:rsidR="00F87ED1" w:rsidRDefault="00CE3F21" w:rsidP="00CE3F21">
      <w:pPr>
        <w:tabs>
          <w:tab w:val="right" w:pos="9360"/>
        </w:tabs>
        <w:jc w:val="center"/>
        <w:rPr>
          <w:rFonts w:ascii="Cambria Math" w:eastAsia="Cambria Math" w:hAnsi="Cambria Math" w:cs="Cambria Math"/>
          <w:sz w:val="24"/>
          <w:szCs w:val="24"/>
        </w:rPr>
      </w:pPr>
      <w:r>
        <w:rPr>
          <w:rFonts w:ascii="Cambria Math" w:eastAsia="Cambria Math" w:hAnsi="Cambria Math" w:cs="Cambria Math"/>
          <w:sz w:val="24"/>
          <w:szCs w:val="24"/>
        </w:rPr>
        <w:lastRenderedPageBreak/>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ij</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j</m:t>
                </m:r>
              </m:sub>
            </m:sSub>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X~ij</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j</m:t>
                    </m:r>
                  </m:sub>
                </m:sSub>
              </m:e>
            </m:d>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e>
            </m:d>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j</m:t>
                </m:r>
              </m:sub>
            </m:sSub>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X~j</m:t>
            </m:r>
          </m:sub>
        </m:sSub>
        <m:r>
          <w:rPr>
            <w:rFonts w:ascii="Cambria Math" w:eastAsia="Cambria Math" w:hAnsi="Cambria Math" w:cs="Cambria Math"/>
            <w:sz w:val="24"/>
            <w:szCs w:val="24"/>
          </w:rPr>
          <m:t>(Y|</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oMath>
      <w:r w:rsidR="00E11C97">
        <w:rPr>
          <w:rFonts w:ascii="Cambria Math" w:eastAsia="Cambria Math" w:hAnsi="Cambria Math" w:cs="Cambria Math"/>
          <w:sz w:val="24"/>
          <w:szCs w:val="24"/>
        </w:rPr>
        <w:t>…</w:t>
      </w:r>
      <w:r>
        <w:rPr>
          <w:rFonts w:ascii="Cambria Math" w:eastAsia="Cambria Math" w:hAnsi="Cambria Math" w:cs="Cambria Math"/>
          <w:sz w:val="24"/>
          <w:szCs w:val="24"/>
        </w:rPr>
        <w:tab/>
      </w:r>
      <w:r>
        <w:rPr>
          <w:rFonts w:ascii="Times New Roman" w:eastAsia="Times New Roman" w:hAnsi="Times New Roman" w:cs="Times New Roman"/>
          <w:sz w:val="20"/>
          <w:szCs w:val="20"/>
        </w:rPr>
        <w:t>[3</w:t>
      </w:r>
      <w:r w:rsidR="003D76FC">
        <w:rPr>
          <w:rFonts w:ascii="Times New Roman" w:eastAsia="Times New Roman" w:hAnsi="Times New Roman" w:cs="Times New Roman"/>
          <w:sz w:val="20"/>
          <w:szCs w:val="20"/>
        </w:rPr>
        <w:t>b</w:t>
      </w:r>
      <w:r>
        <w:rPr>
          <w:rFonts w:ascii="Times New Roman" w:eastAsia="Times New Roman" w:hAnsi="Times New Roman" w:cs="Times New Roman"/>
          <w:sz w:val="20"/>
          <w:szCs w:val="20"/>
        </w:rPr>
        <w:t>]</w:t>
      </w:r>
    </w:p>
    <w:p w14:paraId="00000074" w14:textId="4B404FC2" w:rsidR="00F87ED1" w:rsidRDefault="00082627" w:rsidP="00A2167A">
      <w:pPr>
        <w:tabs>
          <w:tab w:val="right" w:pos="9270"/>
        </w:tabs>
        <w:rPr>
          <w:rFonts w:ascii="Times New Roman" w:eastAsia="Times New Roman" w:hAnsi="Times New Roman" w:cs="Times New Roman"/>
          <w:sz w:val="20"/>
          <w:szCs w:val="20"/>
        </w:rPr>
      </w:pPr>
      <w:r>
        <w:rPr>
          <w:rFonts w:ascii="Times New Roman" w:eastAsia="Times New Roman" w:hAnsi="Times New Roman" w:cs="Times New Roman"/>
          <w:sz w:val="20"/>
          <w:szCs w:val="20"/>
        </w:rPr>
        <w:t>and so on for higher order terms</w:t>
      </w:r>
      <w:r w:rsidR="00CE3F2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CE3F21">
        <w:rPr>
          <w:rFonts w:ascii="Times New Roman" w:eastAsia="Times New Roman" w:hAnsi="Times New Roman" w:cs="Times New Roman"/>
          <w:sz w:val="20"/>
          <w:szCs w:val="20"/>
        </w:rPr>
        <w:tab/>
      </w:r>
      <w:r w:rsidR="00CE3F21">
        <w:rPr>
          <w:rFonts w:ascii="Times New Roman" w:eastAsia="Times New Roman" w:hAnsi="Times New Roman" w:cs="Times New Roman"/>
          <w:sz w:val="20"/>
          <w:szCs w:val="20"/>
        </w:rPr>
        <w:tab/>
      </w:r>
    </w:p>
    <w:p w14:paraId="00000075" w14:textId="7D40B0FF"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output variance of the function is given in Eq.4</w:t>
      </w:r>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76" w14:textId="40097EF0" w:rsidR="00F87ED1" w:rsidRDefault="000B5644" w:rsidP="000B5644">
      <w:pPr>
        <w:tabs>
          <w:tab w:val="right" w:pos="9360"/>
        </w:tabs>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V</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m:t>
            </m:r>
          </m:sub>
          <m:sup/>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e>
        </m:nary>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m:t>
            </m:r>
          </m:sub>
          <m:sup/>
          <m:e>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i&lt;j</m:t>
                </m:r>
              </m:sub>
              <m:sup/>
              <m:e/>
            </m:nary>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12…k</m:t>
            </m:r>
          </m:sub>
        </m:sSub>
        <m:r>
          <w:rPr>
            <w:rFonts w:ascii="Cambria Math" w:eastAsia="Cambria Math" w:hAnsi="Cambria Math" w:cs="Cambria Math"/>
            <w:sz w:val="24"/>
            <w:szCs w:val="24"/>
          </w:rPr>
          <m:t>.</m:t>
        </m:r>
      </m:oMath>
      <w:r w:rsidR="00A81C31">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A81C31" w:rsidRPr="00D36D1F">
        <w:rPr>
          <w:rFonts w:ascii="Times New Roman" w:eastAsia="Cambria Math" w:hAnsi="Times New Roman" w:cs="Times New Roman"/>
          <w:sz w:val="20"/>
          <w:szCs w:val="20"/>
        </w:rPr>
        <w:t>[4]</w:t>
      </w:r>
    </w:p>
    <w:p w14:paraId="00000077" w14:textId="35D31994"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first order sensitivity index is given by Eq.5, a ratio between the first order partial variance and the output variance</w:t>
      </w:r>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78" w14:textId="1157F90D" w:rsidR="00F87ED1" w:rsidRDefault="00905B1C" w:rsidP="00905B1C">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V(Y)</m:t>
            </m:r>
          </m:den>
        </m:f>
        <m:r>
          <w:rPr>
            <w:rFonts w:ascii="Cambria Math" w:eastAsia="Cambria Math" w:hAnsi="Cambria Math" w:cs="Cambria Math"/>
            <w:sz w:val="24"/>
            <w:szCs w:val="24"/>
          </w:rPr>
          <m:t xml:space="preserve"> .</m:t>
        </m:r>
      </m:oMath>
      <w:r>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Pr="00905B1C">
        <w:rPr>
          <w:rFonts w:ascii="Times New Roman" w:eastAsia="Cambria Math" w:hAnsi="Times New Roman" w:cs="Times New Roman"/>
          <w:sz w:val="20"/>
          <w:szCs w:val="20"/>
        </w:rPr>
        <w:t>[5]</w:t>
      </w:r>
    </w:p>
    <w:p w14:paraId="00000079" w14:textId="7E890ED0"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total variance is shown in Eq.6, where N is the number of samples, </w:t>
      </w:r>
      <w:r>
        <w:rPr>
          <w:rFonts w:ascii="Times New Roman" w:eastAsia="Times New Roman" w:hAnsi="Times New Roman" w:cs="Times New Roman"/>
          <w:b/>
          <w:sz w:val="20"/>
          <w:szCs w:val="20"/>
        </w:rPr>
        <w:t>A</w:t>
      </w:r>
      <w:r>
        <w:rPr>
          <w:rFonts w:ascii="Times New Roman" w:eastAsia="Times New Roman" w:hAnsi="Times New Roman" w:cs="Times New Roman"/>
          <w:sz w:val="20"/>
          <w:szCs w:val="20"/>
        </w:rPr>
        <w:t xml:space="preserve"> and </w:t>
      </w:r>
      <w:r>
        <w:rPr>
          <w:rFonts w:ascii="Times New Roman" w:eastAsia="Times New Roman" w:hAnsi="Times New Roman" w:cs="Times New Roman"/>
          <w:b/>
          <w:sz w:val="20"/>
          <w:szCs w:val="20"/>
        </w:rPr>
        <w:t>B</w:t>
      </w:r>
      <w:r>
        <w:rPr>
          <w:rFonts w:ascii="Times New Roman" w:eastAsia="Times New Roman" w:hAnsi="Times New Roman" w:cs="Times New Roman"/>
          <w:sz w:val="20"/>
          <w:szCs w:val="20"/>
        </w:rPr>
        <w:t xml:space="preserve"> are sample matrixes of size </w:t>
      </w:r>
      <m:oMath>
        <m:r>
          <w:rPr>
            <w:rFonts w:ascii="Cambria Math" w:eastAsia="Cambria Math" w:hAnsi="Cambria Math" w:cs="Cambria Math"/>
            <w:sz w:val="20"/>
            <w:szCs w:val="20"/>
          </w:rPr>
          <m:t>Nxk</m:t>
        </m:r>
      </m:oMath>
      <w:r>
        <w:rPr>
          <w:rFonts w:ascii="Times New Roman" w:eastAsia="Times New Roman" w:hAnsi="Times New Roman" w:cs="Times New Roman"/>
          <w:sz w:val="20"/>
          <w:szCs w:val="20"/>
        </w:rPr>
        <w:t xml:space="preserve">.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A</m:t>
            </m:r>
          </m:e>
          <m:sub>
            <m:r>
              <w:rPr>
                <w:rFonts w:ascii="Cambria Math" w:eastAsia="Cambria Math" w:hAnsi="Cambria Math" w:cs="Cambria Math"/>
                <w:sz w:val="20"/>
                <w:szCs w:val="20"/>
              </w:rPr>
              <m:t>B</m:t>
            </m:r>
          </m:sub>
          <m:sup>
            <m:r>
              <w:rPr>
                <w:rFonts w:ascii="Cambria Math" w:eastAsia="Cambria Math" w:hAnsi="Cambria Math" w:cs="Cambria Math"/>
                <w:sz w:val="20"/>
                <w:szCs w:val="20"/>
              </w:rPr>
              <m:t>(i)</m:t>
            </m:r>
          </m:sup>
        </m:sSubSup>
      </m:oMath>
      <w:r>
        <w:rPr>
          <w:rFonts w:ascii="Times New Roman" w:eastAsia="Times New Roman" w:hAnsi="Times New Roman" w:cs="Times New Roman"/>
          <w:sz w:val="20"/>
          <w:szCs w:val="20"/>
        </w:rPr>
        <w:t xml:space="preserve"> is a matrix where the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i</m:t>
            </m:r>
          </m:e>
          <m:sup>
            <m:r>
              <w:rPr>
                <w:rFonts w:ascii="Cambria Math" w:eastAsia="Cambria Math" w:hAnsi="Cambria Math" w:cs="Cambria Math"/>
                <w:sz w:val="20"/>
                <w:szCs w:val="20"/>
              </w:rPr>
              <m:t>th</m:t>
            </m:r>
          </m:sup>
        </m:sSup>
      </m:oMath>
      <w:r>
        <w:rPr>
          <w:rFonts w:ascii="Times New Roman" w:eastAsia="Times New Roman" w:hAnsi="Times New Roman" w:cs="Times New Roman"/>
          <w:sz w:val="20"/>
          <w:szCs w:val="20"/>
        </w:rPr>
        <w:t xml:space="preserve"> column is taken from matrix </w:t>
      </w:r>
      <w:r>
        <w:rPr>
          <w:rFonts w:ascii="Times New Roman" w:eastAsia="Times New Roman" w:hAnsi="Times New Roman" w:cs="Times New Roman"/>
          <w:b/>
          <w:sz w:val="20"/>
          <w:szCs w:val="20"/>
        </w:rPr>
        <w:t>B</w:t>
      </w:r>
      <w:r>
        <w:rPr>
          <w:rFonts w:ascii="Times New Roman" w:eastAsia="Times New Roman" w:hAnsi="Times New Roman" w:cs="Times New Roman"/>
          <w:sz w:val="20"/>
          <w:szCs w:val="20"/>
        </w:rPr>
        <w:t xml:space="preserve">, and all other columns are that of matrix </w:t>
      </w:r>
      <w:r>
        <w:rPr>
          <w:rFonts w:ascii="Times New Roman" w:eastAsia="Times New Roman" w:hAnsi="Times New Roman" w:cs="Times New Roman"/>
          <w:b/>
          <w:sz w:val="20"/>
          <w:szCs w:val="20"/>
        </w:rPr>
        <w:t>A</w:t>
      </w:r>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7A" w14:textId="553CFB2E" w:rsidR="00F87ED1" w:rsidRDefault="00905B1C" w:rsidP="00905B1C">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X~i</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e>
            </m:d>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2N</m:t>
            </m:r>
          </m:den>
        </m:f>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N</m:t>
            </m:r>
          </m:sup>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e>
                  <m:sub>
                    <m:r>
                      <w:rPr>
                        <w:rFonts w:ascii="Cambria Math" w:eastAsia="Cambria Math" w:hAnsi="Cambria Math" w:cs="Cambria Math"/>
                        <w:sz w:val="24"/>
                        <w:szCs w:val="24"/>
                      </w:rPr>
                      <m:t>j</m:t>
                    </m:r>
                  </m:sub>
                </m:sSub>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A</m:t>
                            </m:r>
                          </m:e>
                          <m:sub>
                            <m:r>
                              <w:rPr>
                                <w:rFonts w:ascii="Cambria Math" w:eastAsia="Cambria Math" w:hAnsi="Cambria Math" w:cs="Cambria Math"/>
                                <w:sz w:val="24"/>
                                <w:szCs w:val="24"/>
                              </w:rPr>
                              <m:t>B</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i</m:t>
                                </m:r>
                              </m:e>
                            </m:d>
                          </m:sup>
                        </m:sSubSup>
                      </m:e>
                    </m:d>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e>
        </m:nary>
        <m:r>
          <w:rPr>
            <w:rFonts w:ascii="Cambria Math" w:eastAsia="Times New Roman" w:hAnsi="Cambria Math" w:cs="Times New Roman"/>
            <w:sz w:val="24"/>
            <w:szCs w:val="24"/>
          </w:rPr>
          <m:t>.</m:t>
        </m:r>
      </m:oMath>
      <w:r w:rsidR="00684413">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684413" w:rsidRPr="00684413">
        <w:rPr>
          <w:rFonts w:ascii="Times New Roman" w:eastAsia="Cambria Math" w:hAnsi="Times New Roman" w:cs="Times New Roman"/>
          <w:sz w:val="20"/>
          <w:szCs w:val="20"/>
        </w:rPr>
        <w:t>[6]</w:t>
      </w:r>
    </w:p>
    <w:p w14:paraId="0000007B" w14:textId="6B0A4FC6"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total sensitivity index for variable </w:t>
      </w:r>
      <m:oMath>
        <m:r>
          <w:rPr>
            <w:rFonts w:ascii="Cambria Math" w:eastAsia="Cambria Math" w:hAnsi="Cambria Math" w:cs="Cambria Math"/>
            <w:sz w:val="20"/>
            <w:szCs w:val="20"/>
          </w:rPr>
          <m:t>i</m:t>
        </m:r>
      </m:oMath>
      <w:r>
        <w:rPr>
          <w:rFonts w:ascii="Times New Roman" w:eastAsia="Times New Roman" w:hAnsi="Times New Roman" w:cs="Times New Roman"/>
          <w:sz w:val="20"/>
          <w:szCs w:val="20"/>
        </w:rPr>
        <w:t xml:space="preserve"> is shown in Eq.7, as a ratio between the total variance and the output variance</w:t>
      </w:r>
      <w:r w:rsidR="00E11C9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584BB4A9" w14:textId="722052A4" w:rsidR="00905B1C" w:rsidRDefault="00905B1C" w:rsidP="00905B1C">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sub>
        </m:sSub>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m:t>
                </m:r>
              </m:sub>
            </m:sSub>
          </m:num>
          <m:den>
            <m:r>
              <w:rPr>
                <w:rFonts w:ascii="Cambria Math" w:eastAsia="Cambria Math" w:hAnsi="Cambria Math" w:cs="Cambria Math"/>
                <w:sz w:val="24"/>
                <w:szCs w:val="24"/>
              </w:rPr>
              <m:t>V(Y)</m:t>
            </m:r>
          </m:den>
        </m:f>
        <m:r>
          <w:rPr>
            <w:rFonts w:ascii="Cambria Math" w:eastAsia="Cambria Math" w:hAnsi="Cambria Math" w:cs="Cambria Math"/>
            <w:sz w:val="24"/>
            <w:szCs w:val="24"/>
          </w:rPr>
          <m:t xml:space="preserve">. </m:t>
        </m:r>
      </m:oMath>
      <w:r>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Pr="00684413">
        <w:rPr>
          <w:rFonts w:ascii="Times New Roman" w:eastAsia="Cambria Math" w:hAnsi="Times New Roman" w:cs="Times New Roman"/>
          <w:sz w:val="20"/>
          <w:szCs w:val="20"/>
        </w:rPr>
        <w:t>[7]</w:t>
      </w:r>
    </w:p>
    <w:p w14:paraId="0000007C" w14:textId="49E45989" w:rsidR="00F87ED1" w:rsidRDefault="00F87ED1">
      <w:pPr>
        <w:jc w:val="center"/>
        <w:rPr>
          <w:rFonts w:ascii="Cambria Math" w:eastAsia="Cambria Math" w:hAnsi="Cambria Math" w:cs="Cambria Math"/>
          <w:sz w:val="24"/>
          <w:szCs w:val="24"/>
        </w:rPr>
      </w:pPr>
    </w:p>
    <w:p w14:paraId="0000007D" w14:textId="77777777"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Further reading and detailed derivations are provided in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2010;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2008). </w:t>
      </w:r>
    </w:p>
    <w:p w14:paraId="0000007E"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2.2 The Morris Method: Derivative-Based</w:t>
      </w:r>
    </w:p>
    <w:p w14:paraId="0000007F" w14:textId="500CDDFF"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Morris method is a one factor at a time (OFAAT) derivative-based approach to determine parameter influence measures called elementary effects (Morris, 1991). Advancing beyond a simple OFAAT method, the Morris method uses an average of these elementary effects evaluated at multiple points to remove the localizing effects of a single sample method, where derivatives are taken at a single point in the parameter space. The method is found to be efficient when examining datasets with many parameters, with a minimised computational cost when compared to variance-based methods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2008), but lacks the quantitative ability of the </w:t>
      </w:r>
      <w:proofErr w:type="gramStart"/>
      <w:r>
        <w:rPr>
          <w:rFonts w:ascii="Times New Roman" w:eastAsia="Times New Roman" w:hAnsi="Times New Roman" w:cs="Times New Roman"/>
          <w:sz w:val="20"/>
          <w:szCs w:val="20"/>
        </w:rPr>
        <w:t>aforementioned Sobol</w:t>
      </w:r>
      <w:proofErr w:type="gramEnd"/>
      <w:r>
        <w:rPr>
          <w:rFonts w:ascii="Times New Roman" w:eastAsia="Times New Roman" w:hAnsi="Times New Roman" w:cs="Times New Roman"/>
          <w:sz w:val="20"/>
          <w:szCs w:val="20"/>
        </w:rPr>
        <w:t>’ method and is therefore considered a qualitative method. The Morris method was chosen based on the reduced computational cost of generating qualitative total order SA measures. Sampling methods for the Morris method create a trajectory on which the parameters are varied given pseudo-random starting points. Improvements made on Morris’ original sampling method were formulated by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Cariboni</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2007), where the samples/trajectories are chosen to uniformly stratify the dataset in p-levels, improving the sample space coverage and minimizing overlapping sequences. As an addition to the originally proposed method,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w:t>
      </w:r>
      <w:r w:rsidR="001A7A7F">
        <w:rPr>
          <w:rFonts w:ascii="Times New Roman" w:eastAsia="Times New Roman" w:hAnsi="Times New Roman" w:cs="Times New Roman"/>
          <w:sz w:val="20"/>
          <w:szCs w:val="20"/>
        </w:rPr>
        <w:t xml:space="preserve">et al (2007) </w:t>
      </w:r>
      <w:r>
        <w:rPr>
          <w:rFonts w:ascii="Times New Roman" w:eastAsia="Times New Roman" w:hAnsi="Times New Roman" w:cs="Times New Roman"/>
          <w:sz w:val="20"/>
          <w:szCs w:val="20"/>
        </w:rPr>
        <w:t xml:space="preserve">suggested taking the absolute value of the calculated elementary effect. This method of using the absolute value is shown to improve the accuracy of the predicted elementary effect when the model exhibits non-monotonic behaviour. Eq.8 shows the method in which the mean of the elementary effects of each variable is calculated as proposed by </w:t>
      </w:r>
      <w:proofErr w:type="spellStart"/>
      <w:r>
        <w:rPr>
          <w:rFonts w:ascii="Times New Roman" w:eastAsia="Times New Roman" w:hAnsi="Times New Roman" w:cs="Times New Roman"/>
          <w:sz w:val="20"/>
          <w:szCs w:val="20"/>
        </w:rPr>
        <w:t>Campolongo</w:t>
      </w:r>
      <w:proofErr w:type="spellEnd"/>
      <w:r w:rsidR="001A7A7F">
        <w:rPr>
          <w:rFonts w:ascii="Times New Roman" w:eastAsia="Times New Roman" w:hAnsi="Times New Roman" w:cs="Times New Roman"/>
          <w:sz w:val="20"/>
          <w:szCs w:val="20"/>
        </w:rPr>
        <w:t xml:space="preserve"> et al (2007)</w:t>
      </w:r>
      <w:r>
        <w:rPr>
          <w:rFonts w:ascii="Times New Roman" w:eastAsia="Times New Roman" w:hAnsi="Times New Roman" w:cs="Times New Roman"/>
          <w:sz w:val="20"/>
          <w:szCs w:val="20"/>
        </w:rPr>
        <w:t>. The mean elementary effect is often compared to the total order GSA measures estimated by variance-based methods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et al., 2007;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et al., 2008; Sobol' &amp; </w:t>
      </w:r>
      <w:proofErr w:type="spellStart"/>
      <w:r>
        <w:rPr>
          <w:rFonts w:ascii="Times New Roman" w:eastAsia="Times New Roman" w:hAnsi="Times New Roman" w:cs="Times New Roman"/>
          <w:sz w:val="20"/>
          <w:szCs w:val="20"/>
        </w:rPr>
        <w:t>Kucherenkob</w:t>
      </w:r>
      <w:proofErr w:type="spellEnd"/>
      <w:r>
        <w:rPr>
          <w:rFonts w:ascii="Times New Roman" w:eastAsia="Times New Roman" w:hAnsi="Times New Roman" w:cs="Times New Roman"/>
          <w:sz w:val="20"/>
          <w:szCs w:val="20"/>
        </w:rPr>
        <w:t xml:space="preserve">, 2009). Where </w:t>
      </w:r>
      <m:oMath>
        <m:r>
          <w:rPr>
            <w:rFonts w:ascii="Cambria Math" w:eastAsia="Cambria Math" w:hAnsi="Cambria Math" w:cs="Cambria Math"/>
            <w:sz w:val="20"/>
            <w:szCs w:val="20"/>
          </w:rPr>
          <m:t>r</m:t>
        </m:r>
      </m:oMath>
      <w:r>
        <w:rPr>
          <w:rFonts w:ascii="Times New Roman" w:eastAsia="Times New Roman" w:hAnsi="Times New Roman" w:cs="Times New Roman"/>
          <w:sz w:val="20"/>
          <w:szCs w:val="20"/>
        </w:rPr>
        <w:t xml:space="preserve"> in Eq.8 is the number of trajectories or sample sets, and </w:t>
      </w:r>
      <m:oMath>
        <m:r>
          <w:rPr>
            <w:rFonts w:ascii="Cambria Math" w:eastAsia="Cambria Math" w:hAnsi="Cambria Math" w:cs="Cambria Math"/>
            <w:sz w:val="20"/>
            <w:szCs w:val="20"/>
          </w:rPr>
          <m:t>E</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E</m:t>
            </m:r>
          </m:e>
          <m:sub>
            <m:r>
              <w:rPr>
                <w:rFonts w:ascii="Cambria Math" w:eastAsia="Cambria Math" w:hAnsi="Cambria Math" w:cs="Cambria Math"/>
                <w:sz w:val="20"/>
                <w:szCs w:val="20"/>
              </w:rPr>
              <m:t>i</m:t>
            </m:r>
          </m:sub>
          <m:sup>
            <m:r>
              <w:rPr>
                <w:rFonts w:ascii="Cambria Math" w:eastAsia="Cambria Math" w:hAnsi="Cambria Math" w:cs="Cambria Math"/>
                <w:sz w:val="20"/>
                <w:szCs w:val="20"/>
              </w:rPr>
              <m:t>j</m:t>
            </m:r>
          </m:sup>
        </m:sSubSup>
      </m:oMath>
      <w:r>
        <w:rPr>
          <w:rFonts w:ascii="Times New Roman" w:eastAsia="Times New Roman" w:hAnsi="Times New Roman" w:cs="Times New Roman"/>
          <w:sz w:val="20"/>
          <w:szCs w:val="20"/>
        </w:rPr>
        <w:t xml:space="preserve"> is the elementary effect determined from each trajectory for each input variable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k</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where </w:t>
      </w:r>
      <m:oMath>
        <m:r>
          <w:rPr>
            <w:rFonts w:ascii="Cambria Math" w:eastAsia="Cambria Math" w:hAnsi="Cambria Math" w:cs="Cambria Math"/>
            <w:sz w:val="20"/>
            <w:szCs w:val="20"/>
          </w:rPr>
          <m:t>k</m:t>
        </m:r>
      </m:oMath>
      <w:r>
        <w:rPr>
          <w:rFonts w:ascii="Times New Roman" w:eastAsia="Times New Roman" w:hAnsi="Times New Roman" w:cs="Times New Roman"/>
          <w:sz w:val="20"/>
          <w:szCs w:val="20"/>
        </w:rPr>
        <w:t xml:space="preserve"> is the number of input parameters in </w:t>
      </w:r>
      <m:oMath>
        <m:r>
          <w:rPr>
            <w:rFonts w:ascii="Cambria Math" w:eastAsia="Cambria Math" w:hAnsi="Cambria Math" w:cs="Cambria Math"/>
            <w:sz w:val="20"/>
            <w:szCs w:val="20"/>
          </w:rPr>
          <m:t>f(x)</m:t>
        </m:r>
      </m:oMath>
      <w:r w:rsidR="007F777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80" w14:textId="7647EB83" w:rsidR="00F87ED1" w:rsidRDefault="00D17F9E" w:rsidP="00D17F9E">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hAnsi="Cambria Math"/>
              </w:rPr>
              <m:t>μ</m:t>
            </m:r>
          </m:e>
          <m:sub>
            <m:r>
              <w:rPr>
                <w:rFonts w:ascii="Cambria Math" w:eastAsia="Cambria Math" w:hAnsi="Cambria Math" w:cs="Cambria Math"/>
                <w:sz w:val="24"/>
                <w:szCs w:val="24"/>
              </w:rPr>
              <m:t>i</m:t>
            </m:r>
          </m:sub>
          <m:sup>
            <m:r>
              <w:rPr>
                <w:rFonts w:ascii="Cambria Math" w:eastAsia="Cambria Math" w:hAnsi="Cambria Math" w:cs="Cambria Math"/>
                <w:sz w:val="24"/>
                <w:szCs w:val="24"/>
              </w:rPr>
              <m:t>*</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r</m:t>
            </m:r>
          </m:den>
        </m:f>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r</m:t>
            </m:r>
          </m:sup>
          <m:e>
            <m:d>
              <m:dPr>
                <m:begChr m:val="|"/>
                <m:endChr m:val="|"/>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EE</m:t>
                    </m:r>
                  </m:e>
                  <m:sub>
                    <m:r>
                      <w:rPr>
                        <w:rFonts w:ascii="Cambria Math" w:eastAsia="Cambria Math" w:hAnsi="Cambria Math" w:cs="Cambria Math"/>
                        <w:sz w:val="24"/>
                        <w:szCs w:val="24"/>
                      </w:rPr>
                      <m:t>i</m:t>
                    </m:r>
                  </m:sub>
                  <m:sup>
                    <m:r>
                      <w:rPr>
                        <w:rFonts w:ascii="Cambria Math" w:eastAsia="Cambria Math" w:hAnsi="Cambria Math" w:cs="Cambria Math"/>
                        <w:sz w:val="24"/>
                        <w:szCs w:val="24"/>
                      </w:rPr>
                      <m:t>j</m:t>
                    </m:r>
                  </m:sup>
                </m:sSubSup>
              </m:e>
            </m:d>
          </m:e>
        </m:nary>
        <m:r>
          <w:rPr>
            <w:rFonts w:ascii="Cambria Math" w:eastAsia="Times New Roman" w:hAnsi="Cambria Math" w:cs="Times New Roman"/>
            <w:sz w:val="24"/>
            <w:szCs w:val="24"/>
          </w:rPr>
          <m:t>.</m:t>
        </m:r>
      </m:oMath>
      <w:r w:rsidR="00684413">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684413" w:rsidRPr="00621E81">
        <w:rPr>
          <w:rFonts w:ascii="Times New Roman" w:eastAsia="Cambria Math" w:hAnsi="Times New Roman" w:cs="Times New Roman"/>
          <w:sz w:val="20"/>
          <w:szCs w:val="20"/>
        </w:rPr>
        <w:t>[8]</w:t>
      </w:r>
    </w:p>
    <w:p w14:paraId="00000081" w14:textId="38C3A010"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Eq.9 shows the method of calculating the standard deviation of the mean elementary effect. This represents the magnitude of interactive effects between variable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and all other parameters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sidR="007F777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82" w14:textId="0F4E3240" w:rsidR="00F87ED1" w:rsidRDefault="00D17F9E" w:rsidP="00D17F9E">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hAnsi="Cambria Math"/>
              </w:rPr>
              <m:t>σ</m:t>
            </m:r>
          </m:e>
          <m:sub>
            <m:r>
              <w:rPr>
                <w:rFonts w:ascii="Cambria Math" w:eastAsia="Cambria Math" w:hAnsi="Cambria Math" w:cs="Cambria Math"/>
                <w:sz w:val="24"/>
                <w:szCs w:val="24"/>
              </w:rPr>
              <m:t>i</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(r-1)</m:t>
            </m:r>
          </m:den>
        </m:f>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r</m:t>
            </m:r>
          </m:sup>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EE</m:t>
                    </m:r>
                  </m:e>
                  <m:sub>
                    <m:r>
                      <w:rPr>
                        <w:rFonts w:ascii="Cambria Math" w:eastAsia="Cambria Math" w:hAnsi="Cambria Math" w:cs="Cambria Math"/>
                        <w:sz w:val="24"/>
                        <w:szCs w:val="24"/>
                      </w:rPr>
                      <m:t>i</m:t>
                    </m:r>
                  </m:sub>
                  <m:sup>
                    <m:r>
                      <w:rPr>
                        <w:rFonts w:ascii="Cambria Math" w:eastAsia="Cambria Math" w:hAnsi="Cambria Math" w:cs="Cambria Math"/>
                        <w:sz w:val="24"/>
                        <w:szCs w:val="24"/>
                      </w:rPr>
                      <m:t>j</m:t>
                    </m:r>
                  </m:sup>
                </m:sSubSup>
                <m:r>
                  <w:rPr>
                    <w:rFonts w:ascii="Cambria Math" w:eastAsia="Cambria Math" w:hAnsi="Cambria Math" w:cs="Cambria Math"/>
                    <w:sz w:val="24"/>
                    <w:szCs w:val="24"/>
                  </w:rPr>
                  <m:t>- μ)</m:t>
                </m:r>
              </m:e>
              <m:sup>
                <m:r>
                  <w:rPr>
                    <w:rFonts w:ascii="Cambria Math" w:eastAsia="Cambria Math" w:hAnsi="Cambria Math" w:cs="Cambria Math"/>
                    <w:sz w:val="24"/>
                    <w:szCs w:val="24"/>
                  </w:rPr>
                  <m:t>2</m:t>
                </m:r>
              </m:sup>
            </m:sSup>
          </m:e>
        </m:nary>
        <m:r>
          <w:rPr>
            <w:rFonts w:ascii="Cambria Math" w:eastAsia="Cambria Math" w:hAnsi="Cambria Math" w:cs="Cambria Math"/>
            <w:sz w:val="24"/>
            <w:szCs w:val="24"/>
          </w:rPr>
          <m:t>.</m:t>
        </m:r>
      </m:oMath>
      <w:r w:rsidR="00FF3EF7">
        <w:rPr>
          <w:rFonts w:ascii="Cambria Math" w:eastAsia="Cambria Math" w:hAnsi="Cambria Math" w:cs="Cambria Math"/>
          <w:sz w:val="24"/>
          <w:szCs w:val="24"/>
        </w:rPr>
        <w:t xml:space="preserve">   </w:t>
      </w:r>
      <w:r>
        <w:rPr>
          <w:rFonts w:ascii="Cambria Math" w:eastAsia="Cambria Math" w:hAnsi="Cambria Math" w:cs="Cambria Math"/>
          <w:sz w:val="24"/>
          <w:szCs w:val="24"/>
        </w:rPr>
        <w:tab/>
      </w:r>
      <w:r w:rsidR="00FF3EF7" w:rsidRPr="00621E81">
        <w:rPr>
          <w:rFonts w:ascii="Times New Roman" w:eastAsia="Cambria Math" w:hAnsi="Times New Roman" w:cs="Times New Roman"/>
          <w:sz w:val="20"/>
          <w:szCs w:val="20"/>
        </w:rPr>
        <w:t>[9]</w:t>
      </w:r>
    </w:p>
    <w:p w14:paraId="00000083" w14:textId="18AD5AAD"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analytical derivative in Eq.10 is the method used to calculate the elementary effects. Where </w:t>
      </w:r>
      <m:oMath>
        <m:r>
          <w:rPr>
            <w:rFonts w:ascii="Cambria Math" w:hAnsi="Cambria Math"/>
          </w:rPr>
          <m:t>Δ</m:t>
        </m:r>
      </m:oMath>
      <w:r>
        <w:rPr>
          <w:rFonts w:ascii="Times New Roman" w:eastAsia="Times New Roman" w:hAnsi="Times New Roman" w:cs="Times New Roman"/>
          <w:sz w:val="20"/>
          <w:szCs w:val="20"/>
        </w:rPr>
        <w:t xml:space="preserve"> is a value contained in [1/</w:t>
      </w:r>
      <m:oMath>
        <m:r>
          <w:rPr>
            <w:rFonts w:ascii="Cambria Math" w:eastAsia="Cambria Math" w:hAnsi="Cambria Math" w:cs="Cambria Math"/>
            <w:sz w:val="20"/>
            <w:szCs w:val="20"/>
          </w:rPr>
          <m:t>(p-1)</m:t>
        </m:r>
      </m:oMath>
      <w:r>
        <w:rPr>
          <w:rFonts w:ascii="Times New Roman" w:eastAsia="Times New Roman" w:hAnsi="Times New Roman" w:cs="Times New Roman"/>
          <w:sz w:val="20"/>
          <w:szCs w:val="20"/>
        </w:rPr>
        <w:t>,…,</w:t>
      </w:r>
      <m:oMath>
        <m:r>
          <w:rPr>
            <w:rFonts w:ascii="Cambria Math" w:eastAsia="Cambria Math" w:hAnsi="Cambria Math" w:cs="Cambria Math"/>
            <w:sz w:val="20"/>
            <w:szCs w:val="20"/>
          </w:rPr>
          <m:t>1-1</m:t>
        </m:r>
      </m:oMath>
      <w:r>
        <w:rPr>
          <w:rFonts w:ascii="Times New Roman" w:eastAsia="Times New Roman" w:hAnsi="Times New Roman" w:cs="Times New Roman"/>
          <w:sz w:val="20"/>
          <w:szCs w:val="20"/>
        </w:rPr>
        <w:t>/</w:t>
      </w:r>
      <m:oMath>
        <m:r>
          <w:rPr>
            <w:rFonts w:ascii="Cambria Math" w:eastAsia="Cambria Math" w:hAnsi="Cambria Math" w:cs="Cambria Math"/>
            <w:sz w:val="20"/>
            <w:szCs w:val="20"/>
          </w:rPr>
          <m:t>(p-1)</m:t>
        </m:r>
      </m:oMath>
      <w:r>
        <w:rPr>
          <w:rFonts w:ascii="Times New Roman" w:eastAsia="Times New Roman" w:hAnsi="Times New Roman" w:cs="Times New Roman"/>
          <w:sz w:val="20"/>
          <w:szCs w:val="20"/>
        </w:rPr>
        <w:t xml:space="preserve">], where p is the level of discretization of the sample set. Conceptually this is the partial derivative of the model where an input variable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is changed by </w:t>
      </w:r>
      <m:oMath>
        <m:r>
          <w:rPr>
            <w:rFonts w:ascii="Cambria Math" w:hAnsi="Cambria Math"/>
          </w:rPr>
          <m:t>Δ</m:t>
        </m:r>
      </m:oMath>
      <w:r w:rsidR="007F7772">
        <w:rPr>
          <w:rFonts w:ascii="Times New Roman" w:eastAsia="Times New Roman" w:hAnsi="Times New Roman" w:cs="Times New Roman"/>
          <w:sz w:val="20"/>
          <w:szCs w:val="20"/>
        </w:rPr>
        <w:t>,</w:t>
      </w:r>
    </w:p>
    <w:p w14:paraId="00000084" w14:textId="727F4CF0" w:rsidR="00F87ED1" w:rsidRDefault="00D17F9E" w:rsidP="00D17F9E">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E</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[Y</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k</m:t>
                    </m:r>
                  </m:sub>
                </m:sSub>
              </m:e>
            </m:d>
            <m:r>
              <w:rPr>
                <w:rFonts w:ascii="Cambria Math" w:eastAsia="Cambria Math" w:hAnsi="Cambria Math" w:cs="Cambria Math"/>
                <w:sz w:val="24"/>
                <w:szCs w:val="24"/>
              </w:rPr>
              <m:t>-Y(</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k</m:t>
                </m:r>
              </m:sub>
            </m:sSub>
            <m:r>
              <w:rPr>
                <w:rFonts w:ascii="Cambria Math" w:eastAsia="Cambria Math" w:hAnsi="Cambria Math" w:cs="Cambria Math"/>
                <w:sz w:val="24"/>
                <w:szCs w:val="24"/>
              </w:rPr>
              <m:t>)]</m:t>
            </m:r>
          </m:num>
          <m:den>
            <m:r>
              <w:rPr>
                <w:rFonts w:ascii="Cambria Math" w:eastAsia="Cambria Math" w:hAnsi="Cambria Math" w:cs="Cambria Math"/>
                <w:sz w:val="24"/>
                <w:szCs w:val="24"/>
              </w:rPr>
              <m:t>∆</m:t>
            </m:r>
          </m:den>
        </m:f>
        <m:r>
          <w:rPr>
            <w:rFonts w:ascii="Cambria Math" w:eastAsia="Cambria Math" w:hAnsi="Cambria Math" w:cs="Cambria Math"/>
            <w:sz w:val="24"/>
            <w:szCs w:val="24"/>
          </w:rPr>
          <m:t xml:space="preserve"> .</m:t>
        </m:r>
      </m:oMath>
      <w:r>
        <w:rPr>
          <w:rFonts w:ascii="Times New Roman" w:eastAsia="Cambria Math" w:hAnsi="Times New Roman" w:cs="Times New Roman"/>
          <w:sz w:val="24"/>
          <w:szCs w:val="24"/>
        </w:rPr>
        <w:tab/>
      </w:r>
      <w:r w:rsidR="00621E81" w:rsidRPr="00621E81">
        <w:rPr>
          <w:rFonts w:ascii="Times New Roman" w:eastAsia="Cambria Math" w:hAnsi="Times New Roman" w:cs="Times New Roman"/>
          <w:sz w:val="20"/>
          <w:szCs w:val="20"/>
        </w:rPr>
        <w:t>[10]</w:t>
      </w:r>
    </w:p>
    <w:p w14:paraId="00000085"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2.3 Extended Fourier Amplitude Sensitivity Test: Fourier Transformation Based</w:t>
      </w:r>
    </w:p>
    <w:p w14:paraId="00000086" w14:textId="580A1B89"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Fourier </w:t>
      </w:r>
      <w:r w:rsidR="002B1464">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mplitude </w:t>
      </w:r>
      <w:r w:rsidR="002B1464">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ensitivity </w:t>
      </w:r>
      <w:r w:rsidR="002B1464">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est (FAST), originally proposed by </w:t>
      </w:r>
      <w:proofErr w:type="spellStart"/>
      <w:r>
        <w:rPr>
          <w:rFonts w:ascii="Times New Roman" w:eastAsia="Times New Roman" w:hAnsi="Times New Roman" w:cs="Times New Roman"/>
          <w:sz w:val="20"/>
          <w:szCs w:val="20"/>
        </w:rPr>
        <w:t>Cukier</w:t>
      </w:r>
      <w:proofErr w:type="spellEnd"/>
      <w:r>
        <w:rPr>
          <w:rFonts w:ascii="Times New Roman" w:eastAsia="Times New Roman" w:hAnsi="Times New Roman" w:cs="Times New Roman"/>
          <w:sz w:val="20"/>
          <w:szCs w:val="20"/>
        </w:rPr>
        <w:t>, Levine, &amp; Shuler</w:t>
      </w:r>
      <w:r w:rsidR="00EE23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1978), uses Fourier transformation coefficients to determine first order sensitivity indices. Later the FAST method was expanded by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Bolado</w:t>
      </w:r>
      <w:proofErr w:type="spellEnd"/>
      <w:r>
        <w:rPr>
          <w:rFonts w:ascii="Times New Roman" w:eastAsia="Times New Roman" w:hAnsi="Times New Roman" w:cs="Times New Roman"/>
          <w:sz w:val="20"/>
          <w:szCs w:val="20"/>
        </w:rPr>
        <w:t xml:space="preserve"> </w:t>
      </w:r>
      <w:r w:rsidR="00EE23F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1998) </w:t>
      </w:r>
      <w:r w:rsidRPr="00EA23C8">
        <w:rPr>
          <w:rFonts w:ascii="Times New Roman" w:eastAsia="Times New Roman" w:hAnsi="Times New Roman" w:cs="Times New Roman"/>
          <w:sz w:val="20"/>
          <w:szCs w:val="20"/>
        </w:rPr>
        <w:t xml:space="preserve">by implementing an improved sampling method and estimator of total order indices, referred to as the </w:t>
      </w:r>
      <w:r w:rsidR="00CD1F91" w:rsidRPr="00EA23C8">
        <w:rPr>
          <w:rFonts w:ascii="Times New Roman" w:eastAsia="Times New Roman" w:hAnsi="Times New Roman" w:cs="Times New Roman"/>
          <w:sz w:val="20"/>
          <w:szCs w:val="20"/>
        </w:rPr>
        <w:t>E</w:t>
      </w:r>
      <w:r w:rsidRPr="00EA23C8">
        <w:rPr>
          <w:rFonts w:ascii="Times New Roman" w:eastAsia="Times New Roman" w:hAnsi="Times New Roman" w:cs="Times New Roman"/>
          <w:sz w:val="20"/>
          <w:szCs w:val="20"/>
        </w:rPr>
        <w:t xml:space="preserve">xtended FAST (EFAST) method. For the first order indices, it is </w:t>
      </w:r>
      <w:r w:rsidR="00A51C2B" w:rsidRPr="0017359A">
        <w:rPr>
          <w:rFonts w:ascii="Times New Roman" w:eastAsia="Times New Roman" w:hAnsi="Times New Roman" w:cs="Times New Roman"/>
          <w:sz w:val="20"/>
          <w:szCs w:val="20"/>
        </w:rPr>
        <w:t>suggested</w:t>
      </w:r>
      <w:r w:rsidR="00A51C2B" w:rsidRPr="00EA23C8">
        <w:rPr>
          <w:rFonts w:ascii="Times New Roman" w:eastAsia="Times New Roman" w:hAnsi="Times New Roman" w:cs="Times New Roman"/>
          <w:color w:val="FF0000"/>
          <w:sz w:val="20"/>
          <w:szCs w:val="20"/>
        </w:rPr>
        <w:t xml:space="preserve"> </w:t>
      </w:r>
      <w:r w:rsidRPr="00EA23C8">
        <w:rPr>
          <w:rFonts w:ascii="Times New Roman" w:eastAsia="Times New Roman" w:hAnsi="Times New Roman" w:cs="Times New Roman"/>
          <w:sz w:val="20"/>
          <w:szCs w:val="20"/>
        </w:rPr>
        <w:t>that the EFAST sensitivity measure is comparable to that of Sobol’s first order, with a reduction in computational cost,</w:t>
      </w:r>
      <w:r>
        <w:rPr>
          <w:rFonts w:ascii="Times New Roman" w:eastAsia="Times New Roman" w:hAnsi="Times New Roman" w:cs="Times New Roman"/>
          <w:sz w:val="20"/>
          <w:szCs w:val="20"/>
        </w:rPr>
        <w:t xml:space="preserve"> while the total order may differ based on the interdependencies of parameters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Tarantola</w:t>
      </w:r>
      <w:proofErr w:type="spellEnd"/>
      <w:r>
        <w:rPr>
          <w:rFonts w:ascii="Times New Roman" w:eastAsia="Times New Roman" w:hAnsi="Times New Roman" w:cs="Times New Roman"/>
          <w:sz w:val="20"/>
          <w:szCs w:val="20"/>
        </w:rPr>
        <w:t>, &amp; Chan, 1999). The EFAST method represents a unique GSA method when compared to variance and derivative based methods and the potential of decreased computational time compared to Sobol’s method given the more deterministic sampling scheme, while allowing for high</w:t>
      </w:r>
      <w:r w:rsidR="00EE23FC">
        <w:rPr>
          <w:rFonts w:ascii="Times New Roman" w:eastAsia="Times New Roman" w:hAnsi="Times New Roman" w:cs="Times New Roman"/>
          <w:sz w:val="20"/>
          <w:szCs w:val="20"/>
        </w:rPr>
        <w:t>er</w:t>
      </w:r>
      <w:r>
        <w:rPr>
          <w:rFonts w:ascii="Times New Roman" w:eastAsia="Times New Roman" w:hAnsi="Times New Roman" w:cs="Times New Roman"/>
          <w:sz w:val="20"/>
          <w:szCs w:val="20"/>
        </w:rPr>
        <w:t xml:space="preserve"> order terms to be included. The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-dimensional sample space is explored using design points taken over a search curve to explore the input space with various frequencies </w:t>
      </w:r>
      <m:oMath>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ω</m:t>
            </m:r>
          </m:e>
          <m:sub>
            <m:r>
              <w:rPr>
                <w:rFonts w:ascii="Cambria Math" w:eastAsia="Cambria Math" w:hAnsi="Cambria Math" w:cs="Cambria Math"/>
                <w:sz w:val="20"/>
                <w:szCs w:val="20"/>
              </w:rPr>
              <m:t>1</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ω</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ω</m:t>
            </m:r>
          </m:e>
          <m:sub>
            <m:r>
              <w:rPr>
                <w:rFonts w:ascii="Cambria Math" w:eastAsia="Cambria Math" w:hAnsi="Cambria Math" w:cs="Cambria Math"/>
                <w:sz w:val="20"/>
                <w:szCs w:val="20"/>
              </w:rPr>
              <m:t>k</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These frequencies are selected to prohibit interference with one another, allowing for the frequencies to respond uniquely to each input. A Fourier transformation is used on the search curve and the resulting Fourier coefficients are used to calculate the variances required for the sensitivity indices. Eq.11 shows the general form of the search curve proposed by </w:t>
      </w:r>
      <w:proofErr w:type="spellStart"/>
      <w:r>
        <w:rPr>
          <w:rFonts w:ascii="Times New Roman" w:eastAsia="Times New Roman" w:hAnsi="Times New Roman" w:cs="Times New Roman"/>
          <w:sz w:val="20"/>
          <w:szCs w:val="20"/>
        </w:rPr>
        <w:t>Saltelli</w:t>
      </w:r>
      <w:proofErr w:type="spellEnd"/>
      <w:r>
        <w:rPr>
          <w:rFonts w:ascii="Times New Roman" w:eastAsia="Times New Roman" w:hAnsi="Times New Roman" w:cs="Times New Roman"/>
          <w:sz w:val="20"/>
          <w:szCs w:val="20"/>
        </w:rPr>
        <w:t xml:space="preserve"> </w:t>
      </w:r>
      <w:r w:rsidR="00EE23FC">
        <w:rPr>
          <w:rFonts w:ascii="Times New Roman" w:eastAsia="Times New Roman" w:hAnsi="Times New Roman" w:cs="Times New Roman"/>
          <w:sz w:val="20"/>
          <w:szCs w:val="20"/>
        </w:rPr>
        <w:t xml:space="preserve">et al </w:t>
      </w:r>
      <w:r>
        <w:rPr>
          <w:rFonts w:ascii="Times New Roman" w:eastAsia="Times New Roman" w:hAnsi="Times New Roman" w:cs="Times New Roman"/>
          <w:sz w:val="20"/>
          <w:szCs w:val="20"/>
        </w:rPr>
        <w:t xml:space="preserve">(1999), where </w:t>
      </w:r>
      <m:oMath>
        <m:sSub>
          <m:sSubPr>
            <m:ctrlPr>
              <w:rPr>
                <w:rFonts w:ascii="Cambria Math" w:eastAsia="Cambria Math" w:hAnsi="Cambria Math" w:cs="Cambria Math"/>
                <w:sz w:val="20"/>
                <w:szCs w:val="20"/>
              </w:rPr>
            </m:ctrlPr>
          </m:sSubPr>
          <m:e>
            <m:r>
              <w:rPr>
                <w:rFonts w:ascii="Cambria Math" w:hAnsi="Cambria Math"/>
              </w:rPr>
              <m:t>ω</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are the frequencies corresponding to each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-input, </w:t>
      </w:r>
      <w:r>
        <w:rPr>
          <w:rFonts w:ascii="Times New Roman" w:eastAsia="Times New Roman" w:hAnsi="Times New Roman" w:cs="Times New Roman"/>
          <w:i/>
          <w:sz w:val="20"/>
          <w:szCs w:val="20"/>
        </w:rPr>
        <w:t>s</w:t>
      </w:r>
      <w:r>
        <w:rPr>
          <w:rFonts w:ascii="Times New Roman" w:eastAsia="Times New Roman" w:hAnsi="Times New Roman" w:cs="Times New Roman"/>
          <w:sz w:val="20"/>
          <w:szCs w:val="20"/>
        </w:rPr>
        <w:t xml:space="preserve"> is a scaler evaluated throughout the range </w:t>
      </w:r>
      <m:oMath>
        <m:d>
          <m:dPr>
            <m:ctrlPr>
              <w:rPr>
                <w:rFonts w:ascii="Cambria Math" w:eastAsia="Cambria Math" w:hAnsi="Cambria Math" w:cs="Cambria Math"/>
                <w:sz w:val="20"/>
                <w:szCs w:val="20"/>
              </w:rPr>
            </m:ctrlPr>
          </m:dPr>
          <m:e>
            <m:r>
              <w:rPr>
                <w:rFonts w:ascii="Cambria Math" w:eastAsia="Cambria Math" w:hAnsi="Cambria Math" w:cs="Cambria Math"/>
                <w:sz w:val="20"/>
                <w:szCs w:val="20"/>
              </w:rPr>
              <m:t>-π&lt;s&lt;π</m:t>
            </m:r>
          </m:e>
        </m:d>
      </m:oMath>
      <w:r>
        <w:rPr>
          <w:rFonts w:ascii="Times New Roman" w:eastAsia="Times New Roman" w:hAnsi="Times New Roman" w:cs="Times New Roman"/>
          <w:sz w:val="20"/>
          <w:szCs w:val="20"/>
        </w:rPr>
        <w:t xml:space="preserve">, and </w:t>
      </w:r>
      <m:oMath>
        <m:r>
          <w:rPr>
            <w:rFonts w:ascii="Cambria Math" w:hAnsi="Cambria Math"/>
          </w:rPr>
          <m:t>φ</m:t>
        </m:r>
      </m:oMath>
      <w:r>
        <w:rPr>
          <w:rFonts w:ascii="Times New Roman" w:eastAsia="Times New Roman" w:hAnsi="Times New Roman" w:cs="Times New Roman"/>
          <w:sz w:val="20"/>
          <w:szCs w:val="20"/>
        </w:rPr>
        <w:t xml:space="preserve"> is a phase-shift coefficient randomly chosen between </w:t>
      </w:r>
      <m:oMath>
        <m:r>
          <w:rPr>
            <w:rFonts w:ascii="Cambria Math" w:eastAsia="Cambria Math" w:hAnsi="Cambria Math" w:cs="Cambria Math"/>
            <w:sz w:val="20"/>
            <w:szCs w:val="20"/>
          </w:rPr>
          <m:t>(0&lt;φ&lt;2π)</m:t>
        </m:r>
      </m:oMath>
      <w:r w:rsidR="002B146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87" w14:textId="51A45FE4" w:rsidR="00F87ED1" w:rsidRDefault="00946FE9" w:rsidP="009C103A">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0"/>
          <w:szCs w:val="20"/>
        </w:rPr>
        <w:t xml:space="preserve">                                                                       </w:t>
      </w:r>
      <m:oMath>
        <m:r>
          <w:rPr>
            <w:rFonts w:ascii="Cambria Math" w:eastAsia="Cambria Math" w:hAnsi="Cambria Math" w:cs="Times New Roman"/>
            <w:sz w:val="20"/>
            <w:szCs w:val="20"/>
          </w:rPr>
          <m:t xml:space="preserve"> </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m:t>
            </m:r>
          </m:den>
        </m:f>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π</m:t>
            </m:r>
          </m:den>
        </m:f>
        <m:d>
          <m:dPr>
            <m:ctrlPr>
              <w:rPr>
                <w:rFonts w:ascii="Cambria Math" w:eastAsia="Cambria Math" w:hAnsi="Cambria Math" w:cs="Times New Roman"/>
                <w:i/>
                <w:sz w:val="20"/>
                <w:szCs w:val="20"/>
              </w:rPr>
            </m:ctrlPr>
          </m:dPr>
          <m:e>
            <m:r>
              <w:rPr>
                <w:rFonts w:ascii="Cambria Math" w:eastAsia="Cambria Math" w:hAnsi="Cambria Math" w:cs="Times New Roman"/>
                <w:sz w:val="20"/>
                <w:szCs w:val="20"/>
              </w:rPr>
              <m:t>si</m:t>
            </m:r>
            <m:func>
              <m:funcPr>
                <m:ctrlPr>
                  <w:rPr>
                    <w:rFonts w:ascii="Cambria Math" w:eastAsia="Cambria Math" w:hAnsi="Cambria Math" w:cs="Times New Roman"/>
                    <w:i/>
                    <w:sz w:val="20"/>
                    <w:szCs w:val="20"/>
                  </w:rPr>
                </m:ctrlPr>
              </m:funcPr>
              <m:fName>
                <m:r>
                  <w:rPr>
                    <w:rFonts w:ascii="Cambria Math" w:eastAsia="Cambria Math" w:hAnsi="Cambria Math" w:cs="Times New Roman"/>
                    <w:sz w:val="20"/>
                    <w:szCs w:val="20"/>
                  </w:rPr>
                  <m:t>n</m:t>
                </m:r>
              </m:fName>
              <m:e>
                <m:d>
                  <m:dPr>
                    <m:ctrlPr>
                      <w:rPr>
                        <w:rFonts w:ascii="Cambria Math" w:eastAsia="Cambria Math" w:hAnsi="Cambria Math" w:cs="Times New Roman"/>
                        <w:i/>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ω</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s+</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φ</m:t>
                        </m:r>
                      </m:e>
                      <m:sub>
                        <m:r>
                          <w:rPr>
                            <w:rFonts w:ascii="Cambria Math" w:eastAsia="Cambria Math" w:hAnsi="Cambria Math" w:cs="Times New Roman"/>
                            <w:sz w:val="20"/>
                            <w:szCs w:val="20"/>
                          </w:rPr>
                          <m:t>i</m:t>
                        </m:r>
                      </m:sub>
                    </m:sSub>
                  </m:e>
                </m:d>
              </m:e>
            </m:func>
          </m:e>
        </m:d>
        <m:r>
          <w:rPr>
            <w:rFonts w:ascii="Cambria Math" w:eastAsia="Cambria Math" w:hAnsi="Cambria Math" w:cs="Times New Roman"/>
            <w:sz w:val="20"/>
            <w:szCs w:val="20"/>
          </w:rPr>
          <m:t xml:space="preserve">.  </m:t>
        </m:r>
      </m:oMath>
      <w:r w:rsidR="009C103A">
        <w:rPr>
          <w:rFonts w:ascii="Times New Roman" w:eastAsia="Cambria Math" w:hAnsi="Times New Roman" w:cs="Times New Roman"/>
          <w:sz w:val="20"/>
          <w:szCs w:val="20"/>
        </w:rPr>
        <w:tab/>
      </w:r>
      <w:r w:rsidR="00D765EF" w:rsidRPr="00621E81">
        <w:rPr>
          <w:rFonts w:ascii="Times New Roman" w:eastAsia="Cambria Math" w:hAnsi="Times New Roman" w:cs="Times New Roman"/>
          <w:sz w:val="20"/>
          <w:szCs w:val="20"/>
        </w:rPr>
        <w:t>[11]</w:t>
      </w:r>
    </w:p>
    <w:p w14:paraId="00000088" w14:textId="16CF38EE"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Eq. 12 shows that the function </w:t>
      </w:r>
      <m:oMath>
        <m:r>
          <w:rPr>
            <w:rFonts w:ascii="Cambria Math" w:eastAsia="Cambria Math" w:hAnsi="Cambria Math" w:cs="Cambria Math"/>
            <w:sz w:val="20"/>
            <w:szCs w:val="20"/>
          </w:rPr>
          <m:t>f(s)</m:t>
        </m:r>
      </m:oMath>
      <w:r>
        <w:rPr>
          <w:rFonts w:ascii="Times New Roman" w:eastAsia="Times New Roman" w:hAnsi="Times New Roman" w:cs="Times New Roman"/>
          <w:sz w:val="20"/>
          <w:szCs w:val="20"/>
        </w:rPr>
        <w:t xml:space="preserve"> is a function of k-number</w:t>
      </w:r>
      <w:r w:rsidR="002B1464">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of search curves, each evaluated through the range of s, where k is the number of inputs</w:t>
      </w:r>
      <w:r w:rsidR="002B146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89" w14:textId="32DF6C34" w:rsidR="00F87ED1" w:rsidRPr="00621E81" w:rsidRDefault="00946FE9" w:rsidP="009C103A">
      <w:pPr>
        <w:tabs>
          <w:tab w:val="right" w:pos="9360"/>
        </w:tabs>
        <w:jc w:val="center"/>
        <w:rPr>
          <w:rFonts w:ascii="Times New Roman" w:eastAsia="Cambria Math" w:hAnsi="Times New Roman" w:cs="Times New Roman"/>
          <w:sz w:val="20"/>
          <w:szCs w:val="20"/>
        </w:rPr>
      </w:pPr>
      <w:r>
        <w:rPr>
          <w:rFonts w:ascii="Times New Roman" w:eastAsia="Times New Roman" w:hAnsi="Times New Roman" w:cs="Times New Roman"/>
          <w:sz w:val="20"/>
          <w:szCs w:val="20"/>
        </w:rPr>
        <w:t xml:space="preserve">                                                                      </w:t>
      </w:r>
      <m:oMath>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1</m:t>
                </m:r>
              </m:sub>
            </m:sSub>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2</m:t>
                </m:r>
              </m:sub>
            </m:sSub>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k</m:t>
                </m:r>
              </m:sub>
            </m:sSub>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e>
        </m:d>
      </m:oMath>
      <w:r w:rsidR="002B1464">
        <w:rPr>
          <w:rFonts w:ascii="Times New Roman" w:eastAsia="Times New Roman" w:hAnsi="Times New Roman" w:cs="Times New Roman"/>
          <w:sz w:val="20"/>
          <w:szCs w:val="20"/>
        </w:rPr>
        <w:t>.</w:t>
      </w:r>
      <w:r w:rsidR="00003EE9">
        <w:rPr>
          <w:rFonts w:ascii="Times New Roman" w:eastAsia="Cambria Math" w:hAnsi="Times New Roman" w:cs="Times New Roman"/>
          <w:sz w:val="20"/>
          <w:szCs w:val="20"/>
        </w:rPr>
        <w:tab/>
      </w:r>
      <w:r w:rsidR="00D765EF" w:rsidRPr="00621E81">
        <w:rPr>
          <w:rFonts w:ascii="Times New Roman" w:eastAsia="Cambria Math" w:hAnsi="Times New Roman" w:cs="Times New Roman"/>
          <w:sz w:val="20"/>
          <w:szCs w:val="20"/>
        </w:rPr>
        <w:t>[12]</w:t>
      </w:r>
    </w:p>
    <w:p w14:paraId="0000008A" w14:textId="26C7B3FE" w:rsidR="00F87ED1" w:rsidRPr="00621E81" w:rsidRDefault="00082627">
      <w:pPr>
        <w:rPr>
          <w:rFonts w:ascii="Times New Roman" w:eastAsia="Times New Roman" w:hAnsi="Times New Roman" w:cs="Times New Roman"/>
          <w:sz w:val="20"/>
          <w:szCs w:val="20"/>
        </w:rPr>
      </w:pPr>
      <w:r w:rsidRPr="00621E81">
        <w:rPr>
          <w:rFonts w:ascii="Times New Roman" w:eastAsia="Times New Roman" w:hAnsi="Times New Roman" w:cs="Times New Roman"/>
          <w:sz w:val="20"/>
          <w:szCs w:val="20"/>
        </w:rPr>
        <w:t>Eq. 13 shows the method used to calculate the output variance of the model</w:t>
      </w:r>
      <w:r w:rsidR="002B1464">
        <w:rPr>
          <w:rFonts w:ascii="Times New Roman" w:eastAsia="Times New Roman" w:hAnsi="Times New Roman" w:cs="Times New Roman"/>
          <w:sz w:val="20"/>
          <w:szCs w:val="20"/>
        </w:rPr>
        <w:t>,</w:t>
      </w:r>
    </w:p>
    <w:p w14:paraId="0000008B" w14:textId="640646E9" w:rsidR="00F87ED1" w:rsidRPr="00621E81" w:rsidRDefault="00946FE9" w:rsidP="009C103A">
      <w:pPr>
        <w:tabs>
          <w:tab w:val="right" w:pos="9360"/>
        </w:tabs>
        <w:jc w:val="center"/>
        <w:rPr>
          <w:rFonts w:ascii="Times New Roman" w:eastAsia="Cambria Math" w:hAnsi="Times New Roman" w:cs="Times New Roman"/>
          <w:sz w:val="20"/>
          <w:szCs w:val="20"/>
        </w:rPr>
      </w:pPr>
      <w:r>
        <w:rPr>
          <w:rFonts w:ascii="Times New Roman" w:eastAsia="Times New Roman" w:hAnsi="Times New Roman" w:cs="Times New Roman"/>
          <w:sz w:val="20"/>
          <w:szCs w:val="20"/>
        </w:rPr>
        <w:t xml:space="preserve">                                                                  </w:t>
      </w:r>
      <m:oMath>
        <m:acc>
          <m:accPr>
            <m:ctrlPr>
              <w:rPr>
                <w:rFonts w:ascii="Cambria Math" w:eastAsia="Cambria Math" w:hAnsi="Cambria Math" w:cs="Times New Roman"/>
                <w:sz w:val="20"/>
                <w:szCs w:val="20"/>
              </w:rPr>
            </m:ctrlPr>
          </m:accPr>
          <m:e>
            <m:r>
              <w:rPr>
                <w:rFonts w:ascii="Cambria Math" w:eastAsia="Cambria Math" w:hAnsi="Cambria Math" w:cs="Times New Roman"/>
                <w:sz w:val="20"/>
                <w:szCs w:val="20"/>
              </w:rPr>
              <m:t>D</m:t>
            </m:r>
          </m:e>
        </m:acc>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2π</m:t>
            </m:r>
          </m:den>
        </m:f>
        <m:nary>
          <m:naryPr>
            <m:ctrlPr>
              <w:rPr>
                <w:rFonts w:ascii="Cambria Math" w:eastAsia="Cambria Math" w:hAnsi="Cambria Math" w:cs="Times New Roman"/>
                <w:sz w:val="20"/>
                <w:szCs w:val="20"/>
              </w:rPr>
            </m:ctrlPr>
          </m:naryPr>
          <m:sub>
            <m:r>
              <w:rPr>
                <w:rFonts w:ascii="Cambria Math" w:eastAsia="Cambria Math" w:hAnsi="Cambria Math" w:cs="Times New Roman"/>
                <w:sz w:val="20"/>
                <w:szCs w:val="20"/>
              </w:rPr>
              <m:t>-π</m:t>
            </m:r>
          </m:sub>
          <m:sup>
            <m:r>
              <w:rPr>
                <w:rFonts w:ascii="Cambria Math" w:eastAsia="Cambria Math" w:hAnsi="Cambria Math" w:cs="Times New Roman"/>
                <w:sz w:val="20"/>
                <w:szCs w:val="20"/>
              </w:rPr>
              <m:t>π</m:t>
            </m:r>
          </m:sup>
          <m:e>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f</m:t>
                </m:r>
              </m:e>
              <m:sup>
                <m:r>
                  <w:rPr>
                    <w:rFonts w:ascii="Cambria Math" w:eastAsia="Cambria Math" w:hAnsi="Cambria Math" w:cs="Times New Roman"/>
                    <w:sz w:val="20"/>
                    <w:szCs w:val="20"/>
                  </w:rPr>
                  <m:t>2</m:t>
                </m:r>
              </m:sup>
            </m:sSup>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r>
              <w:rPr>
                <w:rFonts w:ascii="Cambria Math" w:eastAsia="Cambria Math" w:hAnsi="Cambria Math" w:cs="Times New Roman"/>
                <w:sz w:val="20"/>
                <w:szCs w:val="20"/>
              </w:rPr>
              <m:t>ds</m:t>
            </m:r>
          </m:e>
        </m:nary>
        <m:r>
          <w:rPr>
            <w:rFonts w:ascii="Cambria Math" w:eastAsia="Cambria Math" w:hAnsi="Cambria Math" w:cs="Times New Roman"/>
            <w:sz w:val="20"/>
            <w:szCs w:val="20"/>
          </w:rPr>
          <m:t xml:space="preserve">- </m:t>
        </m:r>
        <m:sSup>
          <m:sSupPr>
            <m:ctrlPr>
              <w:rPr>
                <w:rFonts w:ascii="Cambria Math" w:eastAsia="Cambria Math" w:hAnsi="Cambria Math" w:cs="Times New Roman"/>
                <w:sz w:val="20"/>
                <w:szCs w:val="20"/>
              </w:rPr>
            </m:ctrlPr>
          </m:sSupPr>
          <m:e>
            <m:d>
              <m:dPr>
                <m:begChr m:val="["/>
                <m:endChr m:val="]"/>
                <m:ctrlPr>
                  <w:rPr>
                    <w:rFonts w:ascii="Cambria Math" w:eastAsia="Cambria Math" w:hAnsi="Cambria Math" w:cs="Times New Roman"/>
                    <w:sz w:val="20"/>
                    <w:szCs w:val="20"/>
                  </w:rPr>
                </m:ctrlPr>
              </m:dPr>
              <m:e>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2π</m:t>
                    </m:r>
                  </m:den>
                </m:f>
                <m:nary>
                  <m:naryPr>
                    <m:ctrlPr>
                      <w:rPr>
                        <w:rFonts w:ascii="Cambria Math" w:eastAsia="Cambria Math" w:hAnsi="Cambria Math" w:cs="Times New Roman"/>
                        <w:sz w:val="20"/>
                        <w:szCs w:val="20"/>
                      </w:rPr>
                    </m:ctrlPr>
                  </m:naryPr>
                  <m:sub>
                    <m:r>
                      <w:rPr>
                        <w:rFonts w:ascii="Cambria Math" w:eastAsia="Cambria Math" w:hAnsi="Cambria Math" w:cs="Times New Roman"/>
                        <w:sz w:val="20"/>
                        <w:szCs w:val="20"/>
                      </w:rPr>
                      <m:t>-π</m:t>
                    </m:r>
                  </m:sub>
                  <m:sup>
                    <m:r>
                      <w:rPr>
                        <w:rFonts w:ascii="Cambria Math" w:eastAsia="Cambria Math" w:hAnsi="Cambria Math" w:cs="Times New Roman"/>
                        <w:sz w:val="20"/>
                        <w:szCs w:val="20"/>
                      </w:rPr>
                      <m:t>π</m:t>
                    </m:r>
                  </m:sup>
                  <m:e>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r>
                      <w:rPr>
                        <w:rFonts w:ascii="Cambria Math" w:eastAsia="Cambria Math" w:hAnsi="Cambria Math" w:cs="Times New Roman"/>
                        <w:sz w:val="20"/>
                        <w:szCs w:val="20"/>
                      </w:rPr>
                      <m:t>ds</m:t>
                    </m:r>
                  </m:e>
                </m:nary>
              </m:e>
            </m:d>
          </m:e>
          <m:sup>
            <m:r>
              <w:rPr>
                <w:rFonts w:ascii="Cambria Math" w:eastAsia="Cambria Math" w:hAnsi="Cambria Math" w:cs="Times New Roman"/>
                <w:sz w:val="20"/>
                <w:szCs w:val="20"/>
              </w:rPr>
              <m:t>2</m:t>
            </m:r>
          </m:sup>
        </m:sSup>
        <m:r>
          <w:rPr>
            <w:rFonts w:ascii="Cambria Math" w:eastAsia="Cambria Math" w:hAnsi="Cambria Math" w:cs="Times New Roman"/>
            <w:sz w:val="20"/>
            <w:szCs w:val="20"/>
          </w:rPr>
          <m:t>.</m:t>
        </m:r>
      </m:oMath>
      <w:r w:rsidR="00003EE9">
        <w:rPr>
          <w:rFonts w:ascii="Times New Roman" w:eastAsia="Cambria Math" w:hAnsi="Times New Roman" w:cs="Times New Roman"/>
          <w:sz w:val="20"/>
          <w:szCs w:val="20"/>
        </w:rPr>
        <w:tab/>
      </w:r>
      <w:r w:rsidR="00D765EF" w:rsidRPr="00621E81">
        <w:rPr>
          <w:rFonts w:ascii="Times New Roman" w:eastAsia="Cambria Math" w:hAnsi="Times New Roman" w:cs="Times New Roman"/>
          <w:sz w:val="20"/>
          <w:szCs w:val="20"/>
        </w:rPr>
        <w:t>[13]</w:t>
      </w:r>
    </w:p>
    <w:p w14:paraId="0000008C" w14:textId="5650CD39" w:rsidR="00F87ED1" w:rsidRPr="00621E81" w:rsidRDefault="00082627">
      <w:pPr>
        <w:rPr>
          <w:rFonts w:ascii="Times New Roman" w:eastAsia="Times New Roman" w:hAnsi="Times New Roman" w:cs="Times New Roman"/>
          <w:sz w:val="20"/>
          <w:szCs w:val="20"/>
        </w:rPr>
      </w:pPr>
      <w:r w:rsidRPr="00621E81">
        <w:rPr>
          <w:rFonts w:ascii="Times New Roman" w:eastAsia="Times New Roman" w:hAnsi="Times New Roman" w:cs="Times New Roman"/>
          <w:sz w:val="20"/>
          <w:szCs w:val="20"/>
        </w:rPr>
        <w:t xml:space="preserve">Eq. 14 and Eq. 15 show how the Fourier coefficients are calculated to represent </w:t>
      </w:r>
      <m:oMath>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oMath>
      <w:r w:rsidRPr="00621E81">
        <w:rPr>
          <w:rFonts w:ascii="Times New Roman" w:eastAsia="Times New Roman" w:hAnsi="Times New Roman" w:cs="Times New Roman"/>
          <w:sz w:val="20"/>
          <w:szCs w:val="20"/>
        </w:rPr>
        <w:t xml:space="preserve"> as a Fourier series expansion</w:t>
      </w:r>
      <w:r w:rsidR="002B1464">
        <w:rPr>
          <w:rFonts w:ascii="Times New Roman" w:eastAsia="Times New Roman" w:hAnsi="Times New Roman" w:cs="Times New Roman"/>
          <w:sz w:val="20"/>
          <w:szCs w:val="20"/>
        </w:rPr>
        <w:t>,</w:t>
      </w:r>
      <w:r w:rsidRPr="00621E81">
        <w:rPr>
          <w:rFonts w:ascii="Times New Roman" w:eastAsia="Times New Roman" w:hAnsi="Times New Roman" w:cs="Times New Roman"/>
          <w:sz w:val="20"/>
          <w:szCs w:val="20"/>
        </w:rPr>
        <w:t xml:space="preserve"> </w:t>
      </w:r>
    </w:p>
    <w:p w14:paraId="0000008D" w14:textId="19FD6B1A" w:rsidR="00F87ED1" w:rsidRPr="00621E81" w:rsidRDefault="00946FE9" w:rsidP="009C103A">
      <w:pPr>
        <w:tabs>
          <w:tab w:val="right" w:pos="9360"/>
        </w:tabs>
        <w:jc w:val="center"/>
        <w:rPr>
          <w:rFonts w:ascii="Times New Roman" w:eastAsia="Cambria Math" w:hAnsi="Times New Roman" w:cs="Times New Roman"/>
          <w:sz w:val="20"/>
          <w:szCs w:val="20"/>
        </w:rPr>
      </w:pPr>
      <w:r>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A</m:t>
            </m:r>
          </m:e>
          <m:sub>
            <m:r>
              <w:rPr>
                <w:rFonts w:ascii="Cambria Math" w:eastAsia="Cambria Math" w:hAnsi="Cambria Math" w:cs="Times New Roman"/>
                <w:sz w:val="20"/>
                <w:szCs w:val="20"/>
              </w:rPr>
              <m:t>j</m:t>
            </m:r>
          </m:sub>
        </m:sSub>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2π</m:t>
            </m:r>
          </m:den>
        </m:f>
        <m:nary>
          <m:naryPr>
            <m:ctrlPr>
              <w:rPr>
                <w:rFonts w:ascii="Cambria Math" w:eastAsia="Cambria Math" w:hAnsi="Cambria Math" w:cs="Times New Roman"/>
                <w:sz w:val="20"/>
                <w:szCs w:val="20"/>
              </w:rPr>
            </m:ctrlPr>
          </m:naryPr>
          <m:sub>
            <m:r>
              <w:rPr>
                <w:rFonts w:ascii="Cambria Math" w:eastAsia="Cambria Math" w:hAnsi="Cambria Math" w:cs="Times New Roman"/>
                <w:sz w:val="20"/>
                <w:szCs w:val="20"/>
              </w:rPr>
              <m:t>-π</m:t>
            </m:r>
          </m:sub>
          <m:sup>
            <m:r>
              <w:rPr>
                <w:rFonts w:ascii="Cambria Math" w:eastAsia="Cambria Math" w:hAnsi="Cambria Math" w:cs="Times New Roman"/>
                <w:sz w:val="20"/>
                <w:szCs w:val="20"/>
              </w:rPr>
              <m:t>π</m:t>
            </m:r>
          </m:sup>
          <m:e>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cos</m:t>
                </m:r>
              </m:e>
            </m:box>
            <m:r>
              <w:rPr>
                <w:rFonts w:ascii="Cambria Math" w:eastAsia="Cambria Math" w:hAnsi="Cambria Math" w:cs="Times New Roman"/>
                <w:sz w:val="20"/>
                <w:szCs w:val="20"/>
              </w:rPr>
              <m:t xml:space="preserve">cos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js</m:t>
                </m:r>
              </m:e>
            </m:d>
            <m:r>
              <w:rPr>
                <w:rFonts w:ascii="Cambria Math" w:eastAsia="Cambria Math" w:hAnsi="Cambria Math" w:cs="Times New Roman"/>
                <w:sz w:val="20"/>
                <w:szCs w:val="20"/>
              </w:rPr>
              <m:t xml:space="preserve"> ds,</m:t>
            </m:r>
          </m:e>
        </m:nary>
        <m:r>
          <w:rPr>
            <w:rFonts w:ascii="Cambria Math" w:eastAsia="Cambria Math" w:hAnsi="Cambria Math" w:cs="Times New Roman"/>
            <w:sz w:val="20"/>
            <w:szCs w:val="20"/>
          </w:rPr>
          <m:t xml:space="preserve"> </m:t>
        </m:r>
      </m:oMath>
      <w:r w:rsidR="00D765EF" w:rsidRPr="00621E81">
        <w:rPr>
          <w:rFonts w:ascii="Times New Roman" w:eastAsia="Cambria Math" w:hAnsi="Times New Roman" w:cs="Times New Roman"/>
          <w:sz w:val="20"/>
          <w:szCs w:val="20"/>
        </w:rPr>
        <w:t xml:space="preserve"> </w:t>
      </w:r>
      <w:r w:rsidR="00003EE9">
        <w:rPr>
          <w:rFonts w:ascii="Times New Roman" w:eastAsia="Cambria Math" w:hAnsi="Times New Roman" w:cs="Times New Roman"/>
          <w:sz w:val="20"/>
          <w:szCs w:val="20"/>
        </w:rPr>
        <w:tab/>
      </w:r>
      <w:r w:rsidR="00D765EF" w:rsidRPr="00621E81">
        <w:rPr>
          <w:rFonts w:ascii="Times New Roman" w:eastAsia="Cambria Math" w:hAnsi="Times New Roman" w:cs="Times New Roman"/>
          <w:sz w:val="20"/>
          <w:szCs w:val="20"/>
        </w:rPr>
        <w:t>[14]</w:t>
      </w:r>
    </w:p>
    <w:p w14:paraId="0000008E" w14:textId="7D4A7106" w:rsidR="00F87ED1" w:rsidRDefault="00946FE9" w:rsidP="009C103A">
      <w:pPr>
        <w:tabs>
          <w:tab w:val="right" w:pos="9360"/>
        </w:tabs>
        <w:jc w:val="center"/>
        <w:rPr>
          <w:rFonts w:ascii="Times New Roman" w:eastAsia="Cambria Math" w:hAnsi="Times New Roman" w:cs="Times New Roman"/>
          <w:sz w:val="20"/>
          <w:szCs w:val="20"/>
        </w:rPr>
      </w:pPr>
      <w:r>
        <w:rPr>
          <w:rFonts w:ascii="Times New Roman" w:eastAsia="Cambria Math"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B</m:t>
            </m:r>
          </m:e>
          <m:sub>
            <m:r>
              <w:rPr>
                <w:rFonts w:ascii="Cambria Math" w:eastAsia="Cambria Math" w:hAnsi="Cambria Math" w:cs="Times New Roman"/>
                <w:sz w:val="20"/>
                <w:szCs w:val="20"/>
              </w:rPr>
              <m:t>j</m:t>
            </m:r>
          </m:sub>
        </m:sSub>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2π</m:t>
            </m:r>
          </m:den>
        </m:f>
        <m:nary>
          <m:naryPr>
            <m:ctrlPr>
              <w:rPr>
                <w:rFonts w:ascii="Cambria Math" w:eastAsia="Cambria Math" w:hAnsi="Cambria Math" w:cs="Times New Roman"/>
                <w:sz w:val="20"/>
                <w:szCs w:val="20"/>
              </w:rPr>
            </m:ctrlPr>
          </m:naryPr>
          <m:sub>
            <m:r>
              <w:rPr>
                <w:rFonts w:ascii="Cambria Math" w:eastAsia="Cambria Math" w:hAnsi="Cambria Math" w:cs="Times New Roman"/>
                <w:sz w:val="20"/>
                <w:szCs w:val="20"/>
              </w:rPr>
              <m:t>-π</m:t>
            </m:r>
          </m:sub>
          <m:sup>
            <m:r>
              <w:rPr>
                <w:rFonts w:ascii="Cambria Math" w:eastAsia="Cambria Math" w:hAnsi="Cambria Math" w:cs="Times New Roman"/>
                <w:sz w:val="20"/>
                <w:szCs w:val="20"/>
              </w:rPr>
              <m:t>π</m:t>
            </m:r>
          </m:sup>
          <m:e>
            <m:r>
              <w:rPr>
                <w:rFonts w:ascii="Cambria Math" w:eastAsia="Cambria Math" w:hAnsi="Cambria Math" w:cs="Times New Roman"/>
                <w:sz w:val="20"/>
                <w:szCs w:val="20"/>
              </w:rPr>
              <m:t>f</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s</m:t>
                </m:r>
              </m:e>
            </m:d>
            <m:box>
              <m:boxPr>
                <m:opEmu m:val="1"/>
                <m:ctrlPr>
                  <w:rPr>
                    <w:rFonts w:ascii="Cambria Math" w:eastAsia="Cambria Math" w:hAnsi="Cambria Math" w:cs="Times New Roman"/>
                    <w:sz w:val="20"/>
                    <w:szCs w:val="20"/>
                  </w:rPr>
                </m:ctrlPr>
              </m:boxPr>
              <m:e>
                <m:r>
                  <w:rPr>
                    <w:rFonts w:ascii="Cambria Math" w:eastAsia="Cambria Math" w:hAnsi="Cambria Math" w:cs="Times New Roman"/>
                    <w:sz w:val="20"/>
                    <w:szCs w:val="20"/>
                  </w:rPr>
                  <m:t>sin</m:t>
                </m:r>
              </m:e>
            </m:box>
            <m:r>
              <w:rPr>
                <w:rFonts w:ascii="Cambria Math" w:eastAsia="Cambria Math" w:hAnsi="Cambria Math" w:cs="Times New Roman"/>
                <w:sz w:val="20"/>
                <w:szCs w:val="20"/>
              </w:rPr>
              <m:t xml:space="preserve">sin </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js</m:t>
                </m:r>
              </m:e>
            </m:d>
            <m:r>
              <w:rPr>
                <w:rFonts w:ascii="Cambria Math" w:eastAsia="Cambria Math" w:hAnsi="Cambria Math" w:cs="Times New Roman"/>
                <w:sz w:val="20"/>
                <w:szCs w:val="20"/>
              </w:rPr>
              <m:t>ds,</m:t>
            </m:r>
          </m:e>
        </m:nary>
      </m:oMath>
      <w:r w:rsidR="00003EE9">
        <w:rPr>
          <w:rFonts w:ascii="Times New Roman" w:eastAsia="Cambria Math" w:hAnsi="Times New Roman" w:cs="Times New Roman"/>
          <w:sz w:val="20"/>
          <w:szCs w:val="20"/>
        </w:rPr>
        <w:tab/>
      </w:r>
      <w:r w:rsidR="002B5DE5" w:rsidRPr="00621E81">
        <w:rPr>
          <w:rFonts w:ascii="Times New Roman" w:eastAsia="Cambria Math" w:hAnsi="Times New Roman" w:cs="Times New Roman"/>
          <w:sz w:val="20"/>
          <w:szCs w:val="20"/>
        </w:rPr>
        <w:t>[15]</w:t>
      </w:r>
    </w:p>
    <w:p w14:paraId="3782C7B6" w14:textId="4B1FE0D3" w:rsidR="002B1464" w:rsidRPr="00621E81" w:rsidRDefault="002B1464" w:rsidP="0017359A">
      <w:pPr>
        <w:tabs>
          <w:tab w:val="right" w:pos="9360"/>
        </w:tabs>
        <w:rPr>
          <w:rFonts w:ascii="Times New Roman" w:eastAsia="Cambria Math" w:hAnsi="Times New Roman" w:cs="Times New Roman"/>
          <w:sz w:val="20"/>
          <w:szCs w:val="20"/>
        </w:rPr>
      </w:pPr>
      <w:r>
        <w:rPr>
          <w:rFonts w:ascii="Times New Roman" w:eastAsia="Cambria Math" w:hAnsi="Times New Roman" w:cs="Times New Roman"/>
          <w:sz w:val="20"/>
          <w:szCs w:val="20"/>
        </w:rPr>
        <w:t>and</w:t>
      </w:r>
    </w:p>
    <w:p w14:paraId="0000008F" w14:textId="3A6275A0" w:rsidR="00F87ED1" w:rsidRPr="00621E81" w:rsidRDefault="00946FE9" w:rsidP="009C103A">
      <w:pPr>
        <w:tabs>
          <w:tab w:val="right" w:pos="9360"/>
        </w:tabs>
        <w:jc w:val="center"/>
        <w:rPr>
          <w:rFonts w:ascii="Times New Roman" w:eastAsia="Times New Roman" w:hAnsi="Times New Roman" w:cs="Times New Roman"/>
          <w:sz w:val="20"/>
          <w:szCs w:val="20"/>
        </w:rPr>
      </w:pPr>
      <w:r>
        <w:rPr>
          <w:rFonts w:ascii="Times New Roman" w:eastAsia="Cambria Math"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hAnsi="Cambria Math" w:cs="Times New Roman"/>
                <w:sz w:val="20"/>
                <w:szCs w:val="20"/>
              </w:rPr>
              <m:t>Λ</m:t>
            </m:r>
          </m:e>
          <m:sub>
            <m:r>
              <w:rPr>
                <w:rFonts w:ascii="Cambria Math" w:eastAsia="Cambria Math" w:hAnsi="Cambria Math" w:cs="Times New Roman"/>
                <w:sz w:val="20"/>
                <w:szCs w:val="20"/>
              </w:rPr>
              <m:t>j</m:t>
            </m:r>
          </m:sub>
        </m:sSub>
        <m:r>
          <w:rPr>
            <w:rFonts w:ascii="Cambria Math" w:eastAsia="Cambria Math" w:hAnsi="Cambria Math" w:cs="Times New Roman"/>
            <w:sz w:val="20"/>
            <w:szCs w:val="20"/>
          </w:rPr>
          <m:t xml:space="preserve">= </m:t>
        </m:r>
        <m:sSubSup>
          <m:sSubSupPr>
            <m:ctrlPr>
              <w:rPr>
                <w:rFonts w:ascii="Cambria Math" w:eastAsia="Cambria Math" w:hAnsi="Cambria Math" w:cs="Times New Roman"/>
                <w:sz w:val="20"/>
                <w:szCs w:val="20"/>
              </w:rPr>
            </m:ctrlPr>
          </m:sSubSupPr>
          <m:e>
            <m:r>
              <w:rPr>
                <w:rFonts w:ascii="Cambria Math" w:eastAsia="Cambria Math" w:hAnsi="Cambria Math" w:cs="Times New Roman"/>
                <w:sz w:val="20"/>
                <w:szCs w:val="20"/>
              </w:rPr>
              <m:t>A</m:t>
            </m:r>
          </m:e>
          <m:sub>
            <m:r>
              <w:rPr>
                <w:rFonts w:ascii="Cambria Math" w:eastAsia="Cambria Math" w:hAnsi="Cambria Math" w:cs="Times New Roman"/>
                <w:sz w:val="20"/>
                <w:szCs w:val="20"/>
              </w:rPr>
              <m:t>j</m:t>
            </m:r>
          </m:sub>
          <m:sup>
            <m:r>
              <w:rPr>
                <w:rFonts w:ascii="Cambria Math" w:eastAsia="Cambria Math" w:hAnsi="Cambria Math" w:cs="Times New Roman"/>
                <w:sz w:val="20"/>
                <w:szCs w:val="20"/>
              </w:rPr>
              <m:t>2</m:t>
            </m:r>
          </m:sup>
        </m:sSubSup>
        <m:r>
          <w:rPr>
            <w:rFonts w:ascii="Cambria Math" w:eastAsia="Cambria Math" w:hAnsi="Cambria Math" w:cs="Times New Roman"/>
            <w:sz w:val="20"/>
            <w:szCs w:val="20"/>
          </w:rPr>
          <m:t>+</m:t>
        </m:r>
        <m:sSubSup>
          <m:sSubSupPr>
            <m:ctrlPr>
              <w:rPr>
                <w:rFonts w:ascii="Cambria Math" w:eastAsia="Cambria Math" w:hAnsi="Cambria Math" w:cs="Times New Roman"/>
                <w:sz w:val="20"/>
                <w:szCs w:val="20"/>
              </w:rPr>
            </m:ctrlPr>
          </m:sSubSupPr>
          <m:e>
            <m:r>
              <w:rPr>
                <w:rFonts w:ascii="Cambria Math" w:eastAsia="Cambria Math" w:hAnsi="Cambria Math" w:cs="Times New Roman"/>
                <w:sz w:val="20"/>
                <w:szCs w:val="20"/>
              </w:rPr>
              <m:t>B</m:t>
            </m:r>
          </m:e>
          <m:sub>
            <m:r>
              <w:rPr>
                <w:rFonts w:ascii="Cambria Math" w:eastAsia="Cambria Math" w:hAnsi="Cambria Math" w:cs="Times New Roman"/>
                <w:sz w:val="20"/>
                <w:szCs w:val="20"/>
              </w:rPr>
              <m:t>j</m:t>
            </m:r>
          </m:sub>
          <m:sup>
            <m:r>
              <w:rPr>
                <w:rFonts w:ascii="Cambria Math" w:eastAsia="Cambria Math" w:hAnsi="Cambria Math" w:cs="Times New Roman"/>
                <w:sz w:val="20"/>
                <w:szCs w:val="20"/>
              </w:rPr>
              <m:t>2</m:t>
            </m:r>
          </m:sup>
        </m:sSubSup>
      </m:oMath>
      <w:r w:rsidR="00082627" w:rsidRPr="00621E81">
        <w:rPr>
          <w:rFonts w:ascii="Times New Roman" w:eastAsia="Times New Roman" w:hAnsi="Times New Roman" w:cs="Times New Roman"/>
          <w:sz w:val="20"/>
          <w:szCs w:val="20"/>
        </w:rPr>
        <w:t xml:space="preserve"> </w:t>
      </w:r>
      <w:r w:rsidR="002B5DE5" w:rsidRPr="00621E81">
        <w:rPr>
          <w:rFonts w:ascii="Times New Roman" w:eastAsia="Times New Roman" w:hAnsi="Times New Roman" w:cs="Times New Roman"/>
          <w:sz w:val="20"/>
          <w:szCs w:val="20"/>
        </w:rPr>
        <w:t xml:space="preserve">. </w:t>
      </w:r>
      <w:r w:rsidR="00003EE9">
        <w:rPr>
          <w:rFonts w:ascii="Times New Roman" w:eastAsia="Times New Roman" w:hAnsi="Times New Roman" w:cs="Times New Roman"/>
          <w:sz w:val="20"/>
          <w:szCs w:val="20"/>
        </w:rPr>
        <w:tab/>
      </w:r>
      <w:r w:rsidR="002B5DE5" w:rsidRPr="00621E81">
        <w:rPr>
          <w:rFonts w:ascii="Times New Roman" w:eastAsia="Times New Roman" w:hAnsi="Times New Roman" w:cs="Times New Roman"/>
          <w:sz w:val="20"/>
          <w:szCs w:val="20"/>
        </w:rPr>
        <w:t>[16]</w:t>
      </w:r>
    </w:p>
    <w:p w14:paraId="00000090" w14:textId="74DDD527" w:rsidR="00F87ED1" w:rsidRPr="00621E81" w:rsidRDefault="00082627">
      <w:pPr>
        <w:rPr>
          <w:rFonts w:ascii="Times New Roman" w:eastAsia="Times New Roman" w:hAnsi="Times New Roman" w:cs="Times New Roman"/>
          <w:sz w:val="20"/>
          <w:szCs w:val="20"/>
        </w:rPr>
      </w:pPr>
      <w:r w:rsidRPr="00621E81">
        <w:rPr>
          <w:rFonts w:ascii="Times New Roman" w:eastAsia="Times New Roman" w:hAnsi="Times New Roman" w:cs="Times New Roman"/>
          <w:sz w:val="20"/>
          <w:szCs w:val="20"/>
        </w:rPr>
        <w:t xml:space="preserve">Eq. 17 shows how the partial variance of each </w:t>
      </w:r>
      <w:r w:rsidRPr="00621E81">
        <w:rPr>
          <w:rFonts w:ascii="Times New Roman" w:eastAsia="Times New Roman" w:hAnsi="Times New Roman" w:cs="Times New Roman"/>
          <w:i/>
          <w:sz w:val="20"/>
          <w:szCs w:val="20"/>
        </w:rPr>
        <w:t>k</w:t>
      </w:r>
      <w:r w:rsidRPr="00621E81">
        <w:rPr>
          <w:rFonts w:ascii="Times New Roman" w:eastAsia="Times New Roman" w:hAnsi="Times New Roman" w:cs="Times New Roman"/>
          <w:sz w:val="20"/>
          <w:szCs w:val="20"/>
        </w:rPr>
        <w:t xml:space="preserve">-input is calculated using </w:t>
      </w:r>
      <m:oMath>
        <m:r>
          <w:rPr>
            <w:rFonts w:ascii="Cambria Math" w:hAnsi="Cambria Math" w:cs="Times New Roman"/>
            <w:sz w:val="20"/>
            <w:szCs w:val="20"/>
          </w:rPr>
          <m:t>Λ</m:t>
        </m:r>
      </m:oMath>
      <w:r w:rsidRPr="00621E81">
        <w:rPr>
          <w:rFonts w:ascii="Times New Roman" w:eastAsia="Times New Roman" w:hAnsi="Times New Roman" w:cs="Times New Roman"/>
          <w:sz w:val="20"/>
          <w:szCs w:val="20"/>
        </w:rPr>
        <w:t xml:space="preserve">, which is calculated using Eq.16 and where </w:t>
      </w:r>
      <w:r w:rsidRPr="00621E81">
        <w:rPr>
          <w:rFonts w:ascii="Times New Roman" w:eastAsia="Times New Roman" w:hAnsi="Times New Roman" w:cs="Times New Roman"/>
          <w:i/>
          <w:sz w:val="20"/>
          <w:szCs w:val="20"/>
        </w:rPr>
        <w:t>p</w:t>
      </w:r>
      <w:r w:rsidRPr="00621E81">
        <w:rPr>
          <w:rFonts w:ascii="Times New Roman" w:eastAsia="Times New Roman" w:hAnsi="Times New Roman" w:cs="Times New Roman"/>
          <w:sz w:val="20"/>
          <w:szCs w:val="20"/>
        </w:rPr>
        <w:t xml:space="preserve"> is the number of higher harmonics</w:t>
      </w:r>
      <w:r w:rsidR="002B1464">
        <w:rPr>
          <w:rFonts w:ascii="Times New Roman" w:eastAsia="Times New Roman" w:hAnsi="Times New Roman" w:cs="Times New Roman"/>
          <w:sz w:val="20"/>
          <w:szCs w:val="20"/>
        </w:rPr>
        <w:t>,</w:t>
      </w:r>
      <w:r w:rsidRPr="00621E81">
        <w:rPr>
          <w:rFonts w:ascii="Times New Roman" w:eastAsia="Times New Roman" w:hAnsi="Times New Roman" w:cs="Times New Roman"/>
          <w:sz w:val="20"/>
          <w:szCs w:val="20"/>
        </w:rPr>
        <w:t xml:space="preserve"> </w:t>
      </w:r>
    </w:p>
    <w:p w14:paraId="00000091" w14:textId="7E05A2A8" w:rsidR="00F87ED1" w:rsidRPr="00621E81" w:rsidRDefault="00DA6857" w:rsidP="00DA6857">
      <w:pPr>
        <w:tabs>
          <w:tab w:val="right" w:pos="9360"/>
        </w:tabs>
        <w:jc w:val="center"/>
        <w:rPr>
          <w:rFonts w:ascii="Times New Roman" w:eastAsia="Cambria Math" w:hAnsi="Times New Roman" w:cs="Times New Roman"/>
          <w:sz w:val="20"/>
          <w:szCs w:val="20"/>
        </w:rPr>
      </w:pPr>
      <w:r>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=2</m:t>
        </m:r>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p=1</m:t>
            </m:r>
          </m:sub>
          <m:sup>
            <m:r>
              <w:rPr>
                <w:rFonts w:ascii="Cambria Math" w:eastAsia="Cambria Math" w:hAnsi="Cambria Math" w:cs="Times New Roman"/>
                <w:sz w:val="20"/>
                <w:szCs w:val="20"/>
              </w:rPr>
              <m:t>+∞</m:t>
            </m:r>
          </m:sup>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Λ</m:t>
                </m:r>
              </m:e>
              <m:sub>
                <m:r>
                  <w:rPr>
                    <w:rFonts w:ascii="Cambria Math" w:eastAsia="Cambria Math" w:hAnsi="Cambria Math" w:cs="Times New Roman"/>
                    <w:sz w:val="20"/>
                    <w:szCs w:val="20"/>
                  </w:rPr>
                  <m:t>p</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ω</m:t>
                    </m:r>
                  </m:e>
                  <m:sub>
                    <m:r>
                      <w:rPr>
                        <w:rFonts w:ascii="Cambria Math" w:eastAsia="Cambria Math" w:hAnsi="Cambria Math" w:cs="Times New Roman"/>
                        <w:sz w:val="20"/>
                        <w:szCs w:val="20"/>
                      </w:rPr>
                      <m:t>i</m:t>
                    </m:r>
                  </m:sub>
                </m:sSub>
              </m:sub>
            </m:sSub>
          </m:e>
        </m:nary>
        <m:r>
          <w:rPr>
            <w:rFonts w:ascii="Cambria Math" w:eastAsia="Cambria Math" w:hAnsi="Cambria Math" w:cs="Times New Roman"/>
            <w:sz w:val="20"/>
            <w:szCs w:val="20"/>
          </w:rPr>
          <m:t xml:space="preserve">. </m:t>
        </m:r>
      </m:oMath>
      <w:r>
        <w:rPr>
          <w:rFonts w:ascii="Times New Roman" w:eastAsia="Cambria Math" w:hAnsi="Times New Roman" w:cs="Times New Roman"/>
          <w:sz w:val="20"/>
          <w:szCs w:val="20"/>
        </w:rPr>
        <w:tab/>
      </w:r>
      <w:r w:rsidR="00310584" w:rsidRPr="00621E81">
        <w:rPr>
          <w:rFonts w:ascii="Times New Roman" w:eastAsia="Cambria Math" w:hAnsi="Times New Roman" w:cs="Times New Roman"/>
          <w:sz w:val="20"/>
          <w:szCs w:val="20"/>
        </w:rPr>
        <w:t>[17]</w:t>
      </w:r>
    </w:p>
    <w:p w14:paraId="00000092" w14:textId="7D472403" w:rsidR="00F87ED1" w:rsidRPr="00621E81" w:rsidRDefault="00082627">
      <w:pPr>
        <w:rPr>
          <w:rFonts w:ascii="Times New Roman" w:eastAsia="Times New Roman" w:hAnsi="Times New Roman" w:cs="Times New Roman"/>
          <w:sz w:val="20"/>
          <w:szCs w:val="20"/>
        </w:rPr>
      </w:pPr>
      <w:r w:rsidRPr="00621E81">
        <w:rPr>
          <w:rFonts w:ascii="Times New Roman" w:eastAsia="Times New Roman" w:hAnsi="Times New Roman" w:cs="Times New Roman"/>
          <w:sz w:val="20"/>
          <w:szCs w:val="20"/>
        </w:rPr>
        <w:lastRenderedPageBreak/>
        <w:t xml:space="preserve">Eq. 18 shows the method of determining the total variance (Homma &amp; </w:t>
      </w:r>
      <w:proofErr w:type="spellStart"/>
      <w:r w:rsidRPr="00621E81">
        <w:rPr>
          <w:rFonts w:ascii="Times New Roman" w:eastAsia="Times New Roman" w:hAnsi="Times New Roman" w:cs="Times New Roman"/>
          <w:sz w:val="20"/>
          <w:szCs w:val="20"/>
        </w:rPr>
        <w:t>Saltelli</w:t>
      </w:r>
      <w:proofErr w:type="spellEnd"/>
      <w:r w:rsidRPr="00621E81">
        <w:rPr>
          <w:rFonts w:ascii="Times New Roman" w:eastAsia="Times New Roman" w:hAnsi="Times New Roman" w:cs="Times New Roman"/>
          <w:sz w:val="20"/>
          <w:szCs w:val="20"/>
        </w:rPr>
        <w:t xml:space="preserve">, 1996; </w:t>
      </w:r>
      <w:proofErr w:type="spellStart"/>
      <w:r w:rsidRPr="00621E81">
        <w:rPr>
          <w:rFonts w:ascii="Times New Roman" w:eastAsia="Times New Roman" w:hAnsi="Times New Roman" w:cs="Times New Roman"/>
          <w:sz w:val="20"/>
          <w:szCs w:val="20"/>
        </w:rPr>
        <w:t>Saltelli</w:t>
      </w:r>
      <w:proofErr w:type="spellEnd"/>
      <w:r w:rsidRPr="00621E81">
        <w:rPr>
          <w:rFonts w:ascii="Times New Roman" w:eastAsia="Times New Roman" w:hAnsi="Times New Roman" w:cs="Times New Roman"/>
          <w:sz w:val="20"/>
          <w:szCs w:val="20"/>
        </w:rPr>
        <w:t xml:space="preserve"> et al., 1999), which is the difference between the model’s output variance and the partial variance of all parameters except the </w:t>
      </w:r>
      <m:oMath>
        <m:sSup>
          <m:sSupPr>
            <m:ctrlPr>
              <w:rPr>
                <w:rFonts w:ascii="Cambria Math" w:eastAsia="Cambria Math" w:hAnsi="Cambria Math" w:cs="Times New Roman"/>
                <w:sz w:val="20"/>
                <w:szCs w:val="20"/>
              </w:rPr>
            </m:ctrlPr>
          </m:sSupPr>
          <m:e>
            <m:r>
              <w:rPr>
                <w:rFonts w:ascii="Cambria Math" w:eastAsia="Cambria Math" w:hAnsi="Cambria Math" w:cs="Times New Roman"/>
                <w:sz w:val="20"/>
                <w:szCs w:val="20"/>
              </w:rPr>
              <m:t>i</m:t>
            </m:r>
          </m:e>
          <m:sup>
            <m:r>
              <w:rPr>
                <w:rFonts w:ascii="Cambria Math" w:eastAsia="Cambria Math" w:hAnsi="Cambria Math" w:cs="Times New Roman"/>
                <w:sz w:val="20"/>
                <w:szCs w:val="20"/>
              </w:rPr>
              <m:t>th</m:t>
            </m:r>
          </m:sup>
        </m:sSup>
      </m:oMath>
      <w:r w:rsidRPr="00621E81">
        <w:rPr>
          <w:rFonts w:ascii="Times New Roman" w:eastAsia="Times New Roman" w:hAnsi="Times New Roman" w:cs="Times New Roman"/>
          <w:sz w:val="20"/>
          <w:szCs w:val="20"/>
        </w:rPr>
        <w:t xml:space="preserve"> term</w:t>
      </w:r>
      <w:r w:rsidR="002B1464">
        <w:rPr>
          <w:rFonts w:ascii="Times New Roman" w:eastAsia="Times New Roman" w:hAnsi="Times New Roman" w:cs="Times New Roman"/>
          <w:sz w:val="20"/>
          <w:szCs w:val="20"/>
        </w:rPr>
        <w:t>,</w:t>
      </w:r>
      <w:r w:rsidRPr="00621E81">
        <w:rPr>
          <w:rFonts w:ascii="Times New Roman" w:eastAsia="Times New Roman" w:hAnsi="Times New Roman" w:cs="Times New Roman"/>
          <w:sz w:val="20"/>
          <w:szCs w:val="20"/>
        </w:rPr>
        <w:t xml:space="preserve">  </w:t>
      </w:r>
    </w:p>
    <w:p w14:paraId="00000093" w14:textId="196D1DB5" w:rsidR="00F87ED1" w:rsidRPr="00621E81" w:rsidRDefault="00DA6857" w:rsidP="00DA6857">
      <w:pPr>
        <w:tabs>
          <w:tab w:val="right" w:pos="9360"/>
        </w:tabs>
        <w:jc w:val="center"/>
        <w:rPr>
          <w:rFonts w:ascii="Times New Roman" w:eastAsia="Cambria Math" w:hAnsi="Times New Roman" w:cs="Times New Roman"/>
          <w:sz w:val="20"/>
          <w:szCs w:val="20"/>
        </w:rPr>
      </w:pPr>
      <w:r>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i</m:t>
                </m:r>
              </m:sub>
            </m:sSub>
          </m:sub>
        </m:sSub>
        <m:r>
          <w:rPr>
            <w:rFonts w:ascii="Cambria Math" w:eastAsia="Cambria Math" w:hAnsi="Cambria Math" w:cs="Times New Roman"/>
            <w:sz w:val="20"/>
            <w:szCs w:val="20"/>
          </w:rPr>
          <m:t>=D-</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~i</m:t>
            </m:r>
          </m:sub>
        </m:sSub>
        <m:r>
          <w:rPr>
            <w:rFonts w:ascii="Cambria Math" w:eastAsia="Times New Roman" w:hAnsi="Cambria Math" w:cs="Times New Roman"/>
            <w:sz w:val="20"/>
            <w:szCs w:val="20"/>
          </w:rPr>
          <m:t>.</m:t>
        </m:r>
      </m:oMath>
      <w:r>
        <w:rPr>
          <w:rFonts w:ascii="Times New Roman" w:eastAsia="Cambria Math" w:hAnsi="Times New Roman" w:cs="Times New Roman"/>
          <w:sz w:val="20"/>
          <w:szCs w:val="20"/>
        </w:rPr>
        <w:t xml:space="preserve"> </w:t>
      </w:r>
      <w:r>
        <w:rPr>
          <w:rFonts w:ascii="Times New Roman" w:eastAsia="Cambria Math" w:hAnsi="Times New Roman" w:cs="Times New Roman"/>
          <w:sz w:val="20"/>
          <w:szCs w:val="20"/>
        </w:rPr>
        <w:tab/>
        <w:t>[18]</w:t>
      </w:r>
    </w:p>
    <w:p w14:paraId="00000094" w14:textId="2D3D8831"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total and first order indices are then calculated using Eq.19 and Eq.20 respectively</w:t>
      </w:r>
      <w:r w:rsidR="002B146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95" w14:textId="109A7FAD" w:rsidR="00F87ED1" w:rsidRDefault="00DA6857" w:rsidP="00DA6857">
      <w:pPr>
        <w:tabs>
          <w:tab w:val="right" w:pos="9360"/>
        </w:tabs>
        <w:jc w:val="center"/>
        <w:rPr>
          <w:rFonts w:ascii="Times New Roman" w:eastAsia="Cambria Math" w:hAnsi="Times New Roman" w:cs="Times New Roman"/>
          <w:sz w:val="20"/>
          <w:szCs w:val="20"/>
        </w:rPr>
      </w:pPr>
      <w:r w:rsidRPr="00DA685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DA6857">
        <w:rPr>
          <w:rFonts w:ascii="Times New Roman" w:eastAsia="Times New Roman"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i</m:t>
                </m:r>
              </m:sub>
            </m:sSub>
          </m:sub>
        </m:sSub>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i</m:t>
                    </m:r>
                  </m:sub>
                </m:sSub>
              </m:sub>
            </m:sSub>
          </m:num>
          <m:den>
            <m:r>
              <w:rPr>
                <w:rFonts w:ascii="Cambria Math" w:eastAsia="Cambria Math" w:hAnsi="Cambria Math" w:cs="Times New Roman"/>
                <w:sz w:val="20"/>
                <w:szCs w:val="20"/>
              </w:rPr>
              <m:t>D</m:t>
            </m:r>
          </m:den>
        </m:f>
      </m:oMath>
      <w:r w:rsidR="00621E81" w:rsidRPr="00621E81">
        <w:rPr>
          <w:rFonts w:ascii="Times New Roman" w:eastAsia="Cambria Math" w:hAnsi="Times New Roman" w:cs="Times New Roman"/>
          <w:sz w:val="20"/>
          <w:szCs w:val="20"/>
        </w:rPr>
        <w:t xml:space="preserve"> </w:t>
      </w:r>
      <w:r>
        <w:rPr>
          <w:rFonts w:ascii="Times New Roman" w:eastAsia="Cambria Math" w:hAnsi="Times New Roman" w:cs="Times New Roman"/>
          <w:sz w:val="20"/>
          <w:szCs w:val="20"/>
        </w:rPr>
        <w:tab/>
      </w:r>
      <w:r w:rsidR="00621E81" w:rsidRPr="00621E81">
        <w:rPr>
          <w:rFonts w:ascii="Times New Roman" w:eastAsia="Cambria Math" w:hAnsi="Times New Roman" w:cs="Times New Roman"/>
          <w:sz w:val="20"/>
          <w:szCs w:val="20"/>
        </w:rPr>
        <w:t>[19]</w:t>
      </w:r>
    </w:p>
    <w:p w14:paraId="1220BE3B" w14:textId="7D4E45A4" w:rsidR="002B1464" w:rsidRPr="00621E81" w:rsidRDefault="002B1464" w:rsidP="0017359A">
      <w:pPr>
        <w:tabs>
          <w:tab w:val="right" w:pos="9360"/>
        </w:tabs>
        <w:rPr>
          <w:rFonts w:ascii="Times New Roman" w:eastAsia="Cambria Math" w:hAnsi="Times New Roman" w:cs="Times New Roman"/>
          <w:sz w:val="24"/>
          <w:szCs w:val="24"/>
        </w:rPr>
      </w:pPr>
      <w:r>
        <w:rPr>
          <w:rFonts w:ascii="Times New Roman" w:eastAsia="Cambria Math" w:hAnsi="Times New Roman" w:cs="Times New Roman"/>
          <w:sz w:val="20"/>
          <w:szCs w:val="20"/>
        </w:rPr>
        <w:t>and</w:t>
      </w:r>
    </w:p>
    <w:p w14:paraId="00000096" w14:textId="265EA108" w:rsidR="00F87ED1" w:rsidRPr="00621E81" w:rsidRDefault="00DA6857" w:rsidP="00DA6857">
      <w:pPr>
        <w:tabs>
          <w:tab w:val="right" w:pos="9360"/>
        </w:tabs>
        <w:jc w:val="center"/>
        <w:rPr>
          <w:rFonts w:ascii="Times New Roman" w:eastAsia="Cambria Math" w:hAnsi="Times New Roman" w:cs="Times New Roman"/>
          <w:sz w:val="24"/>
          <w:szCs w:val="24"/>
        </w:rPr>
      </w:pPr>
      <w:r>
        <w:rPr>
          <w:rFonts w:ascii="Times New Roman" w:eastAsia="Cambria Math" w:hAnsi="Times New Roman" w:cs="Times New Roman"/>
          <w:sz w:val="24"/>
          <w:szCs w:val="24"/>
        </w:rPr>
        <w:t xml:space="preserve">                                                                            </w:t>
      </w:r>
      <w:r w:rsidRPr="00DA6857">
        <w:rPr>
          <w:rFonts w:ascii="Times New Roman" w:eastAsia="Cambria Math" w:hAnsi="Times New Roman" w:cs="Times New Roman"/>
          <w:sz w:val="20"/>
          <w:szCs w:val="20"/>
        </w:rPr>
        <w:t xml:space="preserve">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m:t>
        </m:r>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i</m:t>
                </m:r>
              </m:sub>
            </m:sSub>
          </m:num>
          <m:den>
            <m:r>
              <w:rPr>
                <w:rFonts w:ascii="Cambria Math" w:eastAsia="Cambria Math" w:hAnsi="Cambria Math" w:cs="Times New Roman"/>
                <w:sz w:val="20"/>
                <w:szCs w:val="20"/>
              </w:rPr>
              <m:t>D</m:t>
            </m:r>
          </m:den>
        </m:f>
        <m:r>
          <w:rPr>
            <w:rFonts w:ascii="Cambria Math" w:eastAsia="Cambria Math" w:hAnsi="Cambria Math" w:cs="Times New Roman"/>
            <w:sz w:val="20"/>
            <w:szCs w:val="20"/>
          </w:rPr>
          <m:t xml:space="preserve"> .</m:t>
        </m:r>
      </m:oMath>
      <w:r w:rsidR="00621E81" w:rsidRPr="00DA6857">
        <w:rPr>
          <w:rFonts w:ascii="Times New Roman" w:eastAsia="Cambria Math" w:hAnsi="Times New Roman" w:cs="Times New Roman"/>
          <w:sz w:val="20"/>
          <w:szCs w:val="20"/>
        </w:rPr>
        <w:t xml:space="preserve"> </w:t>
      </w:r>
      <w:r>
        <w:rPr>
          <w:rFonts w:ascii="Times New Roman" w:eastAsia="Cambria Math" w:hAnsi="Times New Roman" w:cs="Times New Roman"/>
          <w:sz w:val="24"/>
          <w:szCs w:val="24"/>
        </w:rPr>
        <w:tab/>
      </w:r>
      <w:r w:rsidR="00621E81" w:rsidRPr="00621E81">
        <w:rPr>
          <w:rFonts w:ascii="Times New Roman" w:eastAsia="Cambria Math" w:hAnsi="Times New Roman" w:cs="Times New Roman"/>
          <w:sz w:val="20"/>
          <w:szCs w:val="20"/>
        </w:rPr>
        <w:t>[20]</w:t>
      </w:r>
    </w:p>
    <w:p w14:paraId="00000097"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2.4 Random Sampling-High Dimensional Model Representation: Meta-model approach</w:t>
      </w:r>
    </w:p>
    <w:p w14:paraId="00000098" w14:textId="3055C45D"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method utilizes a meta-model approach where the randomly sampled data is represented by a component function allowing the RS-HDMR method to be used on unstructured datasets. This is particularly useful when the data has already been obtained and </w:t>
      </w:r>
      <w:r w:rsidR="00EE477B">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particular sampling</w:t>
      </w:r>
      <w:proofErr w:type="gramEnd"/>
      <w:r>
        <w:rPr>
          <w:rFonts w:ascii="Times New Roman" w:eastAsia="Times New Roman" w:hAnsi="Times New Roman" w:cs="Times New Roman"/>
          <w:sz w:val="20"/>
          <w:szCs w:val="20"/>
        </w:rPr>
        <w:t xml:space="preserve"> method/sequence</w:t>
      </w:r>
      <w:r w:rsidR="00EE477B">
        <w:rPr>
          <w:rFonts w:ascii="Times New Roman" w:eastAsia="Times New Roman" w:hAnsi="Times New Roman" w:cs="Times New Roman"/>
          <w:sz w:val="20"/>
          <w:szCs w:val="20"/>
        </w:rPr>
        <w:t xml:space="preserve"> for the other methods</w:t>
      </w:r>
      <w:r>
        <w:rPr>
          <w:rFonts w:ascii="Times New Roman" w:eastAsia="Times New Roman" w:hAnsi="Times New Roman" w:cs="Times New Roman"/>
          <w:sz w:val="20"/>
          <w:szCs w:val="20"/>
        </w:rPr>
        <w:t xml:space="preserve"> w</w:t>
      </w:r>
      <w:r w:rsidR="00EE477B">
        <w:rPr>
          <w:rFonts w:ascii="Times New Roman" w:eastAsia="Times New Roman" w:hAnsi="Times New Roman" w:cs="Times New Roman"/>
          <w:sz w:val="20"/>
          <w:szCs w:val="20"/>
        </w:rPr>
        <w:t>ere</w:t>
      </w:r>
      <w:r>
        <w:rPr>
          <w:rFonts w:ascii="Times New Roman" w:eastAsia="Times New Roman" w:hAnsi="Times New Roman" w:cs="Times New Roman"/>
          <w:sz w:val="20"/>
          <w:szCs w:val="20"/>
        </w:rPr>
        <w:t xml:space="preserve">n’t utilized, whereas the other methods require specific sampling methods of the inputs. This method first approximates a function representing the dataset using an expansion of a bias function in the form of cubic B-splines followed by improved estimations of the component function using backfitting. Upon convergence of the component function, sensitivity measures are calculated using the equations shown below. A complete derivation and explanation of the RS-HDMR method is provided by Li et al. (2010). The RS-HDMR method was selected given the level of versatility the method offers when applied to existing datasets or datasets that would be too computationally expensive to obtain using specific sampling methods. The sensitivity indexes are represented here as total </w:t>
      </w:r>
      <m:oMath>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j</m:t>
                </m:r>
              </m:sub>
            </m:sSub>
          </m:sub>
        </m:sSub>
        <m:r>
          <w:rPr>
            <w:rFonts w:ascii="Cambria Math" w:eastAsia="Cambria Math" w:hAnsi="Cambria Math" w:cs="Cambria Math"/>
            <w:sz w:val="20"/>
            <w:szCs w:val="20"/>
          </w:rPr>
          <m:t>)</m:t>
        </m:r>
      </m:oMath>
      <w:r w:rsidR="00E03CE4">
        <w:rPr>
          <w:rFonts w:ascii="Times New Roman" w:eastAsia="Times New Roman" w:hAnsi="Times New Roman" w:cs="Times New Roman"/>
          <w:sz w:val="20"/>
          <w:szCs w:val="20"/>
        </w:rPr>
        <w:t>, Eq.22</w:t>
      </w:r>
      <w:r>
        <w:rPr>
          <w:rFonts w:ascii="Times New Roman" w:eastAsia="Times New Roman" w:hAnsi="Times New Roman" w:cs="Times New Roman"/>
          <w:sz w:val="20"/>
          <w:szCs w:val="20"/>
        </w:rPr>
        <w:t xml:space="preserve">, structural first order </w:t>
      </w:r>
      <m:oMath>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S</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j</m:t>
                </m:r>
              </m:sub>
            </m:sSub>
          </m:sub>
          <m:sup>
            <m:r>
              <w:rPr>
                <w:rFonts w:ascii="Cambria Math" w:eastAsia="Cambria Math" w:hAnsi="Cambria Math" w:cs="Cambria Math"/>
                <w:sz w:val="20"/>
                <w:szCs w:val="20"/>
              </w:rPr>
              <m:t>a</m:t>
            </m:r>
          </m:sup>
        </m:sSubSup>
        <m:r>
          <w:rPr>
            <w:rFonts w:ascii="Cambria Math" w:eastAsia="Cambria Math" w:hAnsi="Cambria Math" w:cs="Cambria Math"/>
            <w:sz w:val="20"/>
            <w:szCs w:val="20"/>
          </w:rPr>
          <m:t>)</m:t>
        </m:r>
      </m:oMath>
      <w:r w:rsidR="00E03CE4">
        <w:rPr>
          <w:rFonts w:ascii="Times New Roman" w:eastAsia="Times New Roman" w:hAnsi="Times New Roman" w:cs="Times New Roman"/>
          <w:sz w:val="20"/>
          <w:szCs w:val="20"/>
        </w:rPr>
        <w:t>, Eq.23</w:t>
      </w:r>
      <w:r>
        <w:rPr>
          <w:rFonts w:ascii="Times New Roman" w:eastAsia="Times New Roman" w:hAnsi="Times New Roman" w:cs="Times New Roman"/>
          <w:sz w:val="20"/>
          <w:szCs w:val="20"/>
        </w:rPr>
        <w:t xml:space="preserve">, and correlated </w:t>
      </w:r>
      <m:oMath>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S</m:t>
            </m:r>
          </m:e>
          <m: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j</m:t>
                </m:r>
              </m:sub>
            </m:sSub>
          </m:sub>
          <m:sup>
            <m:r>
              <w:rPr>
                <w:rFonts w:ascii="Cambria Math" w:eastAsia="Cambria Math" w:hAnsi="Cambria Math" w:cs="Cambria Math"/>
                <w:sz w:val="20"/>
                <w:szCs w:val="20"/>
              </w:rPr>
              <m:t>b</m:t>
            </m:r>
          </m:sup>
        </m:sSubSup>
      </m:oMath>
      <w:r>
        <w:rPr>
          <w:rFonts w:ascii="Times New Roman" w:eastAsia="Times New Roman" w:hAnsi="Times New Roman" w:cs="Times New Roman"/>
          <w:sz w:val="20"/>
          <w:szCs w:val="20"/>
        </w:rPr>
        <w:t>)</w:t>
      </w:r>
      <w:r w:rsidR="00E03CE4">
        <w:rPr>
          <w:rFonts w:ascii="Times New Roman" w:eastAsia="Times New Roman" w:hAnsi="Times New Roman" w:cs="Times New Roman"/>
          <w:sz w:val="20"/>
          <w:szCs w:val="20"/>
        </w:rPr>
        <w:t>, Eq.24</w:t>
      </w:r>
      <w:r>
        <w:rPr>
          <w:rFonts w:ascii="Times New Roman" w:eastAsia="Times New Roman" w:hAnsi="Times New Roman" w:cs="Times New Roman"/>
          <w:sz w:val="20"/>
          <w:szCs w:val="20"/>
        </w:rPr>
        <w:t xml:space="preserve"> contributions. </w:t>
      </w:r>
    </w:p>
    <w:p w14:paraId="00000099" w14:textId="38611672" w:rsidR="00F87ED1" w:rsidRDefault="00DA6857" w:rsidP="00DA6857">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s=1</m:t>
                </m:r>
              </m:sub>
              <m:sup>
                <m:r>
                  <w:rPr>
                    <w:rFonts w:ascii="Cambria Math" w:eastAsia="Cambria Math" w:hAnsi="Cambria Math" w:cs="Cambria Math"/>
                    <w:sz w:val="24"/>
                    <w:szCs w:val="24"/>
                  </w:rPr>
                  <m:t>N</m:t>
                </m:r>
              </m:sup>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e>
                    </m:d>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e>
                    </m:d>
                  </m:sup>
                </m:sSup>
                <m:r>
                  <w:rPr>
                    <w:rFonts w:ascii="Cambria Math" w:eastAsia="Cambria Math" w:hAnsi="Cambria Math" w:cs="Cambria Math"/>
                    <w:sz w:val="24"/>
                    <w:szCs w:val="24"/>
                  </w:rPr>
                  <m:t xml:space="preserve">- </m:t>
                </m:r>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y</m:t>
                    </m:r>
                  </m:e>
                </m:bar>
                <m:r>
                  <w:rPr>
                    <w:rFonts w:ascii="Cambria Math" w:eastAsia="Cambria Math" w:hAnsi="Cambria Math" w:cs="Cambria Math"/>
                    <w:sz w:val="24"/>
                    <w:szCs w:val="24"/>
                  </w:rPr>
                  <m:t>)</m:t>
                </m:r>
              </m:e>
            </m:nary>
          </m:num>
          <m:den>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 xml:space="preserve">s=1 </m:t>
                </m:r>
              </m:sub>
              <m:sup>
                <m:r>
                  <w:rPr>
                    <w:rFonts w:ascii="Cambria Math" w:eastAsia="Cambria Math" w:hAnsi="Cambria Math" w:cs="Cambria Math"/>
                    <w:sz w:val="24"/>
                    <w:szCs w:val="24"/>
                  </w:rPr>
                  <m:t>N</m:t>
                </m:r>
              </m:sup>
              <m:e>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(s)</m:t>
                            </m:r>
                          </m:sup>
                        </m:sSup>
                        <m:r>
                          <w:rPr>
                            <w:rFonts w:ascii="Cambria Math" w:eastAsia="Cambria Math" w:hAnsi="Cambria Math" w:cs="Cambria Math"/>
                            <w:sz w:val="24"/>
                            <w:szCs w:val="24"/>
                          </w:rPr>
                          <m:t xml:space="preserve">- </m:t>
                        </m:r>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y</m:t>
                            </m:r>
                          </m:e>
                        </m:bar>
                      </m:e>
                    </m:d>
                  </m:e>
                  <m:sup>
                    <m:r>
                      <w:rPr>
                        <w:rFonts w:ascii="Cambria Math" w:eastAsia="Cambria Math" w:hAnsi="Cambria Math" w:cs="Cambria Math"/>
                        <w:sz w:val="24"/>
                        <w:szCs w:val="24"/>
                      </w:rPr>
                      <m:t>2</m:t>
                    </m:r>
                  </m:sup>
                </m:sSup>
              </m:e>
            </m:nary>
          </m:den>
        </m:f>
        <m:r>
          <w:rPr>
            <w:rFonts w:ascii="Cambria Math" w:eastAsia="Cambria Math" w:hAnsi="Cambria Math" w:cs="Cambria Math"/>
            <w:sz w:val="24"/>
            <w:szCs w:val="24"/>
          </w:rPr>
          <m:t xml:space="preserve"> ,</m:t>
        </m:r>
      </m:oMath>
      <w:r>
        <w:rPr>
          <w:rFonts w:ascii="Times New Roman" w:eastAsia="Cambria Math" w:hAnsi="Times New Roman" w:cs="Times New Roman"/>
          <w:sz w:val="24"/>
          <w:szCs w:val="24"/>
        </w:rPr>
        <w:tab/>
      </w:r>
      <w:r w:rsidR="00310584" w:rsidRPr="00621E81">
        <w:rPr>
          <w:rFonts w:ascii="Times New Roman" w:eastAsia="Cambria Math" w:hAnsi="Times New Roman" w:cs="Times New Roman"/>
          <w:sz w:val="20"/>
          <w:szCs w:val="20"/>
        </w:rPr>
        <w:t>[22]</w:t>
      </w:r>
    </w:p>
    <w:p w14:paraId="0000009A" w14:textId="3E90D07C" w:rsidR="00F87ED1" w:rsidRDefault="00DA6857" w:rsidP="00DA6857">
      <w:pPr>
        <w:tabs>
          <w:tab w:val="right" w:pos="9360"/>
        </w:tabs>
        <w:jc w:val="center"/>
        <w:rPr>
          <w:rFonts w:ascii="Cambria Math" w:eastAsia="Cambria Math" w:hAnsi="Cambria Math" w:cs="Cambria Math"/>
          <w:sz w:val="24"/>
          <w:szCs w:val="24"/>
        </w:rPr>
      </w:pPr>
      <w:r>
        <w:rPr>
          <w:rFonts w:ascii="Cambria Math" w:eastAsia="Cambria Math" w:hAnsi="Cambria Math" w:cs="Cambria Math"/>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up>
            <m:r>
              <w:rPr>
                <w:rFonts w:ascii="Cambria Math" w:eastAsia="Cambria Math" w:hAnsi="Cambria Math" w:cs="Cambria Math"/>
                <w:sz w:val="24"/>
                <w:szCs w:val="24"/>
              </w:rPr>
              <m:t>a</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s=1</m:t>
                </m:r>
              </m:sub>
              <m:sup>
                <m:r>
                  <w:rPr>
                    <w:rFonts w:ascii="Cambria Math" w:eastAsia="Cambria Math" w:hAnsi="Cambria Math" w:cs="Cambria Math"/>
                    <w:sz w:val="24"/>
                    <w:szCs w:val="24"/>
                  </w:rPr>
                  <m:t>N</m:t>
                </m:r>
              </m:sup>
              <m:e>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Sub>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e>
                                </m:d>
                              </m:sup>
                            </m:sSubSup>
                          </m:e>
                        </m:d>
                      </m:e>
                    </m:d>
                  </m:e>
                  <m:sup>
                    <m:r>
                      <w:rPr>
                        <w:rFonts w:ascii="Cambria Math" w:eastAsia="Cambria Math" w:hAnsi="Cambria Math" w:cs="Cambria Math"/>
                        <w:sz w:val="24"/>
                        <w:szCs w:val="24"/>
                      </w:rPr>
                      <m:t>2</m:t>
                    </m:r>
                  </m:sup>
                </m:sSup>
              </m:e>
            </m:nary>
          </m:num>
          <m:den>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 xml:space="preserve">s=1 </m:t>
                </m:r>
              </m:sub>
              <m:sup>
                <m:r>
                  <w:rPr>
                    <w:rFonts w:ascii="Cambria Math" w:eastAsia="Cambria Math" w:hAnsi="Cambria Math" w:cs="Cambria Math"/>
                    <w:sz w:val="24"/>
                    <w:szCs w:val="24"/>
                  </w:rPr>
                  <m:t>N</m:t>
                </m:r>
              </m:sup>
              <m:e>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(s)</m:t>
                            </m:r>
                          </m:sup>
                        </m:sSup>
                        <m:r>
                          <w:rPr>
                            <w:rFonts w:ascii="Cambria Math" w:eastAsia="Cambria Math" w:hAnsi="Cambria Math" w:cs="Cambria Math"/>
                            <w:sz w:val="24"/>
                            <w:szCs w:val="24"/>
                          </w:rPr>
                          <m:t xml:space="preserve">- </m:t>
                        </m:r>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y</m:t>
                            </m:r>
                          </m:e>
                        </m:bar>
                      </m:e>
                    </m:d>
                  </m:e>
                  <m:sup>
                    <m:r>
                      <w:rPr>
                        <w:rFonts w:ascii="Cambria Math" w:eastAsia="Cambria Math" w:hAnsi="Cambria Math" w:cs="Cambria Math"/>
                        <w:sz w:val="24"/>
                        <w:szCs w:val="24"/>
                      </w:rPr>
                      <m:t>2</m:t>
                    </m:r>
                  </m:sup>
                </m:sSup>
              </m:e>
            </m:nary>
          </m:den>
        </m:f>
        <m:r>
          <w:rPr>
            <w:rFonts w:ascii="Cambria Math" w:eastAsia="Cambria Math" w:hAnsi="Cambria Math" w:cs="Cambria Math"/>
            <w:sz w:val="24"/>
            <w:szCs w:val="24"/>
          </w:rPr>
          <m:t xml:space="preserve"> ,</m:t>
        </m:r>
      </m:oMath>
      <w:r>
        <w:rPr>
          <w:rFonts w:ascii="Times New Roman" w:eastAsia="Cambria Math" w:hAnsi="Times New Roman" w:cs="Times New Roman"/>
          <w:sz w:val="24"/>
          <w:szCs w:val="24"/>
        </w:rPr>
        <w:tab/>
      </w:r>
      <w:r w:rsidR="00310584" w:rsidRPr="00621E81">
        <w:rPr>
          <w:rFonts w:ascii="Times New Roman" w:eastAsia="Cambria Math" w:hAnsi="Times New Roman" w:cs="Times New Roman"/>
          <w:sz w:val="20"/>
          <w:szCs w:val="20"/>
        </w:rPr>
        <w:t>[23]</w:t>
      </w:r>
    </w:p>
    <w:p w14:paraId="0000009B" w14:textId="2DAB7E0E" w:rsidR="00F87ED1" w:rsidRDefault="00DA6857" w:rsidP="00DA6857">
      <w:pPr>
        <w:tabs>
          <w:tab w:val="right" w:pos="9360"/>
        </w:tabs>
        <w:jc w:val="center"/>
        <w:rPr>
          <w:rFonts w:ascii="Cambria Math" w:eastAsia="Cambria Math" w:hAnsi="Cambria Math" w:cs="Cambria Math"/>
          <w:sz w:val="24"/>
          <w:szCs w:val="24"/>
        </w:rPr>
      </w:pPr>
      <w:r>
        <w:rPr>
          <w:rFonts w:ascii="Cambria Math" w:eastAsia="Cambria Math" w:hAnsi="Cambria Math" w:cs="Cambria Math"/>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up>
            <m:r>
              <w:rPr>
                <w:rFonts w:ascii="Cambria Math" w:eastAsia="Cambria Math" w:hAnsi="Cambria Math" w:cs="Cambria Math"/>
                <w:sz w:val="24"/>
                <w:szCs w:val="24"/>
              </w:rPr>
              <m:t>b</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j</m:t>
                </m:r>
              </m:sub>
            </m:sSub>
          </m:sub>
          <m:sup>
            <m:r>
              <w:rPr>
                <w:rFonts w:ascii="Cambria Math" w:eastAsia="Cambria Math" w:hAnsi="Cambria Math" w:cs="Cambria Math"/>
                <w:sz w:val="24"/>
                <w:szCs w:val="24"/>
              </w:rPr>
              <m:t>a</m:t>
            </m:r>
          </m:sup>
        </m:sSubSup>
      </m:oMath>
      <w:r w:rsidR="00310584">
        <w:rPr>
          <w:rFonts w:ascii="Cambria Math" w:eastAsia="Cambria Math" w:hAnsi="Cambria Math" w:cs="Cambria Math"/>
          <w:sz w:val="24"/>
          <w:szCs w:val="24"/>
        </w:rPr>
        <w:t xml:space="preserve"> </w:t>
      </w:r>
      <w:r w:rsidR="00AF13F4">
        <w:rPr>
          <w:rFonts w:ascii="Cambria Math" w:eastAsia="Cambria Math" w:hAnsi="Cambria Math" w:cs="Cambria Math"/>
          <w:sz w:val="24"/>
          <w:szCs w:val="24"/>
        </w:rPr>
        <w:t>,</w:t>
      </w:r>
      <w:r>
        <w:rPr>
          <w:rFonts w:ascii="Cambria Math" w:eastAsia="Cambria Math" w:hAnsi="Cambria Math" w:cs="Cambria Math"/>
          <w:sz w:val="24"/>
          <w:szCs w:val="24"/>
        </w:rPr>
        <w:tab/>
      </w:r>
      <w:r w:rsidR="00310584" w:rsidRPr="00621E81">
        <w:rPr>
          <w:rFonts w:ascii="Times New Roman" w:eastAsia="Cambria Math" w:hAnsi="Times New Roman" w:cs="Times New Roman"/>
          <w:sz w:val="20"/>
          <w:szCs w:val="20"/>
        </w:rPr>
        <w:t>[24]</w:t>
      </w:r>
    </w:p>
    <w:p w14:paraId="0000009C"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2.5 Derivative-Based Global Sensitivity Measure</w:t>
      </w:r>
    </w:p>
    <w:p w14:paraId="0000009D" w14:textId="4EB0DCD8"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DGSM method was proposed by Sobol' &amp; </w:t>
      </w:r>
      <w:proofErr w:type="spellStart"/>
      <w:r>
        <w:rPr>
          <w:rFonts w:ascii="Times New Roman" w:eastAsia="Times New Roman" w:hAnsi="Times New Roman" w:cs="Times New Roman"/>
          <w:sz w:val="20"/>
          <w:szCs w:val="20"/>
        </w:rPr>
        <w:t>Kucherenkob</w:t>
      </w:r>
      <w:proofErr w:type="spellEnd"/>
      <w:r>
        <w:rPr>
          <w:rFonts w:ascii="Times New Roman" w:eastAsia="Times New Roman" w:hAnsi="Times New Roman" w:cs="Times New Roman"/>
          <w:sz w:val="20"/>
          <w:szCs w:val="20"/>
        </w:rPr>
        <w:t xml:space="preserve"> </w:t>
      </w:r>
      <w:r w:rsidR="0066313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2009) as an advancement to the original Morris method. Their work provides a link between the importance measure and the total sensitivity index. The DGSM method is selected here based on the prospect of improving the quantitative ability of the Morris method for total order sensitivity measures while retaining the relatively low computational cost compared to the more complex methods. Differentiating the DGSM from the improved Morris method proposed by </w:t>
      </w:r>
      <w:proofErr w:type="spellStart"/>
      <w:r>
        <w:rPr>
          <w:rFonts w:ascii="Times New Roman" w:eastAsia="Times New Roman" w:hAnsi="Times New Roman" w:cs="Times New Roman"/>
          <w:sz w:val="20"/>
          <w:szCs w:val="20"/>
        </w:rPr>
        <w:t>Campolongo</w:t>
      </w:r>
      <w:proofErr w:type="spellEnd"/>
      <w:r>
        <w:rPr>
          <w:rFonts w:ascii="Times New Roman" w:eastAsia="Times New Roman" w:hAnsi="Times New Roman" w:cs="Times New Roman"/>
          <w:sz w:val="20"/>
          <w:szCs w:val="20"/>
        </w:rPr>
        <w:t xml:space="preserve"> et al (2007), the partial derivatives of a function’s local variance is squared, as opposed to taking the absolute value. </w:t>
      </w:r>
      <w:proofErr w:type="gramStart"/>
      <w:r>
        <w:rPr>
          <w:rFonts w:ascii="Times New Roman" w:eastAsia="Times New Roman" w:hAnsi="Times New Roman" w:cs="Times New Roman"/>
          <w:sz w:val="20"/>
          <w:szCs w:val="20"/>
        </w:rPr>
        <w:t>Similar to</w:t>
      </w:r>
      <w:proofErr w:type="gramEnd"/>
      <w:r>
        <w:rPr>
          <w:rFonts w:ascii="Times New Roman" w:eastAsia="Times New Roman" w:hAnsi="Times New Roman" w:cs="Times New Roman"/>
          <w:sz w:val="20"/>
          <w:szCs w:val="20"/>
        </w:rPr>
        <w:t xml:space="preserve"> Eq.8 in the Morris method, Eq.25 shows the method of calculating the importance measure, </w:t>
      </w:r>
      <m:oMath>
        <m:sSub>
          <m:sSubPr>
            <m:ctrlPr>
              <w:rPr>
                <w:rFonts w:ascii="Cambria Math" w:eastAsia="Cambria Math" w:hAnsi="Cambria Math" w:cs="Cambria Math"/>
                <w:sz w:val="20"/>
                <w:szCs w:val="20"/>
              </w:rPr>
            </m:ctrlPr>
          </m:sSubPr>
          <m:e>
            <m:r>
              <w:rPr>
                <w:rFonts w:ascii="Cambria Math" w:hAnsi="Cambria Math"/>
              </w:rPr>
              <m:t>ν</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for each variable. The normalization of this importance measure is shown in Eq.26, where the link between the importance measure and Sobol’s total sensitivity index is provided in (Sobol &amp; </w:t>
      </w:r>
      <w:proofErr w:type="spellStart"/>
      <w:r>
        <w:rPr>
          <w:rFonts w:ascii="Times New Roman" w:eastAsia="Times New Roman" w:hAnsi="Times New Roman" w:cs="Times New Roman"/>
          <w:sz w:val="20"/>
          <w:szCs w:val="20"/>
        </w:rPr>
        <w:t>Kucherenkob</w:t>
      </w:r>
      <w:proofErr w:type="spellEnd"/>
      <w:r>
        <w:rPr>
          <w:rFonts w:ascii="Times New Roman" w:eastAsia="Times New Roman" w:hAnsi="Times New Roman" w:cs="Times New Roman"/>
          <w:sz w:val="20"/>
          <w:szCs w:val="20"/>
        </w:rPr>
        <w:t>, 2009)</w:t>
      </w:r>
      <w:r w:rsidR="00AF13F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9F" w14:textId="5F87DB00" w:rsidR="00F87ED1" w:rsidRDefault="00082627" w:rsidP="00601B06">
      <w:pPr>
        <w:tabs>
          <w:tab w:val="right" w:pos="9360"/>
        </w:tabs>
        <w:rPr>
          <w:rFonts w:ascii="Cambria Math" w:eastAsia="Cambria Math" w:hAnsi="Cambria Math" w:cs="Cambria Math"/>
          <w:sz w:val="24"/>
          <w:szCs w:val="24"/>
        </w:rPr>
      </w:pPr>
      <w:r>
        <w:rPr>
          <w:rFonts w:ascii="Times New Roman" w:eastAsia="Times New Roman" w:hAnsi="Times New Roman" w:cs="Times New Roman"/>
          <w:sz w:val="24"/>
          <w:szCs w:val="24"/>
        </w:rPr>
        <w:t xml:space="preserve"> </w:t>
      </w:r>
      <w:r w:rsidR="00601B06">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nary>
          <m:naryPr>
            <m:ctrlPr>
              <w:rPr>
                <w:rFonts w:ascii="Cambria Math" w:eastAsia="Cambria Math" w:hAnsi="Cambria Math" w:cs="Cambria Math"/>
                <w:sz w:val="24"/>
                <w:szCs w:val="24"/>
              </w:rPr>
            </m:ctrlPr>
          </m:naryPr>
          <m: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e>
              <m:sup>
                <m:r>
                  <w:rPr>
                    <w:rFonts w:ascii="Cambria Math" w:eastAsia="Cambria Math" w:hAnsi="Cambria Math" w:cs="Cambria Math"/>
                    <w:sz w:val="24"/>
                    <w:szCs w:val="24"/>
                  </w:rPr>
                  <m:t>n</m:t>
                </m:r>
              </m:sup>
            </m:sSup>
          </m:sub>
          <m:sup>
            <m:r>
              <w:rPr>
                <w:rFonts w:ascii="Cambria Math" w:eastAsia="Cambria Math" w:hAnsi="Cambria Math" w:cs="Cambria Math"/>
                <w:sz w:val="24"/>
                <w:szCs w:val="24"/>
              </w:rPr>
              <m:t xml:space="preserve"> </m:t>
            </m:r>
          </m:sup>
          <m:e>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∂f</m:t>
                        </m:r>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den>
                    </m:f>
                  </m:e>
                </m:d>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dx. </m:t>
            </m:r>
          </m:e>
        </m:nary>
      </m:oMath>
      <w:r w:rsidR="00601B06">
        <w:rPr>
          <w:rFonts w:ascii="Times New Roman" w:eastAsia="Cambria Math" w:hAnsi="Times New Roman" w:cs="Times New Roman"/>
          <w:sz w:val="24"/>
          <w:szCs w:val="24"/>
        </w:rPr>
        <w:tab/>
      </w:r>
      <w:r w:rsidR="001419FE" w:rsidRPr="00621E81">
        <w:rPr>
          <w:rFonts w:ascii="Times New Roman" w:eastAsia="Cambria Math" w:hAnsi="Times New Roman" w:cs="Times New Roman"/>
          <w:sz w:val="20"/>
          <w:szCs w:val="20"/>
        </w:rPr>
        <w:t>[25]</w:t>
      </w:r>
    </w:p>
    <w:p w14:paraId="000000A0" w14:textId="721525CE"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Eq.26 shows the link between the importance measure and the total sensitivity index for variable </w:t>
      </w:r>
      <w:r>
        <w:rPr>
          <w:rFonts w:ascii="Times New Roman" w:eastAsia="Times New Roman" w:hAnsi="Times New Roman" w:cs="Times New Roman"/>
          <w:i/>
          <w:sz w:val="20"/>
          <w:szCs w:val="20"/>
        </w:rPr>
        <w:t>i</w:t>
      </w:r>
      <w:r>
        <w:rPr>
          <w:rFonts w:ascii="Times New Roman" w:eastAsia="Times New Roman" w:hAnsi="Times New Roman" w:cs="Times New Roman"/>
          <w:sz w:val="20"/>
          <w:szCs w:val="20"/>
        </w:rPr>
        <w:t xml:space="preserve">, where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xml:space="preserve"> is the total output variance shown in Eq.6</w:t>
      </w:r>
      <w:r w:rsidR="00AF13F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0A1" w14:textId="305839C9" w:rsidR="00F87ED1" w:rsidRDefault="00601B06" w:rsidP="00601B06">
      <w:pPr>
        <w:tabs>
          <w:tab w:val="right" w:pos="9360"/>
        </w:tabs>
        <w:jc w:val="center"/>
        <w:rPr>
          <w:rFonts w:ascii="Cambria Math" w:eastAsia="Cambria Math" w:hAnsi="Cambria Math" w:cs="Cambria Math"/>
          <w:sz w:val="24"/>
          <w:szCs w:val="24"/>
        </w:rPr>
      </w:pPr>
      <w:r>
        <w:rPr>
          <w:rFonts w:ascii="Times New Roman" w:eastAsia="Times New Roman" w:hAnsi="Times New Roman" w:cs="Times New Roman"/>
          <w:sz w:val="24"/>
          <w:szCs w:val="24"/>
        </w:rPr>
        <w:lastRenderedPageBreak/>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up>
            <m:r>
              <w:rPr>
                <w:rFonts w:ascii="Cambria Math" w:eastAsia="Cambria Math" w:hAnsi="Cambria Math" w:cs="Cambria Math"/>
                <w:sz w:val="24"/>
                <w:szCs w:val="24"/>
              </w:rPr>
              <m:t>tot</m:t>
            </m:r>
          </m:sup>
        </m:sSubSup>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ν</m:t>
                </m:r>
              </m:e>
              <m:sub>
                <m:r>
                  <w:rPr>
                    <w:rFonts w:ascii="Cambria Math" w:eastAsia="Cambria Math" w:hAnsi="Cambria Math" w:cs="Cambria Math"/>
                    <w:sz w:val="24"/>
                    <w:szCs w:val="24"/>
                  </w:rPr>
                  <m:t>i</m:t>
                </m:r>
              </m:sub>
            </m:sSub>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π</m:t>
                </m:r>
              </m:e>
              <m:sup>
                <m:r>
                  <w:rPr>
                    <w:rFonts w:ascii="Cambria Math" w:eastAsia="Cambria Math" w:hAnsi="Cambria Math" w:cs="Cambria Math"/>
                    <w:sz w:val="24"/>
                    <w:szCs w:val="24"/>
                  </w:rPr>
                  <m:t>2</m:t>
                </m:r>
              </m:sup>
            </m:sSup>
            <m:r>
              <w:rPr>
                <w:rFonts w:ascii="Cambria Math" w:eastAsia="Cambria Math" w:hAnsi="Cambria Math" w:cs="Cambria Math"/>
                <w:sz w:val="24"/>
                <w:szCs w:val="24"/>
              </w:rPr>
              <m:t>D</m:t>
            </m:r>
          </m:den>
        </m:f>
        <m:r>
          <w:rPr>
            <w:rFonts w:ascii="Cambria Math" w:eastAsia="Cambria Math" w:hAnsi="Cambria Math" w:cs="Cambria Math"/>
            <w:sz w:val="24"/>
            <w:szCs w:val="24"/>
          </w:rPr>
          <m:t>.</m:t>
        </m:r>
      </m:oMath>
      <w:r>
        <w:rPr>
          <w:rFonts w:ascii="Times New Roman" w:eastAsia="Cambria Math" w:hAnsi="Times New Roman" w:cs="Times New Roman"/>
          <w:sz w:val="24"/>
          <w:szCs w:val="24"/>
        </w:rPr>
        <w:tab/>
      </w:r>
      <w:r w:rsidR="001419FE" w:rsidRPr="00621E81">
        <w:rPr>
          <w:rFonts w:ascii="Times New Roman" w:eastAsia="Cambria Math" w:hAnsi="Times New Roman" w:cs="Times New Roman"/>
          <w:sz w:val="20"/>
          <w:szCs w:val="20"/>
        </w:rPr>
        <w:t>[26]</w:t>
      </w:r>
    </w:p>
    <w:p w14:paraId="000000A2" w14:textId="77777777" w:rsidR="00F87ED1" w:rsidRDefault="00082627">
      <w:pPr>
        <w:pStyle w:val="Heading1"/>
        <w:tabs>
          <w:tab w:val="center" w:pos="4800"/>
          <w:tab w:val="right" w:pos="9500"/>
        </w:tabs>
        <w:rPr>
          <w:rFonts w:ascii="Times New Roman" w:eastAsia="Times New Roman" w:hAnsi="Times New Roman"/>
          <w:color w:val="000052"/>
          <w:sz w:val="21"/>
          <w:szCs w:val="21"/>
        </w:rPr>
      </w:pPr>
      <w:r>
        <w:rPr>
          <w:rFonts w:ascii="Times New Roman" w:eastAsia="Times New Roman" w:hAnsi="Times New Roman"/>
          <w:color w:val="000052"/>
          <w:sz w:val="21"/>
          <w:szCs w:val="21"/>
        </w:rPr>
        <w:t xml:space="preserve">3. Technical Approach </w:t>
      </w:r>
    </w:p>
    <w:p w14:paraId="000000A3" w14:textId="6897F18E"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sidR="007058C3">
        <w:rPr>
          <w:rFonts w:ascii="Times New Roman" w:eastAsia="Times New Roman" w:hAnsi="Times New Roman" w:cs="Times New Roman"/>
          <w:sz w:val="20"/>
          <w:szCs w:val="20"/>
        </w:rPr>
        <w:t>convergence</w:t>
      </w:r>
      <w:r>
        <w:rPr>
          <w:rFonts w:ascii="Times New Roman" w:eastAsia="Times New Roman" w:hAnsi="Times New Roman" w:cs="Times New Roman"/>
          <w:sz w:val="20"/>
          <w:szCs w:val="20"/>
        </w:rPr>
        <w:t xml:space="preserve">, </w:t>
      </w:r>
      <w:r w:rsidR="007058C3">
        <w:rPr>
          <w:rFonts w:ascii="Times New Roman" w:eastAsia="Times New Roman" w:hAnsi="Times New Roman" w:cs="Times New Roman"/>
          <w:sz w:val="20"/>
          <w:szCs w:val="20"/>
        </w:rPr>
        <w:t>performance</w:t>
      </w:r>
      <w:r>
        <w:rPr>
          <w:rFonts w:ascii="Times New Roman" w:eastAsia="Times New Roman" w:hAnsi="Times New Roman" w:cs="Times New Roman"/>
          <w:sz w:val="20"/>
          <w:szCs w:val="20"/>
        </w:rPr>
        <w:t>, and computational resource requirements for the GSA methods were evaluated by applying each method to three case studies (Fig. 1). The</w:t>
      </w:r>
      <w:r w:rsidR="00FA3BFF">
        <w:rPr>
          <w:rFonts w:ascii="Times New Roman" w:eastAsia="Times New Roman" w:hAnsi="Times New Roman" w:cs="Times New Roman"/>
          <w:sz w:val="20"/>
          <w:szCs w:val="20"/>
        </w:rPr>
        <w:t>se</w:t>
      </w:r>
      <w:r>
        <w:rPr>
          <w:rFonts w:ascii="Times New Roman" w:eastAsia="Times New Roman" w:hAnsi="Times New Roman" w:cs="Times New Roman"/>
          <w:sz w:val="20"/>
          <w:szCs w:val="20"/>
        </w:rPr>
        <w:t xml:space="preserve"> case studies consisted of two widespread structural mechanics analysis methods, finite elements (FE) and </w:t>
      </w:r>
      <w:proofErr w:type="spellStart"/>
      <w:r>
        <w:rPr>
          <w:rFonts w:ascii="Times New Roman" w:eastAsia="Times New Roman" w:hAnsi="Times New Roman" w:cs="Times New Roman"/>
          <w:sz w:val="20"/>
          <w:szCs w:val="20"/>
        </w:rPr>
        <w:t>peridynamics</w:t>
      </w:r>
      <w:proofErr w:type="spellEnd"/>
      <w:r>
        <w:rPr>
          <w:rFonts w:ascii="Times New Roman" w:eastAsia="Times New Roman" w:hAnsi="Times New Roman" w:cs="Times New Roman"/>
          <w:sz w:val="20"/>
          <w:szCs w:val="20"/>
        </w:rPr>
        <w:t xml:space="preserve"> (PD), with varying model fidelity and complexity. Surrogate models were then formulated for each case study, allowing for large sample sizes to be generated for the GSA methods with a comparably minimal computational cost relative to collecting sampling data directly</w:t>
      </w:r>
      <w:r w:rsidR="002C1170">
        <w:rPr>
          <w:rFonts w:ascii="Times New Roman" w:eastAsia="Times New Roman" w:hAnsi="Times New Roman" w:cs="Times New Roman"/>
          <w:sz w:val="20"/>
          <w:szCs w:val="20"/>
        </w:rPr>
        <w:t xml:space="preserve"> from the higher fidelity models</w:t>
      </w:r>
      <w:r>
        <w:rPr>
          <w:rFonts w:ascii="Times New Roman" w:eastAsia="Times New Roman" w:hAnsi="Times New Roman" w:cs="Times New Roman"/>
          <w:sz w:val="20"/>
          <w:szCs w:val="20"/>
        </w:rPr>
        <w:t>.</w:t>
      </w:r>
    </w:p>
    <w:p w14:paraId="000000A4" w14:textId="77777777" w:rsidR="00F87ED1" w:rsidRDefault="00082627">
      <w:pPr>
        <w:keepNext/>
        <w:jc w:val="center"/>
      </w:pPr>
      <w:r>
        <w:rPr>
          <w:noProof/>
        </w:rPr>
        <w:drawing>
          <wp:inline distT="0" distB="0" distL="0" distR="0" wp14:anchorId="02353EE0" wp14:editId="4FB9D1BE">
            <wp:extent cx="4679770" cy="3181344"/>
            <wp:effectExtent l="0" t="0" r="0" b="0"/>
            <wp:docPr id="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679770" cy="3181344"/>
                    </a:xfrm>
                    <a:prstGeom prst="rect">
                      <a:avLst/>
                    </a:prstGeom>
                    <a:ln/>
                  </pic:spPr>
                </pic:pic>
              </a:graphicData>
            </a:graphic>
          </wp:inline>
        </w:drawing>
      </w:r>
    </w:p>
    <w:p w14:paraId="000000A5" w14:textId="77777777" w:rsidR="00F87ED1" w:rsidRDefault="00082627">
      <w:pPr>
        <w:pBdr>
          <w:top w:val="nil"/>
          <w:left w:val="nil"/>
          <w:bottom w:val="nil"/>
          <w:right w:val="nil"/>
          <w:between w:val="nil"/>
        </w:pBdr>
        <w:spacing w:after="20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Figure 1. The technical approach used for evaluating the GSA methods.</w:t>
      </w:r>
    </w:p>
    <w:p w14:paraId="000000A6"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3.1 Data Acquisition from Case Study Models</w:t>
      </w:r>
    </w:p>
    <w:p w14:paraId="000000A7" w14:textId="2B3468CF"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data was obtained from both macro and micro structural mechanics models created using two different software packages, Abaqus 2019 by </w:t>
      </w:r>
      <w:r>
        <w:rPr>
          <w:rFonts w:ascii="Times New Roman" w:eastAsia="Times New Roman" w:hAnsi="Times New Roman" w:cs="Times New Roman"/>
          <w:color w:val="000000"/>
          <w:sz w:val="20"/>
          <w:szCs w:val="20"/>
          <w:highlight w:val="white"/>
        </w:rPr>
        <w:t xml:space="preserve">Dassault </w:t>
      </w:r>
      <w:proofErr w:type="spellStart"/>
      <w:r>
        <w:rPr>
          <w:rFonts w:ascii="Times New Roman" w:eastAsia="Times New Roman" w:hAnsi="Times New Roman" w:cs="Times New Roman"/>
          <w:color w:val="000000"/>
          <w:sz w:val="20"/>
          <w:szCs w:val="20"/>
          <w:highlight w:val="white"/>
        </w:rPr>
        <w:t>Systèmes</w:t>
      </w:r>
      <w:proofErr w:type="spellEnd"/>
      <w:r>
        <w:rPr>
          <w:rFonts w:ascii="Times New Roman" w:eastAsia="Times New Roman" w:hAnsi="Times New Roman" w:cs="Times New Roman"/>
          <w:color w:val="000000"/>
          <w:sz w:val="20"/>
          <w:szCs w:val="20"/>
          <w:highlight w:val="white"/>
        </w:rPr>
        <w:t xml:space="preserve">® and </w:t>
      </w:r>
      <w:proofErr w:type="spellStart"/>
      <w:r>
        <w:rPr>
          <w:rFonts w:ascii="Times New Roman" w:eastAsia="Times New Roman" w:hAnsi="Times New Roman" w:cs="Times New Roman"/>
          <w:sz w:val="20"/>
          <w:szCs w:val="20"/>
        </w:rPr>
        <w:t>Peridigm</w:t>
      </w:r>
      <w:proofErr w:type="spellEnd"/>
      <w:r>
        <w:rPr>
          <w:rFonts w:ascii="Times New Roman" w:eastAsia="Times New Roman" w:hAnsi="Times New Roman" w:cs="Times New Roman"/>
          <w:sz w:val="20"/>
          <w:szCs w:val="20"/>
        </w:rPr>
        <w:t xml:space="preserve"> (M.L. Parks, 2012), a </w:t>
      </w:r>
      <w:proofErr w:type="spellStart"/>
      <w:r>
        <w:rPr>
          <w:rFonts w:ascii="Times New Roman" w:eastAsia="Times New Roman" w:hAnsi="Times New Roman" w:cs="Times New Roman"/>
          <w:sz w:val="20"/>
          <w:szCs w:val="20"/>
        </w:rPr>
        <w:t>peridynamics</w:t>
      </w:r>
      <w:proofErr w:type="spellEnd"/>
      <w:r>
        <w:rPr>
          <w:rFonts w:ascii="Times New Roman" w:eastAsia="Times New Roman" w:hAnsi="Times New Roman" w:cs="Times New Roman"/>
          <w:sz w:val="20"/>
          <w:szCs w:val="20"/>
        </w:rPr>
        <w:t xml:space="preserve"> code developed at Sandia National Laboratories (Silling &amp; </w:t>
      </w:r>
      <w:proofErr w:type="spellStart"/>
      <w:r>
        <w:rPr>
          <w:rFonts w:ascii="Times New Roman" w:eastAsia="Times New Roman" w:hAnsi="Times New Roman" w:cs="Times New Roman"/>
          <w:sz w:val="20"/>
          <w:szCs w:val="20"/>
        </w:rPr>
        <w:t>Lehoucq</w:t>
      </w:r>
      <w:proofErr w:type="spellEnd"/>
      <w:r>
        <w:rPr>
          <w:rFonts w:ascii="Times New Roman" w:eastAsia="Times New Roman" w:hAnsi="Times New Roman" w:cs="Times New Roman"/>
          <w:sz w:val="20"/>
          <w:szCs w:val="20"/>
        </w:rPr>
        <w:t xml:space="preserve">, 2010). Models created from </w:t>
      </w:r>
      <w:r>
        <w:rPr>
          <w:rFonts w:ascii="Times New Roman" w:eastAsia="Times New Roman" w:hAnsi="Times New Roman" w:cs="Times New Roman"/>
          <w:sz w:val="20"/>
          <w:szCs w:val="20"/>
          <w:highlight w:val="white"/>
        </w:rPr>
        <w:t xml:space="preserve">these </w:t>
      </w:r>
      <w:r>
        <w:rPr>
          <w:rFonts w:ascii="Times New Roman" w:eastAsia="Times New Roman" w:hAnsi="Times New Roman" w:cs="Times New Roman"/>
          <w:sz w:val="20"/>
          <w:szCs w:val="20"/>
        </w:rPr>
        <w:t xml:space="preserve">two distinct modelling techniques were validated for accuracy and used to create </w:t>
      </w:r>
      <w:r w:rsidR="00DB7C42">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respective surrogate models</w:t>
      </w:r>
      <w:r w:rsidR="00DB7C42">
        <w:rPr>
          <w:rFonts w:ascii="Times New Roman" w:eastAsia="Times New Roman" w:hAnsi="Times New Roman" w:cs="Times New Roman"/>
          <w:sz w:val="20"/>
          <w:szCs w:val="20"/>
        </w:rPr>
        <w:t xml:space="preserve"> for GSA data collection</w:t>
      </w:r>
      <w:r>
        <w:rPr>
          <w:rFonts w:ascii="Times New Roman" w:eastAsia="Times New Roman" w:hAnsi="Times New Roman" w:cs="Times New Roman"/>
          <w:sz w:val="20"/>
          <w:szCs w:val="20"/>
        </w:rPr>
        <w:t xml:space="preserve">. </w:t>
      </w:r>
    </w:p>
    <w:p w14:paraId="000000A8"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3.1.1 Case 1: Layered Structure under Four Point Bend Loading (FE FPB 41)</w:t>
      </w:r>
    </w:p>
    <w:p w14:paraId="03BDA8B7" w14:textId="094599AA" w:rsidR="00DB7C42" w:rsidRDefault="00082627" w:rsidP="00DB7C4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most complex case study is the 41-parameter FE macroscale </w:t>
      </w:r>
      <w:r w:rsidR="00B02077">
        <w:rPr>
          <w:rFonts w:ascii="Times New Roman" w:eastAsia="Times New Roman" w:hAnsi="Times New Roman" w:cs="Times New Roman"/>
          <w:sz w:val="20"/>
          <w:szCs w:val="20"/>
        </w:rPr>
        <w:t xml:space="preserve">model </w:t>
      </w:r>
      <w:r>
        <w:rPr>
          <w:rFonts w:ascii="Times New Roman" w:eastAsia="Times New Roman" w:hAnsi="Times New Roman" w:cs="Times New Roman"/>
          <w:sz w:val="20"/>
          <w:szCs w:val="20"/>
        </w:rPr>
        <w:t xml:space="preserve">created using Abaqus. This model represents a layered </w:t>
      </w:r>
      <w:r w:rsidR="009F086B">
        <w:rPr>
          <w:rFonts w:ascii="Times New Roman" w:eastAsia="Times New Roman" w:hAnsi="Times New Roman" w:cs="Times New Roman"/>
          <w:sz w:val="20"/>
          <w:szCs w:val="20"/>
        </w:rPr>
        <w:t>F</w:t>
      </w:r>
      <w:r>
        <w:rPr>
          <w:rFonts w:ascii="Times New Roman" w:eastAsia="Times New Roman" w:hAnsi="Times New Roman" w:cs="Times New Roman"/>
          <w:sz w:val="20"/>
          <w:szCs w:val="20"/>
        </w:rPr>
        <w:t>our-</w:t>
      </w:r>
      <w:r w:rsidR="009F086B">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oint </w:t>
      </w:r>
      <w:r w:rsidR="009F086B">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end (FPB) specimen, fabricated from varying </w:t>
      </w:r>
      <w:r w:rsidR="0017359A">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glass fabric/epoxy composite lamina and 5456 aluminium, that exhibits complex, </w:t>
      </w:r>
      <w:r w:rsidRPr="0017359A">
        <w:rPr>
          <w:rFonts w:ascii="Times New Roman" w:eastAsia="Times New Roman" w:hAnsi="Times New Roman" w:cs="Times New Roman"/>
          <w:sz w:val="20"/>
          <w:szCs w:val="20"/>
        </w:rPr>
        <w:t>progressive failure with non-linear behaviour. Full details of</w:t>
      </w:r>
      <w:r w:rsidR="00AD7AA6" w:rsidRPr="0017359A">
        <w:rPr>
          <w:rFonts w:ascii="Times New Roman" w:eastAsia="Times New Roman" w:hAnsi="Times New Roman" w:cs="Times New Roman"/>
          <w:sz w:val="20"/>
          <w:szCs w:val="20"/>
        </w:rPr>
        <w:t xml:space="preserve"> the</w:t>
      </w:r>
      <w:r w:rsidRPr="0017359A">
        <w:rPr>
          <w:rFonts w:ascii="Times New Roman" w:eastAsia="Times New Roman" w:hAnsi="Times New Roman" w:cs="Times New Roman"/>
          <w:sz w:val="20"/>
          <w:szCs w:val="20"/>
        </w:rPr>
        <w:t xml:space="preserve"> model development and validation are available (Arndt et al, 2022). The parameter ranges are provided in Table 2 as well as the parameter symbol from the model development paper. </w:t>
      </w:r>
      <w:r w:rsidR="00AD7AA6" w:rsidRPr="0017359A">
        <w:rPr>
          <w:rFonts w:ascii="Times New Roman" w:eastAsia="Times New Roman" w:hAnsi="Times New Roman" w:cs="Times New Roman"/>
          <w:sz w:val="20"/>
          <w:szCs w:val="20"/>
        </w:rPr>
        <w:t>Given the sparseness of the data, t</w:t>
      </w:r>
      <w:r w:rsidR="00DB7C42" w:rsidRPr="0017359A">
        <w:rPr>
          <w:rFonts w:ascii="Times New Roman" w:eastAsia="Times New Roman" w:hAnsi="Times New Roman" w:cs="Times New Roman"/>
          <w:sz w:val="20"/>
          <w:szCs w:val="20"/>
        </w:rPr>
        <w:t xml:space="preserve">he mean values were used to validate the model and a range of </w:t>
      </w:r>
      <m:oMath>
        <m:r>
          <w:rPr>
            <w:rFonts w:ascii="Cambria Math" w:eastAsia="Cambria Math" w:hAnsi="Cambria Math" w:cs="Cambria Math"/>
            <w:sz w:val="20"/>
            <w:szCs w:val="20"/>
          </w:rPr>
          <m:t>±20%</m:t>
        </m:r>
      </m:oMath>
      <w:r w:rsidR="00DB7C42" w:rsidRPr="0017359A">
        <w:rPr>
          <w:rFonts w:ascii="Times New Roman" w:eastAsia="Times New Roman" w:hAnsi="Times New Roman" w:cs="Times New Roman"/>
          <w:sz w:val="20"/>
          <w:szCs w:val="20"/>
        </w:rPr>
        <w:t xml:space="preserve"> of the mean </w:t>
      </w:r>
      <w:r w:rsidR="0017359A" w:rsidRPr="0017359A">
        <w:rPr>
          <w:rFonts w:ascii="Times New Roman" w:eastAsia="Times New Roman" w:hAnsi="Times New Roman" w:cs="Times New Roman"/>
          <w:sz w:val="20"/>
          <w:szCs w:val="20"/>
        </w:rPr>
        <w:t>values, representing</w:t>
      </w:r>
      <w:r w:rsidR="00DB7C42" w:rsidRPr="0017359A">
        <w:rPr>
          <w:rFonts w:ascii="Times New Roman" w:eastAsia="Times New Roman" w:hAnsi="Times New Roman" w:cs="Times New Roman"/>
          <w:sz w:val="20"/>
          <w:szCs w:val="20"/>
        </w:rPr>
        <w:t xml:space="preserve"> a z-score of 2 for an assumed 10% standard deviation (Mead, Gilmour, &amp; Mead, 2012)</w:t>
      </w:r>
      <w:r w:rsidR="00AD7AA6" w:rsidRPr="0017359A">
        <w:rPr>
          <w:rFonts w:ascii="Times New Roman" w:eastAsia="Times New Roman" w:hAnsi="Times New Roman" w:cs="Times New Roman"/>
          <w:sz w:val="20"/>
          <w:szCs w:val="20"/>
        </w:rPr>
        <w:t>,</w:t>
      </w:r>
      <w:r w:rsidR="00DB7C42" w:rsidRPr="0017359A">
        <w:rPr>
          <w:rFonts w:ascii="Times New Roman" w:eastAsia="Times New Roman" w:hAnsi="Times New Roman" w:cs="Times New Roman"/>
          <w:sz w:val="20"/>
          <w:szCs w:val="20"/>
        </w:rPr>
        <w:t xml:space="preserve"> was assigned, to each parameter to create the sampling range for both surrogate model development and GSA sampling</w:t>
      </w:r>
      <w:r w:rsidR="00AD7AA6" w:rsidRPr="0017359A">
        <w:rPr>
          <w:rFonts w:ascii="Times New Roman" w:eastAsia="Times New Roman" w:hAnsi="Times New Roman" w:cs="Times New Roman"/>
          <w:sz w:val="20"/>
          <w:szCs w:val="20"/>
        </w:rPr>
        <w:t xml:space="preserve">, </w:t>
      </w:r>
      <w:r w:rsidR="00DB7C42" w:rsidRPr="0017359A">
        <w:rPr>
          <w:rFonts w:ascii="Times New Roman" w:eastAsia="Times New Roman" w:hAnsi="Times New Roman" w:cs="Times New Roman"/>
          <w:sz w:val="20"/>
          <w:szCs w:val="20"/>
        </w:rPr>
        <w:t>This z-score was assumed to capture adequate parameter variation which is critical for GSA.</w:t>
      </w:r>
    </w:p>
    <w:p w14:paraId="000000AA" w14:textId="77777777" w:rsidR="00F87ED1" w:rsidRDefault="00082627">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w:t>
      </w:r>
      <w:r>
        <w:rPr>
          <w:rFonts w:ascii="Times New Roman" w:eastAsia="Times New Roman" w:hAnsi="Times New Roman" w:cs="Times New Roman"/>
          <w:sz w:val="20"/>
          <w:szCs w:val="20"/>
        </w:rPr>
        <w:t xml:space="preserve"> 2. Parameter descriptions and ranges used in the FE FPB model study.</w:t>
      </w:r>
    </w:p>
    <w:tbl>
      <w:tblPr>
        <w:tblStyle w:val="a0"/>
        <w:tblW w:w="8285" w:type="dxa"/>
        <w:tblInd w:w="5" w:type="dxa"/>
        <w:tblLayout w:type="fixed"/>
        <w:tblLook w:val="0400" w:firstRow="0" w:lastRow="0" w:firstColumn="0" w:lastColumn="0" w:noHBand="0" w:noVBand="1"/>
      </w:tblPr>
      <w:tblGrid>
        <w:gridCol w:w="970"/>
        <w:gridCol w:w="3612"/>
        <w:gridCol w:w="849"/>
        <w:gridCol w:w="842"/>
        <w:gridCol w:w="1046"/>
        <w:gridCol w:w="966"/>
      </w:tblGrid>
      <w:tr w:rsidR="00DD0BE8" w14:paraId="7C4E29CF" w14:textId="77777777" w:rsidTr="00DD0BE8">
        <w:trPr>
          <w:trHeight w:val="460"/>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AC"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lastRenderedPageBreak/>
              <w:t xml:space="preserve">Parameter Number </w:t>
            </w:r>
          </w:p>
        </w:tc>
        <w:tc>
          <w:tcPr>
            <w:tcW w:w="3612"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0AD"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Description </w:t>
            </w:r>
          </w:p>
        </w:tc>
        <w:tc>
          <w:tcPr>
            <w:tcW w:w="849" w:type="dxa"/>
            <w:tcBorders>
              <w:top w:val="single" w:sz="4" w:space="0" w:color="000000"/>
              <w:left w:val="nil"/>
              <w:bottom w:val="single" w:sz="4" w:space="0" w:color="000000"/>
              <w:right w:val="single" w:sz="4" w:space="0" w:color="000000"/>
            </w:tcBorders>
            <w:shd w:val="clear" w:color="auto" w:fill="auto"/>
            <w:vAlign w:val="center"/>
          </w:tcPr>
          <w:p w14:paraId="000000AE"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Units </w:t>
            </w:r>
          </w:p>
        </w:tc>
        <w:tc>
          <w:tcPr>
            <w:tcW w:w="842" w:type="dxa"/>
            <w:tcBorders>
              <w:top w:val="single" w:sz="4" w:space="0" w:color="000000"/>
              <w:left w:val="nil"/>
              <w:bottom w:val="single" w:sz="4" w:space="0" w:color="000000"/>
              <w:right w:val="single" w:sz="4" w:space="0" w:color="000000"/>
            </w:tcBorders>
            <w:shd w:val="clear" w:color="auto" w:fill="auto"/>
            <w:vAlign w:val="center"/>
          </w:tcPr>
          <w:p w14:paraId="000000AF"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Min.  Value</w:t>
            </w:r>
          </w:p>
        </w:tc>
        <w:tc>
          <w:tcPr>
            <w:tcW w:w="1046" w:type="dxa"/>
            <w:tcBorders>
              <w:top w:val="single" w:sz="4" w:space="0" w:color="000000"/>
              <w:left w:val="nil"/>
              <w:bottom w:val="single" w:sz="4" w:space="0" w:color="000000"/>
              <w:right w:val="single" w:sz="4" w:space="0" w:color="000000"/>
            </w:tcBorders>
            <w:shd w:val="clear" w:color="auto" w:fill="auto"/>
            <w:vAlign w:val="center"/>
          </w:tcPr>
          <w:p w14:paraId="000000B0"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Mean Value </w:t>
            </w:r>
          </w:p>
        </w:tc>
        <w:tc>
          <w:tcPr>
            <w:tcW w:w="966" w:type="dxa"/>
            <w:tcBorders>
              <w:top w:val="single" w:sz="4" w:space="0" w:color="000000"/>
              <w:left w:val="nil"/>
              <w:bottom w:val="single" w:sz="4" w:space="0" w:color="000000"/>
              <w:right w:val="single" w:sz="4" w:space="0" w:color="000000"/>
            </w:tcBorders>
            <w:shd w:val="clear" w:color="auto" w:fill="auto"/>
            <w:vAlign w:val="center"/>
          </w:tcPr>
          <w:p w14:paraId="000000B1"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Max Value</w:t>
            </w:r>
          </w:p>
        </w:tc>
      </w:tr>
      <w:tr w:rsidR="00DD0BE8" w14:paraId="5DA6DC04"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B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X0</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B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Aluminium 5456-H116 (Al-5456)</w:t>
            </w:r>
          </w:p>
        </w:tc>
        <w:tc>
          <w:tcPr>
            <w:tcW w:w="849" w:type="dxa"/>
            <w:tcBorders>
              <w:top w:val="nil"/>
              <w:left w:val="nil"/>
              <w:bottom w:val="single" w:sz="4" w:space="0" w:color="000000"/>
              <w:right w:val="single" w:sz="4" w:space="0" w:color="000000"/>
            </w:tcBorders>
            <w:shd w:val="clear" w:color="auto" w:fill="auto"/>
            <w:vAlign w:val="center"/>
          </w:tcPr>
          <w:p w14:paraId="000000B5"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0B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55.70</w:t>
            </w:r>
          </w:p>
        </w:tc>
        <w:tc>
          <w:tcPr>
            <w:tcW w:w="1046" w:type="dxa"/>
            <w:tcBorders>
              <w:top w:val="nil"/>
              <w:left w:val="nil"/>
              <w:bottom w:val="single" w:sz="4" w:space="0" w:color="000000"/>
              <w:right w:val="single" w:sz="4" w:space="0" w:color="000000"/>
            </w:tcBorders>
            <w:shd w:val="clear" w:color="auto" w:fill="auto"/>
            <w:vAlign w:val="center"/>
          </w:tcPr>
          <w:p w14:paraId="000000B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69.63</w:t>
            </w:r>
          </w:p>
        </w:tc>
        <w:tc>
          <w:tcPr>
            <w:tcW w:w="966" w:type="dxa"/>
            <w:tcBorders>
              <w:top w:val="nil"/>
              <w:left w:val="nil"/>
              <w:bottom w:val="single" w:sz="4" w:space="0" w:color="000000"/>
              <w:right w:val="single" w:sz="4" w:space="0" w:color="000000"/>
            </w:tcBorders>
            <w:shd w:val="clear" w:color="auto" w:fill="auto"/>
            <w:vAlign w:val="center"/>
          </w:tcPr>
          <w:p w14:paraId="000000B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83.56</w:t>
            </w:r>
          </w:p>
        </w:tc>
      </w:tr>
      <w:tr w:rsidR="00DD0BE8" w14:paraId="65535BFE"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B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BB"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Poissons</w:t>
            </w:r>
            <w:proofErr w:type="spellEnd"/>
            <w:r>
              <w:rPr>
                <w:rFonts w:ascii="Times New Roman" w:eastAsia="Times New Roman" w:hAnsi="Times New Roman" w:cs="Times New Roman"/>
                <w:color w:val="000000"/>
                <w:sz w:val="16"/>
                <w:szCs w:val="16"/>
              </w:rPr>
              <w:t xml:space="preserve"> Ratio Al-5456</w:t>
            </w:r>
          </w:p>
        </w:tc>
        <w:tc>
          <w:tcPr>
            <w:tcW w:w="849" w:type="dxa"/>
            <w:tcBorders>
              <w:top w:val="nil"/>
              <w:left w:val="nil"/>
              <w:bottom w:val="single" w:sz="4" w:space="0" w:color="000000"/>
              <w:right w:val="single" w:sz="4" w:space="0" w:color="000000"/>
            </w:tcBorders>
            <w:shd w:val="clear" w:color="auto" w:fill="auto"/>
            <w:vAlign w:val="center"/>
          </w:tcPr>
          <w:p w14:paraId="000000B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0B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0.23</w:t>
            </w:r>
          </w:p>
        </w:tc>
        <w:tc>
          <w:tcPr>
            <w:tcW w:w="1046" w:type="dxa"/>
            <w:tcBorders>
              <w:top w:val="nil"/>
              <w:left w:val="nil"/>
              <w:bottom w:val="single" w:sz="4" w:space="0" w:color="000000"/>
              <w:right w:val="single" w:sz="4" w:space="0" w:color="000000"/>
            </w:tcBorders>
            <w:shd w:val="clear" w:color="auto" w:fill="auto"/>
            <w:vAlign w:val="center"/>
          </w:tcPr>
          <w:p w14:paraId="000000B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0.29</w:t>
            </w:r>
          </w:p>
        </w:tc>
        <w:tc>
          <w:tcPr>
            <w:tcW w:w="966" w:type="dxa"/>
            <w:tcBorders>
              <w:top w:val="nil"/>
              <w:left w:val="nil"/>
              <w:bottom w:val="single" w:sz="4" w:space="0" w:color="000000"/>
              <w:right w:val="single" w:sz="4" w:space="0" w:color="000000"/>
            </w:tcBorders>
            <w:shd w:val="clear" w:color="auto" w:fill="auto"/>
            <w:vAlign w:val="center"/>
          </w:tcPr>
          <w:p w14:paraId="000000B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0.35</w:t>
            </w:r>
          </w:p>
        </w:tc>
      </w:tr>
      <w:tr w:rsidR="00DD0BE8" w14:paraId="49FD179C"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C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C2"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Yeild</w:t>
            </w:r>
            <w:proofErr w:type="spellEnd"/>
            <w:r>
              <w:rPr>
                <w:rFonts w:ascii="Times New Roman" w:eastAsia="Times New Roman" w:hAnsi="Times New Roman" w:cs="Times New Roman"/>
                <w:color w:val="000000"/>
                <w:sz w:val="16"/>
                <w:szCs w:val="16"/>
              </w:rPr>
              <w:t xml:space="preserve"> Stress Al-5456</w:t>
            </w:r>
          </w:p>
        </w:tc>
        <w:tc>
          <w:tcPr>
            <w:tcW w:w="849" w:type="dxa"/>
            <w:tcBorders>
              <w:top w:val="nil"/>
              <w:left w:val="nil"/>
              <w:bottom w:val="single" w:sz="4" w:space="0" w:color="000000"/>
              <w:right w:val="single" w:sz="4" w:space="0" w:color="000000"/>
            </w:tcBorders>
            <w:shd w:val="clear" w:color="auto" w:fill="auto"/>
            <w:vAlign w:val="center"/>
          </w:tcPr>
          <w:p w14:paraId="000000C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0C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164.35</w:t>
            </w:r>
          </w:p>
        </w:tc>
        <w:tc>
          <w:tcPr>
            <w:tcW w:w="1046" w:type="dxa"/>
            <w:tcBorders>
              <w:top w:val="nil"/>
              <w:left w:val="nil"/>
              <w:bottom w:val="single" w:sz="4" w:space="0" w:color="000000"/>
              <w:right w:val="single" w:sz="4" w:space="0" w:color="000000"/>
            </w:tcBorders>
            <w:shd w:val="clear" w:color="auto" w:fill="auto"/>
            <w:vAlign w:val="center"/>
          </w:tcPr>
          <w:p w14:paraId="000000C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205.44</w:t>
            </w:r>
          </w:p>
        </w:tc>
        <w:tc>
          <w:tcPr>
            <w:tcW w:w="966" w:type="dxa"/>
            <w:tcBorders>
              <w:top w:val="nil"/>
              <w:left w:val="nil"/>
              <w:bottom w:val="single" w:sz="4" w:space="0" w:color="000000"/>
              <w:right w:val="single" w:sz="4" w:space="0" w:color="000000"/>
            </w:tcBorders>
            <w:shd w:val="clear" w:color="auto" w:fill="auto"/>
            <w:vAlign w:val="center"/>
          </w:tcPr>
          <w:p w14:paraId="000000C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246.53</w:t>
            </w:r>
          </w:p>
        </w:tc>
      </w:tr>
      <w:tr w:rsidR="00DD0BE8" w14:paraId="0D7F8A9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C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C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Johnson Cook Strength Coefficient Al-5456</w:t>
            </w:r>
          </w:p>
        </w:tc>
        <w:tc>
          <w:tcPr>
            <w:tcW w:w="849" w:type="dxa"/>
            <w:tcBorders>
              <w:top w:val="nil"/>
              <w:left w:val="nil"/>
              <w:bottom w:val="single" w:sz="4" w:space="0" w:color="000000"/>
              <w:right w:val="single" w:sz="4" w:space="0" w:color="000000"/>
            </w:tcBorders>
            <w:shd w:val="clear" w:color="auto" w:fill="auto"/>
            <w:vAlign w:val="center"/>
          </w:tcPr>
          <w:p w14:paraId="000000C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0C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571.37</w:t>
            </w:r>
          </w:p>
        </w:tc>
        <w:tc>
          <w:tcPr>
            <w:tcW w:w="1046" w:type="dxa"/>
            <w:tcBorders>
              <w:top w:val="nil"/>
              <w:left w:val="nil"/>
              <w:bottom w:val="single" w:sz="4" w:space="0" w:color="000000"/>
              <w:right w:val="single" w:sz="4" w:space="0" w:color="000000"/>
            </w:tcBorders>
            <w:shd w:val="clear" w:color="auto" w:fill="auto"/>
            <w:vAlign w:val="center"/>
          </w:tcPr>
          <w:p w14:paraId="000000C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714.22</w:t>
            </w:r>
          </w:p>
        </w:tc>
        <w:tc>
          <w:tcPr>
            <w:tcW w:w="966" w:type="dxa"/>
            <w:tcBorders>
              <w:top w:val="nil"/>
              <w:left w:val="nil"/>
              <w:bottom w:val="single" w:sz="4" w:space="0" w:color="000000"/>
              <w:right w:val="single" w:sz="4" w:space="0" w:color="000000"/>
            </w:tcBorders>
            <w:shd w:val="clear" w:color="auto" w:fill="auto"/>
            <w:vAlign w:val="center"/>
          </w:tcPr>
          <w:p w14:paraId="000000C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857.06</w:t>
            </w:r>
          </w:p>
        </w:tc>
      </w:tr>
      <w:tr w:rsidR="00DD0BE8" w14:paraId="70F3E724"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C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X4</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D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Johnson Cook Strain Hardening Exponent Al-5456</w:t>
            </w:r>
          </w:p>
        </w:tc>
        <w:tc>
          <w:tcPr>
            <w:tcW w:w="849" w:type="dxa"/>
            <w:tcBorders>
              <w:top w:val="nil"/>
              <w:left w:val="nil"/>
              <w:bottom w:val="single" w:sz="4" w:space="0" w:color="000000"/>
              <w:right w:val="single" w:sz="4" w:space="0" w:color="000000"/>
            </w:tcBorders>
            <w:shd w:val="clear" w:color="auto" w:fill="auto"/>
            <w:vAlign w:val="center"/>
          </w:tcPr>
          <w:p w14:paraId="000000D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0D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0.49</w:t>
            </w:r>
          </w:p>
        </w:tc>
        <w:tc>
          <w:tcPr>
            <w:tcW w:w="1046" w:type="dxa"/>
            <w:tcBorders>
              <w:top w:val="nil"/>
              <w:left w:val="nil"/>
              <w:bottom w:val="single" w:sz="4" w:space="0" w:color="000000"/>
              <w:right w:val="single" w:sz="4" w:space="0" w:color="000000"/>
            </w:tcBorders>
            <w:shd w:val="clear" w:color="auto" w:fill="auto"/>
            <w:vAlign w:val="center"/>
          </w:tcPr>
          <w:p w14:paraId="000000D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0.61</w:t>
            </w:r>
          </w:p>
        </w:tc>
        <w:tc>
          <w:tcPr>
            <w:tcW w:w="966" w:type="dxa"/>
            <w:tcBorders>
              <w:top w:val="nil"/>
              <w:left w:val="nil"/>
              <w:bottom w:val="single" w:sz="4" w:space="0" w:color="000000"/>
              <w:right w:val="single" w:sz="4" w:space="0" w:color="000000"/>
            </w:tcBorders>
            <w:shd w:val="clear" w:color="auto" w:fill="auto"/>
            <w:vAlign w:val="center"/>
          </w:tcPr>
          <w:p w14:paraId="000000D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0.73</w:t>
            </w:r>
          </w:p>
        </w:tc>
      </w:tr>
      <w:tr w:rsidR="00DD0BE8" w14:paraId="57F743B1"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D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X5</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D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E-BX 1200</w:t>
            </w:r>
          </w:p>
        </w:tc>
        <w:tc>
          <w:tcPr>
            <w:tcW w:w="849" w:type="dxa"/>
            <w:tcBorders>
              <w:top w:val="nil"/>
              <w:left w:val="nil"/>
              <w:bottom w:val="single" w:sz="4" w:space="0" w:color="000000"/>
              <w:right w:val="single" w:sz="4" w:space="0" w:color="000000"/>
            </w:tcBorders>
            <w:shd w:val="clear" w:color="auto" w:fill="auto"/>
            <w:vAlign w:val="center"/>
          </w:tcPr>
          <w:p w14:paraId="000000D8"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0D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15.44</w:t>
            </w:r>
          </w:p>
        </w:tc>
        <w:tc>
          <w:tcPr>
            <w:tcW w:w="1046" w:type="dxa"/>
            <w:tcBorders>
              <w:top w:val="nil"/>
              <w:left w:val="nil"/>
              <w:bottom w:val="single" w:sz="4" w:space="0" w:color="000000"/>
              <w:right w:val="single" w:sz="4" w:space="0" w:color="000000"/>
            </w:tcBorders>
            <w:shd w:val="clear" w:color="auto" w:fill="auto"/>
            <w:vAlign w:val="center"/>
          </w:tcPr>
          <w:p w14:paraId="000000D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19.30</w:t>
            </w:r>
          </w:p>
        </w:tc>
        <w:tc>
          <w:tcPr>
            <w:tcW w:w="966" w:type="dxa"/>
            <w:tcBorders>
              <w:top w:val="nil"/>
              <w:left w:val="nil"/>
              <w:bottom w:val="single" w:sz="4" w:space="0" w:color="000000"/>
              <w:right w:val="single" w:sz="4" w:space="0" w:color="000000"/>
            </w:tcBorders>
            <w:shd w:val="clear" w:color="auto" w:fill="auto"/>
            <w:vAlign w:val="center"/>
          </w:tcPr>
          <w:p w14:paraId="000000D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23.16</w:t>
            </w:r>
          </w:p>
        </w:tc>
      </w:tr>
      <w:tr w:rsidR="00DD0BE8" w14:paraId="43ECC1A1"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D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X6</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D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Tensile Strength E-BX 1200</w:t>
            </w:r>
          </w:p>
        </w:tc>
        <w:tc>
          <w:tcPr>
            <w:tcW w:w="849" w:type="dxa"/>
            <w:tcBorders>
              <w:top w:val="nil"/>
              <w:left w:val="nil"/>
              <w:bottom w:val="single" w:sz="4" w:space="0" w:color="000000"/>
              <w:right w:val="single" w:sz="4" w:space="0" w:color="000000"/>
            </w:tcBorders>
            <w:shd w:val="clear" w:color="auto" w:fill="auto"/>
            <w:vAlign w:val="center"/>
          </w:tcPr>
          <w:p w14:paraId="000000D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0E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292.31</w:t>
            </w:r>
          </w:p>
        </w:tc>
        <w:tc>
          <w:tcPr>
            <w:tcW w:w="1046" w:type="dxa"/>
            <w:tcBorders>
              <w:top w:val="nil"/>
              <w:left w:val="nil"/>
              <w:bottom w:val="single" w:sz="4" w:space="0" w:color="000000"/>
              <w:right w:val="single" w:sz="4" w:space="0" w:color="000000"/>
            </w:tcBorders>
            <w:shd w:val="clear" w:color="auto" w:fill="auto"/>
            <w:vAlign w:val="center"/>
          </w:tcPr>
          <w:p w14:paraId="000000E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365.38</w:t>
            </w:r>
          </w:p>
        </w:tc>
        <w:tc>
          <w:tcPr>
            <w:tcW w:w="966" w:type="dxa"/>
            <w:tcBorders>
              <w:top w:val="nil"/>
              <w:left w:val="nil"/>
              <w:bottom w:val="single" w:sz="4" w:space="0" w:color="000000"/>
              <w:right w:val="single" w:sz="4" w:space="0" w:color="000000"/>
            </w:tcBorders>
            <w:shd w:val="clear" w:color="auto" w:fill="auto"/>
            <w:vAlign w:val="center"/>
          </w:tcPr>
          <w:p w14:paraId="000000E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438.46</w:t>
            </w:r>
          </w:p>
        </w:tc>
      </w:tr>
      <w:tr w:rsidR="00DD0BE8" w14:paraId="6CCD1FA4"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E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X7</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E5"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Poissons</w:t>
            </w:r>
            <w:proofErr w:type="spellEnd"/>
            <w:r>
              <w:rPr>
                <w:rFonts w:ascii="Times New Roman" w:eastAsia="Times New Roman" w:hAnsi="Times New Roman" w:cs="Times New Roman"/>
                <w:color w:val="000000"/>
                <w:sz w:val="16"/>
                <w:szCs w:val="16"/>
              </w:rPr>
              <w:t xml:space="preserve"> Ratio E-BX 1200</w:t>
            </w:r>
          </w:p>
        </w:tc>
        <w:tc>
          <w:tcPr>
            <w:tcW w:w="849" w:type="dxa"/>
            <w:tcBorders>
              <w:top w:val="nil"/>
              <w:left w:val="nil"/>
              <w:bottom w:val="single" w:sz="4" w:space="0" w:color="000000"/>
              <w:right w:val="single" w:sz="4" w:space="0" w:color="000000"/>
            </w:tcBorders>
            <w:shd w:val="clear" w:color="auto" w:fill="auto"/>
            <w:vAlign w:val="center"/>
          </w:tcPr>
          <w:p w14:paraId="000000E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0E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46" w:type="dxa"/>
            <w:tcBorders>
              <w:top w:val="nil"/>
              <w:left w:val="nil"/>
              <w:bottom w:val="single" w:sz="4" w:space="0" w:color="000000"/>
              <w:right w:val="single" w:sz="4" w:space="0" w:color="000000"/>
            </w:tcBorders>
            <w:shd w:val="clear" w:color="auto" w:fill="auto"/>
            <w:vAlign w:val="center"/>
          </w:tcPr>
          <w:p w14:paraId="000000E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966" w:type="dxa"/>
            <w:tcBorders>
              <w:top w:val="nil"/>
              <w:left w:val="nil"/>
              <w:bottom w:val="single" w:sz="4" w:space="0" w:color="000000"/>
              <w:right w:val="single" w:sz="4" w:space="0" w:color="000000"/>
            </w:tcBorders>
            <w:shd w:val="clear" w:color="auto" w:fill="auto"/>
            <w:vAlign w:val="center"/>
          </w:tcPr>
          <w:p w14:paraId="000000E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w:t>
            </w:r>
          </w:p>
        </w:tc>
      </w:tr>
      <w:tr w:rsidR="00DD0BE8" w14:paraId="1443D4D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E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X8</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E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Intralaminar Fracture Toughness E-BX 1200</w:t>
            </w:r>
          </w:p>
        </w:tc>
        <w:tc>
          <w:tcPr>
            <w:tcW w:w="849" w:type="dxa"/>
            <w:tcBorders>
              <w:top w:val="nil"/>
              <w:left w:val="nil"/>
              <w:bottom w:val="single" w:sz="4" w:space="0" w:color="000000"/>
              <w:right w:val="single" w:sz="4" w:space="0" w:color="000000"/>
            </w:tcBorders>
            <w:shd w:val="clear" w:color="auto" w:fill="auto"/>
            <w:vAlign w:val="center"/>
          </w:tcPr>
          <w:p w14:paraId="000000E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w:t>
            </w:r>
          </w:p>
        </w:tc>
        <w:tc>
          <w:tcPr>
            <w:tcW w:w="842" w:type="dxa"/>
            <w:tcBorders>
              <w:top w:val="nil"/>
              <w:left w:val="nil"/>
              <w:bottom w:val="single" w:sz="4" w:space="0" w:color="000000"/>
              <w:right w:val="single" w:sz="4" w:space="0" w:color="000000"/>
            </w:tcBorders>
            <w:shd w:val="clear" w:color="auto" w:fill="auto"/>
            <w:vAlign w:val="center"/>
          </w:tcPr>
          <w:p w14:paraId="000000E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21015.22</w:t>
            </w:r>
          </w:p>
        </w:tc>
        <w:tc>
          <w:tcPr>
            <w:tcW w:w="1046" w:type="dxa"/>
            <w:tcBorders>
              <w:top w:val="nil"/>
              <w:left w:val="nil"/>
              <w:bottom w:val="single" w:sz="4" w:space="0" w:color="000000"/>
              <w:right w:val="single" w:sz="4" w:space="0" w:color="000000"/>
            </w:tcBorders>
            <w:shd w:val="clear" w:color="auto" w:fill="auto"/>
            <w:vAlign w:val="center"/>
          </w:tcPr>
          <w:p w14:paraId="000000E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26269.03</w:t>
            </w:r>
          </w:p>
        </w:tc>
        <w:tc>
          <w:tcPr>
            <w:tcW w:w="966" w:type="dxa"/>
            <w:tcBorders>
              <w:top w:val="nil"/>
              <w:left w:val="nil"/>
              <w:bottom w:val="single" w:sz="4" w:space="0" w:color="000000"/>
              <w:right w:val="single" w:sz="4" w:space="0" w:color="000000"/>
            </w:tcBorders>
            <w:shd w:val="clear" w:color="auto" w:fill="auto"/>
            <w:vAlign w:val="center"/>
          </w:tcPr>
          <w:p w14:paraId="000000F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31522.83</w:t>
            </w:r>
          </w:p>
        </w:tc>
      </w:tr>
      <w:tr w:rsidR="00DD0BE8" w14:paraId="0948CBC5"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F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X9</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F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E-BX 1800</w:t>
            </w:r>
          </w:p>
        </w:tc>
        <w:tc>
          <w:tcPr>
            <w:tcW w:w="849" w:type="dxa"/>
            <w:tcBorders>
              <w:top w:val="nil"/>
              <w:left w:val="nil"/>
              <w:bottom w:val="single" w:sz="4" w:space="0" w:color="000000"/>
              <w:right w:val="single" w:sz="4" w:space="0" w:color="000000"/>
            </w:tcBorders>
            <w:shd w:val="clear" w:color="auto" w:fill="auto"/>
            <w:vAlign w:val="center"/>
          </w:tcPr>
          <w:p w14:paraId="000000F4"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0F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15.44</w:t>
            </w:r>
          </w:p>
        </w:tc>
        <w:tc>
          <w:tcPr>
            <w:tcW w:w="1046" w:type="dxa"/>
            <w:tcBorders>
              <w:top w:val="nil"/>
              <w:left w:val="nil"/>
              <w:bottom w:val="single" w:sz="4" w:space="0" w:color="000000"/>
              <w:right w:val="single" w:sz="4" w:space="0" w:color="000000"/>
            </w:tcBorders>
            <w:shd w:val="clear" w:color="auto" w:fill="auto"/>
            <w:vAlign w:val="center"/>
          </w:tcPr>
          <w:p w14:paraId="000000F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19.30</w:t>
            </w:r>
          </w:p>
        </w:tc>
        <w:tc>
          <w:tcPr>
            <w:tcW w:w="966" w:type="dxa"/>
            <w:tcBorders>
              <w:top w:val="nil"/>
              <w:left w:val="nil"/>
              <w:bottom w:val="single" w:sz="4" w:space="0" w:color="000000"/>
              <w:right w:val="single" w:sz="4" w:space="0" w:color="000000"/>
            </w:tcBorders>
            <w:shd w:val="clear" w:color="auto" w:fill="auto"/>
            <w:vAlign w:val="center"/>
          </w:tcPr>
          <w:p w14:paraId="000000F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23.16</w:t>
            </w:r>
          </w:p>
        </w:tc>
      </w:tr>
      <w:tr w:rsidR="00DD0BE8" w14:paraId="48BDF69E"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0F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X10</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0F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Tensile Strength E-BX 1800</w:t>
            </w:r>
          </w:p>
        </w:tc>
        <w:tc>
          <w:tcPr>
            <w:tcW w:w="849" w:type="dxa"/>
            <w:tcBorders>
              <w:top w:val="nil"/>
              <w:left w:val="nil"/>
              <w:bottom w:val="single" w:sz="4" w:space="0" w:color="000000"/>
              <w:right w:val="single" w:sz="4" w:space="0" w:color="000000"/>
            </w:tcBorders>
            <w:shd w:val="clear" w:color="auto" w:fill="auto"/>
            <w:vAlign w:val="center"/>
          </w:tcPr>
          <w:p w14:paraId="000000F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0F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292.31</w:t>
            </w:r>
          </w:p>
        </w:tc>
        <w:tc>
          <w:tcPr>
            <w:tcW w:w="1046" w:type="dxa"/>
            <w:tcBorders>
              <w:top w:val="nil"/>
              <w:left w:val="nil"/>
              <w:bottom w:val="single" w:sz="4" w:space="0" w:color="000000"/>
              <w:right w:val="single" w:sz="4" w:space="0" w:color="000000"/>
            </w:tcBorders>
            <w:shd w:val="clear" w:color="auto" w:fill="auto"/>
            <w:vAlign w:val="center"/>
          </w:tcPr>
          <w:p w14:paraId="000000F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365.38</w:t>
            </w:r>
          </w:p>
        </w:tc>
        <w:tc>
          <w:tcPr>
            <w:tcW w:w="966" w:type="dxa"/>
            <w:tcBorders>
              <w:top w:val="nil"/>
              <w:left w:val="nil"/>
              <w:bottom w:val="single" w:sz="4" w:space="0" w:color="000000"/>
              <w:right w:val="single" w:sz="4" w:space="0" w:color="000000"/>
            </w:tcBorders>
            <w:shd w:val="clear" w:color="auto" w:fill="auto"/>
            <w:vAlign w:val="center"/>
          </w:tcPr>
          <w:p w14:paraId="000000F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438.46</w:t>
            </w:r>
          </w:p>
        </w:tc>
      </w:tr>
      <w:tr w:rsidR="00DD0BE8" w14:paraId="3AAAF220"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0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X11</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01"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Poissons</w:t>
            </w:r>
            <w:proofErr w:type="spellEnd"/>
            <w:r>
              <w:rPr>
                <w:rFonts w:ascii="Times New Roman" w:eastAsia="Times New Roman" w:hAnsi="Times New Roman" w:cs="Times New Roman"/>
                <w:color w:val="000000"/>
                <w:sz w:val="16"/>
                <w:szCs w:val="16"/>
              </w:rPr>
              <w:t xml:space="preserve"> Ratio E-BX 1800</w:t>
            </w:r>
          </w:p>
        </w:tc>
        <w:tc>
          <w:tcPr>
            <w:tcW w:w="849" w:type="dxa"/>
            <w:tcBorders>
              <w:top w:val="nil"/>
              <w:left w:val="nil"/>
              <w:bottom w:val="single" w:sz="4" w:space="0" w:color="000000"/>
              <w:right w:val="single" w:sz="4" w:space="0" w:color="000000"/>
            </w:tcBorders>
            <w:shd w:val="clear" w:color="auto" w:fill="auto"/>
            <w:vAlign w:val="center"/>
          </w:tcPr>
          <w:p w14:paraId="0000010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0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46" w:type="dxa"/>
            <w:tcBorders>
              <w:top w:val="nil"/>
              <w:left w:val="nil"/>
              <w:bottom w:val="single" w:sz="4" w:space="0" w:color="000000"/>
              <w:right w:val="single" w:sz="4" w:space="0" w:color="000000"/>
            </w:tcBorders>
            <w:shd w:val="clear" w:color="auto" w:fill="auto"/>
            <w:vAlign w:val="center"/>
          </w:tcPr>
          <w:p w14:paraId="0000010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966" w:type="dxa"/>
            <w:tcBorders>
              <w:top w:val="nil"/>
              <w:left w:val="nil"/>
              <w:bottom w:val="single" w:sz="4" w:space="0" w:color="000000"/>
              <w:right w:val="single" w:sz="4" w:space="0" w:color="000000"/>
            </w:tcBorders>
            <w:shd w:val="clear" w:color="auto" w:fill="auto"/>
            <w:vAlign w:val="center"/>
          </w:tcPr>
          <w:p w14:paraId="0000010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w:t>
            </w:r>
          </w:p>
        </w:tc>
      </w:tr>
      <w:tr w:rsidR="00DD0BE8" w14:paraId="4B17909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0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X12</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0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Intralaminar Fracture Toughness E-BX 1800</w:t>
            </w:r>
          </w:p>
        </w:tc>
        <w:tc>
          <w:tcPr>
            <w:tcW w:w="849" w:type="dxa"/>
            <w:tcBorders>
              <w:top w:val="nil"/>
              <w:left w:val="nil"/>
              <w:bottom w:val="single" w:sz="4" w:space="0" w:color="000000"/>
              <w:right w:val="single" w:sz="4" w:space="0" w:color="000000"/>
            </w:tcBorders>
            <w:shd w:val="clear" w:color="auto" w:fill="auto"/>
            <w:vAlign w:val="center"/>
          </w:tcPr>
          <w:p w14:paraId="0000010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w:t>
            </w:r>
          </w:p>
        </w:tc>
        <w:tc>
          <w:tcPr>
            <w:tcW w:w="842" w:type="dxa"/>
            <w:tcBorders>
              <w:top w:val="nil"/>
              <w:left w:val="nil"/>
              <w:bottom w:val="single" w:sz="4" w:space="0" w:color="000000"/>
              <w:right w:val="single" w:sz="4" w:space="0" w:color="000000"/>
            </w:tcBorders>
            <w:shd w:val="clear" w:color="auto" w:fill="auto"/>
            <w:vAlign w:val="center"/>
          </w:tcPr>
          <w:p w14:paraId="0000010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21015.22</w:t>
            </w:r>
          </w:p>
        </w:tc>
        <w:tc>
          <w:tcPr>
            <w:tcW w:w="1046" w:type="dxa"/>
            <w:tcBorders>
              <w:top w:val="nil"/>
              <w:left w:val="nil"/>
              <w:bottom w:val="single" w:sz="4" w:space="0" w:color="000000"/>
              <w:right w:val="single" w:sz="4" w:space="0" w:color="000000"/>
            </w:tcBorders>
            <w:shd w:val="clear" w:color="auto" w:fill="auto"/>
            <w:vAlign w:val="center"/>
          </w:tcPr>
          <w:p w14:paraId="0000010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26269.03</w:t>
            </w:r>
          </w:p>
        </w:tc>
        <w:tc>
          <w:tcPr>
            <w:tcW w:w="966" w:type="dxa"/>
            <w:tcBorders>
              <w:top w:val="nil"/>
              <w:left w:val="nil"/>
              <w:bottom w:val="single" w:sz="4" w:space="0" w:color="000000"/>
              <w:right w:val="single" w:sz="4" w:space="0" w:color="000000"/>
            </w:tcBorders>
            <w:shd w:val="clear" w:color="auto" w:fill="auto"/>
            <w:vAlign w:val="center"/>
          </w:tcPr>
          <w:p w14:paraId="0000010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31522.83</w:t>
            </w:r>
          </w:p>
        </w:tc>
      </w:tr>
      <w:tr w:rsidR="00DD0BE8" w14:paraId="6212B7F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0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X13</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0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Youngs Modulus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7500</w:t>
            </w:r>
          </w:p>
        </w:tc>
        <w:tc>
          <w:tcPr>
            <w:tcW w:w="849" w:type="dxa"/>
            <w:tcBorders>
              <w:top w:val="nil"/>
              <w:left w:val="nil"/>
              <w:bottom w:val="single" w:sz="4" w:space="0" w:color="000000"/>
              <w:right w:val="single" w:sz="4" w:space="0" w:color="000000"/>
            </w:tcBorders>
            <w:shd w:val="clear" w:color="auto" w:fill="auto"/>
            <w:vAlign w:val="center"/>
          </w:tcPr>
          <w:p w14:paraId="00000110"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1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15.61</w:t>
            </w:r>
          </w:p>
        </w:tc>
        <w:tc>
          <w:tcPr>
            <w:tcW w:w="1046" w:type="dxa"/>
            <w:tcBorders>
              <w:top w:val="nil"/>
              <w:left w:val="nil"/>
              <w:bottom w:val="single" w:sz="4" w:space="0" w:color="000000"/>
              <w:right w:val="single" w:sz="4" w:space="0" w:color="000000"/>
            </w:tcBorders>
            <w:shd w:val="clear" w:color="auto" w:fill="auto"/>
            <w:vAlign w:val="center"/>
          </w:tcPr>
          <w:p w14:paraId="0000011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19.51</w:t>
            </w:r>
          </w:p>
        </w:tc>
        <w:tc>
          <w:tcPr>
            <w:tcW w:w="966" w:type="dxa"/>
            <w:tcBorders>
              <w:top w:val="nil"/>
              <w:left w:val="nil"/>
              <w:bottom w:val="single" w:sz="4" w:space="0" w:color="000000"/>
              <w:right w:val="single" w:sz="4" w:space="0" w:color="000000"/>
            </w:tcBorders>
            <w:shd w:val="clear" w:color="auto" w:fill="auto"/>
            <w:vAlign w:val="center"/>
          </w:tcPr>
          <w:p w14:paraId="0000011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23.41</w:t>
            </w:r>
          </w:p>
        </w:tc>
      </w:tr>
      <w:tr w:rsidR="00DD0BE8" w14:paraId="032840AC"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1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X14</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1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Tensile Strength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7500</w:t>
            </w:r>
          </w:p>
        </w:tc>
        <w:tc>
          <w:tcPr>
            <w:tcW w:w="849" w:type="dxa"/>
            <w:tcBorders>
              <w:top w:val="nil"/>
              <w:left w:val="nil"/>
              <w:bottom w:val="single" w:sz="4" w:space="0" w:color="000000"/>
              <w:right w:val="single" w:sz="4" w:space="0" w:color="000000"/>
            </w:tcBorders>
            <w:shd w:val="clear" w:color="auto" w:fill="auto"/>
            <w:vAlign w:val="center"/>
          </w:tcPr>
          <w:p w14:paraId="0000011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1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257.56</w:t>
            </w:r>
          </w:p>
        </w:tc>
        <w:tc>
          <w:tcPr>
            <w:tcW w:w="1046" w:type="dxa"/>
            <w:tcBorders>
              <w:top w:val="nil"/>
              <w:left w:val="nil"/>
              <w:bottom w:val="single" w:sz="4" w:space="0" w:color="000000"/>
              <w:right w:val="single" w:sz="4" w:space="0" w:color="000000"/>
            </w:tcBorders>
            <w:shd w:val="clear" w:color="auto" w:fill="auto"/>
            <w:vAlign w:val="center"/>
          </w:tcPr>
          <w:p w14:paraId="0000011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321.95</w:t>
            </w:r>
          </w:p>
        </w:tc>
        <w:tc>
          <w:tcPr>
            <w:tcW w:w="966" w:type="dxa"/>
            <w:tcBorders>
              <w:top w:val="nil"/>
              <w:left w:val="nil"/>
              <w:bottom w:val="single" w:sz="4" w:space="0" w:color="000000"/>
              <w:right w:val="single" w:sz="4" w:space="0" w:color="000000"/>
            </w:tcBorders>
            <w:shd w:val="clear" w:color="auto" w:fill="auto"/>
            <w:vAlign w:val="center"/>
          </w:tcPr>
          <w:p w14:paraId="0000011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386.34</w:t>
            </w:r>
          </w:p>
        </w:tc>
      </w:tr>
      <w:tr w:rsidR="00DD0BE8" w14:paraId="3A45B3F7"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1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X15</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1D"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Poissons</w:t>
            </w:r>
            <w:proofErr w:type="spellEnd"/>
            <w:r>
              <w:rPr>
                <w:rFonts w:ascii="Times New Roman" w:eastAsia="Times New Roman" w:hAnsi="Times New Roman" w:cs="Times New Roman"/>
                <w:color w:val="000000"/>
                <w:sz w:val="16"/>
                <w:szCs w:val="16"/>
              </w:rPr>
              <w:t xml:space="preserve"> Ratio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7500</w:t>
            </w:r>
          </w:p>
        </w:tc>
        <w:tc>
          <w:tcPr>
            <w:tcW w:w="849" w:type="dxa"/>
            <w:tcBorders>
              <w:top w:val="nil"/>
              <w:left w:val="nil"/>
              <w:bottom w:val="single" w:sz="4" w:space="0" w:color="000000"/>
              <w:right w:val="single" w:sz="4" w:space="0" w:color="000000"/>
            </w:tcBorders>
            <w:shd w:val="clear" w:color="auto" w:fill="auto"/>
            <w:vAlign w:val="center"/>
          </w:tcPr>
          <w:p w14:paraId="0000011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1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46" w:type="dxa"/>
            <w:tcBorders>
              <w:top w:val="nil"/>
              <w:left w:val="nil"/>
              <w:bottom w:val="single" w:sz="4" w:space="0" w:color="000000"/>
              <w:right w:val="single" w:sz="4" w:space="0" w:color="000000"/>
            </w:tcBorders>
            <w:shd w:val="clear" w:color="auto" w:fill="auto"/>
            <w:vAlign w:val="center"/>
          </w:tcPr>
          <w:p w14:paraId="0000012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966" w:type="dxa"/>
            <w:tcBorders>
              <w:top w:val="nil"/>
              <w:left w:val="nil"/>
              <w:bottom w:val="single" w:sz="4" w:space="0" w:color="000000"/>
              <w:right w:val="single" w:sz="4" w:space="0" w:color="000000"/>
            </w:tcBorders>
            <w:shd w:val="clear" w:color="auto" w:fill="auto"/>
            <w:vAlign w:val="center"/>
          </w:tcPr>
          <w:p w14:paraId="0000012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w:t>
            </w:r>
          </w:p>
        </w:tc>
      </w:tr>
      <w:tr w:rsidR="00DD0BE8" w14:paraId="1F15EE64"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2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X16</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2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Intralaminar Fracture Toughness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7500</w:t>
            </w:r>
          </w:p>
        </w:tc>
        <w:tc>
          <w:tcPr>
            <w:tcW w:w="849" w:type="dxa"/>
            <w:tcBorders>
              <w:top w:val="nil"/>
              <w:left w:val="nil"/>
              <w:bottom w:val="single" w:sz="4" w:space="0" w:color="000000"/>
              <w:right w:val="single" w:sz="4" w:space="0" w:color="000000"/>
            </w:tcBorders>
            <w:shd w:val="clear" w:color="auto" w:fill="auto"/>
            <w:vAlign w:val="center"/>
          </w:tcPr>
          <w:p w14:paraId="0000012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w:t>
            </w:r>
          </w:p>
        </w:tc>
        <w:tc>
          <w:tcPr>
            <w:tcW w:w="842" w:type="dxa"/>
            <w:tcBorders>
              <w:top w:val="nil"/>
              <w:left w:val="nil"/>
              <w:bottom w:val="single" w:sz="4" w:space="0" w:color="000000"/>
              <w:right w:val="single" w:sz="4" w:space="0" w:color="000000"/>
            </w:tcBorders>
            <w:shd w:val="clear" w:color="auto" w:fill="auto"/>
            <w:vAlign w:val="center"/>
          </w:tcPr>
          <w:p w14:paraId="0000012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14010.15</w:t>
            </w:r>
          </w:p>
        </w:tc>
        <w:tc>
          <w:tcPr>
            <w:tcW w:w="1046" w:type="dxa"/>
            <w:tcBorders>
              <w:top w:val="nil"/>
              <w:left w:val="nil"/>
              <w:bottom w:val="single" w:sz="4" w:space="0" w:color="000000"/>
              <w:right w:val="single" w:sz="4" w:space="0" w:color="000000"/>
            </w:tcBorders>
            <w:shd w:val="clear" w:color="auto" w:fill="auto"/>
            <w:vAlign w:val="center"/>
          </w:tcPr>
          <w:p w14:paraId="0000012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17512.68</w:t>
            </w:r>
          </w:p>
        </w:tc>
        <w:tc>
          <w:tcPr>
            <w:tcW w:w="966" w:type="dxa"/>
            <w:tcBorders>
              <w:top w:val="nil"/>
              <w:left w:val="nil"/>
              <w:bottom w:val="single" w:sz="4" w:space="0" w:color="000000"/>
              <w:right w:val="single" w:sz="4" w:space="0" w:color="000000"/>
            </w:tcBorders>
            <w:shd w:val="clear" w:color="auto" w:fill="auto"/>
            <w:vAlign w:val="center"/>
          </w:tcPr>
          <w:p w14:paraId="0000012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21015.22</w:t>
            </w:r>
          </w:p>
        </w:tc>
      </w:tr>
      <w:tr w:rsidR="00DD0BE8" w14:paraId="27672CC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2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X17</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2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Youngs Modulus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7781</w:t>
            </w:r>
          </w:p>
        </w:tc>
        <w:tc>
          <w:tcPr>
            <w:tcW w:w="849" w:type="dxa"/>
            <w:tcBorders>
              <w:top w:val="nil"/>
              <w:left w:val="nil"/>
              <w:bottom w:val="single" w:sz="4" w:space="0" w:color="000000"/>
              <w:right w:val="single" w:sz="4" w:space="0" w:color="000000"/>
            </w:tcBorders>
            <w:shd w:val="clear" w:color="auto" w:fill="auto"/>
            <w:vAlign w:val="center"/>
          </w:tcPr>
          <w:p w14:paraId="0000012C"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2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24.27</w:t>
            </w:r>
          </w:p>
        </w:tc>
        <w:tc>
          <w:tcPr>
            <w:tcW w:w="1046" w:type="dxa"/>
            <w:tcBorders>
              <w:top w:val="nil"/>
              <w:left w:val="nil"/>
              <w:bottom w:val="single" w:sz="4" w:space="0" w:color="000000"/>
              <w:right w:val="single" w:sz="4" w:space="0" w:color="000000"/>
            </w:tcBorders>
            <w:shd w:val="clear" w:color="auto" w:fill="auto"/>
            <w:vAlign w:val="center"/>
          </w:tcPr>
          <w:p w14:paraId="0000012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30.33</w:t>
            </w:r>
          </w:p>
        </w:tc>
        <w:tc>
          <w:tcPr>
            <w:tcW w:w="966" w:type="dxa"/>
            <w:tcBorders>
              <w:top w:val="nil"/>
              <w:left w:val="nil"/>
              <w:bottom w:val="single" w:sz="4" w:space="0" w:color="000000"/>
              <w:right w:val="single" w:sz="4" w:space="0" w:color="000000"/>
            </w:tcBorders>
            <w:shd w:val="clear" w:color="auto" w:fill="auto"/>
            <w:vAlign w:val="center"/>
          </w:tcPr>
          <w:p w14:paraId="0000012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36.40</w:t>
            </w:r>
          </w:p>
        </w:tc>
      </w:tr>
      <w:tr w:rsidR="00DD0BE8" w14:paraId="3C2D757B"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3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X18</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3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Tensile Strength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7781</w:t>
            </w:r>
          </w:p>
        </w:tc>
        <w:tc>
          <w:tcPr>
            <w:tcW w:w="849" w:type="dxa"/>
            <w:tcBorders>
              <w:top w:val="nil"/>
              <w:left w:val="nil"/>
              <w:bottom w:val="single" w:sz="4" w:space="0" w:color="000000"/>
              <w:right w:val="single" w:sz="4" w:space="0" w:color="000000"/>
            </w:tcBorders>
            <w:shd w:val="clear" w:color="auto" w:fill="auto"/>
            <w:vAlign w:val="center"/>
          </w:tcPr>
          <w:p w14:paraId="0000013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3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386.06</w:t>
            </w:r>
          </w:p>
        </w:tc>
        <w:tc>
          <w:tcPr>
            <w:tcW w:w="1046" w:type="dxa"/>
            <w:tcBorders>
              <w:top w:val="nil"/>
              <w:left w:val="nil"/>
              <w:bottom w:val="single" w:sz="4" w:space="0" w:color="000000"/>
              <w:right w:val="single" w:sz="4" w:space="0" w:color="000000"/>
            </w:tcBorders>
            <w:shd w:val="clear" w:color="auto" w:fill="auto"/>
            <w:vAlign w:val="center"/>
          </w:tcPr>
          <w:p w14:paraId="0000013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482.58</w:t>
            </w:r>
          </w:p>
        </w:tc>
        <w:tc>
          <w:tcPr>
            <w:tcW w:w="966" w:type="dxa"/>
            <w:tcBorders>
              <w:top w:val="nil"/>
              <w:left w:val="nil"/>
              <w:bottom w:val="single" w:sz="4" w:space="0" w:color="000000"/>
              <w:right w:val="single" w:sz="4" w:space="0" w:color="000000"/>
            </w:tcBorders>
            <w:shd w:val="clear" w:color="auto" w:fill="auto"/>
            <w:vAlign w:val="center"/>
          </w:tcPr>
          <w:p w14:paraId="0000013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579.10</w:t>
            </w:r>
          </w:p>
        </w:tc>
      </w:tr>
      <w:tr w:rsidR="00DD0BE8" w14:paraId="3700C97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3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X19</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39"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Poissons</w:t>
            </w:r>
            <w:proofErr w:type="spellEnd"/>
            <w:r>
              <w:rPr>
                <w:rFonts w:ascii="Times New Roman" w:eastAsia="Times New Roman" w:hAnsi="Times New Roman" w:cs="Times New Roman"/>
                <w:color w:val="000000"/>
                <w:sz w:val="16"/>
                <w:szCs w:val="16"/>
              </w:rPr>
              <w:t xml:space="preserve"> Ratio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7781</w:t>
            </w:r>
          </w:p>
        </w:tc>
        <w:tc>
          <w:tcPr>
            <w:tcW w:w="849" w:type="dxa"/>
            <w:tcBorders>
              <w:top w:val="nil"/>
              <w:left w:val="nil"/>
              <w:bottom w:val="single" w:sz="4" w:space="0" w:color="000000"/>
              <w:right w:val="single" w:sz="4" w:space="0" w:color="000000"/>
            </w:tcBorders>
            <w:shd w:val="clear" w:color="auto" w:fill="auto"/>
            <w:vAlign w:val="center"/>
          </w:tcPr>
          <w:p w14:paraId="0000013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3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46" w:type="dxa"/>
            <w:tcBorders>
              <w:top w:val="nil"/>
              <w:left w:val="nil"/>
              <w:bottom w:val="single" w:sz="4" w:space="0" w:color="000000"/>
              <w:right w:val="single" w:sz="4" w:space="0" w:color="000000"/>
            </w:tcBorders>
            <w:shd w:val="clear" w:color="auto" w:fill="auto"/>
            <w:vAlign w:val="center"/>
          </w:tcPr>
          <w:p w14:paraId="0000013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966" w:type="dxa"/>
            <w:tcBorders>
              <w:top w:val="nil"/>
              <w:left w:val="nil"/>
              <w:bottom w:val="single" w:sz="4" w:space="0" w:color="000000"/>
              <w:right w:val="single" w:sz="4" w:space="0" w:color="000000"/>
            </w:tcBorders>
            <w:shd w:val="clear" w:color="auto" w:fill="auto"/>
            <w:vAlign w:val="center"/>
          </w:tcPr>
          <w:p w14:paraId="0000013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w:t>
            </w:r>
          </w:p>
        </w:tc>
      </w:tr>
      <w:tr w:rsidR="00DD0BE8" w14:paraId="343D0B7B"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3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X20</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4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Intralaminar Fracture Toughness </w:t>
            </w:r>
            <w:proofErr w:type="spellStart"/>
            <w:r>
              <w:rPr>
                <w:rFonts w:ascii="Times New Roman" w:eastAsia="Times New Roman" w:hAnsi="Times New Roman" w:cs="Times New Roman"/>
                <w:color w:val="000000"/>
                <w:sz w:val="16"/>
                <w:szCs w:val="16"/>
              </w:rPr>
              <w:t>Hexcell</w:t>
            </w:r>
            <w:proofErr w:type="spellEnd"/>
            <w:r>
              <w:rPr>
                <w:rFonts w:ascii="Times New Roman" w:eastAsia="Times New Roman" w:hAnsi="Times New Roman" w:cs="Times New Roman"/>
                <w:color w:val="000000"/>
                <w:sz w:val="16"/>
                <w:szCs w:val="16"/>
              </w:rPr>
              <w:t xml:space="preserve"> 7781</w:t>
            </w:r>
          </w:p>
        </w:tc>
        <w:tc>
          <w:tcPr>
            <w:tcW w:w="849" w:type="dxa"/>
            <w:tcBorders>
              <w:top w:val="nil"/>
              <w:left w:val="nil"/>
              <w:bottom w:val="single" w:sz="4" w:space="0" w:color="000000"/>
              <w:right w:val="single" w:sz="4" w:space="0" w:color="000000"/>
            </w:tcBorders>
            <w:shd w:val="clear" w:color="auto" w:fill="auto"/>
            <w:vAlign w:val="center"/>
          </w:tcPr>
          <w:p w14:paraId="0000014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w:t>
            </w:r>
          </w:p>
        </w:tc>
        <w:tc>
          <w:tcPr>
            <w:tcW w:w="842" w:type="dxa"/>
            <w:tcBorders>
              <w:top w:val="nil"/>
              <w:left w:val="nil"/>
              <w:bottom w:val="single" w:sz="4" w:space="0" w:color="000000"/>
              <w:right w:val="single" w:sz="4" w:space="0" w:color="000000"/>
            </w:tcBorders>
            <w:shd w:val="clear" w:color="auto" w:fill="auto"/>
            <w:vAlign w:val="center"/>
          </w:tcPr>
          <w:p w14:paraId="0000014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14010.15</w:t>
            </w:r>
          </w:p>
        </w:tc>
        <w:tc>
          <w:tcPr>
            <w:tcW w:w="1046" w:type="dxa"/>
            <w:tcBorders>
              <w:top w:val="nil"/>
              <w:left w:val="nil"/>
              <w:bottom w:val="single" w:sz="4" w:space="0" w:color="000000"/>
              <w:right w:val="single" w:sz="4" w:space="0" w:color="000000"/>
            </w:tcBorders>
            <w:shd w:val="clear" w:color="auto" w:fill="auto"/>
            <w:vAlign w:val="center"/>
          </w:tcPr>
          <w:p w14:paraId="0000014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17512.68</w:t>
            </w:r>
          </w:p>
        </w:tc>
        <w:tc>
          <w:tcPr>
            <w:tcW w:w="966" w:type="dxa"/>
            <w:tcBorders>
              <w:top w:val="nil"/>
              <w:left w:val="nil"/>
              <w:bottom w:val="single" w:sz="4" w:space="0" w:color="000000"/>
              <w:right w:val="single" w:sz="4" w:space="0" w:color="000000"/>
            </w:tcBorders>
            <w:shd w:val="clear" w:color="auto" w:fill="auto"/>
            <w:vAlign w:val="center"/>
          </w:tcPr>
          <w:p w14:paraId="0000014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21015.22</w:t>
            </w:r>
          </w:p>
        </w:tc>
      </w:tr>
      <w:tr w:rsidR="00DD0BE8" w14:paraId="24EE4B32"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4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X21</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4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Shear Modulus of Laminate </w:t>
            </w:r>
          </w:p>
        </w:tc>
        <w:tc>
          <w:tcPr>
            <w:tcW w:w="849" w:type="dxa"/>
            <w:tcBorders>
              <w:top w:val="nil"/>
              <w:left w:val="nil"/>
              <w:bottom w:val="single" w:sz="4" w:space="0" w:color="000000"/>
              <w:right w:val="single" w:sz="4" w:space="0" w:color="000000"/>
            </w:tcBorders>
            <w:shd w:val="clear" w:color="auto" w:fill="auto"/>
            <w:vAlign w:val="center"/>
          </w:tcPr>
          <w:p w14:paraId="00000148"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4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w:t>
            </w:r>
          </w:p>
        </w:tc>
        <w:tc>
          <w:tcPr>
            <w:tcW w:w="1046" w:type="dxa"/>
            <w:tcBorders>
              <w:top w:val="nil"/>
              <w:left w:val="nil"/>
              <w:bottom w:val="single" w:sz="4" w:space="0" w:color="000000"/>
              <w:right w:val="single" w:sz="4" w:space="0" w:color="000000"/>
            </w:tcBorders>
            <w:shd w:val="clear" w:color="auto" w:fill="auto"/>
            <w:vAlign w:val="center"/>
          </w:tcPr>
          <w:p w14:paraId="0000014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5.52</w:t>
            </w:r>
          </w:p>
        </w:tc>
        <w:tc>
          <w:tcPr>
            <w:tcW w:w="966" w:type="dxa"/>
            <w:tcBorders>
              <w:top w:val="nil"/>
              <w:left w:val="nil"/>
              <w:bottom w:val="single" w:sz="4" w:space="0" w:color="000000"/>
              <w:right w:val="single" w:sz="4" w:space="0" w:color="000000"/>
            </w:tcBorders>
            <w:shd w:val="clear" w:color="auto" w:fill="auto"/>
            <w:vAlign w:val="center"/>
          </w:tcPr>
          <w:p w14:paraId="0000014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6.62</w:t>
            </w:r>
          </w:p>
        </w:tc>
      </w:tr>
      <w:tr w:rsidR="00DD0BE8" w14:paraId="64C78B0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4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X22</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4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Shear Strength of Laminate </w:t>
            </w:r>
          </w:p>
        </w:tc>
        <w:tc>
          <w:tcPr>
            <w:tcW w:w="849" w:type="dxa"/>
            <w:tcBorders>
              <w:top w:val="nil"/>
              <w:left w:val="nil"/>
              <w:bottom w:val="single" w:sz="4" w:space="0" w:color="000000"/>
              <w:right w:val="single" w:sz="4" w:space="0" w:color="000000"/>
            </w:tcBorders>
            <w:shd w:val="clear" w:color="auto" w:fill="auto"/>
            <w:vAlign w:val="center"/>
          </w:tcPr>
          <w:p w14:paraId="0000014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5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28.46</w:t>
            </w:r>
          </w:p>
        </w:tc>
        <w:tc>
          <w:tcPr>
            <w:tcW w:w="1046" w:type="dxa"/>
            <w:tcBorders>
              <w:top w:val="nil"/>
              <w:left w:val="nil"/>
              <w:bottom w:val="single" w:sz="4" w:space="0" w:color="000000"/>
              <w:right w:val="single" w:sz="4" w:space="0" w:color="000000"/>
            </w:tcBorders>
            <w:shd w:val="clear" w:color="auto" w:fill="auto"/>
            <w:vAlign w:val="center"/>
          </w:tcPr>
          <w:p w14:paraId="0000015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35.57</w:t>
            </w:r>
          </w:p>
        </w:tc>
        <w:tc>
          <w:tcPr>
            <w:tcW w:w="966" w:type="dxa"/>
            <w:tcBorders>
              <w:top w:val="nil"/>
              <w:left w:val="nil"/>
              <w:bottom w:val="single" w:sz="4" w:space="0" w:color="000000"/>
              <w:right w:val="single" w:sz="4" w:space="0" w:color="000000"/>
            </w:tcBorders>
            <w:shd w:val="clear" w:color="auto" w:fill="auto"/>
            <w:vAlign w:val="center"/>
          </w:tcPr>
          <w:p w14:paraId="0000015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42.69</w:t>
            </w:r>
          </w:p>
        </w:tc>
      </w:tr>
      <w:tr w:rsidR="00DD0BE8" w14:paraId="562CE7BA"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5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X23</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5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Shear Damage Parameter </w:t>
            </w:r>
          </w:p>
        </w:tc>
        <w:tc>
          <w:tcPr>
            <w:tcW w:w="849" w:type="dxa"/>
            <w:tcBorders>
              <w:top w:val="nil"/>
              <w:left w:val="nil"/>
              <w:bottom w:val="single" w:sz="4" w:space="0" w:color="000000"/>
              <w:right w:val="single" w:sz="4" w:space="0" w:color="000000"/>
            </w:tcBorders>
            <w:shd w:val="clear" w:color="auto" w:fill="auto"/>
            <w:vAlign w:val="center"/>
          </w:tcPr>
          <w:p w14:paraId="0000015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5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0.22</w:t>
            </w:r>
          </w:p>
        </w:tc>
        <w:tc>
          <w:tcPr>
            <w:tcW w:w="1046" w:type="dxa"/>
            <w:tcBorders>
              <w:top w:val="nil"/>
              <w:left w:val="nil"/>
              <w:bottom w:val="single" w:sz="4" w:space="0" w:color="000000"/>
              <w:right w:val="single" w:sz="4" w:space="0" w:color="000000"/>
            </w:tcBorders>
            <w:shd w:val="clear" w:color="auto" w:fill="auto"/>
            <w:vAlign w:val="center"/>
          </w:tcPr>
          <w:p w14:paraId="0000015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0.28</w:t>
            </w:r>
          </w:p>
        </w:tc>
        <w:tc>
          <w:tcPr>
            <w:tcW w:w="966" w:type="dxa"/>
            <w:tcBorders>
              <w:top w:val="nil"/>
              <w:left w:val="nil"/>
              <w:bottom w:val="single" w:sz="4" w:space="0" w:color="000000"/>
              <w:right w:val="single" w:sz="4" w:space="0" w:color="000000"/>
            </w:tcBorders>
            <w:shd w:val="clear" w:color="auto" w:fill="auto"/>
            <w:vAlign w:val="center"/>
          </w:tcPr>
          <w:p w14:paraId="0000015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0.33</w:t>
            </w:r>
          </w:p>
        </w:tc>
      </w:tr>
      <w:tr w:rsidR="00DD0BE8" w14:paraId="13C2AB28"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5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X24</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5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Maximum Shear Damage</w:t>
            </w:r>
          </w:p>
        </w:tc>
        <w:tc>
          <w:tcPr>
            <w:tcW w:w="849" w:type="dxa"/>
            <w:tcBorders>
              <w:top w:val="nil"/>
              <w:left w:val="nil"/>
              <w:bottom w:val="single" w:sz="4" w:space="0" w:color="000000"/>
              <w:right w:val="single" w:sz="4" w:space="0" w:color="000000"/>
            </w:tcBorders>
            <w:shd w:val="clear" w:color="auto" w:fill="auto"/>
            <w:vAlign w:val="center"/>
          </w:tcPr>
          <w:p w14:paraId="0000015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5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0.57</w:t>
            </w:r>
          </w:p>
        </w:tc>
        <w:tc>
          <w:tcPr>
            <w:tcW w:w="1046" w:type="dxa"/>
            <w:tcBorders>
              <w:top w:val="nil"/>
              <w:left w:val="nil"/>
              <w:bottom w:val="single" w:sz="4" w:space="0" w:color="000000"/>
              <w:right w:val="single" w:sz="4" w:space="0" w:color="000000"/>
            </w:tcBorders>
            <w:shd w:val="clear" w:color="auto" w:fill="auto"/>
            <w:vAlign w:val="center"/>
          </w:tcPr>
          <w:p w14:paraId="0000015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0.71</w:t>
            </w:r>
          </w:p>
        </w:tc>
        <w:tc>
          <w:tcPr>
            <w:tcW w:w="966" w:type="dxa"/>
            <w:tcBorders>
              <w:top w:val="nil"/>
              <w:left w:val="nil"/>
              <w:bottom w:val="single" w:sz="4" w:space="0" w:color="000000"/>
              <w:right w:val="single" w:sz="4" w:space="0" w:color="000000"/>
            </w:tcBorders>
            <w:shd w:val="clear" w:color="auto" w:fill="auto"/>
            <w:vAlign w:val="center"/>
          </w:tcPr>
          <w:p w14:paraId="0000016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0.86</w:t>
            </w:r>
          </w:p>
        </w:tc>
      </w:tr>
      <w:tr w:rsidR="00DD0BE8" w14:paraId="2E2CD62E"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6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X25</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6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Maximum Shear Plastic Strain </w:t>
            </w:r>
          </w:p>
        </w:tc>
        <w:tc>
          <w:tcPr>
            <w:tcW w:w="849" w:type="dxa"/>
            <w:tcBorders>
              <w:top w:val="nil"/>
              <w:left w:val="nil"/>
              <w:bottom w:val="single" w:sz="4" w:space="0" w:color="000000"/>
              <w:right w:val="single" w:sz="4" w:space="0" w:color="000000"/>
            </w:tcBorders>
            <w:shd w:val="clear" w:color="auto" w:fill="auto"/>
            <w:vAlign w:val="center"/>
          </w:tcPr>
          <w:p w14:paraId="0000016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6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1046" w:type="dxa"/>
            <w:tcBorders>
              <w:top w:val="nil"/>
              <w:left w:val="nil"/>
              <w:bottom w:val="single" w:sz="4" w:space="0" w:color="000000"/>
              <w:right w:val="single" w:sz="4" w:space="0" w:color="000000"/>
            </w:tcBorders>
            <w:shd w:val="clear" w:color="auto" w:fill="auto"/>
            <w:vAlign w:val="center"/>
          </w:tcPr>
          <w:p w14:paraId="0000016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966" w:type="dxa"/>
            <w:tcBorders>
              <w:top w:val="nil"/>
              <w:left w:val="nil"/>
              <w:bottom w:val="single" w:sz="4" w:space="0" w:color="000000"/>
              <w:right w:val="single" w:sz="4" w:space="0" w:color="000000"/>
            </w:tcBorders>
            <w:shd w:val="clear" w:color="auto" w:fill="auto"/>
            <w:vAlign w:val="center"/>
          </w:tcPr>
          <w:p w14:paraId="0000016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r>
      <w:tr w:rsidR="00DD0BE8" w14:paraId="0921627B"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6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X26</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6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Effective Shear </w:t>
            </w:r>
            <w:proofErr w:type="spellStart"/>
            <w:r>
              <w:rPr>
                <w:rFonts w:ascii="Times New Roman" w:eastAsia="Times New Roman" w:hAnsi="Times New Roman" w:cs="Times New Roman"/>
                <w:color w:val="000000"/>
                <w:sz w:val="16"/>
                <w:szCs w:val="16"/>
              </w:rPr>
              <w:t>Yeild</w:t>
            </w:r>
            <w:proofErr w:type="spellEnd"/>
            <w:r>
              <w:rPr>
                <w:rFonts w:ascii="Times New Roman" w:eastAsia="Times New Roman" w:hAnsi="Times New Roman" w:cs="Times New Roman"/>
                <w:color w:val="000000"/>
                <w:sz w:val="16"/>
                <w:szCs w:val="16"/>
              </w:rPr>
              <w:t xml:space="preserve"> Stress </w:t>
            </w:r>
          </w:p>
        </w:tc>
        <w:tc>
          <w:tcPr>
            <w:tcW w:w="849" w:type="dxa"/>
            <w:tcBorders>
              <w:top w:val="nil"/>
              <w:left w:val="nil"/>
              <w:bottom w:val="single" w:sz="4" w:space="0" w:color="000000"/>
              <w:right w:val="single" w:sz="4" w:space="0" w:color="000000"/>
            </w:tcBorders>
            <w:shd w:val="clear" w:color="auto" w:fill="auto"/>
            <w:vAlign w:val="center"/>
          </w:tcPr>
          <w:p w14:paraId="0000016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6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28.46</w:t>
            </w:r>
          </w:p>
        </w:tc>
        <w:tc>
          <w:tcPr>
            <w:tcW w:w="1046" w:type="dxa"/>
            <w:tcBorders>
              <w:top w:val="nil"/>
              <w:left w:val="nil"/>
              <w:bottom w:val="single" w:sz="4" w:space="0" w:color="000000"/>
              <w:right w:val="single" w:sz="4" w:space="0" w:color="000000"/>
            </w:tcBorders>
            <w:shd w:val="clear" w:color="auto" w:fill="auto"/>
            <w:vAlign w:val="center"/>
          </w:tcPr>
          <w:p w14:paraId="0000016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35.57</w:t>
            </w:r>
          </w:p>
        </w:tc>
        <w:tc>
          <w:tcPr>
            <w:tcW w:w="966" w:type="dxa"/>
            <w:tcBorders>
              <w:top w:val="nil"/>
              <w:left w:val="nil"/>
              <w:bottom w:val="single" w:sz="4" w:space="0" w:color="000000"/>
              <w:right w:val="single" w:sz="4" w:space="0" w:color="000000"/>
            </w:tcBorders>
            <w:shd w:val="clear" w:color="auto" w:fill="auto"/>
            <w:vAlign w:val="center"/>
          </w:tcPr>
          <w:p w14:paraId="0000016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42.69</w:t>
            </w:r>
          </w:p>
        </w:tc>
      </w:tr>
      <w:tr w:rsidR="00DD0BE8" w14:paraId="60CBABE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7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X27</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7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Coefficient in Shear Hardening Equation </w:t>
            </w:r>
          </w:p>
        </w:tc>
        <w:tc>
          <w:tcPr>
            <w:tcW w:w="849" w:type="dxa"/>
            <w:tcBorders>
              <w:top w:val="nil"/>
              <w:left w:val="nil"/>
              <w:bottom w:val="single" w:sz="4" w:space="0" w:color="000000"/>
              <w:right w:val="single" w:sz="4" w:space="0" w:color="000000"/>
            </w:tcBorders>
            <w:shd w:val="clear" w:color="auto" w:fill="auto"/>
            <w:vAlign w:val="center"/>
          </w:tcPr>
          <w:p w14:paraId="00000172"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7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3.58</w:t>
            </w:r>
          </w:p>
        </w:tc>
        <w:tc>
          <w:tcPr>
            <w:tcW w:w="1046" w:type="dxa"/>
            <w:tcBorders>
              <w:top w:val="nil"/>
              <w:left w:val="nil"/>
              <w:bottom w:val="single" w:sz="4" w:space="0" w:color="000000"/>
              <w:right w:val="single" w:sz="4" w:space="0" w:color="000000"/>
            </w:tcBorders>
            <w:shd w:val="clear" w:color="auto" w:fill="auto"/>
            <w:vAlign w:val="center"/>
          </w:tcPr>
          <w:p w14:paraId="0000017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4.48</w:t>
            </w:r>
          </w:p>
        </w:tc>
        <w:tc>
          <w:tcPr>
            <w:tcW w:w="966" w:type="dxa"/>
            <w:tcBorders>
              <w:top w:val="nil"/>
              <w:left w:val="nil"/>
              <w:bottom w:val="single" w:sz="4" w:space="0" w:color="000000"/>
              <w:right w:val="single" w:sz="4" w:space="0" w:color="000000"/>
            </w:tcBorders>
            <w:shd w:val="clear" w:color="auto" w:fill="auto"/>
            <w:vAlign w:val="center"/>
          </w:tcPr>
          <w:p w14:paraId="0000017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5.38</w:t>
            </w:r>
          </w:p>
        </w:tc>
      </w:tr>
      <w:tr w:rsidR="00DD0BE8" w14:paraId="008E7EA2"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7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X28</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7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Power Term in Shear Hardening Equation </w:t>
            </w:r>
          </w:p>
        </w:tc>
        <w:tc>
          <w:tcPr>
            <w:tcW w:w="849" w:type="dxa"/>
            <w:tcBorders>
              <w:top w:val="nil"/>
              <w:left w:val="nil"/>
              <w:bottom w:val="single" w:sz="4" w:space="0" w:color="000000"/>
              <w:right w:val="single" w:sz="4" w:space="0" w:color="000000"/>
            </w:tcBorders>
            <w:shd w:val="clear" w:color="auto" w:fill="auto"/>
            <w:vAlign w:val="center"/>
          </w:tcPr>
          <w:p w14:paraId="0000017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7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0.58</w:t>
            </w:r>
          </w:p>
        </w:tc>
        <w:tc>
          <w:tcPr>
            <w:tcW w:w="1046" w:type="dxa"/>
            <w:tcBorders>
              <w:top w:val="nil"/>
              <w:left w:val="nil"/>
              <w:bottom w:val="single" w:sz="4" w:space="0" w:color="000000"/>
              <w:right w:val="single" w:sz="4" w:space="0" w:color="000000"/>
            </w:tcBorders>
            <w:shd w:val="clear" w:color="auto" w:fill="auto"/>
            <w:vAlign w:val="center"/>
          </w:tcPr>
          <w:p w14:paraId="0000017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0.73</w:t>
            </w:r>
          </w:p>
        </w:tc>
        <w:tc>
          <w:tcPr>
            <w:tcW w:w="966" w:type="dxa"/>
            <w:tcBorders>
              <w:top w:val="nil"/>
              <w:left w:val="nil"/>
              <w:bottom w:val="single" w:sz="4" w:space="0" w:color="000000"/>
              <w:right w:val="single" w:sz="4" w:space="0" w:color="000000"/>
            </w:tcBorders>
            <w:shd w:val="clear" w:color="auto" w:fill="auto"/>
            <w:vAlign w:val="center"/>
          </w:tcPr>
          <w:p w14:paraId="0000017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0.87</w:t>
            </w:r>
          </w:p>
        </w:tc>
      </w:tr>
      <w:tr w:rsidR="00DD0BE8" w14:paraId="759CCBCA" w14:textId="77777777" w:rsidTr="00DD0BE8">
        <w:trPr>
          <w:trHeight w:val="46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7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X29</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7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for Intralaminar Adhesive Resin (IAR)</w:t>
            </w:r>
          </w:p>
        </w:tc>
        <w:tc>
          <w:tcPr>
            <w:tcW w:w="849" w:type="dxa"/>
            <w:tcBorders>
              <w:top w:val="nil"/>
              <w:left w:val="nil"/>
              <w:bottom w:val="single" w:sz="4" w:space="0" w:color="000000"/>
              <w:right w:val="single" w:sz="4" w:space="0" w:color="000000"/>
            </w:tcBorders>
            <w:shd w:val="clear" w:color="auto" w:fill="auto"/>
            <w:vAlign w:val="center"/>
          </w:tcPr>
          <w:p w14:paraId="00000180"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8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55.15</w:t>
            </w:r>
          </w:p>
        </w:tc>
        <w:tc>
          <w:tcPr>
            <w:tcW w:w="1046" w:type="dxa"/>
            <w:tcBorders>
              <w:top w:val="nil"/>
              <w:left w:val="nil"/>
              <w:bottom w:val="single" w:sz="4" w:space="0" w:color="000000"/>
              <w:right w:val="single" w:sz="4" w:space="0" w:color="000000"/>
            </w:tcBorders>
            <w:shd w:val="clear" w:color="auto" w:fill="auto"/>
            <w:vAlign w:val="center"/>
          </w:tcPr>
          <w:p w14:paraId="0000018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68.94</w:t>
            </w:r>
          </w:p>
        </w:tc>
        <w:tc>
          <w:tcPr>
            <w:tcW w:w="966" w:type="dxa"/>
            <w:tcBorders>
              <w:top w:val="nil"/>
              <w:left w:val="nil"/>
              <w:bottom w:val="single" w:sz="4" w:space="0" w:color="000000"/>
              <w:right w:val="single" w:sz="4" w:space="0" w:color="000000"/>
            </w:tcBorders>
            <w:shd w:val="clear" w:color="auto" w:fill="auto"/>
            <w:vAlign w:val="center"/>
          </w:tcPr>
          <w:p w14:paraId="0000018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82.73</w:t>
            </w:r>
          </w:p>
        </w:tc>
      </w:tr>
      <w:tr w:rsidR="00DD0BE8" w14:paraId="1B42F468"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8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X30</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8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Normal-only Mode IAR</w:t>
            </w:r>
          </w:p>
        </w:tc>
        <w:tc>
          <w:tcPr>
            <w:tcW w:w="849" w:type="dxa"/>
            <w:tcBorders>
              <w:top w:val="nil"/>
              <w:left w:val="nil"/>
              <w:bottom w:val="single" w:sz="4" w:space="0" w:color="000000"/>
              <w:right w:val="single" w:sz="4" w:space="0" w:color="000000"/>
            </w:tcBorders>
            <w:shd w:val="clear" w:color="auto" w:fill="auto"/>
            <w:vAlign w:val="center"/>
          </w:tcPr>
          <w:p w14:paraId="0000018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8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41.99</w:t>
            </w:r>
          </w:p>
        </w:tc>
        <w:tc>
          <w:tcPr>
            <w:tcW w:w="1046" w:type="dxa"/>
            <w:tcBorders>
              <w:top w:val="nil"/>
              <w:left w:val="nil"/>
              <w:bottom w:val="single" w:sz="4" w:space="0" w:color="000000"/>
              <w:right w:val="single" w:sz="4" w:space="0" w:color="000000"/>
            </w:tcBorders>
            <w:shd w:val="clear" w:color="auto" w:fill="auto"/>
            <w:vAlign w:val="center"/>
          </w:tcPr>
          <w:p w14:paraId="0000018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52.49</w:t>
            </w:r>
          </w:p>
        </w:tc>
        <w:tc>
          <w:tcPr>
            <w:tcW w:w="966" w:type="dxa"/>
            <w:tcBorders>
              <w:top w:val="nil"/>
              <w:left w:val="nil"/>
              <w:bottom w:val="single" w:sz="4" w:space="0" w:color="000000"/>
              <w:right w:val="single" w:sz="4" w:space="0" w:color="000000"/>
            </w:tcBorders>
            <w:shd w:val="clear" w:color="auto" w:fill="auto"/>
            <w:vAlign w:val="center"/>
          </w:tcPr>
          <w:p w14:paraId="0000018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62.99</w:t>
            </w:r>
          </w:p>
        </w:tc>
      </w:tr>
      <w:tr w:rsidR="00DD0BE8" w14:paraId="72A6E7B6"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8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X31</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8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First/Second Direction IAR</w:t>
            </w:r>
          </w:p>
        </w:tc>
        <w:tc>
          <w:tcPr>
            <w:tcW w:w="849" w:type="dxa"/>
            <w:tcBorders>
              <w:top w:val="nil"/>
              <w:left w:val="nil"/>
              <w:bottom w:val="single" w:sz="4" w:space="0" w:color="000000"/>
              <w:right w:val="single" w:sz="4" w:space="0" w:color="000000"/>
            </w:tcBorders>
            <w:shd w:val="clear" w:color="auto" w:fill="auto"/>
            <w:vAlign w:val="center"/>
          </w:tcPr>
          <w:p w14:paraId="0000018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8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26.91</w:t>
            </w:r>
          </w:p>
        </w:tc>
        <w:tc>
          <w:tcPr>
            <w:tcW w:w="1046" w:type="dxa"/>
            <w:tcBorders>
              <w:top w:val="nil"/>
              <w:left w:val="nil"/>
              <w:bottom w:val="single" w:sz="4" w:space="0" w:color="000000"/>
              <w:right w:val="single" w:sz="4" w:space="0" w:color="000000"/>
            </w:tcBorders>
            <w:shd w:val="clear" w:color="auto" w:fill="auto"/>
            <w:vAlign w:val="center"/>
          </w:tcPr>
          <w:p w14:paraId="0000019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33.63</w:t>
            </w:r>
          </w:p>
        </w:tc>
        <w:tc>
          <w:tcPr>
            <w:tcW w:w="966" w:type="dxa"/>
            <w:tcBorders>
              <w:top w:val="nil"/>
              <w:left w:val="nil"/>
              <w:bottom w:val="single" w:sz="4" w:space="0" w:color="000000"/>
              <w:right w:val="single" w:sz="4" w:space="0" w:color="000000"/>
            </w:tcBorders>
            <w:shd w:val="clear" w:color="auto" w:fill="auto"/>
            <w:vAlign w:val="center"/>
          </w:tcPr>
          <w:p w14:paraId="0000019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40.36</w:t>
            </w:r>
          </w:p>
        </w:tc>
      </w:tr>
      <w:tr w:rsidR="00DD0BE8" w14:paraId="08141839"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9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X32</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9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Normal Mode Fracture Energy IAR</w:t>
            </w:r>
          </w:p>
        </w:tc>
        <w:tc>
          <w:tcPr>
            <w:tcW w:w="849" w:type="dxa"/>
            <w:tcBorders>
              <w:top w:val="nil"/>
              <w:left w:val="nil"/>
              <w:bottom w:val="single" w:sz="4" w:space="0" w:color="000000"/>
              <w:right w:val="single" w:sz="4" w:space="0" w:color="000000"/>
            </w:tcBorders>
            <w:shd w:val="clear" w:color="auto" w:fill="auto"/>
            <w:vAlign w:val="center"/>
          </w:tcPr>
          <w:p w14:paraId="0000019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N-m/m^2</w:t>
            </w:r>
          </w:p>
        </w:tc>
        <w:tc>
          <w:tcPr>
            <w:tcW w:w="842" w:type="dxa"/>
            <w:tcBorders>
              <w:top w:val="nil"/>
              <w:left w:val="nil"/>
              <w:bottom w:val="single" w:sz="4" w:space="0" w:color="000000"/>
              <w:right w:val="single" w:sz="4" w:space="0" w:color="000000"/>
            </w:tcBorders>
            <w:shd w:val="clear" w:color="auto" w:fill="auto"/>
            <w:vAlign w:val="center"/>
          </w:tcPr>
          <w:p w14:paraId="0000019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1064.77</w:t>
            </w:r>
          </w:p>
        </w:tc>
        <w:tc>
          <w:tcPr>
            <w:tcW w:w="1046" w:type="dxa"/>
            <w:tcBorders>
              <w:top w:val="nil"/>
              <w:left w:val="nil"/>
              <w:bottom w:val="single" w:sz="4" w:space="0" w:color="000000"/>
              <w:right w:val="single" w:sz="4" w:space="0" w:color="000000"/>
            </w:tcBorders>
            <w:shd w:val="clear" w:color="auto" w:fill="auto"/>
            <w:vAlign w:val="center"/>
          </w:tcPr>
          <w:p w14:paraId="0000019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1330.96</w:t>
            </w:r>
          </w:p>
        </w:tc>
        <w:tc>
          <w:tcPr>
            <w:tcW w:w="966" w:type="dxa"/>
            <w:tcBorders>
              <w:top w:val="nil"/>
              <w:left w:val="nil"/>
              <w:bottom w:val="single" w:sz="4" w:space="0" w:color="000000"/>
              <w:right w:val="single" w:sz="4" w:space="0" w:color="000000"/>
            </w:tcBorders>
            <w:shd w:val="clear" w:color="auto" w:fill="auto"/>
            <w:vAlign w:val="center"/>
          </w:tcPr>
          <w:p w14:paraId="0000019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1597.16</w:t>
            </w:r>
          </w:p>
        </w:tc>
      </w:tr>
      <w:tr w:rsidR="00DD0BE8" w14:paraId="05F1F3CA" w14:textId="77777777" w:rsidTr="00DD0BE8">
        <w:trPr>
          <w:trHeight w:val="397"/>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9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X33</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9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Shear Mode Fracture Energy First/Second Direction IAR</w:t>
            </w:r>
          </w:p>
        </w:tc>
        <w:tc>
          <w:tcPr>
            <w:tcW w:w="849" w:type="dxa"/>
            <w:tcBorders>
              <w:top w:val="nil"/>
              <w:left w:val="nil"/>
              <w:bottom w:val="single" w:sz="4" w:space="0" w:color="000000"/>
              <w:right w:val="single" w:sz="4" w:space="0" w:color="000000"/>
            </w:tcBorders>
            <w:shd w:val="clear" w:color="auto" w:fill="auto"/>
            <w:vAlign w:val="center"/>
          </w:tcPr>
          <w:p w14:paraId="0000019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N-m/m^2</w:t>
            </w:r>
          </w:p>
        </w:tc>
        <w:tc>
          <w:tcPr>
            <w:tcW w:w="842" w:type="dxa"/>
            <w:tcBorders>
              <w:top w:val="nil"/>
              <w:left w:val="nil"/>
              <w:bottom w:val="single" w:sz="4" w:space="0" w:color="000000"/>
              <w:right w:val="single" w:sz="4" w:space="0" w:color="000000"/>
            </w:tcBorders>
            <w:shd w:val="clear" w:color="auto" w:fill="auto"/>
            <w:vAlign w:val="center"/>
          </w:tcPr>
          <w:p w14:paraId="0000019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2324.00</w:t>
            </w:r>
          </w:p>
        </w:tc>
        <w:tc>
          <w:tcPr>
            <w:tcW w:w="1046" w:type="dxa"/>
            <w:tcBorders>
              <w:top w:val="nil"/>
              <w:left w:val="nil"/>
              <w:bottom w:val="single" w:sz="4" w:space="0" w:color="000000"/>
              <w:right w:val="single" w:sz="4" w:space="0" w:color="000000"/>
            </w:tcBorders>
            <w:shd w:val="clear" w:color="auto" w:fill="auto"/>
            <w:vAlign w:val="center"/>
          </w:tcPr>
          <w:p w14:paraId="0000019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2905.00</w:t>
            </w:r>
          </w:p>
        </w:tc>
        <w:tc>
          <w:tcPr>
            <w:tcW w:w="966" w:type="dxa"/>
            <w:tcBorders>
              <w:top w:val="nil"/>
              <w:left w:val="nil"/>
              <w:bottom w:val="single" w:sz="4" w:space="0" w:color="000000"/>
              <w:right w:val="single" w:sz="4" w:space="0" w:color="000000"/>
            </w:tcBorders>
            <w:shd w:val="clear" w:color="auto" w:fill="auto"/>
            <w:vAlign w:val="center"/>
          </w:tcPr>
          <w:p w14:paraId="0000019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3486.01</w:t>
            </w:r>
          </w:p>
        </w:tc>
      </w:tr>
      <w:tr w:rsidR="00DD0BE8" w14:paraId="2E223EE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A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X34</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A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Mixed Mode Behaviour for </w:t>
            </w:r>
            <w:proofErr w:type="spellStart"/>
            <w:r>
              <w:rPr>
                <w:rFonts w:ascii="Times New Roman" w:eastAsia="Times New Roman" w:hAnsi="Times New Roman" w:cs="Times New Roman"/>
                <w:color w:val="000000"/>
                <w:sz w:val="16"/>
                <w:szCs w:val="16"/>
              </w:rPr>
              <w:t>Benzeggagh-Kenane</w:t>
            </w:r>
            <w:proofErr w:type="spellEnd"/>
            <w:r>
              <w:rPr>
                <w:rFonts w:ascii="Times New Roman" w:eastAsia="Times New Roman" w:hAnsi="Times New Roman" w:cs="Times New Roman"/>
                <w:color w:val="000000"/>
                <w:sz w:val="16"/>
                <w:szCs w:val="16"/>
              </w:rPr>
              <w:t xml:space="preserve"> IAR</w:t>
            </w:r>
          </w:p>
        </w:tc>
        <w:tc>
          <w:tcPr>
            <w:tcW w:w="849" w:type="dxa"/>
            <w:tcBorders>
              <w:top w:val="nil"/>
              <w:left w:val="nil"/>
              <w:bottom w:val="single" w:sz="4" w:space="0" w:color="000000"/>
              <w:right w:val="single" w:sz="4" w:space="0" w:color="000000"/>
            </w:tcBorders>
            <w:shd w:val="clear" w:color="auto" w:fill="auto"/>
            <w:vAlign w:val="center"/>
          </w:tcPr>
          <w:p w14:paraId="000001A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A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2.08</w:t>
            </w:r>
          </w:p>
        </w:tc>
        <w:tc>
          <w:tcPr>
            <w:tcW w:w="1046" w:type="dxa"/>
            <w:tcBorders>
              <w:top w:val="nil"/>
              <w:left w:val="nil"/>
              <w:bottom w:val="single" w:sz="4" w:space="0" w:color="000000"/>
              <w:right w:val="single" w:sz="4" w:space="0" w:color="000000"/>
            </w:tcBorders>
            <w:shd w:val="clear" w:color="auto" w:fill="auto"/>
            <w:vAlign w:val="center"/>
          </w:tcPr>
          <w:p w14:paraId="000001A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2.60</w:t>
            </w:r>
          </w:p>
        </w:tc>
        <w:tc>
          <w:tcPr>
            <w:tcW w:w="966" w:type="dxa"/>
            <w:tcBorders>
              <w:top w:val="nil"/>
              <w:left w:val="nil"/>
              <w:bottom w:val="single" w:sz="4" w:space="0" w:color="000000"/>
              <w:right w:val="single" w:sz="4" w:space="0" w:color="000000"/>
            </w:tcBorders>
            <w:shd w:val="clear" w:color="auto" w:fill="auto"/>
            <w:vAlign w:val="center"/>
          </w:tcPr>
          <w:p w14:paraId="000001A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w:t>
            </w:r>
          </w:p>
        </w:tc>
      </w:tr>
      <w:tr w:rsidR="00DD0BE8" w14:paraId="72D34E46" w14:textId="77777777" w:rsidTr="00DD0BE8">
        <w:trPr>
          <w:trHeight w:val="442"/>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A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X35</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A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for Composite/Metal Interface Adhesive Resin (CMAR)</w:t>
            </w:r>
          </w:p>
        </w:tc>
        <w:tc>
          <w:tcPr>
            <w:tcW w:w="849" w:type="dxa"/>
            <w:tcBorders>
              <w:top w:val="nil"/>
              <w:left w:val="nil"/>
              <w:bottom w:val="single" w:sz="4" w:space="0" w:color="000000"/>
              <w:right w:val="single" w:sz="4" w:space="0" w:color="000000"/>
            </w:tcBorders>
            <w:shd w:val="clear" w:color="auto" w:fill="auto"/>
            <w:vAlign w:val="center"/>
          </w:tcPr>
          <w:p w14:paraId="000001AA"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GPa</w:t>
            </w:r>
            <w:proofErr w:type="spellEnd"/>
            <w:r>
              <w:rPr>
                <w:rFonts w:ascii="Times New Roman" w:eastAsia="Times New Roman" w:hAnsi="Times New Roman" w:cs="Times New Roman"/>
                <w:color w:val="000000"/>
                <w:sz w:val="16"/>
                <w:szCs w:val="16"/>
              </w:rPr>
              <w:t xml:space="preserve"> </w:t>
            </w:r>
          </w:p>
        </w:tc>
        <w:tc>
          <w:tcPr>
            <w:tcW w:w="842" w:type="dxa"/>
            <w:tcBorders>
              <w:top w:val="nil"/>
              <w:left w:val="nil"/>
              <w:bottom w:val="single" w:sz="4" w:space="0" w:color="000000"/>
              <w:right w:val="single" w:sz="4" w:space="0" w:color="000000"/>
            </w:tcBorders>
            <w:shd w:val="clear" w:color="auto" w:fill="auto"/>
            <w:vAlign w:val="center"/>
          </w:tcPr>
          <w:p w14:paraId="000001A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55.15</w:t>
            </w:r>
          </w:p>
        </w:tc>
        <w:tc>
          <w:tcPr>
            <w:tcW w:w="1046" w:type="dxa"/>
            <w:tcBorders>
              <w:top w:val="nil"/>
              <w:left w:val="nil"/>
              <w:bottom w:val="single" w:sz="4" w:space="0" w:color="000000"/>
              <w:right w:val="single" w:sz="4" w:space="0" w:color="000000"/>
            </w:tcBorders>
            <w:shd w:val="clear" w:color="auto" w:fill="auto"/>
            <w:vAlign w:val="center"/>
          </w:tcPr>
          <w:p w14:paraId="000001A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68.94</w:t>
            </w:r>
          </w:p>
        </w:tc>
        <w:tc>
          <w:tcPr>
            <w:tcW w:w="966" w:type="dxa"/>
            <w:tcBorders>
              <w:top w:val="nil"/>
              <w:left w:val="nil"/>
              <w:bottom w:val="single" w:sz="4" w:space="0" w:color="000000"/>
              <w:right w:val="single" w:sz="4" w:space="0" w:color="000000"/>
            </w:tcBorders>
            <w:shd w:val="clear" w:color="auto" w:fill="auto"/>
            <w:vAlign w:val="center"/>
          </w:tcPr>
          <w:p w14:paraId="000001A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82.73</w:t>
            </w:r>
          </w:p>
        </w:tc>
      </w:tr>
      <w:tr w:rsidR="00DD0BE8" w14:paraId="2F6EBC08"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A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X36</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B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Normal-only Mode CMAR</w:t>
            </w:r>
          </w:p>
        </w:tc>
        <w:tc>
          <w:tcPr>
            <w:tcW w:w="849" w:type="dxa"/>
            <w:tcBorders>
              <w:top w:val="nil"/>
              <w:left w:val="nil"/>
              <w:bottom w:val="single" w:sz="4" w:space="0" w:color="000000"/>
              <w:right w:val="single" w:sz="4" w:space="0" w:color="000000"/>
            </w:tcBorders>
            <w:shd w:val="clear" w:color="auto" w:fill="auto"/>
            <w:vAlign w:val="center"/>
          </w:tcPr>
          <w:p w14:paraId="000001B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B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84.32</w:t>
            </w:r>
          </w:p>
        </w:tc>
        <w:tc>
          <w:tcPr>
            <w:tcW w:w="1046" w:type="dxa"/>
            <w:tcBorders>
              <w:top w:val="nil"/>
              <w:left w:val="nil"/>
              <w:bottom w:val="single" w:sz="4" w:space="0" w:color="000000"/>
              <w:right w:val="single" w:sz="4" w:space="0" w:color="000000"/>
            </w:tcBorders>
            <w:shd w:val="clear" w:color="auto" w:fill="auto"/>
            <w:vAlign w:val="center"/>
          </w:tcPr>
          <w:p w14:paraId="000001B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105.40</w:t>
            </w:r>
          </w:p>
        </w:tc>
        <w:tc>
          <w:tcPr>
            <w:tcW w:w="966" w:type="dxa"/>
            <w:tcBorders>
              <w:top w:val="nil"/>
              <w:left w:val="nil"/>
              <w:bottom w:val="single" w:sz="4" w:space="0" w:color="000000"/>
              <w:right w:val="single" w:sz="4" w:space="0" w:color="000000"/>
            </w:tcBorders>
            <w:shd w:val="clear" w:color="auto" w:fill="auto"/>
            <w:vAlign w:val="center"/>
          </w:tcPr>
          <w:p w14:paraId="000001B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126.47</w:t>
            </w:r>
          </w:p>
        </w:tc>
      </w:tr>
      <w:tr w:rsidR="00DD0BE8" w14:paraId="4630484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B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X37</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B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First/Second Direction CMAR</w:t>
            </w:r>
          </w:p>
        </w:tc>
        <w:tc>
          <w:tcPr>
            <w:tcW w:w="849" w:type="dxa"/>
            <w:tcBorders>
              <w:top w:val="nil"/>
              <w:left w:val="nil"/>
              <w:bottom w:val="single" w:sz="4" w:space="0" w:color="000000"/>
              <w:right w:val="single" w:sz="4" w:space="0" w:color="000000"/>
            </w:tcBorders>
            <w:shd w:val="clear" w:color="auto" w:fill="auto"/>
            <w:vAlign w:val="center"/>
          </w:tcPr>
          <w:p w14:paraId="000001B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42" w:type="dxa"/>
            <w:tcBorders>
              <w:top w:val="nil"/>
              <w:left w:val="nil"/>
              <w:bottom w:val="single" w:sz="4" w:space="0" w:color="000000"/>
              <w:right w:val="single" w:sz="4" w:space="0" w:color="000000"/>
            </w:tcBorders>
            <w:shd w:val="clear" w:color="auto" w:fill="auto"/>
            <w:vAlign w:val="center"/>
          </w:tcPr>
          <w:p w14:paraId="000001B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53.81</w:t>
            </w:r>
          </w:p>
        </w:tc>
        <w:tc>
          <w:tcPr>
            <w:tcW w:w="1046" w:type="dxa"/>
            <w:tcBorders>
              <w:top w:val="nil"/>
              <w:left w:val="nil"/>
              <w:bottom w:val="single" w:sz="4" w:space="0" w:color="000000"/>
              <w:right w:val="single" w:sz="4" w:space="0" w:color="000000"/>
            </w:tcBorders>
            <w:shd w:val="clear" w:color="auto" w:fill="auto"/>
            <w:vAlign w:val="center"/>
          </w:tcPr>
          <w:p w14:paraId="000001B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67.27</w:t>
            </w:r>
          </w:p>
        </w:tc>
        <w:tc>
          <w:tcPr>
            <w:tcW w:w="966" w:type="dxa"/>
            <w:tcBorders>
              <w:top w:val="nil"/>
              <w:left w:val="nil"/>
              <w:bottom w:val="single" w:sz="4" w:space="0" w:color="000000"/>
              <w:right w:val="single" w:sz="4" w:space="0" w:color="000000"/>
            </w:tcBorders>
            <w:shd w:val="clear" w:color="auto" w:fill="auto"/>
            <w:vAlign w:val="center"/>
          </w:tcPr>
          <w:p w14:paraId="000001B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80.72</w:t>
            </w:r>
          </w:p>
        </w:tc>
      </w:tr>
      <w:tr w:rsidR="00DD0BE8" w14:paraId="45510583" w14:textId="77777777" w:rsidTr="00DD0BE8">
        <w:trPr>
          <w:trHeight w:val="288"/>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B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X38</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B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Normal Mode Fracture Energy CMAR</w:t>
            </w:r>
          </w:p>
        </w:tc>
        <w:tc>
          <w:tcPr>
            <w:tcW w:w="849" w:type="dxa"/>
            <w:tcBorders>
              <w:top w:val="nil"/>
              <w:left w:val="nil"/>
              <w:bottom w:val="single" w:sz="4" w:space="0" w:color="000000"/>
              <w:right w:val="single" w:sz="4" w:space="0" w:color="000000"/>
            </w:tcBorders>
            <w:shd w:val="clear" w:color="auto" w:fill="auto"/>
            <w:vAlign w:val="center"/>
          </w:tcPr>
          <w:p w14:paraId="000001B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N-m/m^2</w:t>
            </w:r>
          </w:p>
        </w:tc>
        <w:tc>
          <w:tcPr>
            <w:tcW w:w="842" w:type="dxa"/>
            <w:tcBorders>
              <w:top w:val="nil"/>
              <w:left w:val="nil"/>
              <w:bottom w:val="single" w:sz="4" w:space="0" w:color="000000"/>
              <w:right w:val="single" w:sz="4" w:space="0" w:color="000000"/>
            </w:tcBorders>
            <w:shd w:val="clear" w:color="auto" w:fill="auto"/>
            <w:vAlign w:val="center"/>
          </w:tcPr>
          <w:p w14:paraId="000001C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1064.77</w:t>
            </w:r>
          </w:p>
        </w:tc>
        <w:tc>
          <w:tcPr>
            <w:tcW w:w="1046" w:type="dxa"/>
            <w:tcBorders>
              <w:top w:val="nil"/>
              <w:left w:val="nil"/>
              <w:bottom w:val="single" w:sz="4" w:space="0" w:color="000000"/>
              <w:right w:val="single" w:sz="4" w:space="0" w:color="000000"/>
            </w:tcBorders>
            <w:shd w:val="clear" w:color="auto" w:fill="auto"/>
            <w:vAlign w:val="center"/>
          </w:tcPr>
          <w:p w14:paraId="000001C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1330.96</w:t>
            </w:r>
          </w:p>
        </w:tc>
        <w:tc>
          <w:tcPr>
            <w:tcW w:w="966" w:type="dxa"/>
            <w:tcBorders>
              <w:top w:val="nil"/>
              <w:left w:val="nil"/>
              <w:bottom w:val="single" w:sz="4" w:space="0" w:color="000000"/>
              <w:right w:val="single" w:sz="4" w:space="0" w:color="000000"/>
            </w:tcBorders>
            <w:shd w:val="clear" w:color="auto" w:fill="auto"/>
            <w:vAlign w:val="center"/>
          </w:tcPr>
          <w:p w14:paraId="000001C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1597.16</w:t>
            </w:r>
          </w:p>
        </w:tc>
      </w:tr>
      <w:tr w:rsidR="00DD0BE8" w14:paraId="504D3DE4" w14:textId="77777777" w:rsidTr="00DD0BE8">
        <w:trPr>
          <w:trHeight w:val="401"/>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C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X39</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C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Shear Mode Fracture Energy First/Second Direction CMAR</w:t>
            </w:r>
          </w:p>
        </w:tc>
        <w:tc>
          <w:tcPr>
            <w:tcW w:w="849" w:type="dxa"/>
            <w:tcBorders>
              <w:top w:val="nil"/>
              <w:left w:val="nil"/>
              <w:bottom w:val="single" w:sz="4" w:space="0" w:color="000000"/>
              <w:right w:val="single" w:sz="4" w:space="0" w:color="000000"/>
            </w:tcBorders>
            <w:shd w:val="clear" w:color="auto" w:fill="auto"/>
            <w:vAlign w:val="center"/>
          </w:tcPr>
          <w:p w14:paraId="000001C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N-m/m^2</w:t>
            </w:r>
          </w:p>
        </w:tc>
        <w:tc>
          <w:tcPr>
            <w:tcW w:w="842" w:type="dxa"/>
            <w:tcBorders>
              <w:top w:val="nil"/>
              <w:left w:val="nil"/>
              <w:bottom w:val="single" w:sz="4" w:space="0" w:color="000000"/>
              <w:right w:val="single" w:sz="4" w:space="0" w:color="000000"/>
            </w:tcBorders>
            <w:shd w:val="clear" w:color="auto" w:fill="auto"/>
            <w:vAlign w:val="center"/>
          </w:tcPr>
          <w:p w14:paraId="000001C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2324.00</w:t>
            </w:r>
          </w:p>
        </w:tc>
        <w:tc>
          <w:tcPr>
            <w:tcW w:w="1046" w:type="dxa"/>
            <w:tcBorders>
              <w:top w:val="nil"/>
              <w:left w:val="nil"/>
              <w:bottom w:val="single" w:sz="4" w:space="0" w:color="000000"/>
              <w:right w:val="single" w:sz="4" w:space="0" w:color="000000"/>
            </w:tcBorders>
            <w:shd w:val="clear" w:color="auto" w:fill="auto"/>
            <w:vAlign w:val="center"/>
          </w:tcPr>
          <w:p w14:paraId="000001C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2905.00</w:t>
            </w:r>
          </w:p>
        </w:tc>
        <w:tc>
          <w:tcPr>
            <w:tcW w:w="966" w:type="dxa"/>
            <w:tcBorders>
              <w:top w:val="nil"/>
              <w:left w:val="nil"/>
              <w:bottom w:val="single" w:sz="4" w:space="0" w:color="000000"/>
              <w:right w:val="single" w:sz="4" w:space="0" w:color="000000"/>
            </w:tcBorders>
            <w:shd w:val="clear" w:color="auto" w:fill="auto"/>
            <w:vAlign w:val="center"/>
          </w:tcPr>
          <w:p w14:paraId="000001C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3486.01</w:t>
            </w:r>
          </w:p>
        </w:tc>
      </w:tr>
      <w:tr w:rsidR="00DD0BE8" w14:paraId="3E4C42B9" w14:textId="77777777" w:rsidTr="00DD0BE8">
        <w:trPr>
          <w:trHeight w:val="432"/>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000001C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X40</w:t>
            </w:r>
          </w:p>
        </w:tc>
        <w:tc>
          <w:tcPr>
            <w:tcW w:w="3612" w:type="dxa"/>
            <w:tcBorders>
              <w:top w:val="nil"/>
              <w:left w:val="single" w:sz="4" w:space="0" w:color="auto"/>
              <w:bottom w:val="single" w:sz="4" w:space="0" w:color="000000"/>
              <w:right w:val="single" w:sz="4" w:space="0" w:color="000000"/>
            </w:tcBorders>
            <w:shd w:val="clear" w:color="auto" w:fill="auto"/>
            <w:vAlign w:val="center"/>
          </w:tcPr>
          <w:p w14:paraId="000001C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Mixed Mode Behaviour for </w:t>
            </w:r>
            <w:proofErr w:type="spellStart"/>
            <w:r>
              <w:rPr>
                <w:rFonts w:ascii="Times New Roman" w:eastAsia="Times New Roman" w:hAnsi="Times New Roman" w:cs="Times New Roman"/>
                <w:color w:val="000000"/>
                <w:sz w:val="16"/>
                <w:szCs w:val="16"/>
              </w:rPr>
              <w:t>Benzeggagh-Kenane</w:t>
            </w:r>
            <w:proofErr w:type="spellEnd"/>
            <w:r>
              <w:rPr>
                <w:rFonts w:ascii="Times New Roman" w:eastAsia="Times New Roman" w:hAnsi="Times New Roman" w:cs="Times New Roman"/>
                <w:color w:val="000000"/>
                <w:sz w:val="16"/>
                <w:szCs w:val="16"/>
              </w:rPr>
              <w:t xml:space="preserve"> CMAR</w:t>
            </w:r>
          </w:p>
        </w:tc>
        <w:tc>
          <w:tcPr>
            <w:tcW w:w="849" w:type="dxa"/>
            <w:tcBorders>
              <w:top w:val="nil"/>
              <w:left w:val="nil"/>
              <w:bottom w:val="single" w:sz="4" w:space="0" w:color="000000"/>
              <w:right w:val="single" w:sz="4" w:space="0" w:color="000000"/>
            </w:tcBorders>
            <w:shd w:val="clear" w:color="auto" w:fill="auto"/>
            <w:vAlign w:val="center"/>
          </w:tcPr>
          <w:p w14:paraId="000001C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42" w:type="dxa"/>
            <w:tcBorders>
              <w:top w:val="nil"/>
              <w:left w:val="nil"/>
              <w:bottom w:val="single" w:sz="4" w:space="0" w:color="000000"/>
              <w:right w:val="single" w:sz="4" w:space="0" w:color="000000"/>
            </w:tcBorders>
            <w:shd w:val="clear" w:color="auto" w:fill="auto"/>
            <w:vAlign w:val="center"/>
          </w:tcPr>
          <w:p w14:paraId="000001C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2.08</w:t>
            </w:r>
          </w:p>
        </w:tc>
        <w:tc>
          <w:tcPr>
            <w:tcW w:w="1046" w:type="dxa"/>
            <w:tcBorders>
              <w:top w:val="nil"/>
              <w:left w:val="nil"/>
              <w:bottom w:val="single" w:sz="4" w:space="0" w:color="000000"/>
              <w:right w:val="single" w:sz="4" w:space="0" w:color="000000"/>
            </w:tcBorders>
            <w:shd w:val="clear" w:color="auto" w:fill="auto"/>
            <w:vAlign w:val="center"/>
          </w:tcPr>
          <w:p w14:paraId="000001C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2.60</w:t>
            </w:r>
          </w:p>
        </w:tc>
        <w:tc>
          <w:tcPr>
            <w:tcW w:w="966" w:type="dxa"/>
            <w:tcBorders>
              <w:top w:val="nil"/>
              <w:left w:val="nil"/>
              <w:bottom w:val="single" w:sz="4" w:space="0" w:color="000000"/>
              <w:right w:val="single" w:sz="4" w:space="0" w:color="000000"/>
            </w:tcBorders>
            <w:shd w:val="clear" w:color="auto" w:fill="auto"/>
            <w:vAlign w:val="center"/>
          </w:tcPr>
          <w:p w14:paraId="000001D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w:t>
            </w:r>
          </w:p>
        </w:tc>
      </w:tr>
    </w:tbl>
    <w:p w14:paraId="000001D1" w14:textId="77777777" w:rsidR="00F87ED1" w:rsidRDefault="00F87ED1">
      <w:pPr>
        <w:rPr>
          <w:rFonts w:ascii="Times New Roman" w:eastAsia="Times New Roman" w:hAnsi="Times New Roman" w:cs="Times New Roman"/>
          <w:sz w:val="24"/>
          <w:szCs w:val="24"/>
        </w:rPr>
      </w:pPr>
    </w:p>
    <w:p w14:paraId="000001D2"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3.1.2 Case 2: Double Cantilever Beam with Epoxy Adhesive (FE DCB 9)</w:t>
      </w:r>
    </w:p>
    <w:p w14:paraId="000001D3" w14:textId="69A53678"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w:t>
      </w:r>
      <w:proofErr w:type="gramStart"/>
      <w:r>
        <w:rPr>
          <w:rFonts w:ascii="Times New Roman" w:eastAsia="Times New Roman" w:hAnsi="Times New Roman" w:cs="Times New Roman"/>
          <w:sz w:val="20"/>
          <w:szCs w:val="20"/>
        </w:rPr>
        <w:t>9 parameter</w:t>
      </w:r>
      <w:proofErr w:type="gramEnd"/>
      <w:r>
        <w:rPr>
          <w:rFonts w:ascii="Times New Roman" w:eastAsia="Times New Roman" w:hAnsi="Times New Roman" w:cs="Times New Roman"/>
          <w:sz w:val="20"/>
          <w:szCs w:val="20"/>
        </w:rPr>
        <w:t xml:space="preserve"> macroscale FE model created in Abaqus represents a double cantilever beam (DCB) specimen fabricated from 5456 </w:t>
      </w:r>
      <w:proofErr w:type="spellStart"/>
      <w:r>
        <w:rPr>
          <w:rFonts w:ascii="Times New Roman" w:eastAsia="Times New Roman" w:hAnsi="Times New Roman" w:cs="Times New Roman"/>
          <w:sz w:val="20"/>
          <w:szCs w:val="20"/>
        </w:rPr>
        <w:t>aluminum</w:t>
      </w:r>
      <w:proofErr w:type="spellEnd"/>
      <w:r>
        <w:rPr>
          <w:rFonts w:ascii="Times New Roman" w:eastAsia="Times New Roman" w:hAnsi="Times New Roman" w:cs="Times New Roman"/>
          <w:sz w:val="20"/>
          <w:szCs w:val="20"/>
        </w:rPr>
        <w:t xml:space="preserve"> adherends bonded by a thermoset epoxy, a standard method for obtaining mode I fracture properties. This model has the lowest dimensionality of the case </w:t>
      </w:r>
      <w:proofErr w:type="gramStart"/>
      <w:r>
        <w:rPr>
          <w:rFonts w:ascii="Times New Roman" w:eastAsia="Times New Roman" w:hAnsi="Times New Roman" w:cs="Times New Roman"/>
          <w:sz w:val="20"/>
          <w:szCs w:val="20"/>
        </w:rPr>
        <w:t>studies</w:t>
      </w:r>
      <w:proofErr w:type="gramEnd"/>
      <w:r>
        <w:rPr>
          <w:rFonts w:ascii="Times New Roman" w:eastAsia="Times New Roman" w:hAnsi="Times New Roman" w:cs="Times New Roman"/>
          <w:sz w:val="20"/>
          <w:szCs w:val="20"/>
        </w:rPr>
        <w:t xml:space="preserve"> and the fracture behaviour is straight forward. Full details are provided in </w:t>
      </w:r>
      <w:sdt>
        <w:sdtPr>
          <w:tag w:val="goog_rdk_4"/>
          <w:id w:val="491840628"/>
        </w:sdtPr>
        <w:sdtContent/>
      </w:sdt>
      <w:sdt>
        <w:sdtPr>
          <w:tag w:val="goog_rdk_5"/>
          <w:id w:val="-1340540766"/>
        </w:sdtPr>
        <w:sdtContent/>
      </w:sdt>
      <w:sdt>
        <w:sdtPr>
          <w:tag w:val="goog_rdk_6"/>
          <w:id w:val="-774940539"/>
        </w:sdtPr>
        <w:sdtContent/>
      </w:sdt>
      <w:r w:rsidR="0042268C">
        <w:rPr>
          <w:rFonts w:ascii="Times New Roman" w:eastAsia="Times New Roman" w:hAnsi="Times New Roman" w:cs="Times New Roman"/>
          <w:sz w:val="20"/>
          <w:szCs w:val="20"/>
        </w:rPr>
        <w:t>Smith</w:t>
      </w:r>
      <w:r w:rsidR="00CD7A6A">
        <w:rPr>
          <w:rFonts w:ascii="Times New Roman" w:eastAsia="Times New Roman" w:hAnsi="Times New Roman" w:cs="Times New Roman"/>
          <w:sz w:val="20"/>
          <w:szCs w:val="20"/>
        </w:rPr>
        <w:t xml:space="preserve"> (</w:t>
      </w:r>
      <w:r w:rsidR="00DD6F3C">
        <w:rPr>
          <w:rFonts w:ascii="Times New Roman" w:eastAsia="Times New Roman" w:hAnsi="Times New Roman" w:cs="Times New Roman"/>
          <w:sz w:val="20"/>
          <w:szCs w:val="20"/>
        </w:rPr>
        <w:t>2021</w:t>
      </w:r>
      <w:r>
        <w:rPr>
          <w:rFonts w:ascii="Times New Roman" w:eastAsia="Times New Roman" w:hAnsi="Times New Roman" w:cs="Times New Roman"/>
          <w:sz w:val="20"/>
          <w:szCs w:val="20"/>
        </w:rPr>
        <w:t xml:space="preserve">).  It was hypothesized that the lower dimensionality of the FE DCB 9 model may demonstrate that selection of a less robust GSA method </w:t>
      </w:r>
      <w:r w:rsidR="00AD7AA6">
        <w:rPr>
          <w:rFonts w:ascii="Times New Roman" w:eastAsia="Times New Roman" w:hAnsi="Times New Roman" w:cs="Times New Roman"/>
          <w:sz w:val="20"/>
          <w:szCs w:val="20"/>
        </w:rPr>
        <w:t xml:space="preserve">allows a </w:t>
      </w:r>
      <w:r>
        <w:rPr>
          <w:rFonts w:ascii="Times New Roman" w:eastAsia="Times New Roman" w:hAnsi="Times New Roman" w:cs="Times New Roman"/>
          <w:sz w:val="20"/>
          <w:szCs w:val="20"/>
        </w:rPr>
        <w:t>reduc</w:t>
      </w:r>
      <w:r w:rsidR="00AD7AA6">
        <w:rPr>
          <w:rFonts w:ascii="Times New Roman" w:eastAsia="Times New Roman" w:hAnsi="Times New Roman" w:cs="Times New Roman"/>
          <w:sz w:val="20"/>
          <w:szCs w:val="20"/>
        </w:rPr>
        <w:t>tion in</w:t>
      </w:r>
      <w:r>
        <w:rPr>
          <w:rFonts w:ascii="Times New Roman" w:eastAsia="Times New Roman" w:hAnsi="Times New Roman" w:cs="Times New Roman"/>
          <w:sz w:val="20"/>
          <w:szCs w:val="20"/>
        </w:rPr>
        <w:t xml:space="preserve"> computational resource requirements while maintaining accuracy</w:t>
      </w:r>
      <w:r w:rsidR="006A324E">
        <w:rPr>
          <w:rFonts w:ascii="Times New Roman" w:eastAsia="Times New Roman" w:hAnsi="Times New Roman" w:cs="Times New Roman"/>
          <w:sz w:val="20"/>
          <w:szCs w:val="20"/>
        </w:rPr>
        <w:t xml:space="preserve"> as the problem is simpler</w:t>
      </w:r>
      <w:r>
        <w:rPr>
          <w:rFonts w:ascii="Times New Roman" w:eastAsia="Times New Roman" w:hAnsi="Times New Roman" w:cs="Times New Roman"/>
          <w:sz w:val="20"/>
          <w:szCs w:val="20"/>
        </w:rPr>
        <w:t>. The parameter ranges are provided in Table 3 as well as the parameter symbol</w:t>
      </w:r>
      <w:r w:rsidR="004E7A7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from the original paper. To test the capability of the GSA methods to encompass a larger parameter space relative to values, a range of  </w:t>
      </w:r>
      <m:oMath>
        <m:r>
          <w:rPr>
            <w:rFonts w:ascii="Cambria Math" w:eastAsia="Cambria Math" w:hAnsi="Cambria Math" w:cs="Cambria Math"/>
            <w:sz w:val="20"/>
            <w:szCs w:val="20"/>
          </w:rPr>
          <m:t>±30%</m:t>
        </m:r>
      </m:oMath>
      <w:r>
        <w:rPr>
          <w:rFonts w:ascii="Times New Roman" w:eastAsia="Times New Roman" w:hAnsi="Times New Roman" w:cs="Times New Roman"/>
          <w:sz w:val="20"/>
          <w:szCs w:val="20"/>
        </w:rPr>
        <w:t xml:space="preserve"> of the means (z-score of 3) was applied.</w:t>
      </w:r>
    </w:p>
    <w:p w14:paraId="000001D4" w14:textId="77777777" w:rsidR="00F87ED1" w:rsidRDefault="0008262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3. Parameter descriptions and ranges used in the FE DCB 9 model study.</w:t>
      </w:r>
    </w:p>
    <w:tbl>
      <w:tblPr>
        <w:tblStyle w:val="a1"/>
        <w:tblW w:w="7673" w:type="dxa"/>
        <w:jc w:val="center"/>
        <w:tblLayout w:type="fixed"/>
        <w:tblLook w:val="0400" w:firstRow="0" w:lastRow="0" w:firstColumn="0" w:lastColumn="0" w:noHBand="0" w:noVBand="1"/>
      </w:tblPr>
      <w:tblGrid>
        <w:gridCol w:w="1116"/>
        <w:gridCol w:w="2730"/>
        <w:gridCol w:w="961"/>
        <w:gridCol w:w="852"/>
        <w:gridCol w:w="1047"/>
        <w:gridCol w:w="967"/>
      </w:tblGrid>
      <w:tr w:rsidR="00DD0BE8" w14:paraId="1634C9DB"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D6"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Parameter Number </w:t>
            </w:r>
          </w:p>
        </w:tc>
        <w:tc>
          <w:tcPr>
            <w:tcW w:w="2730" w:type="dxa"/>
            <w:tcBorders>
              <w:top w:val="single" w:sz="4" w:space="0" w:color="000000"/>
              <w:left w:val="nil"/>
              <w:bottom w:val="single" w:sz="4" w:space="0" w:color="000000"/>
              <w:right w:val="single" w:sz="4" w:space="0" w:color="000000"/>
            </w:tcBorders>
            <w:shd w:val="clear" w:color="auto" w:fill="auto"/>
            <w:vAlign w:val="center"/>
          </w:tcPr>
          <w:p w14:paraId="000001D7"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Description </w:t>
            </w:r>
          </w:p>
        </w:tc>
        <w:tc>
          <w:tcPr>
            <w:tcW w:w="961" w:type="dxa"/>
            <w:tcBorders>
              <w:top w:val="single" w:sz="4" w:space="0" w:color="000000"/>
              <w:left w:val="nil"/>
              <w:bottom w:val="single" w:sz="4" w:space="0" w:color="000000"/>
              <w:right w:val="single" w:sz="4" w:space="0" w:color="000000"/>
            </w:tcBorders>
            <w:shd w:val="clear" w:color="auto" w:fill="auto"/>
            <w:vAlign w:val="center"/>
          </w:tcPr>
          <w:p w14:paraId="000001D8"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Units </w:t>
            </w:r>
          </w:p>
        </w:tc>
        <w:tc>
          <w:tcPr>
            <w:tcW w:w="852" w:type="dxa"/>
            <w:tcBorders>
              <w:top w:val="single" w:sz="4" w:space="0" w:color="000000"/>
              <w:left w:val="nil"/>
              <w:bottom w:val="single" w:sz="4" w:space="0" w:color="000000"/>
              <w:right w:val="single" w:sz="4" w:space="0" w:color="000000"/>
            </w:tcBorders>
            <w:shd w:val="clear" w:color="auto" w:fill="auto"/>
            <w:vAlign w:val="center"/>
          </w:tcPr>
          <w:p w14:paraId="000001D9"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Min. Value</w:t>
            </w:r>
          </w:p>
        </w:tc>
        <w:tc>
          <w:tcPr>
            <w:tcW w:w="1047" w:type="dxa"/>
            <w:tcBorders>
              <w:top w:val="single" w:sz="4" w:space="0" w:color="000000"/>
              <w:left w:val="nil"/>
              <w:bottom w:val="nil"/>
              <w:right w:val="single" w:sz="4" w:space="0" w:color="000000"/>
            </w:tcBorders>
            <w:shd w:val="clear" w:color="auto" w:fill="auto"/>
            <w:vAlign w:val="center"/>
          </w:tcPr>
          <w:p w14:paraId="000001DA"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Mean Value </w:t>
            </w:r>
          </w:p>
        </w:tc>
        <w:tc>
          <w:tcPr>
            <w:tcW w:w="967" w:type="dxa"/>
            <w:tcBorders>
              <w:top w:val="single" w:sz="4" w:space="0" w:color="000000"/>
              <w:left w:val="nil"/>
              <w:bottom w:val="nil"/>
              <w:right w:val="single" w:sz="4" w:space="0" w:color="000000"/>
            </w:tcBorders>
            <w:shd w:val="clear" w:color="auto" w:fill="auto"/>
            <w:vAlign w:val="center"/>
          </w:tcPr>
          <w:p w14:paraId="000001DB"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Max Value </w:t>
            </w:r>
          </w:p>
        </w:tc>
      </w:tr>
      <w:tr w:rsidR="00DD0BE8" w14:paraId="02309D25"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D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X0</w:t>
            </w:r>
          </w:p>
        </w:tc>
        <w:tc>
          <w:tcPr>
            <w:tcW w:w="2730" w:type="dxa"/>
            <w:tcBorders>
              <w:top w:val="nil"/>
              <w:left w:val="nil"/>
              <w:bottom w:val="single" w:sz="4" w:space="0" w:color="000000"/>
              <w:right w:val="single" w:sz="4" w:space="0" w:color="000000"/>
            </w:tcBorders>
            <w:shd w:val="clear" w:color="auto" w:fill="auto"/>
            <w:vAlign w:val="center"/>
          </w:tcPr>
          <w:p w14:paraId="000001D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Al</w:t>
            </w:r>
          </w:p>
        </w:tc>
        <w:tc>
          <w:tcPr>
            <w:tcW w:w="961" w:type="dxa"/>
            <w:tcBorders>
              <w:top w:val="nil"/>
              <w:left w:val="nil"/>
              <w:bottom w:val="single" w:sz="4" w:space="0" w:color="000000"/>
              <w:right w:val="single" w:sz="4" w:space="0" w:color="000000"/>
            </w:tcBorders>
            <w:shd w:val="clear" w:color="auto" w:fill="auto"/>
            <w:vAlign w:val="center"/>
          </w:tcPr>
          <w:p w14:paraId="000001D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1E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49700</w:t>
            </w:r>
          </w:p>
        </w:tc>
        <w:tc>
          <w:tcPr>
            <w:tcW w:w="1047" w:type="dxa"/>
            <w:tcBorders>
              <w:top w:val="single" w:sz="4" w:space="0" w:color="000000"/>
              <w:left w:val="nil"/>
              <w:bottom w:val="single" w:sz="4" w:space="0" w:color="000000"/>
              <w:right w:val="single" w:sz="4" w:space="0" w:color="000000"/>
            </w:tcBorders>
            <w:shd w:val="clear" w:color="auto" w:fill="auto"/>
            <w:vAlign w:val="center"/>
          </w:tcPr>
          <w:p w14:paraId="000001E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71000</w:t>
            </w:r>
          </w:p>
        </w:tc>
        <w:tc>
          <w:tcPr>
            <w:tcW w:w="967" w:type="dxa"/>
            <w:tcBorders>
              <w:top w:val="single" w:sz="4" w:space="0" w:color="000000"/>
              <w:left w:val="nil"/>
              <w:bottom w:val="single" w:sz="4" w:space="0" w:color="000000"/>
              <w:right w:val="single" w:sz="4" w:space="0" w:color="000000"/>
            </w:tcBorders>
            <w:shd w:val="clear" w:color="auto" w:fill="auto"/>
            <w:vAlign w:val="center"/>
          </w:tcPr>
          <w:p w14:paraId="000001E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92300</w:t>
            </w:r>
          </w:p>
        </w:tc>
      </w:tr>
      <w:tr w:rsidR="00DD0BE8" w14:paraId="1E094BF7"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E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w:t>
            </w:r>
          </w:p>
        </w:tc>
        <w:tc>
          <w:tcPr>
            <w:tcW w:w="2730" w:type="dxa"/>
            <w:tcBorders>
              <w:top w:val="nil"/>
              <w:left w:val="nil"/>
              <w:bottom w:val="single" w:sz="4" w:space="0" w:color="000000"/>
              <w:right w:val="single" w:sz="4" w:space="0" w:color="000000"/>
            </w:tcBorders>
            <w:shd w:val="clear" w:color="auto" w:fill="auto"/>
            <w:vAlign w:val="center"/>
          </w:tcPr>
          <w:p w14:paraId="000001E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Poisson’s Ratio Al</w:t>
            </w:r>
          </w:p>
        </w:tc>
        <w:tc>
          <w:tcPr>
            <w:tcW w:w="961" w:type="dxa"/>
            <w:tcBorders>
              <w:top w:val="nil"/>
              <w:left w:val="nil"/>
              <w:bottom w:val="single" w:sz="4" w:space="0" w:color="000000"/>
              <w:right w:val="single" w:sz="4" w:space="0" w:color="000000"/>
            </w:tcBorders>
            <w:shd w:val="clear" w:color="auto" w:fill="auto"/>
            <w:vAlign w:val="center"/>
          </w:tcPr>
          <w:p w14:paraId="000001E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52" w:type="dxa"/>
            <w:tcBorders>
              <w:top w:val="nil"/>
              <w:left w:val="nil"/>
              <w:bottom w:val="single" w:sz="4" w:space="0" w:color="000000"/>
              <w:right w:val="single" w:sz="4" w:space="0" w:color="000000"/>
            </w:tcBorders>
            <w:shd w:val="clear" w:color="auto" w:fill="auto"/>
            <w:vAlign w:val="center"/>
          </w:tcPr>
          <w:p w14:paraId="000001E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0.231</w:t>
            </w:r>
          </w:p>
        </w:tc>
        <w:tc>
          <w:tcPr>
            <w:tcW w:w="1047" w:type="dxa"/>
            <w:tcBorders>
              <w:top w:val="nil"/>
              <w:left w:val="nil"/>
              <w:bottom w:val="single" w:sz="4" w:space="0" w:color="000000"/>
              <w:right w:val="single" w:sz="4" w:space="0" w:color="000000"/>
            </w:tcBorders>
            <w:shd w:val="clear" w:color="auto" w:fill="auto"/>
            <w:vAlign w:val="center"/>
          </w:tcPr>
          <w:p w14:paraId="000001E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0.33</w:t>
            </w:r>
          </w:p>
        </w:tc>
        <w:tc>
          <w:tcPr>
            <w:tcW w:w="967" w:type="dxa"/>
            <w:tcBorders>
              <w:top w:val="nil"/>
              <w:left w:val="nil"/>
              <w:bottom w:val="single" w:sz="4" w:space="0" w:color="000000"/>
              <w:right w:val="single" w:sz="4" w:space="0" w:color="000000"/>
            </w:tcBorders>
            <w:shd w:val="clear" w:color="auto" w:fill="auto"/>
            <w:vAlign w:val="center"/>
          </w:tcPr>
          <w:p w14:paraId="000001E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0.429</w:t>
            </w:r>
          </w:p>
        </w:tc>
      </w:tr>
      <w:tr w:rsidR="00DD0BE8" w14:paraId="65B40D0F"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E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w:t>
            </w:r>
          </w:p>
        </w:tc>
        <w:tc>
          <w:tcPr>
            <w:tcW w:w="2730" w:type="dxa"/>
            <w:tcBorders>
              <w:top w:val="nil"/>
              <w:left w:val="nil"/>
              <w:bottom w:val="single" w:sz="4" w:space="0" w:color="000000"/>
              <w:right w:val="single" w:sz="4" w:space="0" w:color="000000"/>
            </w:tcBorders>
            <w:shd w:val="clear" w:color="auto" w:fill="auto"/>
            <w:vAlign w:val="center"/>
          </w:tcPr>
          <w:p w14:paraId="000001E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Youngs Modulus Cohesive Resin (CR)</w:t>
            </w:r>
          </w:p>
        </w:tc>
        <w:tc>
          <w:tcPr>
            <w:tcW w:w="961" w:type="dxa"/>
            <w:tcBorders>
              <w:top w:val="nil"/>
              <w:left w:val="nil"/>
              <w:bottom w:val="single" w:sz="4" w:space="0" w:color="000000"/>
              <w:right w:val="single" w:sz="4" w:space="0" w:color="000000"/>
            </w:tcBorders>
            <w:shd w:val="clear" w:color="auto" w:fill="auto"/>
            <w:vAlign w:val="center"/>
          </w:tcPr>
          <w:p w14:paraId="000001E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1E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1148</w:t>
            </w:r>
          </w:p>
        </w:tc>
        <w:tc>
          <w:tcPr>
            <w:tcW w:w="1047" w:type="dxa"/>
            <w:tcBorders>
              <w:top w:val="nil"/>
              <w:left w:val="nil"/>
              <w:bottom w:val="single" w:sz="4" w:space="0" w:color="000000"/>
              <w:right w:val="single" w:sz="4" w:space="0" w:color="000000"/>
            </w:tcBorders>
            <w:shd w:val="clear" w:color="auto" w:fill="auto"/>
            <w:vAlign w:val="center"/>
          </w:tcPr>
          <w:p w14:paraId="000001E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1640</w:t>
            </w:r>
          </w:p>
        </w:tc>
        <w:tc>
          <w:tcPr>
            <w:tcW w:w="967" w:type="dxa"/>
            <w:tcBorders>
              <w:top w:val="nil"/>
              <w:left w:val="nil"/>
              <w:bottom w:val="single" w:sz="4" w:space="0" w:color="000000"/>
              <w:right w:val="single" w:sz="4" w:space="0" w:color="000000"/>
            </w:tcBorders>
            <w:shd w:val="clear" w:color="auto" w:fill="auto"/>
            <w:vAlign w:val="center"/>
          </w:tcPr>
          <w:p w14:paraId="000001F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2132</w:t>
            </w:r>
          </w:p>
        </w:tc>
      </w:tr>
      <w:tr w:rsidR="00DD0BE8" w14:paraId="4765F07C"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F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X3</w:t>
            </w:r>
          </w:p>
        </w:tc>
        <w:tc>
          <w:tcPr>
            <w:tcW w:w="2730" w:type="dxa"/>
            <w:tcBorders>
              <w:top w:val="nil"/>
              <w:left w:val="nil"/>
              <w:bottom w:val="single" w:sz="4" w:space="0" w:color="000000"/>
              <w:right w:val="single" w:sz="4" w:space="0" w:color="000000"/>
            </w:tcBorders>
            <w:shd w:val="clear" w:color="auto" w:fill="auto"/>
            <w:vAlign w:val="center"/>
          </w:tcPr>
          <w:p w14:paraId="000001F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Shear Modulus Dir-1 CR</w:t>
            </w:r>
          </w:p>
        </w:tc>
        <w:tc>
          <w:tcPr>
            <w:tcW w:w="961" w:type="dxa"/>
            <w:tcBorders>
              <w:top w:val="nil"/>
              <w:left w:val="nil"/>
              <w:bottom w:val="single" w:sz="4" w:space="0" w:color="000000"/>
              <w:right w:val="single" w:sz="4" w:space="0" w:color="000000"/>
            </w:tcBorders>
            <w:shd w:val="clear" w:color="auto" w:fill="auto"/>
            <w:vAlign w:val="center"/>
          </w:tcPr>
          <w:p w14:paraId="000001F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1F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4417</w:t>
            </w:r>
          </w:p>
        </w:tc>
        <w:tc>
          <w:tcPr>
            <w:tcW w:w="1047" w:type="dxa"/>
            <w:tcBorders>
              <w:top w:val="nil"/>
              <w:left w:val="nil"/>
              <w:bottom w:val="single" w:sz="4" w:space="0" w:color="000000"/>
              <w:right w:val="single" w:sz="4" w:space="0" w:color="000000"/>
            </w:tcBorders>
            <w:shd w:val="clear" w:color="auto" w:fill="auto"/>
            <w:vAlign w:val="center"/>
          </w:tcPr>
          <w:p w14:paraId="000001F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6310</w:t>
            </w:r>
          </w:p>
        </w:tc>
        <w:tc>
          <w:tcPr>
            <w:tcW w:w="967" w:type="dxa"/>
            <w:tcBorders>
              <w:top w:val="nil"/>
              <w:left w:val="nil"/>
              <w:bottom w:val="single" w:sz="4" w:space="0" w:color="000000"/>
              <w:right w:val="single" w:sz="4" w:space="0" w:color="000000"/>
            </w:tcBorders>
            <w:shd w:val="clear" w:color="auto" w:fill="auto"/>
            <w:vAlign w:val="center"/>
          </w:tcPr>
          <w:p w14:paraId="000001F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8203</w:t>
            </w:r>
          </w:p>
        </w:tc>
      </w:tr>
      <w:tr w:rsidR="00DD0BE8" w14:paraId="2CC79E70"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1F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X4</w:t>
            </w:r>
          </w:p>
        </w:tc>
        <w:tc>
          <w:tcPr>
            <w:tcW w:w="2730" w:type="dxa"/>
            <w:tcBorders>
              <w:top w:val="nil"/>
              <w:left w:val="nil"/>
              <w:bottom w:val="single" w:sz="4" w:space="0" w:color="000000"/>
              <w:right w:val="single" w:sz="4" w:space="0" w:color="000000"/>
            </w:tcBorders>
            <w:shd w:val="clear" w:color="auto" w:fill="auto"/>
            <w:vAlign w:val="center"/>
          </w:tcPr>
          <w:p w14:paraId="000001F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Shear Modulus Dir-2 CR</w:t>
            </w:r>
          </w:p>
        </w:tc>
        <w:tc>
          <w:tcPr>
            <w:tcW w:w="961" w:type="dxa"/>
            <w:tcBorders>
              <w:top w:val="nil"/>
              <w:left w:val="nil"/>
              <w:bottom w:val="single" w:sz="4" w:space="0" w:color="000000"/>
              <w:right w:val="single" w:sz="4" w:space="0" w:color="000000"/>
            </w:tcBorders>
            <w:shd w:val="clear" w:color="auto" w:fill="auto"/>
            <w:vAlign w:val="center"/>
          </w:tcPr>
          <w:p w14:paraId="000001F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1F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4417</w:t>
            </w:r>
          </w:p>
        </w:tc>
        <w:tc>
          <w:tcPr>
            <w:tcW w:w="1047" w:type="dxa"/>
            <w:tcBorders>
              <w:top w:val="nil"/>
              <w:left w:val="nil"/>
              <w:bottom w:val="single" w:sz="4" w:space="0" w:color="000000"/>
              <w:right w:val="single" w:sz="4" w:space="0" w:color="000000"/>
            </w:tcBorders>
            <w:shd w:val="clear" w:color="auto" w:fill="auto"/>
            <w:vAlign w:val="center"/>
          </w:tcPr>
          <w:p w14:paraId="000001F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6310</w:t>
            </w:r>
          </w:p>
        </w:tc>
        <w:tc>
          <w:tcPr>
            <w:tcW w:w="967" w:type="dxa"/>
            <w:tcBorders>
              <w:top w:val="nil"/>
              <w:left w:val="nil"/>
              <w:bottom w:val="single" w:sz="4" w:space="0" w:color="000000"/>
              <w:right w:val="single" w:sz="4" w:space="0" w:color="000000"/>
            </w:tcBorders>
            <w:shd w:val="clear" w:color="auto" w:fill="auto"/>
            <w:vAlign w:val="center"/>
          </w:tcPr>
          <w:p w14:paraId="000001F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8203</w:t>
            </w:r>
          </w:p>
        </w:tc>
      </w:tr>
      <w:tr w:rsidR="00DD0BE8" w14:paraId="0115FCEB"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0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X5</w:t>
            </w:r>
          </w:p>
        </w:tc>
        <w:tc>
          <w:tcPr>
            <w:tcW w:w="2730" w:type="dxa"/>
            <w:tcBorders>
              <w:top w:val="nil"/>
              <w:left w:val="nil"/>
              <w:bottom w:val="single" w:sz="4" w:space="0" w:color="000000"/>
              <w:right w:val="single" w:sz="4" w:space="0" w:color="000000"/>
            </w:tcBorders>
            <w:shd w:val="clear" w:color="auto" w:fill="auto"/>
            <w:vAlign w:val="center"/>
          </w:tcPr>
          <w:p w14:paraId="0000020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Normal-only Mode CR</w:t>
            </w:r>
          </w:p>
        </w:tc>
        <w:tc>
          <w:tcPr>
            <w:tcW w:w="961" w:type="dxa"/>
            <w:tcBorders>
              <w:top w:val="nil"/>
              <w:left w:val="nil"/>
              <w:bottom w:val="single" w:sz="4" w:space="0" w:color="000000"/>
              <w:right w:val="single" w:sz="4" w:space="0" w:color="000000"/>
            </w:tcBorders>
            <w:shd w:val="clear" w:color="auto" w:fill="auto"/>
            <w:vAlign w:val="center"/>
          </w:tcPr>
          <w:p w14:paraId="0000020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20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48.3</w:t>
            </w:r>
          </w:p>
        </w:tc>
        <w:tc>
          <w:tcPr>
            <w:tcW w:w="1047" w:type="dxa"/>
            <w:tcBorders>
              <w:top w:val="nil"/>
              <w:left w:val="nil"/>
              <w:bottom w:val="single" w:sz="4" w:space="0" w:color="000000"/>
              <w:right w:val="single" w:sz="4" w:space="0" w:color="000000"/>
            </w:tcBorders>
            <w:shd w:val="clear" w:color="auto" w:fill="auto"/>
            <w:vAlign w:val="center"/>
          </w:tcPr>
          <w:p w14:paraId="0000020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w:t>
            </w:r>
          </w:p>
        </w:tc>
        <w:tc>
          <w:tcPr>
            <w:tcW w:w="967" w:type="dxa"/>
            <w:tcBorders>
              <w:top w:val="nil"/>
              <w:left w:val="nil"/>
              <w:bottom w:val="single" w:sz="4" w:space="0" w:color="000000"/>
              <w:right w:val="single" w:sz="4" w:space="0" w:color="000000"/>
            </w:tcBorders>
            <w:shd w:val="clear" w:color="auto" w:fill="auto"/>
            <w:vAlign w:val="center"/>
          </w:tcPr>
          <w:p w14:paraId="0000020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89.7</w:t>
            </w:r>
          </w:p>
        </w:tc>
      </w:tr>
      <w:tr w:rsidR="00DD0BE8" w14:paraId="439468C3"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0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X6</w:t>
            </w:r>
          </w:p>
        </w:tc>
        <w:tc>
          <w:tcPr>
            <w:tcW w:w="2730" w:type="dxa"/>
            <w:tcBorders>
              <w:top w:val="nil"/>
              <w:left w:val="nil"/>
              <w:bottom w:val="single" w:sz="4" w:space="0" w:color="000000"/>
              <w:right w:val="single" w:sz="4" w:space="0" w:color="000000"/>
            </w:tcBorders>
            <w:shd w:val="clear" w:color="auto" w:fill="auto"/>
            <w:vAlign w:val="center"/>
          </w:tcPr>
          <w:p w14:paraId="0000020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First Direction CR</w:t>
            </w:r>
          </w:p>
        </w:tc>
        <w:tc>
          <w:tcPr>
            <w:tcW w:w="961" w:type="dxa"/>
            <w:tcBorders>
              <w:top w:val="nil"/>
              <w:left w:val="nil"/>
              <w:bottom w:val="single" w:sz="4" w:space="0" w:color="000000"/>
              <w:right w:val="single" w:sz="4" w:space="0" w:color="000000"/>
            </w:tcBorders>
            <w:shd w:val="clear" w:color="auto" w:fill="auto"/>
            <w:vAlign w:val="center"/>
          </w:tcPr>
          <w:p w14:paraId="0000020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20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1047" w:type="dxa"/>
            <w:tcBorders>
              <w:top w:val="nil"/>
              <w:left w:val="nil"/>
              <w:bottom w:val="single" w:sz="4" w:space="0" w:color="000000"/>
              <w:right w:val="single" w:sz="4" w:space="0" w:color="000000"/>
            </w:tcBorders>
            <w:shd w:val="clear" w:color="auto" w:fill="auto"/>
            <w:vAlign w:val="center"/>
          </w:tcPr>
          <w:p w14:paraId="0000020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967" w:type="dxa"/>
            <w:tcBorders>
              <w:top w:val="nil"/>
              <w:left w:val="nil"/>
              <w:bottom w:val="single" w:sz="4" w:space="0" w:color="000000"/>
              <w:right w:val="single" w:sz="4" w:space="0" w:color="000000"/>
            </w:tcBorders>
            <w:shd w:val="clear" w:color="auto" w:fill="auto"/>
            <w:vAlign w:val="center"/>
          </w:tcPr>
          <w:p w14:paraId="0000020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r>
      <w:tr w:rsidR="00DD0BE8" w14:paraId="2F83CCD2"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0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X7</w:t>
            </w:r>
          </w:p>
        </w:tc>
        <w:tc>
          <w:tcPr>
            <w:tcW w:w="2730" w:type="dxa"/>
            <w:tcBorders>
              <w:top w:val="nil"/>
              <w:left w:val="nil"/>
              <w:bottom w:val="single" w:sz="4" w:space="0" w:color="000000"/>
              <w:right w:val="single" w:sz="4" w:space="0" w:color="000000"/>
            </w:tcBorders>
            <w:shd w:val="clear" w:color="auto" w:fill="auto"/>
            <w:vAlign w:val="center"/>
          </w:tcPr>
          <w:p w14:paraId="0000020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Nominal Stress Second Direction CR</w:t>
            </w:r>
          </w:p>
        </w:tc>
        <w:tc>
          <w:tcPr>
            <w:tcW w:w="961" w:type="dxa"/>
            <w:tcBorders>
              <w:top w:val="nil"/>
              <w:left w:val="nil"/>
              <w:bottom w:val="single" w:sz="4" w:space="0" w:color="000000"/>
              <w:right w:val="single" w:sz="4" w:space="0" w:color="000000"/>
            </w:tcBorders>
            <w:shd w:val="clear" w:color="auto" w:fill="auto"/>
            <w:vAlign w:val="center"/>
          </w:tcPr>
          <w:p w14:paraId="0000021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MPa</w:t>
            </w:r>
          </w:p>
        </w:tc>
        <w:tc>
          <w:tcPr>
            <w:tcW w:w="852" w:type="dxa"/>
            <w:tcBorders>
              <w:top w:val="nil"/>
              <w:left w:val="nil"/>
              <w:bottom w:val="single" w:sz="4" w:space="0" w:color="000000"/>
              <w:right w:val="single" w:sz="4" w:space="0" w:color="000000"/>
            </w:tcBorders>
            <w:shd w:val="clear" w:color="auto" w:fill="auto"/>
            <w:vAlign w:val="center"/>
          </w:tcPr>
          <w:p w14:paraId="0000021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1047" w:type="dxa"/>
            <w:tcBorders>
              <w:top w:val="nil"/>
              <w:left w:val="nil"/>
              <w:bottom w:val="single" w:sz="4" w:space="0" w:color="000000"/>
              <w:right w:val="single" w:sz="4" w:space="0" w:color="000000"/>
            </w:tcBorders>
            <w:shd w:val="clear" w:color="auto" w:fill="auto"/>
            <w:vAlign w:val="center"/>
          </w:tcPr>
          <w:p w14:paraId="0000021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967" w:type="dxa"/>
            <w:tcBorders>
              <w:top w:val="nil"/>
              <w:left w:val="nil"/>
              <w:bottom w:val="single" w:sz="4" w:space="0" w:color="000000"/>
              <w:right w:val="single" w:sz="4" w:space="0" w:color="000000"/>
            </w:tcBorders>
            <w:shd w:val="clear" w:color="auto" w:fill="auto"/>
            <w:vAlign w:val="center"/>
          </w:tcPr>
          <w:p w14:paraId="0000021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r>
      <w:tr w:rsidR="00DD0BE8" w14:paraId="6E555A45" w14:textId="77777777" w:rsidTr="00DD0BE8">
        <w:trPr>
          <w:cantSplit/>
          <w:trHeight w:val="315"/>
          <w:jc w:val="center"/>
        </w:trPr>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1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X8</w:t>
            </w:r>
          </w:p>
        </w:tc>
        <w:tc>
          <w:tcPr>
            <w:tcW w:w="2730" w:type="dxa"/>
            <w:tcBorders>
              <w:top w:val="nil"/>
              <w:left w:val="nil"/>
              <w:bottom w:val="single" w:sz="4" w:space="0" w:color="000000"/>
              <w:right w:val="single" w:sz="4" w:space="0" w:color="000000"/>
            </w:tcBorders>
            <w:shd w:val="clear" w:color="auto" w:fill="auto"/>
            <w:vAlign w:val="center"/>
          </w:tcPr>
          <w:p w14:paraId="0000021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Normal Mode Fracture Energy CR</w:t>
            </w:r>
          </w:p>
        </w:tc>
        <w:tc>
          <w:tcPr>
            <w:tcW w:w="961" w:type="dxa"/>
            <w:tcBorders>
              <w:top w:val="nil"/>
              <w:left w:val="nil"/>
              <w:bottom w:val="single" w:sz="4" w:space="0" w:color="000000"/>
              <w:right w:val="single" w:sz="4" w:space="0" w:color="000000"/>
            </w:tcBorders>
            <w:shd w:val="clear" w:color="auto" w:fill="auto"/>
            <w:vAlign w:val="center"/>
          </w:tcPr>
          <w:p w14:paraId="0000021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N-m/m^2</w:t>
            </w:r>
          </w:p>
        </w:tc>
        <w:tc>
          <w:tcPr>
            <w:tcW w:w="852" w:type="dxa"/>
            <w:tcBorders>
              <w:top w:val="nil"/>
              <w:left w:val="nil"/>
              <w:bottom w:val="single" w:sz="4" w:space="0" w:color="000000"/>
              <w:right w:val="single" w:sz="4" w:space="0" w:color="000000"/>
            </w:tcBorders>
            <w:shd w:val="clear" w:color="auto" w:fill="auto"/>
            <w:vAlign w:val="center"/>
          </w:tcPr>
          <w:p w14:paraId="0000021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0.42</w:t>
            </w:r>
          </w:p>
        </w:tc>
        <w:tc>
          <w:tcPr>
            <w:tcW w:w="1047" w:type="dxa"/>
            <w:tcBorders>
              <w:top w:val="nil"/>
              <w:left w:val="nil"/>
              <w:bottom w:val="single" w:sz="4" w:space="0" w:color="000000"/>
              <w:right w:val="single" w:sz="4" w:space="0" w:color="000000"/>
            </w:tcBorders>
            <w:shd w:val="clear" w:color="auto" w:fill="auto"/>
            <w:vAlign w:val="center"/>
          </w:tcPr>
          <w:p w14:paraId="0000021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w:t>
            </w:r>
          </w:p>
        </w:tc>
        <w:tc>
          <w:tcPr>
            <w:tcW w:w="967" w:type="dxa"/>
            <w:tcBorders>
              <w:top w:val="nil"/>
              <w:left w:val="nil"/>
              <w:bottom w:val="single" w:sz="4" w:space="0" w:color="000000"/>
              <w:right w:val="single" w:sz="4" w:space="0" w:color="000000"/>
            </w:tcBorders>
            <w:shd w:val="clear" w:color="auto" w:fill="auto"/>
            <w:vAlign w:val="center"/>
          </w:tcPr>
          <w:p w14:paraId="0000021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0.78</w:t>
            </w:r>
          </w:p>
        </w:tc>
      </w:tr>
    </w:tbl>
    <w:p w14:paraId="0000021B" w14:textId="77777777" w:rsidR="00F87ED1" w:rsidRDefault="00F87ED1">
      <w:pPr>
        <w:rPr>
          <w:rFonts w:ascii="Times New Roman" w:eastAsia="Times New Roman" w:hAnsi="Times New Roman" w:cs="Times New Roman"/>
          <w:b/>
          <w:sz w:val="24"/>
          <w:szCs w:val="24"/>
        </w:rPr>
      </w:pPr>
    </w:p>
    <w:p w14:paraId="0000021C" w14:textId="77777777" w:rsidR="00F87ED1" w:rsidRPr="001E3E54" w:rsidRDefault="00082627">
      <w:pPr>
        <w:spacing w:after="0"/>
        <w:rPr>
          <w:rFonts w:ascii="Times New Roman" w:eastAsia="Times New Roman" w:hAnsi="Times New Roman" w:cs="Times New Roman"/>
          <w:b/>
          <w:color w:val="002060"/>
          <w:sz w:val="20"/>
          <w:szCs w:val="20"/>
        </w:rPr>
      </w:pPr>
      <w:r w:rsidRPr="001E3E54">
        <w:rPr>
          <w:rFonts w:ascii="Times New Roman" w:eastAsia="Times New Roman" w:hAnsi="Times New Roman" w:cs="Times New Roman"/>
          <w:b/>
          <w:color w:val="002060"/>
          <w:sz w:val="20"/>
          <w:szCs w:val="20"/>
        </w:rPr>
        <w:t>3.1.3 PD Uniaxial Tensile Test (PD Uniaxial 18)</w:t>
      </w:r>
    </w:p>
    <w:p w14:paraId="0000021D" w14:textId="6F14AFA1"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w:t>
      </w:r>
      <w:proofErr w:type="gramStart"/>
      <w:r>
        <w:rPr>
          <w:rFonts w:ascii="Times New Roman" w:eastAsia="Times New Roman" w:hAnsi="Times New Roman" w:cs="Times New Roman"/>
          <w:sz w:val="20"/>
          <w:szCs w:val="20"/>
        </w:rPr>
        <w:t>18 parameter</w:t>
      </w:r>
      <w:proofErr w:type="gramEnd"/>
      <w:r>
        <w:rPr>
          <w:rFonts w:ascii="Times New Roman" w:eastAsia="Times New Roman" w:hAnsi="Times New Roman" w:cs="Times New Roman"/>
          <w:sz w:val="20"/>
          <w:szCs w:val="20"/>
        </w:rPr>
        <w:t xml:space="preserve"> microscale model predicts the Young’s modulus of a zirconium diboride (ZrB2) tensile specimen as a function of porosity using PD to test the GSA methods on a distinctly different methodology and size scale than the FE case studies. The model was </w:t>
      </w:r>
      <w:r w:rsidR="009F086B">
        <w:rPr>
          <w:rFonts w:ascii="Times New Roman" w:eastAsia="Times New Roman" w:hAnsi="Times New Roman" w:cs="Times New Roman"/>
          <w:sz w:val="20"/>
          <w:szCs w:val="20"/>
        </w:rPr>
        <w:t>re</w:t>
      </w:r>
      <w:r>
        <w:rPr>
          <w:rFonts w:ascii="Times New Roman" w:eastAsia="Times New Roman" w:hAnsi="Times New Roman" w:cs="Times New Roman"/>
          <w:sz w:val="20"/>
          <w:szCs w:val="20"/>
        </w:rPr>
        <w:t>created based on a problem from the literature (Guo, Kagawa, Nishimura, &amp; Tanaka, 2008) and was validated using all four of the reported specimens with varied void density (Fig. 1). The mean parameter values provided in Table 4 are the arithmetic means of the input to the 4 validation models</w:t>
      </w:r>
      <w:r w:rsidR="004B0CD9">
        <w:rPr>
          <w:rFonts w:ascii="Times New Roman" w:eastAsia="Times New Roman" w:hAnsi="Times New Roman" w:cs="Times New Roman"/>
          <w:sz w:val="20"/>
          <w:szCs w:val="20"/>
        </w:rPr>
        <w:t xml:space="preserve"> and the data range was </w:t>
      </w:r>
      <m:oMath>
        <m:r>
          <w:rPr>
            <w:rFonts w:ascii="Cambria Math" w:eastAsia="Cambria Math" w:hAnsi="Cambria Math" w:cs="Cambria Math"/>
            <w:sz w:val="20"/>
            <w:szCs w:val="20"/>
          </w:rPr>
          <m:t>±20%</m:t>
        </m:r>
      </m:oMath>
      <w:r w:rsidR="004B0CD9">
        <w:rPr>
          <w:rFonts w:ascii="Times New Roman" w:eastAsia="Times New Roman" w:hAnsi="Times New Roman" w:cs="Times New Roman"/>
          <w:sz w:val="20"/>
          <w:szCs w:val="20"/>
        </w:rPr>
        <w:t xml:space="preserve"> of this mean value</w:t>
      </w:r>
      <w:r>
        <w:rPr>
          <w:rFonts w:ascii="Times New Roman" w:eastAsia="Times New Roman" w:hAnsi="Times New Roman" w:cs="Times New Roman"/>
          <w:sz w:val="20"/>
          <w:szCs w:val="20"/>
        </w:rPr>
        <w:t xml:space="preserve">. The parameters reported as integers deviated from the </w:t>
      </w:r>
      <m:oMath>
        <m:r>
          <w:rPr>
            <w:rFonts w:ascii="Cambria Math" w:eastAsia="Cambria Math" w:hAnsi="Cambria Math" w:cs="Cambria Math"/>
            <w:sz w:val="20"/>
            <w:szCs w:val="20"/>
          </w:rPr>
          <m:t>±20%</m:t>
        </m:r>
      </m:oMath>
      <w:r>
        <w:rPr>
          <w:rFonts w:ascii="Times New Roman" w:eastAsia="Times New Roman" w:hAnsi="Times New Roman" w:cs="Times New Roman"/>
          <w:sz w:val="20"/>
          <w:szCs w:val="20"/>
        </w:rPr>
        <w:t xml:space="preserve"> ranges and were instead chosen to comply with the required format of the PD code. The minimum horizon value was based on Peridigm analysis requirements (Parks, 2012), and the maximum value was limited to 0.2 due to the rapidly increasing computational cost above this value. Note that </w:t>
      </w:r>
      <w:proofErr w:type="gramStart"/>
      <w:r>
        <w:rPr>
          <w:rFonts w:ascii="Times New Roman" w:eastAsia="Times New Roman" w:hAnsi="Times New Roman" w:cs="Times New Roman"/>
          <w:sz w:val="20"/>
          <w:szCs w:val="20"/>
        </w:rPr>
        <w:t>a majority of</w:t>
      </w:r>
      <w:proofErr w:type="gramEnd"/>
      <w:r>
        <w:rPr>
          <w:rFonts w:ascii="Times New Roman" w:eastAsia="Times New Roman" w:hAnsi="Times New Roman" w:cs="Times New Roman"/>
          <w:sz w:val="20"/>
          <w:szCs w:val="20"/>
        </w:rPr>
        <w:t xml:space="preserve"> the reported values in Table 4 lack units as the values were normalized to the scale of the model.</w:t>
      </w:r>
    </w:p>
    <w:p w14:paraId="0000021E" w14:textId="77777777" w:rsidR="00F87ED1" w:rsidRDefault="00082627">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w:t>
      </w:r>
      <w:r>
        <w:rPr>
          <w:rFonts w:ascii="Times New Roman" w:eastAsia="Times New Roman" w:hAnsi="Times New Roman" w:cs="Times New Roman"/>
          <w:sz w:val="20"/>
          <w:szCs w:val="20"/>
        </w:rPr>
        <w:t xml:space="preserve"> 4.</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Parameter descriptions and ranges used in the PD Uniaxial 18 model study.</w:t>
      </w:r>
    </w:p>
    <w:tbl>
      <w:tblPr>
        <w:tblStyle w:val="a2"/>
        <w:tblW w:w="8432" w:type="dxa"/>
        <w:jc w:val="center"/>
        <w:tblLayout w:type="fixed"/>
        <w:tblLook w:val="0400" w:firstRow="0" w:lastRow="0" w:firstColumn="0" w:lastColumn="0" w:noHBand="0" w:noVBand="1"/>
      </w:tblPr>
      <w:tblGrid>
        <w:gridCol w:w="1023"/>
        <w:gridCol w:w="3631"/>
        <w:gridCol w:w="781"/>
        <w:gridCol w:w="981"/>
        <w:gridCol w:w="1048"/>
        <w:gridCol w:w="968"/>
      </w:tblGrid>
      <w:tr w:rsidR="00DD0BE8" w14:paraId="5B74FBEE"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20"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Parameter Number </w:t>
            </w:r>
          </w:p>
        </w:tc>
        <w:tc>
          <w:tcPr>
            <w:tcW w:w="3631" w:type="dxa"/>
            <w:tcBorders>
              <w:top w:val="single" w:sz="4" w:space="0" w:color="000000"/>
              <w:left w:val="nil"/>
              <w:bottom w:val="single" w:sz="4" w:space="0" w:color="000000"/>
              <w:right w:val="single" w:sz="4" w:space="0" w:color="000000"/>
            </w:tcBorders>
            <w:shd w:val="clear" w:color="auto" w:fill="auto"/>
            <w:vAlign w:val="center"/>
          </w:tcPr>
          <w:p w14:paraId="00000221"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Description </w:t>
            </w:r>
          </w:p>
        </w:tc>
        <w:tc>
          <w:tcPr>
            <w:tcW w:w="781" w:type="dxa"/>
            <w:tcBorders>
              <w:top w:val="single" w:sz="4" w:space="0" w:color="000000"/>
              <w:left w:val="nil"/>
              <w:bottom w:val="single" w:sz="4" w:space="0" w:color="000000"/>
              <w:right w:val="single" w:sz="4" w:space="0" w:color="000000"/>
            </w:tcBorders>
            <w:shd w:val="clear" w:color="auto" w:fill="auto"/>
            <w:vAlign w:val="center"/>
          </w:tcPr>
          <w:p w14:paraId="00000222"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Units </w:t>
            </w:r>
          </w:p>
        </w:tc>
        <w:tc>
          <w:tcPr>
            <w:tcW w:w="981" w:type="dxa"/>
            <w:tcBorders>
              <w:top w:val="single" w:sz="4" w:space="0" w:color="000000"/>
              <w:left w:val="nil"/>
              <w:bottom w:val="single" w:sz="4" w:space="0" w:color="000000"/>
              <w:right w:val="single" w:sz="4" w:space="0" w:color="000000"/>
            </w:tcBorders>
            <w:shd w:val="clear" w:color="auto" w:fill="auto"/>
            <w:vAlign w:val="center"/>
          </w:tcPr>
          <w:p w14:paraId="00000223"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Min. Value </w:t>
            </w:r>
          </w:p>
        </w:tc>
        <w:tc>
          <w:tcPr>
            <w:tcW w:w="1048" w:type="dxa"/>
            <w:tcBorders>
              <w:top w:val="single" w:sz="4" w:space="0" w:color="000000"/>
              <w:left w:val="nil"/>
              <w:bottom w:val="nil"/>
              <w:right w:val="single" w:sz="4" w:space="0" w:color="000000"/>
            </w:tcBorders>
            <w:shd w:val="clear" w:color="auto" w:fill="auto"/>
            <w:vAlign w:val="center"/>
          </w:tcPr>
          <w:p w14:paraId="00000224"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Mean Value </w:t>
            </w:r>
          </w:p>
        </w:tc>
        <w:tc>
          <w:tcPr>
            <w:tcW w:w="968" w:type="dxa"/>
            <w:tcBorders>
              <w:top w:val="single" w:sz="4" w:space="0" w:color="000000"/>
              <w:left w:val="nil"/>
              <w:bottom w:val="nil"/>
              <w:right w:val="single" w:sz="4" w:space="0" w:color="000000"/>
            </w:tcBorders>
            <w:shd w:val="clear" w:color="auto" w:fill="auto"/>
            <w:vAlign w:val="center"/>
          </w:tcPr>
          <w:p w14:paraId="00000225" w14:textId="77777777" w:rsidR="00DD0BE8" w:rsidRDefault="00DD0BE8">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Max Value </w:t>
            </w:r>
          </w:p>
        </w:tc>
      </w:tr>
      <w:tr w:rsidR="00DD0BE8" w14:paraId="31F1C4D6"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2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X0</w:t>
            </w:r>
          </w:p>
        </w:tc>
        <w:tc>
          <w:tcPr>
            <w:tcW w:w="3631" w:type="dxa"/>
            <w:tcBorders>
              <w:top w:val="nil"/>
              <w:left w:val="nil"/>
              <w:bottom w:val="single" w:sz="4" w:space="0" w:color="000000"/>
              <w:right w:val="single" w:sz="4" w:space="0" w:color="000000"/>
            </w:tcBorders>
            <w:shd w:val="clear" w:color="auto" w:fill="auto"/>
            <w:vAlign w:val="center"/>
          </w:tcPr>
          <w:p w14:paraId="0000022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Point Volume (Normalized to Scale) </w:t>
            </w:r>
          </w:p>
        </w:tc>
        <w:tc>
          <w:tcPr>
            <w:tcW w:w="781" w:type="dxa"/>
            <w:tcBorders>
              <w:top w:val="nil"/>
              <w:left w:val="nil"/>
              <w:bottom w:val="single" w:sz="4" w:space="0" w:color="000000"/>
              <w:right w:val="single" w:sz="4" w:space="0" w:color="000000"/>
            </w:tcBorders>
            <w:shd w:val="clear" w:color="auto" w:fill="auto"/>
            <w:vAlign w:val="center"/>
          </w:tcPr>
          <w:p w14:paraId="0000022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2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1.90E-04</w:t>
            </w:r>
          </w:p>
        </w:tc>
        <w:tc>
          <w:tcPr>
            <w:tcW w:w="1048" w:type="dxa"/>
            <w:tcBorders>
              <w:top w:val="single" w:sz="4" w:space="0" w:color="000000"/>
              <w:left w:val="nil"/>
              <w:bottom w:val="single" w:sz="4" w:space="0" w:color="000000"/>
              <w:right w:val="single" w:sz="4" w:space="0" w:color="000000"/>
            </w:tcBorders>
            <w:shd w:val="clear" w:color="auto" w:fill="auto"/>
            <w:vAlign w:val="center"/>
          </w:tcPr>
          <w:p w14:paraId="0000022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2.38E-04</w:t>
            </w:r>
          </w:p>
        </w:tc>
        <w:tc>
          <w:tcPr>
            <w:tcW w:w="968" w:type="dxa"/>
            <w:tcBorders>
              <w:top w:val="single" w:sz="4" w:space="0" w:color="000000"/>
              <w:left w:val="nil"/>
              <w:bottom w:val="single" w:sz="4" w:space="0" w:color="000000"/>
              <w:right w:val="single" w:sz="4" w:space="0" w:color="000000"/>
            </w:tcBorders>
            <w:shd w:val="clear" w:color="auto" w:fill="auto"/>
            <w:vAlign w:val="center"/>
          </w:tcPr>
          <w:p w14:paraId="0000022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2.86E-04</w:t>
            </w:r>
          </w:p>
        </w:tc>
      </w:tr>
      <w:tr w:rsidR="00DD0BE8" w14:paraId="23190462"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2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w:t>
            </w:r>
          </w:p>
        </w:tc>
        <w:tc>
          <w:tcPr>
            <w:tcW w:w="3631" w:type="dxa"/>
            <w:tcBorders>
              <w:top w:val="nil"/>
              <w:left w:val="nil"/>
              <w:bottom w:val="single" w:sz="4" w:space="0" w:color="000000"/>
              <w:right w:val="single" w:sz="4" w:space="0" w:color="000000"/>
            </w:tcBorders>
            <w:shd w:val="clear" w:color="auto" w:fill="auto"/>
            <w:vAlign w:val="center"/>
          </w:tcPr>
          <w:p w14:paraId="0000022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Void Density </w:t>
            </w:r>
          </w:p>
        </w:tc>
        <w:tc>
          <w:tcPr>
            <w:tcW w:w="781" w:type="dxa"/>
            <w:tcBorders>
              <w:top w:val="nil"/>
              <w:left w:val="nil"/>
              <w:bottom w:val="single" w:sz="4" w:space="0" w:color="000000"/>
              <w:right w:val="single" w:sz="4" w:space="0" w:color="000000"/>
            </w:tcBorders>
            <w:shd w:val="clear" w:color="auto" w:fill="auto"/>
            <w:vAlign w:val="center"/>
          </w:tcPr>
          <w:p w14:paraId="0000023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3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0.04</w:t>
            </w:r>
          </w:p>
        </w:tc>
        <w:tc>
          <w:tcPr>
            <w:tcW w:w="1048" w:type="dxa"/>
            <w:tcBorders>
              <w:top w:val="nil"/>
              <w:left w:val="nil"/>
              <w:bottom w:val="single" w:sz="4" w:space="0" w:color="000000"/>
              <w:right w:val="single" w:sz="4" w:space="0" w:color="000000"/>
            </w:tcBorders>
            <w:shd w:val="clear" w:color="auto" w:fill="auto"/>
            <w:vAlign w:val="center"/>
          </w:tcPr>
          <w:p w14:paraId="0000023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w:t>
            </w:r>
          </w:p>
        </w:tc>
        <w:tc>
          <w:tcPr>
            <w:tcW w:w="968" w:type="dxa"/>
            <w:tcBorders>
              <w:top w:val="nil"/>
              <w:left w:val="nil"/>
              <w:bottom w:val="single" w:sz="4" w:space="0" w:color="000000"/>
              <w:right w:val="single" w:sz="4" w:space="0" w:color="000000"/>
            </w:tcBorders>
            <w:shd w:val="clear" w:color="auto" w:fill="auto"/>
            <w:vAlign w:val="center"/>
          </w:tcPr>
          <w:p w14:paraId="0000023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w:t>
            </w:r>
          </w:p>
        </w:tc>
      </w:tr>
      <w:tr w:rsidR="00DD0BE8" w14:paraId="11C9F7C0"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3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X2</w:t>
            </w:r>
          </w:p>
        </w:tc>
        <w:tc>
          <w:tcPr>
            <w:tcW w:w="3631" w:type="dxa"/>
            <w:tcBorders>
              <w:top w:val="nil"/>
              <w:left w:val="nil"/>
              <w:bottom w:val="single" w:sz="4" w:space="0" w:color="000000"/>
              <w:right w:val="single" w:sz="4" w:space="0" w:color="000000"/>
            </w:tcBorders>
            <w:shd w:val="clear" w:color="auto" w:fill="auto"/>
            <w:vAlign w:val="center"/>
          </w:tcPr>
          <w:p w14:paraId="00000236"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 xml:space="preserve"> of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X-axis (Normalized to Scale)</w:t>
            </w:r>
          </w:p>
        </w:tc>
        <w:tc>
          <w:tcPr>
            <w:tcW w:w="781" w:type="dxa"/>
            <w:tcBorders>
              <w:top w:val="nil"/>
              <w:left w:val="nil"/>
              <w:bottom w:val="single" w:sz="4" w:space="0" w:color="000000"/>
              <w:right w:val="single" w:sz="4" w:space="0" w:color="000000"/>
            </w:tcBorders>
            <w:shd w:val="clear" w:color="auto" w:fill="auto"/>
            <w:vAlign w:val="center"/>
          </w:tcPr>
          <w:p w14:paraId="0000023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3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0.40</w:t>
            </w:r>
          </w:p>
        </w:tc>
        <w:tc>
          <w:tcPr>
            <w:tcW w:w="1048" w:type="dxa"/>
            <w:tcBorders>
              <w:top w:val="nil"/>
              <w:left w:val="nil"/>
              <w:bottom w:val="single" w:sz="4" w:space="0" w:color="000000"/>
              <w:right w:val="single" w:sz="4" w:space="0" w:color="000000"/>
            </w:tcBorders>
            <w:shd w:val="clear" w:color="auto" w:fill="auto"/>
            <w:vAlign w:val="center"/>
          </w:tcPr>
          <w:p w14:paraId="0000023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0.50</w:t>
            </w:r>
          </w:p>
        </w:tc>
        <w:tc>
          <w:tcPr>
            <w:tcW w:w="968" w:type="dxa"/>
            <w:tcBorders>
              <w:top w:val="nil"/>
              <w:left w:val="nil"/>
              <w:bottom w:val="single" w:sz="4" w:space="0" w:color="000000"/>
              <w:right w:val="single" w:sz="4" w:space="0" w:color="000000"/>
            </w:tcBorders>
            <w:shd w:val="clear" w:color="auto" w:fill="auto"/>
            <w:vAlign w:val="center"/>
          </w:tcPr>
          <w:p w14:paraId="0000023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0.60</w:t>
            </w:r>
          </w:p>
        </w:tc>
      </w:tr>
      <w:tr w:rsidR="00DD0BE8" w14:paraId="0C32338E"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3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X3</w:t>
            </w:r>
          </w:p>
        </w:tc>
        <w:tc>
          <w:tcPr>
            <w:tcW w:w="3631" w:type="dxa"/>
            <w:tcBorders>
              <w:top w:val="nil"/>
              <w:left w:val="nil"/>
              <w:bottom w:val="single" w:sz="4" w:space="0" w:color="000000"/>
              <w:right w:val="single" w:sz="4" w:space="0" w:color="000000"/>
            </w:tcBorders>
            <w:shd w:val="clear" w:color="auto" w:fill="auto"/>
            <w:vAlign w:val="center"/>
          </w:tcPr>
          <w:p w14:paraId="0000023D"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 xml:space="preserve"> of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Y-axis (Normalized to Scale)</w:t>
            </w:r>
          </w:p>
        </w:tc>
        <w:tc>
          <w:tcPr>
            <w:tcW w:w="781" w:type="dxa"/>
            <w:tcBorders>
              <w:top w:val="nil"/>
              <w:left w:val="nil"/>
              <w:bottom w:val="single" w:sz="4" w:space="0" w:color="000000"/>
              <w:right w:val="single" w:sz="4" w:space="0" w:color="000000"/>
            </w:tcBorders>
            <w:shd w:val="clear" w:color="auto" w:fill="auto"/>
            <w:vAlign w:val="center"/>
          </w:tcPr>
          <w:p w14:paraId="0000023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3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w:t>
            </w:r>
          </w:p>
        </w:tc>
        <w:tc>
          <w:tcPr>
            <w:tcW w:w="1048" w:type="dxa"/>
            <w:tcBorders>
              <w:top w:val="nil"/>
              <w:left w:val="nil"/>
              <w:bottom w:val="single" w:sz="4" w:space="0" w:color="000000"/>
              <w:right w:val="single" w:sz="4" w:space="0" w:color="000000"/>
            </w:tcBorders>
            <w:shd w:val="clear" w:color="auto" w:fill="auto"/>
            <w:vAlign w:val="center"/>
          </w:tcPr>
          <w:p w14:paraId="0000024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w:t>
            </w:r>
          </w:p>
        </w:tc>
        <w:tc>
          <w:tcPr>
            <w:tcW w:w="968" w:type="dxa"/>
            <w:tcBorders>
              <w:top w:val="nil"/>
              <w:left w:val="nil"/>
              <w:bottom w:val="single" w:sz="4" w:space="0" w:color="000000"/>
              <w:right w:val="single" w:sz="4" w:space="0" w:color="000000"/>
            </w:tcBorders>
            <w:shd w:val="clear" w:color="auto" w:fill="auto"/>
            <w:vAlign w:val="center"/>
          </w:tcPr>
          <w:p w14:paraId="0000024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w:t>
            </w:r>
          </w:p>
        </w:tc>
      </w:tr>
      <w:tr w:rsidR="00DD0BE8" w14:paraId="7CF087E7"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4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X4</w:t>
            </w:r>
          </w:p>
        </w:tc>
        <w:tc>
          <w:tcPr>
            <w:tcW w:w="3631" w:type="dxa"/>
            <w:tcBorders>
              <w:top w:val="nil"/>
              <w:left w:val="nil"/>
              <w:bottom w:val="single" w:sz="4" w:space="0" w:color="000000"/>
              <w:right w:val="single" w:sz="4" w:space="0" w:color="000000"/>
            </w:tcBorders>
            <w:shd w:val="clear" w:color="auto" w:fill="auto"/>
            <w:vAlign w:val="center"/>
          </w:tcPr>
          <w:p w14:paraId="00000244" w14:textId="77777777" w:rsidR="00DD0BE8" w:rsidRDefault="00DD0BE8">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 xml:space="preserve"> of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Z-axis (Normalized to Scale)</w:t>
            </w:r>
          </w:p>
        </w:tc>
        <w:tc>
          <w:tcPr>
            <w:tcW w:w="781" w:type="dxa"/>
            <w:tcBorders>
              <w:top w:val="nil"/>
              <w:left w:val="nil"/>
              <w:bottom w:val="single" w:sz="4" w:space="0" w:color="000000"/>
              <w:right w:val="single" w:sz="4" w:space="0" w:color="000000"/>
            </w:tcBorders>
            <w:shd w:val="clear" w:color="auto" w:fill="auto"/>
            <w:vAlign w:val="center"/>
          </w:tcPr>
          <w:p w14:paraId="0000024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4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0.40</w:t>
            </w:r>
          </w:p>
        </w:tc>
        <w:tc>
          <w:tcPr>
            <w:tcW w:w="1048" w:type="dxa"/>
            <w:tcBorders>
              <w:top w:val="nil"/>
              <w:left w:val="nil"/>
              <w:bottom w:val="single" w:sz="4" w:space="0" w:color="000000"/>
              <w:right w:val="single" w:sz="4" w:space="0" w:color="000000"/>
            </w:tcBorders>
            <w:shd w:val="clear" w:color="auto" w:fill="auto"/>
            <w:vAlign w:val="center"/>
          </w:tcPr>
          <w:p w14:paraId="0000024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0.50</w:t>
            </w:r>
          </w:p>
        </w:tc>
        <w:tc>
          <w:tcPr>
            <w:tcW w:w="968" w:type="dxa"/>
            <w:tcBorders>
              <w:top w:val="nil"/>
              <w:left w:val="nil"/>
              <w:bottom w:val="single" w:sz="4" w:space="0" w:color="000000"/>
              <w:right w:val="single" w:sz="4" w:space="0" w:color="000000"/>
            </w:tcBorders>
            <w:shd w:val="clear" w:color="auto" w:fill="auto"/>
            <w:vAlign w:val="center"/>
          </w:tcPr>
          <w:p w14:paraId="0000024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0.60</w:t>
            </w:r>
          </w:p>
        </w:tc>
      </w:tr>
      <w:tr w:rsidR="00DD0BE8" w14:paraId="329AA766"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4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X5</w:t>
            </w:r>
          </w:p>
        </w:tc>
        <w:tc>
          <w:tcPr>
            <w:tcW w:w="3631" w:type="dxa"/>
            <w:tcBorders>
              <w:top w:val="nil"/>
              <w:left w:val="nil"/>
              <w:bottom w:val="single" w:sz="4" w:space="0" w:color="000000"/>
              <w:right w:val="single" w:sz="4" w:space="0" w:color="000000"/>
            </w:tcBorders>
            <w:shd w:val="clear" w:color="auto" w:fill="auto"/>
            <w:vAlign w:val="center"/>
          </w:tcPr>
          <w:p w14:paraId="0000024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Mean Void Radius (Normalized to Scale)</w:t>
            </w:r>
          </w:p>
        </w:tc>
        <w:tc>
          <w:tcPr>
            <w:tcW w:w="781" w:type="dxa"/>
            <w:tcBorders>
              <w:top w:val="nil"/>
              <w:left w:val="nil"/>
              <w:bottom w:val="single" w:sz="4" w:space="0" w:color="000000"/>
              <w:right w:val="single" w:sz="4" w:space="0" w:color="000000"/>
            </w:tcBorders>
            <w:shd w:val="clear" w:color="auto" w:fill="auto"/>
            <w:vAlign w:val="center"/>
          </w:tcPr>
          <w:p w14:paraId="0000024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4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0.04</w:t>
            </w:r>
          </w:p>
        </w:tc>
        <w:tc>
          <w:tcPr>
            <w:tcW w:w="1048" w:type="dxa"/>
            <w:tcBorders>
              <w:top w:val="nil"/>
              <w:left w:val="nil"/>
              <w:bottom w:val="single" w:sz="4" w:space="0" w:color="000000"/>
              <w:right w:val="single" w:sz="4" w:space="0" w:color="000000"/>
            </w:tcBorders>
            <w:shd w:val="clear" w:color="auto" w:fill="auto"/>
            <w:vAlign w:val="center"/>
          </w:tcPr>
          <w:p w14:paraId="0000024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w:t>
            </w:r>
          </w:p>
        </w:tc>
        <w:tc>
          <w:tcPr>
            <w:tcW w:w="968" w:type="dxa"/>
            <w:tcBorders>
              <w:top w:val="nil"/>
              <w:left w:val="nil"/>
              <w:bottom w:val="single" w:sz="4" w:space="0" w:color="000000"/>
              <w:right w:val="single" w:sz="4" w:space="0" w:color="000000"/>
            </w:tcBorders>
            <w:shd w:val="clear" w:color="auto" w:fill="auto"/>
            <w:vAlign w:val="center"/>
          </w:tcPr>
          <w:p w14:paraId="0000024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w:t>
            </w:r>
          </w:p>
        </w:tc>
      </w:tr>
      <w:tr w:rsidR="00DD0BE8" w14:paraId="7214BEE8"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5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X6</w:t>
            </w:r>
          </w:p>
        </w:tc>
        <w:tc>
          <w:tcPr>
            <w:tcW w:w="3631" w:type="dxa"/>
            <w:tcBorders>
              <w:top w:val="nil"/>
              <w:left w:val="nil"/>
              <w:bottom w:val="single" w:sz="4" w:space="0" w:color="000000"/>
              <w:right w:val="single" w:sz="4" w:space="0" w:color="000000"/>
            </w:tcBorders>
            <w:shd w:val="clear" w:color="auto" w:fill="auto"/>
            <w:vAlign w:val="center"/>
          </w:tcPr>
          <w:p w14:paraId="0000025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Maximum Variation of Void Radius from Mean</w:t>
            </w:r>
          </w:p>
        </w:tc>
        <w:tc>
          <w:tcPr>
            <w:tcW w:w="781" w:type="dxa"/>
            <w:tcBorders>
              <w:top w:val="nil"/>
              <w:left w:val="nil"/>
              <w:bottom w:val="single" w:sz="4" w:space="0" w:color="000000"/>
              <w:right w:val="single" w:sz="4" w:space="0" w:color="000000"/>
            </w:tcBorders>
            <w:shd w:val="clear" w:color="auto" w:fill="auto"/>
            <w:vAlign w:val="center"/>
          </w:tcPr>
          <w:p w14:paraId="0000025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5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0.16</w:t>
            </w:r>
          </w:p>
        </w:tc>
        <w:tc>
          <w:tcPr>
            <w:tcW w:w="1048" w:type="dxa"/>
            <w:tcBorders>
              <w:top w:val="nil"/>
              <w:left w:val="nil"/>
              <w:bottom w:val="single" w:sz="4" w:space="0" w:color="000000"/>
              <w:right w:val="single" w:sz="4" w:space="0" w:color="000000"/>
            </w:tcBorders>
            <w:shd w:val="clear" w:color="auto" w:fill="auto"/>
            <w:vAlign w:val="center"/>
          </w:tcPr>
          <w:p w14:paraId="0000025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0.20</w:t>
            </w:r>
          </w:p>
        </w:tc>
        <w:tc>
          <w:tcPr>
            <w:tcW w:w="968" w:type="dxa"/>
            <w:tcBorders>
              <w:top w:val="nil"/>
              <w:left w:val="nil"/>
              <w:bottom w:val="single" w:sz="4" w:space="0" w:color="000000"/>
              <w:right w:val="single" w:sz="4" w:space="0" w:color="000000"/>
            </w:tcBorders>
            <w:shd w:val="clear" w:color="auto" w:fill="auto"/>
            <w:vAlign w:val="center"/>
          </w:tcPr>
          <w:p w14:paraId="0000025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0.24</w:t>
            </w:r>
          </w:p>
        </w:tc>
      </w:tr>
      <w:tr w:rsidR="00DD0BE8" w14:paraId="20ECB5BB"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5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X7</w:t>
            </w:r>
          </w:p>
        </w:tc>
        <w:tc>
          <w:tcPr>
            <w:tcW w:w="3631" w:type="dxa"/>
            <w:tcBorders>
              <w:top w:val="nil"/>
              <w:left w:val="nil"/>
              <w:bottom w:val="single" w:sz="4" w:space="0" w:color="000000"/>
              <w:right w:val="single" w:sz="4" w:space="0" w:color="000000"/>
            </w:tcBorders>
            <w:shd w:val="clear" w:color="auto" w:fill="auto"/>
            <w:vAlign w:val="center"/>
          </w:tcPr>
          <w:p w14:paraId="0000025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Void Convex Hull Discretization </w:t>
            </w:r>
          </w:p>
        </w:tc>
        <w:tc>
          <w:tcPr>
            <w:tcW w:w="781" w:type="dxa"/>
            <w:tcBorders>
              <w:top w:val="nil"/>
              <w:left w:val="nil"/>
              <w:bottom w:val="single" w:sz="4" w:space="0" w:color="000000"/>
              <w:right w:val="single" w:sz="4" w:space="0" w:color="000000"/>
            </w:tcBorders>
            <w:shd w:val="clear" w:color="auto" w:fill="auto"/>
            <w:vAlign w:val="center"/>
          </w:tcPr>
          <w:p w14:paraId="0000025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5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16.00</w:t>
            </w:r>
          </w:p>
        </w:tc>
        <w:tc>
          <w:tcPr>
            <w:tcW w:w="1048" w:type="dxa"/>
            <w:tcBorders>
              <w:top w:val="nil"/>
              <w:left w:val="nil"/>
              <w:bottom w:val="single" w:sz="4" w:space="0" w:color="000000"/>
              <w:right w:val="single" w:sz="4" w:space="0" w:color="000000"/>
            </w:tcBorders>
            <w:shd w:val="clear" w:color="auto" w:fill="auto"/>
            <w:vAlign w:val="center"/>
          </w:tcPr>
          <w:p w14:paraId="0000025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w:t>
            </w:r>
          </w:p>
        </w:tc>
        <w:tc>
          <w:tcPr>
            <w:tcW w:w="968" w:type="dxa"/>
            <w:tcBorders>
              <w:top w:val="nil"/>
              <w:left w:val="nil"/>
              <w:bottom w:val="single" w:sz="4" w:space="0" w:color="000000"/>
              <w:right w:val="single" w:sz="4" w:space="0" w:color="000000"/>
            </w:tcBorders>
            <w:shd w:val="clear" w:color="auto" w:fill="auto"/>
            <w:vAlign w:val="center"/>
          </w:tcPr>
          <w:p w14:paraId="0000025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24.00</w:t>
            </w:r>
          </w:p>
        </w:tc>
      </w:tr>
      <w:tr w:rsidR="00DD0BE8" w14:paraId="34048CB1"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5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X8</w:t>
            </w:r>
          </w:p>
        </w:tc>
        <w:tc>
          <w:tcPr>
            <w:tcW w:w="3631" w:type="dxa"/>
            <w:tcBorders>
              <w:top w:val="nil"/>
              <w:left w:val="nil"/>
              <w:bottom w:val="single" w:sz="4" w:space="0" w:color="000000"/>
              <w:right w:val="single" w:sz="4" w:space="0" w:color="000000"/>
            </w:tcBorders>
            <w:shd w:val="clear" w:color="auto" w:fill="auto"/>
            <w:vAlign w:val="center"/>
          </w:tcPr>
          <w:p w14:paraId="0000026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Standard Deviations for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X-axis </w:t>
            </w:r>
          </w:p>
        </w:tc>
        <w:tc>
          <w:tcPr>
            <w:tcW w:w="781" w:type="dxa"/>
            <w:tcBorders>
              <w:top w:val="nil"/>
              <w:left w:val="nil"/>
              <w:bottom w:val="single" w:sz="4" w:space="0" w:color="000000"/>
              <w:right w:val="single" w:sz="4" w:space="0" w:color="000000"/>
            </w:tcBorders>
            <w:shd w:val="clear" w:color="auto" w:fill="auto"/>
            <w:vAlign w:val="center"/>
          </w:tcPr>
          <w:p w14:paraId="0000026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6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8" w:type="dxa"/>
            <w:tcBorders>
              <w:top w:val="nil"/>
              <w:left w:val="nil"/>
              <w:bottom w:val="single" w:sz="4" w:space="0" w:color="000000"/>
              <w:right w:val="single" w:sz="4" w:space="0" w:color="000000"/>
            </w:tcBorders>
            <w:shd w:val="clear" w:color="auto" w:fill="auto"/>
            <w:vAlign w:val="center"/>
          </w:tcPr>
          <w:p w14:paraId="0000026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8" w:type="dxa"/>
            <w:tcBorders>
              <w:top w:val="nil"/>
              <w:left w:val="nil"/>
              <w:bottom w:val="single" w:sz="4" w:space="0" w:color="000000"/>
              <w:right w:val="single" w:sz="4" w:space="0" w:color="000000"/>
            </w:tcBorders>
            <w:shd w:val="clear" w:color="auto" w:fill="auto"/>
            <w:vAlign w:val="center"/>
          </w:tcPr>
          <w:p w14:paraId="0000026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D0BE8" w14:paraId="2D964043"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6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X9</w:t>
            </w:r>
          </w:p>
        </w:tc>
        <w:tc>
          <w:tcPr>
            <w:tcW w:w="3631" w:type="dxa"/>
            <w:tcBorders>
              <w:top w:val="nil"/>
              <w:left w:val="nil"/>
              <w:bottom w:val="single" w:sz="4" w:space="0" w:color="000000"/>
              <w:right w:val="single" w:sz="4" w:space="0" w:color="000000"/>
            </w:tcBorders>
            <w:shd w:val="clear" w:color="auto" w:fill="auto"/>
            <w:vAlign w:val="center"/>
          </w:tcPr>
          <w:p w14:paraId="0000026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Standard Deviations for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Y-axis </w:t>
            </w:r>
          </w:p>
        </w:tc>
        <w:tc>
          <w:tcPr>
            <w:tcW w:w="781" w:type="dxa"/>
            <w:tcBorders>
              <w:top w:val="nil"/>
              <w:left w:val="nil"/>
              <w:bottom w:val="single" w:sz="4" w:space="0" w:color="000000"/>
              <w:right w:val="single" w:sz="4" w:space="0" w:color="000000"/>
            </w:tcBorders>
            <w:shd w:val="clear" w:color="auto" w:fill="auto"/>
            <w:vAlign w:val="center"/>
          </w:tcPr>
          <w:p w14:paraId="0000026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6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8" w:type="dxa"/>
            <w:tcBorders>
              <w:top w:val="nil"/>
              <w:left w:val="nil"/>
              <w:bottom w:val="single" w:sz="4" w:space="0" w:color="000000"/>
              <w:right w:val="single" w:sz="4" w:space="0" w:color="000000"/>
            </w:tcBorders>
            <w:shd w:val="clear" w:color="auto" w:fill="auto"/>
            <w:vAlign w:val="center"/>
          </w:tcPr>
          <w:p w14:paraId="0000026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8" w:type="dxa"/>
            <w:tcBorders>
              <w:top w:val="nil"/>
              <w:left w:val="nil"/>
              <w:bottom w:val="single" w:sz="4" w:space="0" w:color="000000"/>
              <w:right w:val="single" w:sz="4" w:space="0" w:color="000000"/>
            </w:tcBorders>
            <w:shd w:val="clear" w:color="auto" w:fill="auto"/>
            <w:vAlign w:val="center"/>
          </w:tcPr>
          <w:p w14:paraId="0000026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D0BE8" w14:paraId="782C1BA2"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6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X10</w:t>
            </w:r>
          </w:p>
        </w:tc>
        <w:tc>
          <w:tcPr>
            <w:tcW w:w="3631" w:type="dxa"/>
            <w:tcBorders>
              <w:top w:val="nil"/>
              <w:left w:val="nil"/>
              <w:bottom w:val="single" w:sz="4" w:space="0" w:color="000000"/>
              <w:right w:val="single" w:sz="4" w:space="0" w:color="000000"/>
            </w:tcBorders>
            <w:shd w:val="clear" w:color="auto" w:fill="auto"/>
            <w:vAlign w:val="center"/>
          </w:tcPr>
          <w:p w14:paraId="0000026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Standard Deviations for Void </w:t>
            </w:r>
            <w:proofErr w:type="spellStart"/>
            <w:r>
              <w:rPr>
                <w:rFonts w:ascii="Times New Roman" w:eastAsia="Times New Roman" w:hAnsi="Times New Roman" w:cs="Times New Roman"/>
                <w:color w:val="000000"/>
                <w:sz w:val="16"/>
                <w:szCs w:val="16"/>
              </w:rPr>
              <w:t>Distrobution</w:t>
            </w:r>
            <w:proofErr w:type="spellEnd"/>
            <w:r>
              <w:rPr>
                <w:rFonts w:ascii="Times New Roman" w:eastAsia="Times New Roman" w:hAnsi="Times New Roman" w:cs="Times New Roman"/>
                <w:color w:val="000000"/>
                <w:sz w:val="16"/>
                <w:szCs w:val="16"/>
              </w:rPr>
              <w:t xml:space="preserve"> Z-axis </w:t>
            </w:r>
          </w:p>
        </w:tc>
        <w:tc>
          <w:tcPr>
            <w:tcW w:w="781" w:type="dxa"/>
            <w:tcBorders>
              <w:top w:val="nil"/>
              <w:left w:val="nil"/>
              <w:bottom w:val="single" w:sz="4" w:space="0" w:color="000000"/>
              <w:right w:val="single" w:sz="4" w:space="0" w:color="000000"/>
            </w:tcBorders>
            <w:shd w:val="clear" w:color="auto" w:fill="auto"/>
            <w:vAlign w:val="center"/>
          </w:tcPr>
          <w:p w14:paraId="0000026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7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8" w:type="dxa"/>
            <w:tcBorders>
              <w:top w:val="nil"/>
              <w:left w:val="nil"/>
              <w:bottom w:val="single" w:sz="4" w:space="0" w:color="000000"/>
              <w:right w:val="single" w:sz="4" w:space="0" w:color="000000"/>
            </w:tcBorders>
            <w:shd w:val="clear" w:color="auto" w:fill="auto"/>
            <w:vAlign w:val="center"/>
          </w:tcPr>
          <w:p w14:paraId="0000027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8" w:type="dxa"/>
            <w:tcBorders>
              <w:top w:val="nil"/>
              <w:left w:val="nil"/>
              <w:bottom w:val="single" w:sz="4" w:space="0" w:color="000000"/>
              <w:right w:val="single" w:sz="4" w:space="0" w:color="000000"/>
            </w:tcBorders>
            <w:shd w:val="clear" w:color="auto" w:fill="auto"/>
            <w:vAlign w:val="center"/>
          </w:tcPr>
          <w:p w14:paraId="0000027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D0BE8" w14:paraId="4F2D1920"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7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X11</w:t>
            </w:r>
          </w:p>
        </w:tc>
        <w:tc>
          <w:tcPr>
            <w:tcW w:w="3631" w:type="dxa"/>
            <w:tcBorders>
              <w:top w:val="nil"/>
              <w:left w:val="nil"/>
              <w:bottom w:val="single" w:sz="4" w:space="0" w:color="000000"/>
              <w:right w:val="single" w:sz="4" w:space="0" w:color="000000"/>
            </w:tcBorders>
            <w:shd w:val="clear" w:color="auto" w:fill="auto"/>
            <w:vAlign w:val="center"/>
          </w:tcPr>
          <w:p w14:paraId="0000027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Standard Deviations for Void Radius</w:t>
            </w:r>
          </w:p>
        </w:tc>
        <w:tc>
          <w:tcPr>
            <w:tcW w:w="781" w:type="dxa"/>
            <w:tcBorders>
              <w:top w:val="nil"/>
              <w:left w:val="nil"/>
              <w:bottom w:val="single" w:sz="4" w:space="0" w:color="000000"/>
              <w:right w:val="single" w:sz="4" w:space="0" w:color="000000"/>
            </w:tcBorders>
            <w:shd w:val="clear" w:color="auto" w:fill="auto"/>
            <w:vAlign w:val="center"/>
          </w:tcPr>
          <w:p w14:paraId="0000027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7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8" w:type="dxa"/>
            <w:tcBorders>
              <w:top w:val="nil"/>
              <w:left w:val="nil"/>
              <w:bottom w:val="single" w:sz="4" w:space="0" w:color="000000"/>
              <w:right w:val="single" w:sz="4" w:space="0" w:color="000000"/>
            </w:tcBorders>
            <w:shd w:val="clear" w:color="auto" w:fill="auto"/>
            <w:vAlign w:val="center"/>
          </w:tcPr>
          <w:p w14:paraId="0000027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8" w:type="dxa"/>
            <w:tcBorders>
              <w:top w:val="nil"/>
              <w:left w:val="nil"/>
              <w:bottom w:val="single" w:sz="4" w:space="0" w:color="000000"/>
              <w:right w:val="single" w:sz="4" w:space="0" w:color="000000"/>
            </w:tcBorders>
            <w:shd w:val="clear" w:color="auto" w:fill="auto"/>
            <w:vAlign w:val="center"/>
          </w:tcPr>
          <w:p w14:paraId="0000027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D0BE8" w14:paraId="1029C375"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7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X12</w:t>
            </w:r>
          </w:p>
        </w:tc>
        <w:tc>
          <w:tcPr>
            <w:tcW w:w="3631" w:type="dxa"/>
            <w:tcBorders>
              <w:top w:val="nil"/>
              <w:left w:val="nil"/>
              <w:bottom w:val="single" w:sz="4" w:space="0" w:color="000000"/>
              <w:right w:val="single" w:sz="4" w:space="0" w:color="000000"/>
            </w:tcBorders>
            <w:shd w:val="clear" w:color="auto" w:fill="auto"/>
            <w:vAlign w:val="center"/>
          </w:tcPr>
          <w:p w14:paraId="0000027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Density of ZrB2 (</w:t>
            </w:r>
            <w:proofErr w:type="spellStart"/>
            <w:r>
              <w:rPr>
                <w:rFonts w:ascii="Times New Roman" w:eastAsia="Times New Roman" w:hAnsi="Times New Roman" w:cs="Times New Roman"/>
                <w:color w:val="000000"/>
                <w:sz w:val="16"/>
                <w:szCs w:val="16"/>
              </w:rPr>
              <w:t>Voidless</w:t>
            </w:r>
            <w:proofErr w:type="spellEnd"/>
            <w:r>
              <w:rPr>
                <w:rFonts w:ascii="Times New Roman" w:eastAsia="Times New Roman" w:hAnsi="Times New Roman" w:cs="Times New Roman"/>
                <w:color w:val="000000"/>
                <w:sz w:val="16"/>
                <w:szCs w:val="16"/>
              </w:rPr>
              <w:t>)</w:t>
            </w:r>
          </w:p>
        </w:tc>
        <w:tc>
          <w:tcPr>
            <w:tcW w:w="781" w:type="dxa"/>
            <w:tcBorders>
              <w:top w:val="nil"/>
              <w:left w:val="nil"/>
              <w:bottom w:val="single" w:sz="4" w:space="0" w:color="000000"/>
              <w:right w:val="single" w:sz="4" w:space="0" w:color="000000"/>
            </w:tcBorders>
            <w:shd w:val="clear" w:color="auto" w:fill="auto"/>
            <w:vAlign w:val="center"/>
          </w:tcPr>
          <w:p w14:paraId="0000027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kg/m^3</w:t>
            </w:r>
          </w:p>
        </w:tc>
        <w:tc>
          <w:tcPr>
            <w:tcW w:w="981" w:type="dxa"/>
            <w:tcBorders>
              <w:top w:val="nil"/>
              <w:left w:val="nil"/>
              <w:bottom w:val="single" w:sz="4" w:space="0" w:color="000000"/>
              <w:right w:val="single" w:sz="4" w:space="0" w:color="000000"/>
            </w:tcBorders>
            <w:shd w:val="clear" w:color="auto" w:fill="auto"/>
            <w:vAlign w:val="center"/>
          </w:tcPr>
          <w:p w14:paraId="0000027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4.54E+03</w:t>
            </w:r>
          </w:p>
        </w:tc>
        <w:tc>
          <w:tcPr>
            <w:tcW w:w="1048" w:type="dxa"/>
            <w:tcBorders>
              <w:top w:val="nil"/>
              <w:left w:val="nil"/>
              <w:bottom w:val="single" w:sz="4" w:space="0" w:color="000000"/>
              <w:right w:val="single" w:sz="4" w:space="0" w:color="000000"/>
            </w:tcBorders>
            <w:shd w:val="clear" w:color="auto" w:fill="auto"/>
            <w:vAlign w:val="center"/>
          </w:tcPr>
          <w:p w14:paraId="0000027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5.68E+03</w:t>
            </w:r>
          </w:p>
        </w:tc>
        <w:tc>
          <w:tcPr>
            <w:tcW w:w="968" w:type="dxa"/>
            <w:tcBorders>
              <w:top w:val="nil"/>
              <w:left w:val="nil"/>
              <w:bottom w:val="single" w:sz="4" w:space="0" w:color="000000"/>
              <w:right w:val="single" w:sz="4" w:space="0" w:color="000000"/>
            </w:tcBorders>
            <w:shd w:val="clear" w:color="auto" w:fill="auto"/>
            <w:vAlign w:val="center"/>
          </w:tcPr>
          <w:p w14:paraId="0000028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6.82E+03</w:t>
            </w:r>
          </w:p>
        </w:tc>
      </w:tr>
      <w:tr w:rsidR="00DD0BE8" w14:paraId="2D3C2962"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8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X13</w:t>
            </w:r>
          </w:p>
        </w:tc>
        <w:tc>
          <w:tcPr>
            <w:tcW w:w="3631" w:type="dxa"/>
            <w:tcBorders>
              <w:top w:val="nil"/>
              <w:left w:val="nil"/>
              <w:bottom w:val="single" w:sz="4" w:space="0" w:color="000000"/>
              <w:right w:val="single" w:sz="4" w:space="0" w:color="000000"/>
            </w:tcBorders>
            <w:shd w:val="clear" w:color="auto" w:fill="auto"/>
            <w:vAlign w:val="center"/>
          </w:tcPr>
          <w:p w14:paraId="0000028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Bulk Modulus of ZrB2 (</w:t>
            </w:r>
            <w:proofErr w:type="spellStart"/>
            <w:r>
              <w:rPr>
                <w:rFonts w:ascii="Times New Roman" w:eastAsia="Times New Roman" w:hAnsi="Times New Roman" w:cs="Times New Roman"/>
                <w:color w:val="000000"/>
                <w:sz w:val="16"/>
                <w:szCs w:val="16"/>
              </w:rPr>
              <w:t>Voidless</w:t>
            </w:r>
            <w:proofErr w:type="spellEnd"/>
            <w:r>
              <w:rPr>
                <w:rFonts w:ascii="Times New Roman" w:eastAsia="Times New Roman" w:hAnsi="Times New Roman" w:cs="Times New Roman"/>
                <w:color w:val="000000"/>
                <w:sz w:val="16"/>
                <w:szCs w:val="16"/>
              </w:rPr>
              <w:t>)</w:t>
            </w:r>
          </w:p>
        </w:tc>
        <w:tc>
          <w:tcPr>
            <w:tcW w:w="781" w:type="dxa"/>
            <w:tcBorders>
              <w:top w:val="nil"/>
              <w:left w:val="nil"/>
              <w:bottom w:val="single" w:sz="4" w:space="0" w:color="000000"/>
              <w:right w:val="single" w:sz="4" w:space="0" w:color="000000"/>
            </w:tcBorders>
            <w:shd w:val="clear" w:color="auto" w:fill="auto"/>
            <w:vAlign w:val="center"/>
          </w:tcPr>
          <w:p w14:paraId="0000028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w:t>
            </w:r>
          </w:p>
        </w:tc>
        <w:tc>
          <w:tcPr>
            <w:tcW w:w="981" w:type="dxa"/>
            <w:tcBorders>
              <w:top w:val="nil"/>
              <w:left w:val="nil"/>
              <w:bottom w:val="single" w:sz="4" w:space="0" w:color="000000"/>
              <w:right w:val="single" w:sz="4" w:space="0" w:color="000000"/>
            </w:tcBorders>
            <w:shd w:val="clear" w:color="auto" w:fill="auto"/>
            <w:vAlign w:val="center"/>
          </w:tcPr>
          <w:p w14:paraId="0000028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1.86E+11</w:t>
            </w:r>
          </w:p>
        </w:tc>
        <w:tc>
          <w:tcPr>
            <w:tcW w:w="1048" w:type="dxa"/>
            <w:tcBorders>
              <w:top w:val="nil"/>
              <w:left w:val="nil"/>
              <w:bottom w:val="single" w:sz="4" w:space="0" w:color="000000"/>
              <w:right w:val="single" w:sz="4" w:space="0" w:color="000000"/>
            </w:tcBorders>
            <w:shd w:val="clear" w:color="auto" w:fill="auto"/>
            <w:vAlign w:val="center"/>
          </w:tcPr>
          <w:p w14:paraId="00000286"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2.32E+11</w:t>
            </w:r>
          </w:p>
        </w:tc>
        <w:tc>
          <w:tcPr>
            <w:tcW w:w="968" w:type="dxa"/>
            <w:tcBorders>
              <w:top w:val="nil"/>
              <w:left w:val="nil"/>
              <w:bottom w:val="single" w:sz="4" w:space="0" w:color="000000"/>
              <w:right w:val="single" w:sz="4" w:space="0" w:color="000000"/>
            </w:tcBorders>
            <w:shd w:val="clear" w:color="auto" w:fill="auto"/>
            <w:vAlign w:val="center"/>
          </w:tcPr>
          <w:p w14:paraId="0000028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2.78E+11</w:t>
            </w:r>
          </w:p>
        </w:tc>
      </w:tr>
      <w:tr w:rsidR="00DD0BE8" w14:paraId="780C722F"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8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X14</w:t>
            </w:r>
          </w:p>
        </w:tc>
        <w:tc>
          <w:tcPr>
            <w:tcW w:w="3631" w:type="dxa"/>
            <w:tcBorders>
              <w:top w:val="nil"/>
              <w:left w:val="nil"/>
              <w:bottom w:val="single" w:sz="4" w:space="0" w:color="000000"/>
              <w:right w:val="single" w:sz="4" w:space="0" w:color="000000"/>
            </w:tcBorders>
            <w:shd w:val="clear" w:color="auto" w:fill="auto"/>
            <w:vAlign w:val="center"/>
          </w:tcPr>
          <w:p w14:paraId="0000028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Shear Modulus (</w:t>
            </w:r>
            <w:proofErr w:type="spellStart"/>
            <w:r>
              <w:rPr>
                <w:rFonts w:ascii="Times New Roman" w:eastAsia="Times New Roman" w:hAnsi="Times New Roman" w:cs="Times New Roman"/>
                <w:color w:val="000000"/>
                <w:sz w:val="16"/>
                <w:szCs w:val="16"/>
              </w:rPr>
              <w:t>Voidless</w:t>
            </w:r>
            <w:proofErr w:type="spellEnd"/>
            <w:r>
              <w:rPr>
                <w:rFonts w:ascii="Times New Roman" w:eastAsia="Times New Roman" w:hAnsi="Times New Roman" w:cs="Times New Roman"/>
                <w:color w:val="000000"/>
                <w:sz w:val="16"/>
                <w:szCs w:val="16"/>
              </w:rPr>
              <w:t>)</w:t>
            </w:r>
          </w:p>
        </w:tc>
        <w:tc>
          <w:tcPr>
            <w:tcW w:w="781" w:type="dxa"/>
            <w:tcBorders>
              <w:top w:val="nil"/>
              <w:left w:val="nil"/>
              <w:bottom w:val="single" w:sz="4" w:space="0" w:color="000000"/>
              <w:right w:val="single" w:sz="4" w:space="0" w:color="000000"/>
            </w:tcBorders>
            <w:shd w:val="clear" w:color="auto" w:fill="auto"/>
            <w:vAlign w:val="center"/>
          </w:tcPr>
          <w:p w14:paraId="0000028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w:t>
            </w:r>
          </w:p>
        </w:tc>
        <w:tc>
          <w:tcPr>
            <w:tcW w:w="981" w:type="dxa"/>
            <w:tcBorders>
              <w:top w:val="nil"/>
              <w:left w:val="nil"/>
              <w:bottom w:val="single" w:sz="4" w:space="0" w:color="000000"/>
              <w:right w:val="single" w:sz="4" w:space="0" w:color="000000"/>
            </w:tcBorders>
            <w:shd w:val="clear" w:color="auto" w:fill="auto"/>
            <w:vAlign w:val="center"/>
          </w:tcPr>
          <w:p w14:paraId="0000028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1.57E+11</w:t>
            </w:r>
          </w:p>
        </w:tc>
        <w:tc>
          <w:tcPr>
            <w:tcW w:w="1048" w:type="dxa"/>
            <w:tcBorders>
              <w:top w:val="nil"/>
              <w:left w:val="nil"/>
              <w:bottom w:val="single" w:sz="4" w:space="0" w:color="000000"/>
              <w:right w:val="single" w:sz="4" w:space="0" w:color="000000"/>
            </w:tcBorders>
            <w:shd w:val="clear" w:color="auto" w:fill="auto"/>
            <w:vAlign w:val="center"/>
          </w:tcPr>
          <w:p w14:paraId="0000028D"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1.96E+11</w:t>
            </w:r>
          </w:p>
        </w:tc>
        <w:tc>
          <w:tcPr>
            <w:tcW w:w="968" w:type="dxa"/>
            <w:tcBorders>
              <w:top w:val="nil"/>
              <w:left w:val="nil"/>
              <w:bottom w:val="single" w:sz="4" w:space="0" w:color="000000"/>
              <w:right w:val="single" w:sz="4" w:space="0" w:color="000000"/>
            </w:tcBorders>
            <w:shd w:val="clear" w:color="auto" w:fill="auto"/>
            <w:vAlign w:val="center"/>
          </w:tcPr>
          <w:p w14:paraId="0000028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2.35E+11</w:t>
            </w:r>
          </w:p>
        </w:tc>
      </w:tr>
      <w:tr w:rsidR="00DD0BE8" w14:paraId="10857042"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9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X15</w:t>
            </w:r>
          </w:p>
        </w:tc>
        <w:tc>
          <w:tcPr>
            <w:tcW w:w="3631" w:type="dxa"/>
            <w:tcBorders>
              <w:top w:val="nil"/>
              <w:left w:val="nil"/>
              <w:bottom w:val="single" w:sz="4" w:space="0" w:color="000000"/>
              <w:right w:val="single" w:sz="4" w:space="0" w:color="000000"/>
            </w:tcBorders>
            <w:shd w:val="clear" w:color="auto" w:fill="auto"/>
            <w:vAlign w:val="center"/>
          </w:tcPr>
          <w:p w14:paraId="0000029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Hourglass Coefficient</w:t>
            </w:r>
          </w:p>
        </w:tc>
        <w:tc>
          <w:tcPr>
            <w:tcW w:w="781" w:type="dxa"/>
            <w:tcBorders>
              <w:top w:val="nil"/>
              <w:left w:val="nil"/>
              <w:bottom w:val="single" w:sz="4" w:space="0" w:color="000000"/>
              <w:right w:val="single" w:sz="4" w:space="0" w:color="000000"/>
            </w:tcBorders>
            <w:shd w:val="clear" w:color="auto" w:fill="auto"/>
            <w:vAlign w:val="center"/>
          </w:tcPr>
          <w:p w14:paraId="0000029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9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0.020</w:t>
            </w:r>
          </w:p>
        </w:tc>
        <w:tc>
          <w:tcPr>
            <w:tcW w:w="1048" w:type="dxa"/>
            <w:tcBorders>
              <w:top w:val="nil"/>
              <w:left w:val="nil"/>
              <w:bottom w:val="single" w:sz="4" w:space="0" w:color="000000"/>
              <w:right w:val="single" w:sz="4" w:space="0" w:color="000000"/>
            </w:tcBorders>
            <w:shd w:val="clear" w:color="auto" w:fill="auto"/>
            <w:vAlign w:val="center"/>
          </w:tcPr>
          <w:p w14:paraId="00000294"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0.025</w:t>
            </w:r>
          </w:p>
        </w:tc>
        <w:tc>
          <w:tcPr>
            <w:tcW w:w="968" w:type="dxa"/>
            <w:tcBorders>
              <w:top w:val="nil"/>
              <w:left w:val="nil"/>
              <w:bottom w:val="single" w:sz="4" w:space="0" w:color="000000"/>
              <w:right w:val="single" w:sz="4" w:space="0" w:color="000000"/>
            </w:tcBorders>
            <w:shd w:val="clear" w:color="auto" w:fill="auto"/>
            <w:vAlign w:val="center"/>
          </w:tcPr>
          <w:p w14:paraId="00000295"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0.030</w:t>
            </w:r>
          </w:p>
        </w:tc>
      </w:tr>
      <w:tr w:rsidR="00DD0BE8" w14:paraId="6A305F21"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97"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X16</w:t>
            </w:r>
          </w:p>
        </w:tc>
        <w:tc>
          <w:tcPr>
            <w:tcW w:w="3631" w:type="dxa"/>
            <w:tcBorders>
              <w:top w:val="nil"/>
              <w:left w:val="nil"/>
              <w:bottom w:val="single" w:sz="4" w:space="0" w:color="000000"/>
              <w:right w:val="single" w:sz="4" w:space="0" w:color="000000"/>
            </w:tcBorders>
            <w:shd w:val="clear" w:color="auto" w:fill="auto"/>
            <w:vAlign w:val="center"/>
          </w:tcPr>
          <w:p w14:paraId="00000298"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Horizon Radius (Normalized to Scale)</w:t>
            </w:r>
          </w:p>
        </w:tc>
        <w:tc>
          <w:tcPr>
            <w:tcW w:w="781" w:type="dxa"/>
            <w:tcBorders>
              <w:top w:val="nil"/>
              <w:left w:val="nil"/>
              <w:bottom w:val="single" w:sz="4" w:space="0" w:color="000000"/>
              <w:right w:val="single" w:sz="4" w:space="0" w:color="000000"/>
            </w:tcBorders>
            <w:shd w:val="clear" w:color="auto" w:fill="auto"/>
            <w:vAlign w:val="center"/>
          </w:tcPr>
          <w:p w14:paraId="00000299"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9A"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0.11</w:t>
            </w:r>
          </w:p>
        </w:tc>
        <w:tc>
          <w:tcPr>
            <w:tcW w:w="1048" w:type="dxa"/>
            <w:tcBorders>
              <w:top w:val="nil"/>
              <w:left w:val="nil"/>
              <w:bottom w:val="single" w:sz="4" w:space="0" w:color="000000"/>
              <w:right w:val="single" w:sz="4" w:space="0" w:color="000000"/>
            </w:tcBorders>
            <w:shd w:val="clear" w:color="auto" w:fill="auto"/>
            <w:vAlign w:val="center"/>
          </w:tcPr>
          <w:p w14:paraId="0000029B"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968" w:type="dxa"/>
            <w:tcBorders>
              <w:top w:val="nil"/>
              <w:left w:val="nil"/>
              <w:bottom w:val="single" w:sz="4" w:space="0" w:color="000000"/>
              <w:right w:val="single" w:sz="4" w:space="0" w:color="000000"/>
            </w:tcBorders>
            <w:shd w:val="clear" w:color="auto" w:fill="auto"/>
            <w:vAlign w:val="center"/>
          </w:tcPr>
          <w:p w14:paraId="0000029C"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w:t>
            </w:r>
          </w:p>
        </w:tc>
      </w:tr>
      <w:tr w:rsidR="00DD0BE8" w14:paraId="5CBE55F2" w14:textId="77777777" w:rsidTr="00DD0BE8">
        <w:trPr>
          <w:trHeight w:val="315"/>
          <w:jc w:val="center"/>
        </w:trPr>
        <w:tc>
          <w:tcPr>
            <w:tcW w:w="102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0029E"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X17</w:t>
            </w:r>
          </w:p>
        </w:tc>
        <w:tc>
          <w:tcPr>
            <w:tcW w:w="3631" w:type="dxa"/>
            <w:tcBorders>
              <w:top w:val="nil"/>
              <w:left w:val="nil"/>
              <w:bottom w:val="single" w:sz="4" w:space="0" w:color="000000"/>
              <w:right w:val="single" w:sz="4" w:space="0" w:color="000000"/>
            </w:tcBorders>
            <w:shd w:val="clear" w:color="auto" w:fill="auto"/>
            <w:vAlign w:val="center"/>
          </w:tcPr>
          <w:p w14:paraId="0000029F"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Number of Loading Steps in Analysis </w:t>
            </w:r>
          </w:p>
        </w:tc>
        <w:tc>
          <w:tcPr>
            <w:tcW w:w="781" w:type="dxa"/>
            <w:tcBorders>
              <w:top w:val="nil"/>
              <w:left w:val="nil"/>
              <w:bottom w:val="single" w:sz="4" w:space="0" w:color="000000"/>
              <w:right w:val="single" w:sz="4" w:space="0" w:color="000000"/>
            </w:tcBorders>
            <w:shd w:val="clear" w:color="auto" w:fill="auto"/>
            <w:vAlign w:val="center"/>
          </w:tcPr>
          <w:p w14:paraId="000002A0"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81" w:type="dxa"/>
            <w:tcBorders>
              <w:top w:val="nil"/>
              <w:left w:val="nil"/>
              <w:bottom w:val="single" w:sz="4" w:space="0" w:color="000000"/>
              <w:right w:val="single" w:sz="4" w:space="0" w:color="000000"/>
            </w:tcBorders>
            <w:shd w:val="clear" w:color="auto" w:fill="auto"/>
            <w:vAlign w:val="center"/>
          </w:tcPr>
          <w:p w14:paraId="000002A1"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8" w:type="dxa"/>
            <w:tcBorders>
              <w:top w:val="nil"/>
              <w:left w:val="nil"/>
              <w:bottom w:val="single" w:sz="4" w:space="0" w:color="000000"/>
              <w:right w:val="single" w:sz="4" w:space="0" w:color="000000"/>
            </w:tcBorders>
            <w:shd w:val="clear" w:color="auto" w:fill="auto"/>
            <w:vAlign w:val="center"/>
          </w:tcPr>
          <w:p w14:paraId="000002A2"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68" w:type="dxa"/>
            <w:tcBorders>
              <w:top w:val="nil"/>
              <w:left w:val="nil"/>
              <w:bottom w:val="single" w:sz="4" w:space="0" w:color="000000"/>
              <w:right w:val="single" w:sz="4" w:space="0" w:color="000000"/>
            </w:tcBorders>
            <w:shd w:val="clear" w:color="auto" w:fill="auto"/>
            <w:vAlign w:val="center"/>
          </w:tcPr>
          <w:p w14:paraId="000002A3" w14:textId="77777777" w:rsidR="00DD0BE8" w:rsidRDefault="00DD0BE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bl>
    <w:p w14:paraId="000002A4" w14:textId="77777777" w:rsidR="00F87ED1" w:rsidRDefault="00F87ED1">
      <w:pPr>
        <w:jc w:val="center"/>
        <w:rPr>
          <w:rFonts w:ascii="Times New Roman" w:eastAsia="Times New Roman" w:hAnsi="Times New Roman" w:cs="Times New Roman"/>
          <w:sz w:val="24"/>
          <w:szCs w:val="24"/>
        </w:rPr>
      </w:pPr>
    </w:p>
    <w:p w14:paraId="000002A5"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3.6 Surrogate Modelling</w:t>
      </w:r>
    </w:p>
    <w:p w14:paraId="000002A6" w14:textId="12A3B2A2"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computational time required for the parameter sampling needed for GSA using high fidelity models is typically prohibitive, therefore surrogate models are developed to</w:t>
      </w:r>
      <w:r w:rsidR="00B66198">
        <w:rPr>
          <w:rFonts w:ascii="Times New Roman" w:eastAsia="Times New Roman" w:hAnsi="Times New Roman" w:cs="Times New Roman"/>
          <w:sz w:val="20"/>
          <w:szCs w:val="20"/>
        </w:rPr>
        <w:t xml:space="preserve"> obtain the data set</w:t>
      </w:r>
      <w:r>
        <w:rPr>
          <w:rFonts w:ascii="Times New Roman" w:eastAsia="Times New Roman" w:hAnsi="Times New Roman" w:cs="Times New Roman"/>
          <w:sz w:val="20"/>
          <w:szCs w:val="20"/>
        </w:rPr>
        <w:t xml:space="preserve">. A surrogate model </w:t>
      </w:r>
      <w:proofErr w:type="gramStart"/>
      <w:r>
        <w:rPr>
          <w:rFonts w:ascii="Times New Roman" w:eastAsia="Times New Roman" w:hAnsi="Times New Roman" w:cs="Times New Roman"/>
          <w:sz w:val="20"/>
          <w:szCs w:val="20"/>
        </w:rPr>
        <w:t>is an approximation of</w:t>
      </w:r>
      <w:proofErr w:type="gramEnd"/>
      <w:r>
        <w:rPr>
          <w:rFonts w:ascii="Times New Roman" w:eastAsia="Times New Roman" w:hAnsi="Times New Roman" w:cs="Times New Roman"/>
          <w:sz w:val="20"/>
          <w:szCs w:val="20"/>
        </w:rPr>
        <w:t xml:space="preserve"> a complex system</w:t>
      </w:r>
      <w:r w:rsidR="0043552B">
        <w:rPr>
          <w:rFonts w:ascii="Times New Roman" w:eastAsia="Times New Roman" w:hAnsi="Times New Roman" w:cs="Times New Roman"/>
          <w:sz w:val="20"/>
          <w:szCs w:val="20"/>
        </w:rPr>
        <w:t>,</w:t>
      </w:r>
      <w:r w:rsidR="0043552B" w:rsidRPr="0043552B">
        <w:rPr>
          <w:rFonts w:ascii="Times New Roman" w:eastAsia="Times New Roman" w:hAnsi="Times New Roman" w:cs="Times New Roman"/>
          <w:sz w:val="20"/>
          <w:szCs w:val="20"/>
        </w:rPr>
        <w:t xml:space="preserve"> </w:t>
      </w:r>
      <w:r w:rsidR="0043552B">
        <w:rPr>
          <w:rFonts w:ascii="Times New Roman" w:eastAsia="Times New Roman" w:hAnsi="Times New Roman" w:cs="Times New Roman"/>
          <w:sz w:val="20"/>
          <w:szCs w:val="20"/>
        </w:rPr>
        <w:t>based on a limited number of data points</w:t>
      </w:r>
      <w:r w:rsidR="009F086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that predicts the relationship between the system inputs and outputs.</w:t>
      </w:r>
      <w:r w:rsidR="009F086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proper construction, </w:t>
      </w:r>
      <w:r w:rsidR="00B56392">
        <w:rPr>
          <w:rFonts w:ascii="Times New Roman" w:eastAsia="Times New Roman" w:hAnsi="Times New Roman" w:cs="Times New Roman"/>
          <w:sz w:val="20"/>
          <w:szCs w:val="20"/>
        </w:rPr>
        <w:t>surrogate</w:t>
      </w:r>
      <w:r>
        <w:rPr>
          <w:rFonts w:ascii="Times New Roman" w:eastAsia="Times New Roman" w:hAnsi="Times New Roman" w:cs="Times New Roman"/>
          <w:sz w:val="20"/>
          <w:szCs w:val="20"/>
        </w:rPr>
        <w:t xml:space="preserve"> models </w:t>
      </w:r>
      <w:r w:rsidR="00362E14">
        <w:rPr>
          <w:rFonts w:ascii="Times New Roman" w:eastAsia="Times New Roman" w:hAnsi="Times New Roman" w:cs="Times New Roman"/>
          <w:sz w:val="20"/>
          <w:szCs w:val="20"/>
        </w:rPr>
        <w:t xml:space="preserve">accurately </w:t>
      </w:r>
      <w:r>
        <w:rPr>
          <w:rFonts w:ascii="Times New Roman" w:eastAsia="Times New Roman" w:hAnsi="Times New Roman" w:cs="Times New Roman"/>
          <w:sz w:val="20"/>
          <w:szCs w:val="20"/>
        </w:rPr>
        <w:t xml:space="preserve">mimic the behaviour of the </w:t>
      </w:r>
      <w:r w:rsidR="0017359A">
        <w:rPr>
          <w:rFonts w:ascii="Times New Roman" w:eastAsia="Times New Roman" w:hAnsi="Times New Roman" w:cs="Times New Roman"/>
          <w:sz w:val="20"/>
          <w:szCs w:val="20"/>
        </w:rPr>
        <w:t>high-fidelity</w:t>
      </w:r>
      <w:r>
        <w:rPr>
          <w:rFonts w:ascii="Times New Roman" w:eastAsia="Times New Roman" w:hAnsi="Times New Roman" w:cs="Times New Roman"/>
          <w:sz w:val="20"/>
          <w:szCs w:val="20"/>
        </w:rPr>
        <w:t xml:space="preserve"> simulation at a much lower computational cost</w:t>
      </w:r>
      <w:r w:rsidR="00E51B7B">
        <w:rPr>
          <w:rFonts w:ascii="Times New Roman" w:eastAsia="Times New Roman" w:hAnsi="Times New Roman" w:cs="Times New Roman"/>
          <w:sz w:val="20"/>
          <w:szCs w:val="20"/>
        </w:rPr>
        <w:t xml:space="preserve"> (</w:t>
      </w:r>
      <w:r w:rsidR="00362E14">
        <w:rPr>
          <w:rFonts w:ascii="Times New Roman" w:eastAsia="Times New Roman" w:hAnsi="Times New Roman" w:cs="Times New Roman"/>
          <w:sz w:val="20"/>
          <w:szCs w:val="20"/>
        </w:rPr>
        <w:t xml:space="preserve">milliseconds </w:t>
      </w:r>
      <w:r w:rsidR="00E51B7B">
        <w:rPr>
          <w:rFonts w:ascii="Times New Roman" w:eastAsia="Times New Roman" w:hAnsi="Times New Roman" w:cs="Times New Roman"/>
          <w:sz w:val="20"/>
          <w:szCs w:val="20"/>
        </w:rPr>
        <w:t xml:space="preserve">versus </w:t>
      </w:r>
      <w:r w:rsidR="00362E14">
        <w:rPr>
          <w:rFonts w:ascii="Times New Roman" w:eastAsia="Times New Roman" w:hAnsi="Times New Roman" w:cs="Times New Roman"/>
          <w:sz w:val="20"/>
          <w:szCs w:val="20"/>
        </w:rPr>
        <w:t xml:space="preserve">minutes/hours per simulation </w:t>
      </w:r>
      <w:r w:rsidR="009B557F">
        <w:rPr>
          <w:rFonts w:ascii="Times New Roman" w:eastAsia="Times New Roman" w:hAnsi="Times New Roman" w:cs="Times New Roman"/>
          <w:sz w:val="20"/>
          <w:szCs w:val="20"/>
        </w:rPr>
        <w:t>for the three cases</w:t>
      </w:r>
      <w:r w:rsidR="00E51B7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000002A7" w14:textId="515CF02F"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To formulate the surrogate models, output data was generated at points identified using stratified Latin hypercube sampling</w:t>
      </w:r>
      <w:r w:rsidR="00B03BEB">
        <w:rPr>
          <w:rFonts w:ascii="Times New Roman" w:eastAsia="Times New Roman" w:hAnsi="Times New Roman" w:cs="Times New Roman"/>
          <w:sz w:val="20"/>
          <w:szCs w:val="20"/>
        </w:rPr>
        <w:t xml:space="preserve"> (Shields et al, 2015; Shields &amp; Zhang, 2016)</w:t>
      </w:r>
      <w:r>
        <w:rPr>
          <w:rFonts w:ascii="Times New Roman" w:eastAsia="Times New Roman" w:hAnsi="Times New Roman" w:cs="Times New Roman"/>
          <w:sz w:val="20"/>
          <w:szCs w:val="20"/>
        </w:rPr>
        <w:t xml:space="preserve">. This process was automated through Distribution-based Input for Computational Evaluations (DICE) developed by the Naval Surface Warfare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Carderock</w:t>
      </w:r>
      <w:proofErr w:type="spellEnd"/>
      <w:r>
        <w:rPr>
          <w:rFonts w:ascii="Times New Roman" w:eastAsia="Times New Roman" w:hAnsi="Times New Roman" w:cs="Times New Roman"/>
          <w:sz w:val="20"/>
          <w:szCs w:val="20"/>
        </w:rPr>
        <w:t xml:space="preserve"> Division (NSWCCD) (Nahshon &amp; Reynolds, 2016). DICE is a standalone executable that generates an array of input vectors using a specified sampling method for </w:t>
      </w:r>
      <w:r w:rsidR="0043552B">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provided parameter ranges and distributions. The surrogate models were trained on these datasets using forward-feed neural network</w:t>
      </w:r>
      <w:r w:rsidR="00230F7C">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by means of TensorFlow </w:t>
      </w:r>
      <w:r w:rsidR="00D918B0">
        <w:rPr>
          <w:rFonts w:ascii="Times New Roman" w:eastAsia="Times New Roman" w:hAnsi="Times New Roman" w:cs="Times New Roman"/>
          <w:sz w:val="20"/>
          <w:szCs w:val="20"/>
        </w:rPr>
        <w:t xml:space="preserve">V2.11 </w:t>
      </w:r>
      <w:r>
        <w:rPr>
          <w:rFonts w:ascii="Times New Roman" w:eastAsia="Times New Roman" w:hAnsi="Times New Roman" w:cs="Times New Roman"/>
          <w:sz w:val="20"/>
          <w:szCs w:val="20"/>
        </w:rPr>
        <w:t>(Abadi et al., 2016). The datasets were broken into t</w:t>
      </w:r>
      <w:r w:rsidR="00F9391B">
        <w:rPr>
          <w:rFonts w:ascii="Times New Roman" w:eastAsia="Times New Roman" w:hAnsi="Times New Roman" w:cs="Times New Roman"/>
          <w:sz w:val="20"/>
          <w:szCs w:val="20"/>
        </w:rPr>
        <w:t>hree</w:t>
      </w:r>
      <w:r>
        <w:rPr>
          <w:rFonts w:ascii="Times New Roman" w:eastAsia="Times New Roman" w:hAnsi="Times New Roman" w:cs="Times New Roman"/>
          <w:sz w:val="20"/>
          <w:szCs w:val="20"/>
        </w:rPr>
        <w:t xml:space="preserve"> subsets, the training dataset</w:t>
      </w:r>
      <w:r w:rsidR="00F9391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validation dataset</w:t>
      </w:r>
      <w:r w:rsidR="00F9391B">
        <w:rPr>
          <w:rFonts w:ascii="Times New Roman" w:eastAsia="Times New Roman" w:hAnsi="Times New Roman" w:cs="Times New Roman"/>
          <w:sz w:val="20"/>
          <w:szCs w:val="20"/>
        </w:rPr>
        <w:t>, and the testing dataset</w:t>
      </w:r>
      <w:r>
        <w:rPr>
          <w:rFonts w:ascii="Times New Roman" w:eastAsia="Times New Roman" w:hAnsi="Times New Roman" w:cs="Times New Roman"/>
          <w:sz w:val="20"/>
          <w:szCs w:val="20"/>
        </w:rPr>
        <w:t xml:space="preserve">. The training dataset was used to train the neural network (NN) and the validation dataset acted as a benchmark from which accuracy metrics were determined to evaluate the current </w:t>
      </w:r>
      <w:r w:rsidR="00F9391B">
        <w:rPr>
          <w:rFonts w:ascii="Times New Roman" w:eastAsia="Times New Roman" w:hAnsi="Times New Roman" w:cs="Times New Roman"/>
          <w:sz w:val="20"/>
          <w:szCs w:val="20"/>
        </w:rPr>
        <w:t xml:space="preserve">training </w:t>
      </w:r>
      <w:r>
        <w:rPr>
          <w:rFonts w:ascii="Times New Roman" w:eastAsia="Times New Roman" w:hAnsi="Times New Roman" w:cs="Times New Roman"/>
          <w:sz w:val="20"/>
          <w:szCs w:val="20"/>
        </w:rPr>
        <w:t xml:space="preserve">iteration of the surrogate model. The validation dataset is determined from random sampling during each training iteration where the data is shuffled and resampled before each iteration. </w:t>
      </w:r>
      <w:r w:rsidR="007D0B9B">
        <w:rPr>
          <w:rFonts w:ascii="Times New Roman" w:eastAsia="Times New Roman" w:hAnsi="Times New Roman" w:cs="Times New Roman"/>
          <w:sz w:val="20"/>
          <w:szCs w:val="20"/>
        </w:rPr>
        <w:t xml:space="preserve">The training/validation dataset were allocated such that the training and validation datasets were 80% and 20% of the training/validation (parent) dataset, respectively. </w:t>
      </w:r>
      <w:r>
        <w:rPr>
          <w:rFonts w:ascii="Times New Roman" w:eastAsia="Times New Roman" w:hAnsi="Times New Roman" w:cs="Times New Roman"/>
          <w:sz w:val="20"/>
          <w:szCs w:val="20"/>
        </w:rPr>
        <w:t>This process was repeated until the root-mean square error (RMSE) of the NN’s estimation of the entire validation dataset was less than 5%. RMSE was chosen</w:t>
      </w:r>
      <w:r w:rsidR="0078250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as </w:t>
      </w:r>
      <w:r w:rsidR="0078250D">
        <w:rPr>
          <w:rFonts w:ascii="Times New Roman" w:eastAsia="Times New Roman" w:hAnsi="Times New Roman" w:cs="Times New Roman"/>
          <w:sz w:val="20"/>
          <w:szCs w:val="20"/>
        </w:rPr>
        <w:t>it</w:t>
      </w:r>
      <w:r>
        <w:rPr>
          <w:rFonts w:ascii="Times New Roman" w:eastAsia="Times New Roman" w:hAnsi="Times New Roman" w:cs="Times New Roman"/>
          <w:sz w:val="20"/>
          <w:szCs w:val="20"/>
        </w:rPr>
        <w:t xml:space="preserve"> is more sensitive to </w:t>
      </w:r>
      <w:r w:rsidR="0078250D">
        <w:rPr>
          <w:rFonts w:ascii="Times New Roman" w:eastAsia="Times New Roman" w:hAnsi="Times New Roman" w:cs="Times New Roman"/>
          <w:sz w:val="20"/>
          <w:szCs w:val="20"/>
        </w:rPr>
        <w:t>higher magnitude errors than mean absolute error</w:t>
      </w:r>
      <w:r>
        <w:rPr>
          <w:rFonts w:ascii="Times New Roman" w:eastAsia="Times New Roman" w:hAnsi="Times New Roman" w:cs="Times New Roman"/>
          <w:sz w:val="20"/>
          <w:szCs w:val="20"/>
        </w:rPr>
        <w:t>.</w:t>
      </w:r>
      <w:r w:rsidR="00B35180">
        <w:rPr>
          <w:rFonts w:ascii="Times New Roman" w:eastAsia="Times New Roman" w:hAnsi="Times New Roman" w:cs="Times New Roman"/>
          <w:sz w:val="20"/>
          <w:szCs w:val="20"/>
        </w:rPr>
        <w:t xml:space="preserve"> </w:t>
      </w:r>
      <w:r w:rsidR="00F9391B">
        <w:rPr>
          <w:rFonts w:ascii="Times New Roman" w:eastAsia="Times New Roman" w:hAnsi="Times New Roman" w:cs="Times New Roman"/>
          <w:sz w:val="20"/>
          <w:szCs w:val="20"/>
        </w:rPr>
        <w:t xml:space="preserve">Upon the convergence of the NN validation metric the testing dataset that was withheld from training of the NN was used to predict values for each model, where the accuracy of the predictions made by the NN versus the actual was shown to agree well with the validation accuracy found during training. This agreement between the validation metric and the accuracy of the </w:t>
      </w:r>
      <w:r w:rsidR="007D7EE1">
        <w:rPr>
          <w:rFonts w:ascii="Times New Roman" w:eastAsia="Times New Roman" w:hAnsi="Times New Roman" w:cs="Times New Roman"/>
          <w:sz w:val="20"/>
          <w:szCs w:val="20"/>
        </w:rPr>
        <w:t>predictions</w:t>
      </w:r>
      <w:r w:rsidR="00F9391B">
        <w:rPr>
          <w:rFonts w:ascii="Times New Roman" w:eastAsia="Times New Roman" w:hAnsi="Times New Roman" w:cs="Times New Roman"/>
          <w:sz w:val="20"/>
          <w:szCs w:val="20"/>
        </w:rPr>
        <w:t xml:space="preserve"> made </w:t>
      </w:r>
      <w:r w:rsidR="007D7EE1">
        <w:rPr>
          <w:rFonts w:ascii="Times New Roman" w:eastAsia="Times New Roman" w:hAnsi="Times New Roman" w:cs="Times New Roman"/>
          <w:sz w:val="20"/>
          <w:szCs w:val="20"/>
        </w:rPr>
        <w:t xml:space="preserve">by the NN </w:t>
      </w:r>
      <w:r w:rsidR="00F9391B">
        <w:rPr>
          <w:rFonts w:ascii="Times New Roman" w:eastAsia="Times New Roman" w:hAnsi="Times New Roman" w:cs="Times New Roman"/>
          <w:sz w:val="20"/>
          <w:szCs w:val="20"/>
        </w:rPr>
        <w:t>from the</w:t>
      </w:r>
      <w:r w:rsidR="007D7EE1">
        <w:rPr>
          <w:rFonts w:ascii="Times New Roman" w:eastAsia="Times New Roman" w:hAnsi="Times New Roman" w:cs="Times New Roman"/>
          <w:sz w:val="20"/>
          <w:szCs w:val="20"/>
        </w:rPr>
        <w:t xml:space="preserve"> testing data versus the actual values </w:t>
      </w:r>
      <w:r w:rsidR="000113AC">
        <w:rPr>
          <w:rFonts w:ascii="Times New Roman" w:eastAsia="Times New Roman" w:hAnsi="Times New Roman" w:cs="Times New Roman"/>
          <w:sz w:val="20"/>
          <w:szCs w:val="20"/>
        </w:rPr>
        <w:t xml:space="preserve">refute </w:t>
      </w:r>
      <w:r w:rsidR="007D7EE1">
        <w:rPr>
          <w:rFonts w:ascii="Times New Roman" w:eastAsia="Times New Roman" w:hAnsi="Times New Roman" w:cs="Times New Roman"/>
          <w:sz w:val="20"/>
          <w:szCs w:val="20"/>
        </w:rPr>
        <w:t>overtraining of the NN model.</w:t>
      </w:r>
      <w:r w:rsidR="00A00262">
        <w:rPr>
          <w:rFonts w:ascii="Times New Roman" w:eastAsia="Times New Roman" w:hAnsi="Times New Roman" w:cs="Times New Roman"/>
          <w:sz w:val="20"/>
          <w:szCs w:val="20"/>
        </w:rPr>
        <w:t xml:space="preserve"> Parameters of each of the NN surrogates is shown in Table </w:t>
      </w:r>
      <w:r w:rsidR="0000548F">
        <w:rPr>
          <w:rFonts w:ascii="Times New Roman" w:eastAsia="Times New Roman" w:hAnsi="Times New Roman" w:cs="Times New Roman"/>
          <w:sz w:val="20"/>
          <w:szCs w:val="20"/>
        </w:rPr>
        <w:t>5</w:t>
      </w:r>
      <w:r w:rsidR="00A00262">
        <w:rPr>
          <w:rFonts w:ascii="Times New Roman" w:eastAsia="Times New Roman" w:hAnsi="Times New Roman" w:cs="Times New Roman"/>
          <w:sz w:val="20"/>
          <w:szCs w:val="20"/>
        </w:rPr>
        <w:t xml:space="preserve">, where the number of hidden layers is specified, with </w:t>
      </w:r>
      <w:proofErr w:type="gramStart"/>
      <w:r w:rsidR="00A00262">
        <w:rPr>
          <w:rFonts w:ascii="Times New Roman" w:eastAsia="Times New Roman" w:hAnsi="Times New Roman" w:cs="Times New Roman"/>
          <w:sz w:val="20"/>
          <w:szCs w:val="20"/>
        </w:rPr>
        <w:t>a</w:t>
      </w:r>
      <w:proofErr w:type="gramEnd"/>
      <w:r w:rsidR="00A00262">
        <w:rPr>
          <w:rFonts w:ascii="Times New Roman" w:eastAsia="Times New Roman" w:hAnsi="Times New Roman" w:cs="Times New Roman"/>
          <w:sz w:val="20"/>
          <w:szCs w:val="20"/>
        </w:rPr>
        <w:t xml:space="preserve"> input layer equal to the number of model parameters and an output layer of a single neuron were needed to complete the NN’s architecture. </w:t>
      </w:r>
      <w:r w:rsidR="007D7EE1">
        <w:rPr>
          <w:rFonts w:ascii="Times New Roman" w:eastAsia="Times New Roman" w:hAnsi="Times New Roman" w:cs="Times New Roman"/>
          <w:sz w:val="20"/>
          <w:szCs w:val="20"/>
        </w:rPr>
        <w:t xml:space="preserve">  </w:t>
      </w:r>
    </w:p>
    <w:p w14:paraId="1D8AB3B0" w14:textId="328EE30B" w:rsidR="00191ADB" w:rsidRDefault="00191ADB"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Table </w:t>
      </w:r>
      <w:r w:rsidR="0000548F">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Architecture of the Forward Feed Neural Network used for surrogate modelling, all of which have </w:t>
      </w:r>
      <w:r w:rsidR="003E6F6D">
        <w:rPr>
          <w:rFonts w:ascii="Times New Roman" w:eastAsia="Times New Roman" w:hAnsi="Times New Roman" w:cs="Times New Roman"/>
          <w:sz w:val="20"/>
          <w:szCs w:val="20"/>
        </w:rPr>
        <w:t>the same number of neurons for each layer</w:t>
      </w:r>
      <w:r w:rsidR="001C2B39">
        <w:rPr>
          <w:rFonts w:ascii="Times New Roman" w:eastAsia="Times New Roman" w:hAnsi="Times New Roman" w:cs="Times New Roman"/>
          <w:sz w:val="20"/>
          <w:szCs w:val="20"/>
        </w:rPr>
        <w:t xml:space="preserve"> where the number of hidden layers is specified</w:t>
      </w:r>
      <w:r w:rsidR="003E6F6D">
        <w:rPr>
          <w:rFonts w:ascii="Times New Roman" w:eastAsia="Times New Roman" w:hAnsi="Times New Roman" w:cs="Times New Roman"/>
          <w:sz w:val="20"/>
          <w:szCs w:val="20"/>
        </w:rPr>
        <w:t xml:space="preserve">. </w:t>
      </w:r>
    </w:p>
    <w:tbl>
      <w:tblPr>
        <w:tblStyle w:val="TableGrid"/>
        <w:tblW w:w="0" w:type="auto"/>
        <w:jc w:val="center"/>
        <w:tblLook w:val="04A0" w:firstRow="1" w:lastRow="0" w:firstColumn="1" w:lastColumn="0" w:noHBand="0" w:noVBand="1"/>
      </w:tblPr>
      <w:tblGrid>
        <w:gridCol w:w="1081"/>
        <w:gridCol w:w="939"/>
        <w:gridCol w:w="805"/>
        <w:gridCol w:w="1397"/>
        <w:gridCol w:w="995"/>
        <w:gridCol w:w="1222"/>
        <w:gridCol w:w="1094"/>
        <w:gridCol w:w="1817"/>
      </w:tblGrid>
      <w:tr w:rsidR="00191ADB" w14:paraId="5D9C4343" w14:textId="77777777" w:rsidTr="00191ADB">
        <w:trPr>
          <w:jc w:val="center"/>
        </w:trPr>
        <w:tc>
          <w:tcPr>
            <w:tcW w:w="0" w:type="auto"/>
          </w:tcPr>
          <w:p w14:paraId="70952449" w14:textId="653B0A74"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Model</w:t>
            </w:r>
          </w:p>
        </w:tc>
        <w:tc>
          <w:tcPr>
            <w:tcW w:w="0" w:type="auto"/>
          </w:tcPr>
          <w:p w14:paraId="249DEAB9" w14:textId="37138CEE"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Neurons</w:t>
            </w:r>
          </w:p>
        </w:tc>
        <w:tc>
          <w:tcPr>
            <w:tcW w:w="0" w:type="auto"/>
          </w:tcPr>
          <w:p w14:paraId="59428BC1" w14:textId="7FB8E1C1"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Layers</w:t>
            </w:r>
          </w:p>
        </w:tc>
        <w:tc>
          <w:tcPr>
            <w:tcW w:w="0" w:type="auto"/>
          </w:tcPr>
          <w:p w14:paraId="68F84F11" w14:textId="2323CE9C"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Learning Rate</w:t>
            </w:r>
          </w:p>
        </w:tc>
        <w:tc>
          <w:tcPr>
            <w:tcW w:w="0" w:type="auto"/>
          </w:tcPr>
          <w:p w14:paraId="18FE24DB" w14:textId="17586401"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Drop Out</w:t>
            </w:r>
          </w:p>
        </w:tc>
        <w:tc>
          <w:tcPr>
            <w:tcW w:w="0" w:type="auto"/>
          </w:tcPr>
          <w:p w14:paraId="68D8ABB0" w14:textId="1205DD28" w:rsidR="00191ADB" w:rsidRPr="00923BB6" w:rsidRDefault="008232E4" w:rsidP="00191AD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Max </w:t>
            </w:r>
            <w:r w:rsidR="00191ADB" w:rsidRPr="00923BB6">
              <w:rPr>
                <w:rFonts w:ascii="Times New Roman" w:eastAsia="Times New Roman" w:hAnsi="Times New Roman" w:cs="Times New Roman"/>
                <w:b/>
                <w:bCs/>
                <w:sz w:val="20"/>
                <w:szCs w:val="20"/>
              </w:rPr>
              <w:t>Epochs</w:t>
            </w:r>
          </w:p>
        </w:tc>
        <w:tc>
          <w:tcPr>
            <w:tcW w:w="0" w:type="auto"/>
          </w:tcPr>
          <w:p w14:paraId="5B3F7FBD" w14:textId="7DBDD3E6"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Optimizer</w:t>
            </w:r>
          </w:p>
        </w:tc>
        <w:tc>
          <w:tcPr>
            <w:tcW w:w="0" w:type="auto"/>
          </w:tcPr>
          <w:p w14:paraId="2E1458B7" w14:textId="120F9779" w:rsidR="00191ADB" w:rsidRPr="00923BB6" w:rsidRDefault="00191ADB"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Activation Function</w:t>
            </w:r>
          </w:p>
        </w:tc>
      </w:tr>
      <w:tr w:rsidR="00191ADB" w14:paraId="141A2A18" w14:textId="77777777" w:rsidTr="00191ADB">
        <w:trPr>
          <w:jc w:val="center"/>
        </w:trPr>
        <w:tc>
          <w:tcPr>
            <w:tcW w:w="0" w:type="auto"/>
          </w:tcPr>
          <w:p w14:paraId="4ECD58ED" w14:textId="4C2EE686" w:rsidR="00191ADB" w:rsidRPr="00923BB6" w:rsidRDefault="00923BB6" w:rsidP="00191ADB">
            <w:pPr>
              <w:jc w:val="center"/>
              <w:rPr>
                <w:rFonts w:ascii="Times New Roman" w:eastAsia="Times New Roman" w:hAnsi="Times New Roman" w:cs="Times New Roman"/>
                <w:b/>
                <w:bCs/>
                <w:sz w:val="20"/>
                <w:szCs w:val="20"/>
              </w:rPr>
            </w:pPr>
            <w:r w:rsidRPr="00923BB6">
              <w:rPr>
                <w:rFonts w:ascii="Times New Roman" w:eastAsia="Times New Roman" w:hAnsi="Times New Roman" w:cs="Times New Roman"/>
                <w:b/>
                <w:bCs/>
                <w:sz w:val="20"/>
                <w:szCs w:val="20"/>
              </w:rPr>
              <w:t>FE 4PB 41</w:t>
            </w:r>
          </w:p>
        </w:tc>
        <w:tc>
          <w:tcPr>
            <w:tcW w:w="0" w:type="auto"/>
          </w:tcPr>
          <w:p w14:paraId="36D9520B" w14:textId="31B69E3D" w:rsidR="00191ADB" w:rsidRDefault="00923BB6"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576</w:t>
            </w:r>
          </w:p>
        </w:tc>
        <w:tc>
          <w:tcPr>
            <w:tcW w:w="0" w:type="auto"/>
          </w:tcPr>
          <w:p w14:paraId="4A2D3096" w14:textId="0270464C"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Pr>
          <w:p w14:paraId="42ADB3FF" w14:textId="7707C6E7" w:rsidR="00191ADB" w:rsidRDefault="00923BB6"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0.00225</w:t>
            </w:r>
          </w:p>
        </w:tc>
        <w:tc>
          <w:tcPr>
            <w:tcW w:w="0" w:type="auto"/>
          </w:tcPr>
          <w:p w14:paraId="1CDF1EBF" w14:textId="21F4EF5F" w:rsidR="00191ADB" w:rsidRDefault="00923BB6"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0" w:type="auto"/>
          </w:tcPr>
          <w:p w14:paraId="36AB4873" w14:textId="55E13D9E" w:rsidR="00191ADB" w:rsidRDefault="00923BB6"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Pr>
          <w:p w14:paraId="64072D0E" w14:textId="194C352E" w:rsidR="00191ADB" w:rsidRDefault="00923BB6"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Adam</w:t>
            </w:r>
          </w:p>
        </w:tc>
        <w:tc>
          <w:tcPr>
            <w:tcW w:w="0" w:type="auto"/>
          </w:tcPr>
          <w:p w14:paraId="025864A8" w14:textId="2F325CD6" w:rsidR="00191ADB" w:rsidRDefault="00923BB6" w:rsidP="00191ADB">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ReLU</w:t>
            </w:r>
            <w:proofErr w:type="spellEnd"/>
          </w:p>
        </w:tc>
      </w:tr>
      <w:tr w:rsidR="00191ADB" w14:paraId="2EA18177" w14:textId="77777777" w:rsidTr="0017359A">
        <w:trPr>
          <w:trHeight w:val="116"/>
          <w:jc w:val="center"/>
        </w:trPr>
        <w:tc>
          <w:tcPr>
            <w:tcW w:w="0" w:type="auto"/>
          </w:tcPr>
          <w:p w14:paraId="4ACDA2E0" w14:textId="1044DEEA" w:rsidR="00191ADB" w:rsidRPr="00923BB6" w:rsidRDefault="00B7410C" w:rsidP="00191AD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 DCB 9</w:t>
            </w:r>
          </w:p>
        </w:tc>
        <w:tc>
          <w:tcPr>
            <w:tcW w:w="0" w:type="auto"/>
          </w:tcPr>
          <w:p w14:paraId="4DEE5925" w14:textId="12AC0824"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0" w:type="auto"/>
          </w:tcPr>
          <w:p w14:paraId="4BDEBE40" w14:textId="6CC0FEAE"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Pr>
          <w:p w14:paraId="3B3586F9" w14:textId="763873B2"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0.00075</w:t>
            </w:r>
          </w:p>
        </w:tc>
        <w:tc>
          <w:tcPr>
            <w:tcW w:w="0" w:type="auto"/>
          </w:tcPr>
          <w:p w14:paraId="0F87E39D" w14:textId="07D5A62C"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0" w:type="auto"/>
          </w:tcPr>
          <w:p w14:paraId="6B33B9C0" w14:textId="1F6A6632"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0" w:type="auto"/>
          </w:tcPr>
          <w:p w14:paraId="3A69F209" w14:textId="58BBDF6E" w:rsidR="00191ADB" w:rsidRDefault="00FF243E"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Adam</w:t>
            </w:r>
          </w:p>
        </w:tc>
        <w:tc>
          <w:tcPr>
            <w:tcW w:w="0" w:type="auto"/>
          </w:tcPr>
          <w:p w14:paraId="0D7723B5" w14:textId="74C56833" w:rsidR="00191ADB" w:rsidRDefault="00FF243E" w:rsidP="00191ADB">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ReLU</w:t>
            </w:r>
            <w:proofErr w:type="spellEnd"/>
          </w:p>
        </w:tc>
      </w:tr>
      <w:tr w:rsidR="00191ADB" w14:paraId="3CD8E029" w14:textId="77777777" w:rsidTr="00191ADB">
        <w:trPr>
          <w:jc w:val="center"/>
        </w:trPr>
        <w:tc>
          <w:tcPr>
            <w:tcW w:w="0" w:type="auto"/>
          </w:tcPr>
          <w:p w14:paraId="04F07A3E" w14:textId="77A0FE2C" w:rsidR="00191ADB" w:rsidRPr="00923BB6" w:rsidRDefault="00B7410C" w:rsidP="00191AD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PD Uni 18</w:t>
            </w:r>
          </w:p>
        </w:tc>
        <w:tc>
          <w:tcPr>
            <w:tcW w:w="0" w:type="auto"/>
          </w:tcPr>
          <w:p w14:paraId="188E3EFE" w14:textId="4BC777F7"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c>
          <w:tcPr>
            <w:tcW w:w="0" w:type="auto"/>
          </w:tcPr>
          <w:p w14:paraId="24135F08" w14:textId="3E52253C"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Pr>
          <w:p w14:paraId="163177B2" w14:textId="58F948D4"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0.0005</w:t>
            </w:r>
          </w:p>
        </w:tc>
        <w:tc>
          <w:tcPr>
            <w:tcW w:w="0" w:type="auto"/>
          </w:tcPr>
          <w:p w14:paraId="02C9AD94" w14:textId="0B627FA3"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0" w:type="auto"/>
          </w:tcPr>
          <w:p w14:paraId="0E14A5F0" w14:textId="0BE6634F" w:rsidR="00191ADB" w:rsidRDefault="00175F89"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0" w:type="auto"/>
          </w:tcPr>
          <w:p w14:paraId="492EB13F" w14:textId="3A777366" w:rsidR="00191ADB" w:rsidRDefault="00FF243E" w:rsidP="00191AD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Adam</w:t>
            </w:r>
          </w:p>
        </w:tc>
        <w:tc>
          <w:tcPr>
            <w:tcW w:w="0" w:type="auto"/>
          </w:tcPr>
          <w:p w14:paraId="1F528C30" w14:textId="269340FC" w:rsidR="00191ADB" w:rsidRDefault="00FF243E" w:rsidP="00191ADB">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ReLU</w:t>
            </w:r>
            <w:proofErr w:type="spellEnd"/>
          </w:p>
        </w:tc>
      </w:tr>
    </w:tbl>
    <w:p w14:paraId="76063F79" w14:textId="77777777" w:rsidR="00191ADB" w:rsidRDefault="00191ADB" w:rsidP="00191ADB">
      <w:pPr>
        <w:jc w:val="center"/>
        <w:rPr>
          <w:rFonts w:ascii="Times New Roman" w:eastAsia="Times New Roman" w:hAnsi="Times New Roman" w:cs="Times New Roman"/>
          <w:sz w:val="20"/>
          <w:szCs w:val="20"/>
        </w:rPr>
      </w:pPr>
    </w:p>
    <w:p w14:paraId="000002A8" w14:textId="232C2041" w:rsidR="00F87ED1" w:rsidRDefault="0008262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w:t>
      </w:r>
      <w:r w:rsidR="0000548F">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shows the number of runs used to train the NN surrogate model</w:t>
      </w:r>
      <w:r w:rsidR="00B03BEB">
        <w:rPr>
          <w:rFonts w:ascii="Times New Roman" w:eastAsia="Times New Roman" w:hAnsi="Times New Roman" w:cs="Times New Roman"/>
          <w:sz w:val="20"/>
          <w:szCs w:val="20"/>
        </w:rPr>
        <w:t>s</w:t>
      </w:r>
      <w:r>
        <w:rPr>
          <w:rFonts w:ascii="Times New Roman" w:eastAsia="Times New Roman" w:hAnsi="Times New Roman" w:cs="Times New Roman"/>
          <w:sz w:val="20"/>
          <w:szCs w:val="20"/>
        </w:rPr>
        <w:t>, the training dataset size</w:t>
      </w:r>
      <w:r w:rsidR="00B03BE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the </w:t>
      </w:r>
      <w:r w:rsidR="007D0B9B">
        <w:rPr>
          <w:rFonts w:ascii="Times New Roman" w:eastAsia="Times New Roman" w:hAnsi="Times New Roman" w:cs="Times New Roman"/>
          <w:sz w:val="20"/>
          <w:szCs w:val="20"/>
        </w:rPr>
        <w:t>testing</w:t>
      </w:r>
      <w:r>
        <w:rPr>
          <w:rFonts w:ascii="Times New Roman" w:eastAsia="Times New Roman" w:hAnsi="Times New Roman" w:cs="Times New Roman"/>
          <w:sz w:val="20"/>
          <w:szCs w:val="20"/>
        </w:rPr>
        <w:t xml:space="preserve"> dataset size</w:t>
      </w:r>
      <w:r w:rsidR="00B03BE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and the RMSE</w:t>
      </w:r>
      <w:r w:rsidR="00B03BE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of the NN’s estimations </w:t>
      </w:r>
      <w:r w:rsidR="007D0B9B">
        <w:rPr>
          <w:rFonts w:ascii="Times New Roman" w:eastAsia="Times New Roman" w:hAnsi="Times New Roman" w:cs="Times New Roman"/>
          <w:sz w:val="20"/>
          <w:szCs w:val="20"/>
        </w:rPr>
        <w:t>resulting from</w:t>
      </w:r>
      <w:r>
        <w:rPr>
          <w:rFonts w:ascii="Times New Roman" w:eastAsia="Times New Roman" w:hAnsi="Times New Roman" w:cs="Times New Roman"/>
          <w:sz w:val="20"/>
          <w:szCs w:val="20"/>
        </w:rPr>
        <w:t xml:space="preserve"> the </w:t>
      </w:r>
      <w:r w:rsidR="00F9391B">
        <w:rPr>
          <w:rFonts w:ascii="Times New Roman" w:eastAsia="Times New Roman" w:hAnsi="Times New Roman" w:cs="Times New Roman"/>
          <w:sz w:val="20"/>
          <w:szCs w:val="20"/>
        </w:rPr>
        <w:t>testing</w:t>
      </w:r>
      <w:r>
        <w:rPr>
          <w:rFonts w:ascii="Times New Roman" w:eastAsia="Times New Roman" w:hAnsi="Times New Roman" w:cs="Times New Roman"/>
          <w:sz w:val="20"/>
          <w:szCs w:val="20"/>
        </w:rPr>
        <w:t xml:space="preserve"> dataset</w:t>
      </w:r>
      <w:r w:rsidR="00B03BEB">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The size of the dataset generated from each parent model was dictated by the model complexity, where the parent dataset used to train and validate the NN increased with </w:t>
      </w:r>
      <w:r w:rsidR="00F67FF4">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model dimensionality</w:t>
      </w:r>
      <w:r w:rsidR="00F67FF4">
        <w:rPr>
          <w:rFonts w:ascii="Times New Roman" w:eastAsia="Times New Roman" w:hAnsi="Times New Roman" w:cs="Times New Roman"/>
          <w:sz w:val="20"/>
          <w:szCs w:val="20"/>
        </w:rPr>
        <w:t xml:space="preserve"> of each of the three cases</w:t>
      </w:r>
      <w:r>
        <w:rPr>
          <w:rFonts w:ascii="Times New Roman" w:eastAsia="Times New Roman" w:hAnsi="Times New Roman" w:cs="Times New Roman"/>
          <w:sz w:val="20"/>
          <w:szCs w:val="20"/>
        </w:rPr>
        <w:t xml:space="preserve">. </w:t>
      </w:r>
      <w:r w:rsidR="00B03BEB">
        <w:rPr>
          <w:rFonts w:ascii="Times New Roman" w:eastAsia="Times New Roman" w:hAnsi="Times New Roman" w:cs="Times New Roman"/>
          <w:sz w:val="20"/>
          <w:szCs w:val="20"/>
        </w:rPr>
        <w:t xml:space="preserve">It should be noted that the </w:t>
      </w:r>
      <w:r w:rsidR="00C847D3">
        <w:rPr>
          <w:rFonts w:ascii="Times New Roman" w:eastAsia="Times New Roman" w:hAnsi="Times New Roman" w:cs="Times New Roman"/>
          <w:sz w:val="20"/>
          <w:szCs w:val="20"/>
        </w:rPr>
        <w:t xml:space="preserve">models with a higher number of parameters require considerably more parent runs to achieve an accurate surrogate model. The computational time to generate an adequate dataset is further impacted when considering that the models with </w:t>
      </w:r>
      <w:r w:rsidR="003101D7">
        <w:rPr>
          <w:rFonts w:ascii="Times New Roman" w:eastAsia="Times New Roman" w:hAnsi="Times New Roman" w:cs="Times New Roman"/>
          <w:sz w:val="20"/>
          <w:szCs w:val="20"/>
        </w:rPr>
        <w:t xml:space="preserve">a </w:t>
      </w:r>
      <w:r w:rsidR="00C847D3">
        <w:rPr>
          <w:rFonts w:ascii="Times New Roman" w:eastAsia="Times New Roman" w:hAnsi="Times New Roman" w:cs="Times New Roman"/>
          <w:sz w:val="20"/>
          <w:szCs w:val="20"/>
        </w:rPr>
        <w:t>larger number of parameters are</w:t>
      </w:r>
      <w:r w:rsidR="00335D19">
        <w:rPr>
          <w:rFonts w:ascii="Times New Roman" w:eastAsia="Times New Roman" w:hAnsi="Times New Roman" w:cs="Times New Roman"/>
          <w:sz w:val="20"/>
          <w:szCs w:val="20"/>
        </w:rPr>
        <w:t xml:space="preserve"> </w:t>
      </w:r>
      <w:r w:rsidR="00C847D3">
        <w:rPr>
          <w:rFonts w:ascii="Times New Roman" w:eastAsia="Times New Roman" w:hAnsi="Times New Roman" w:cs="Times New Roman"/>
          <w:sz w:val="20"/>
          <w:szCs w:val="20"/>
        </w:rPr>
        <w:t xml:space="preserve">more complex </w:t>
      </w:r>
      <w:r w:rsidR="00335D19">
        <w:rPr>
          <w:rFonts w:ascii="Times New Roman" w:eastAsia="Times New Roman" w:hAnsi="Times New Roman" w:cs="Times New Roman"/>
          <w:sz w:val="20"/>
          <w:szCs w:val="20"/>
        </w:rPr>
        <w:t xml:space="preserve">for the cases shown, </w:t>
      </w:r>
      <w:r w:rsidR="00236D14">
        <w:rPr>
          <w:rFonts w:ascii="Times New Roman" w:eastAsia="Times New Roman" w:hAnsi="Times New Roman" w:cs="Times New Roman"/>
          <w:sz w:val="20"/>
          <w:szCs w:val="20"/>
        </w:rPr>
        <w:t>which led</w:t>
      </w:r>
      <w:r w:rsidR="00C847D3">
        <w:rPr>
          <w:rFonts w:ascii="Times New Roman" w:eastAsia="Times New Roman" w:hAnsi="Times New Roman" w:cs="Times New Roman"/>
          <w:sz w:val="20"/>
          <w:szCs w:val="20"/>
        </w:rPr>
        <w:t xml:space="preserve"> to a much higher computational time per single analysis</w:t>
      </w:r>
      <w:r w:rsidR="00A607F8">
        <w:rPr>
          <w:rFonts w:ascii="Times New Roman" w:eastAsia="Times New Roman" w:hAnsi="Times New Roman" w:cs="Times New Roman"/>
          <w:sz w:val="20"/>
          <w:szCs w:val="20"/>
        </w:rPr>
        <w:t xml:space="preserve"> of the original models</w:t>
      </w:r>
      <w:r w:rsidR="00C847D3">
        <w:rPr>
          <w:rFonts w:ascii="Times New Roman" w:eastAsia="Times New Roman" w:hAnsi="Times New Roman" w:cs="Times New Roman"/>
          <w:sz w:val="20"/>
          <w:szCs w:val="20"/>
        </w:rPr>
        <w:t>.</w:t>
      </w:r>
    </w:p>
    <w:p w14:paraId="000002A9" w14:textId="58620F9B" w:rsidR="00F87ED1" w:rsidRDefault="00000000">
      <w:pPr>
        <w:jc w:val="center"/>
        <w:rPr>
          <w:rFonts w:ascii="Times New Roman" w:eastAsia="Times New Roman" w:hAnsi="Times New Roman" w:cs="Times New Roman"/>
          <w:sz w:val="20"/>
          <w:szCs w:val="20"/>
        </w:rPr>
      </w:pPr>
      <w:sdt>
        <w:sdtPr>
          <w:tag w:val="goog_rdk_7"/>
          <w:id w:val="120816370"/>
        </w:sdtPr>
        <w:sdtContent/>
      </w:sdt>
      <w:sdt>
        <w:sdtPr>
          <w:tag w:val="goog_rdk_8"/>
          <w:id w:val="-693925253"/>
        </w:sdtPr>
        <w:sdtContent/>
      </w:sdt>
      <w:r w:rsidR="00082627">
        <w:rPr>
          <w:rFonts w:ascii="Times New Roman" w:eastAsia="Times New Roman" w:hAnsi="Times New Roman" w:cs="Times New Roman"/>
          <w:sz w:val="20"/>
          <w:szCs w:val="20"/>
        </w:rPr>
        <w:t xml:space="preserve">Table </w:t>
      </w:r>
      <w:r w:rsidR="0000548F">
        <w:rPr>
          <w:rFonts w:ascii="Times New Roman" w:eastAsia="Times New Roman" w:hAnsi="Times New Roman" w:cs="Times New Roman"/>
          <w:sz w:val="20"/>
          <w:szCs w:val="20"/>
        </w:rPr>
        <w:t>6</w:t>
      </w:r>
      <w:r w:rsidR="00082627">
        <w:rPr>
          <w:rFonts w:ascii="Times New Roman" w:eastAsia="Times New Roman" w:hAnsi="Times New Roman" w:cs="Times New Roman"/>
          <w:sz w:val="20"/>
          <w:szCs w:val="20"/>
        </w:rPr>
        <w:t xml:space="preserve">. The number of parent model runs required to train the surrogate models, the test/train split, and the RMSE error of the final surrogate model.  </w:t>
      </w:r>
    </w:p>
    <w:tbl>
      <w:tblPr>
        <w:tblStyle w:val="a3"/>
        <w:tblW w:w="5991" w:type="dxa"/>
        <w:jc w:val="center"/>
        <w:tblLayout w:type="fixed"/>
        <w:tblLook w:val="0400" w:firstRow="0" w:lastRow="0" w:firstColumn="0" w:lastColumn="0" w:noHBand="0" w:noVBand="1"/>
      </w:tblPr>
      <w:tblGrid>
        <w:gridCol w:w="1075"/>
        <w:gridCol w:w="1608"/>
        <w:gridCol w:w="1712"/>
        <w:gridCol w:w="1596"/>
      </w:tblGrid>
      <w:tr w:rsidR="00F467BF" w14:paraId="7085D313" w14:textId="77777777" w:rsidTr="0017359A">
        <w:trPr>
          <w:trHeight w:val="300"/>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A" w14:textId="77777777"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Model</w:t>
            </w:r>
          </w:p>
        </w:tc>
        <w:tc>
          <w:tcPr>
            <w:tcW w:w="1608" w:type="dxa"/>
            <w:tcBorders>
              <w:top w:val="single" w:sz="4" w:space="0" w:color="000000"/>
              <w:left w:val="nil"/>
              <w:bottom w:val="single" w:sz="4" w:space="0" w:color="000000"/>
              <w:right w:val="single" w:sz="4" w:space="0" w:color="000000"/>
            </w:tcBorders>
            <w:shd w:val="clear" w:color="auto" w:fill="auto"/>
            <w:vAlign w:val="center"/>
          </w:tcPr>
          <w:p w14:paraId="000002AC" w14:textId="77777777"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Training Dataset Size</w:t>
            </w:r>
          </w:p>
        </w:tc>
        <w:tc>
          <w:tcPr>
            <w:tcW w:w="1712" w:type="dxa"/>
            <w:tcBorders>
              <w:top w:val="single" w:sz="4" w:space="0" w:color="000000"/>
              <w:left w:val="nil"/>
              <w:bottom w:val="single" w:sz="4" w:space="0" w:color="000000"/>
              <w:right w:val="single" w:sz="4" w:space="0" w:color="000000"/>
            </w:tcBorders>
            <w:shd w:val="clear" w:color="auto" w:fill="auto"/>
            <w:vAlign w:val="center"/>
          </w:tcPr>
          <w:p w14:paraId="000002AD" w14:textId="5D0F845E"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Testing Dataset Size</w:t>
            </w:r>
          </w:p>
        </w:tc>
        <w:tc>
          <w:tcPr>
            <w:tcW w:w="1596" w:type="dxa"/>
            <w:tcBorders>
              <w:top w:val="single" w:sz="4" w:space="0" w:color="000000"/>
              <w:left w:val="nil"/>
              <w:bottom w:val="single" w:sz="4" w:space="0" w:color="000000"/>
              <w:right w:val="single" w:sz="4" w:space="0" w:color="000000"/>
            </w:tcBorders>
            <w:shd w:val="clear" w:color="auto" w:fill="auto"/>
            <w:vAlign w:val="center"/>
          </w:tcPr>
          <w:p w14:paraId="000002AE" w14:textId="4CBF7B4B"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RMSE Testing (%)</w:t>
            </w:r>
          </w:p>
        </w:tc>
      </w:tr>
      <w:tr w:rsidR="00F467BF" w14:paraId="58FF71A4" w14:textId="77777777" w:rsidTr="0017359A">
        <w:trPr>
          <w:trHeight w:val="300"/>
          <w:jc w:val="center"/>
        </w:trPr>
        <w:tc>
          <w:tcPr>
            <w:tcW w:w="1075" w:type="dxa"/>
            <w:tcBorders>
              <w:top w:val="nil"/>
              <w:left w:val="single" w:sz="4" w:space="0" w:color="000000"/>
              <w:bottom w:val="single" w:sz="4" w:space="0" w:color="000000"/>
              <w:right w:val="single" w:sz="4" w:space="0" w:color="000000"/>
            </w:tcBorders>
            <w:shd w:val="clear" w:color="auto" w:fill="auto"/>
            <w:vAlign w:val="center"/>
          </w:tcPr>
          <w:p w14:paraId="000002AF" w14:textId="77777777"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 4PB 41</w:t>
            </w:r>
          </w:p>
        </w:tc>
        <w:tc>
          <w:tcPr>
            <w:tcW w:w="1608" w:type="dxa"/>
            <w:tcBorders>
              <w:top w:val="nil"/>
              <w:left w:val="nil"/>
              <w:bottom w:val="single" w:sz="4" w:space="0" w:color="000000"/>
              <w:right w:val="single" w:sz="4" w:space="0" w:color="000000"/>
            </w:tcBorders>
            <w:shd w:val="clear" w:color="auto" w:fill="auto"/>
            <w:vAlign w:val="center"/>
          </w:tcPr>
          <w:p w14:paraId="000002B1"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712" w:type="dxa"/>
            <w:tcBorders>
              <w:top w:val="nil"/>
              <w:left w:val="nil"/>
              <w:bottom w:val="single" w:sz="4" w:space="0" w:color="000000"/>
              <w:right w:val="single" w:sz="4" w:space="0" w:color="000000"/>
            </w:tcBorders>
            <w:shd w:val="clear" w:color="auto" w:fill="auto"/>
            <w:vAlign w:val="center"/>
          </w:tcPr>
          <w:p w14:paraId="000002B2"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tcW w:w="1596" w:type="dxa"/>
            <w:tcBorders>
              <w:top w:val="nil"/>
              <w:left w:val="nil"/>
              <w:bottom w:val="single" w:sz="4" w:space="0" w:color="000000"/>
              <w:right w:val="single" w:sz="4" w:space="0" w:color="000000"/>
            </w:tcBorders>
            <w:shd w:val="clear" w:color="auto" w:fill="auto"/>
            <w:vAlign w:val="center"/>
          </w:tcPr>
          <w:p w14:paraId="000002B3"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w:t>
            </w:r>
          </w:p>
        </w:tc>
      </w:tr>
      <w:tr w:rsidR="00F467BF" w14:paraId="5AB79697" w14:textId="77777777" w:rsidTr="0017359A">
        <w:trPr>
          <w:trHeight w:val="315"/>
          <w:jc w:val="center"/>
        </w:trPr>
        <w:tc>
          <w:tcPr>
            <w:tcW w:w="1075" w:type="dxa"/>
            <w:tcBorders>
              <w:top w:val="nil"/>
              <w:left w:val="single" w:sz="4" w:space="0" w:color="000000"/>
              <w:bottom w:val="single" w:sz="4" w:space="0" w:color="000000"/>
              <w:right w:val="single" w:sz="4" w:space="0" w:color="000000"/>
            </w:tcBorders>
            <w:shd w:val="clear" w:color="auto" w:fill="auto"/>
            <w:vAlign w:val="center"/>
          </w:tcPr>
          <w:p w14:paraId="000002B4" w14:textId="77777777"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 DCB 9</w:t>
            </w:r>
          </w:p>
        </w:tc>
        <w:tc>
          <w:tcPr>
            <w:tcW w:w="1608" w:type="dxa"/>
            <w:tcBorders>
              <w:top w:val="nil"/>
              <w:left w:val="nil"/>
              <w:bottom w:val="single" w:sz="4" w:space="0" w:color="000000"/>
              <w:right w:val="single" w:sz="4" w:space="0" w:color="000000"/>
            </w:tcBorders>
            <w:shd w:val="clear" w:color="auto" w:fill="auto"/>
            <w:vAlign w:val="center"/>
          </w:tcPr>
          <w:p w14:paraId="000002B6"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w:t>
            </w:r>
          </w:p>
        </w:tc>
        <w:tc>
          <w:tcPr>
            <w:tcW w:w="1712" w:type="dxa"/>
            <w:tcBorders>
              <w:top w:val="nil"/>
              <w:left w:val="nil"/>
              <w:bottom w:val="single" w:sz="4" w:space="0" w:color="000000"/>
              <w:right w:val="single" w:sz="4" w:space="0" w:color="000000"/>
            </w:tcBorders>
            <w:shd w:val="clear" w:color="auto" w:fill="auto"/>
            <w:vAlign w:val="center"/>
          </w:tcPr>
          <w:p w14:paraId="000002B7"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p>
        </w:tc>
        <w:tc>
          <w:tcPr>
            <w:tcW w:w="1596" w:type="dxa"/>
            <w:tcBorders>
              <w:top w:val="nil"/>
              <w:left w:val="nil"/>
              <w:bottom w:val="single" w:sz="4" w:space="0" w:color="000000"/>
              <w:right w:val="single" w:sz="4" w:space="0" w:color="000000"/>
            </w:tcBorders>
            <w:shd w:val="clear" w:color="auto" w:fill="auto"/>
            <w:vAlign w:val="center"/>
          </w:tcPr>
          <w:p w14:paraId="000002B8"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2.59</w:t>
            </w:r>
          </w:p>
        </w:tc>
      </w:tr>
      <w:tr w:rsidR="00F467BF" w14:paraId="5018FBEA" w14:textId="77777777" w:rsidTr="0017359A">
        <w:trPr>
          <w:trHeight w:val="300"/>
          <w:jc w:val="center"/>
        </w:trPr>
        <w:tc>
          <w:tcPr>
            <w:tcW w:w="1075" w:type="dxa"/>
            <w:tcBorders>
              <w:top w:val="nil"/>
              <w:left w:val="single" w:sz="4" w:space="0" w:color="000000"/>
              <w:bottom w:val="single" w:sz="4" w:space="0" w:color="000000"/>
              <w:right w:val="single" w:sz="4" w:space="0" w:color="000000"/>
            </w:tcBorders>
            <w:shd w:val="clear" w:color="auto" w:fill="auto"/>
            <w:vAlign w:val="center"/>
          </w:tcPr>
          <w:p w14:paraId="000002B9" w14:textId="77777777" w:rsidR="00F467BF" w:rsidRDefault="00F467B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PD Uni 18</w:t>
            </w:r>
          </w:p>
        </w:tc>
        <w:tc>
          <w:tcPr>
            <w:tcW w:w="1608" w:type="dxa"/>
            <w:tcBorders>
              <w:top w:val="nil"/>
              <w:left w:val="nil"/>
              <w:bottom w:val="single" w:sz="4" w:space="0" w:color="000000"/>
              <w:right w:val="single" w:sz="4" w:space="0" w:color="000000"/>
            </w:tcBorders>
            <w:shd w:val="clear" w:color="auto" w:fill="auto"/>
            <w:vAlign w:val="center"/>
          </w:tcPr>
          <w:p w14:paraId="000002BB"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w:t>
            </w:r>
          </w:p>
        </w:tc>
        <w:tc>
          <w:tcPr>
            <w:tcW w:w="1712" w:type="dxa"/>
            <w:tcBorders>
              <w:top w:val="nil"/>
              <w:left w:val="nil"/>
              <w:bottom w:val="single" w:sz="4" w:space="0" w:color="000000"/>
              <w:right w:val="single" w:sz="4" w:space="0" w:color="000000"/>
            </w:tcBorders>
            <w:shd w:val="clear" w:color="auto" w:fill="auto"/>
            <w:vAlign w:val="center"/>
          </w:tcPr>
          <w:p w14:paraId="000002BC"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w:t>
            </w:r>
          </w:p>
        </w:tc>
        <w:tc>
          <w:tcPr>
            <w:tcW w:w="1596" w:type="dxa"/>
            <w:tcBorders>
              <w:top w:val="nil"/>
              <w:left w:val="nil"/>
              <w:bottom w:val="single" w:sz="4" w:space="0" w:color="000000"/>
              <w:right w:val="single" w:sz="4" w:space="0" w:color="000000"/>
            </w:tcBorders>
            <w:shd w:val="clear" w:color="auto" w:fill="auto"/>
            <w:vAlign w:val="center"/>
          </w:tcPr>
          <w:p w14:paraId="000002BD" w14:textId="77777777" w:rsidR="00F467BF" w:rsidRDefault="00F467B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p>
        </w:tc>
      </w:tr>
    </w:tbl>
    <w:p w14:paraId="000002BE" w14:textId="77777777" w:rsidR="00F87ED1" w:rsidRDefault="00F87ED1">
      <w:pPr>
        <w:jc w:val="center"/>
        <w:rPr>
          <w:rFonts w:ascii="Times New Roman" w:eastAsia="Times New Roman" w:hAnsi="Times New Roman" w:cs="Times New Roman"/>
          <w:sz w:val="24"/>
          <w:szCs w:val="24"/>
        </w:rPr>
      </w:pPr>
    </w:p>
    <w:p w14:paraId="000002BF" w14:textId="77777777" w:rsidR="00F87ED1" w:rsidRDefault="00082627">
      <w:pPr>
        <w:spacing w:after="0"/>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3.7 Sampling for GSA</w:t>
      </w:r>
    </w:p>
    <w:p w14:paraId="561941B2" w14:textId="3D231D21" w:rsidR="00273753" w:rsidRPr="009D47C8" w:rsidRDefault="00082627" w:rsidP="00983142">
      <w:r>
        <w:rPr>
          <w:rFonts w:ascii="Times New Roman" w:eastAsia="Times New Roman" w:hAnsi="Times New Roman" w:cs="Times New Roman"/>
          <w:sz w:val="20"/>
          <w:szCs w:val="20"/>
        </w:rPr>
        <w:t xml:space="preserve">Once the surrogate model for each case study parent model was formulated, these surrogate models were used to collect datasets for GSA according to the sampling scheme specific to each GSA method in SALib, where the sampling strategies used for the Sobol’, Morris, EFAST, and DGSM methods are </w:t>
      </w:r>
      <w:r w:rsidR="00FB53E6">
        <w:rPr>
          <w:rFonts w:ascii="Times New Roman" w:eastAsia="Times New Roman" w:hAnsi="Times New Roman" w:cs="Times New Roman"/>
          <w:sz w:val="20"/>
          <w:szCs w:val="20"/>
        </w:rPr>
        <w:t xml:space="preserve">identified </w:t>
      </w:r>
      <w:r>
        <w:rPr>
          <w:rFonts w:ascii="Times New Roman" w:eastAsia="Times New Roman" w:hAnsi="Times New Roman" w:cs="Times New Roman"/>
          <w:sz w:val="20"/>
          <w:szCs w:val="20"/>
        </w:rPr>
        <w:t>in their primary citations</w:t>
      </w:r>
      <w:r w:rsidR="00B0238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Table 1</w:t>
      </w:r>
      <w:r w:rsidR="00B02380">
        <w:rPr>
          <w:rFonts w:ascii="Times New Roman" w:eastAsia="Times New Roman" w:hAnsi="Times New Roman" w:cs="Times New Roman"/>
          <w:sz w:val="20"/>
          <w:szCs w:val="20"/>
        </w:rPr>
        <w:t>)</w:t>
      </w:r>
      <w:r>
        <w:rPr>
          <w:rFonts w:ascii="Times New Roman" w:eastAsia="Times New Roman" w:hAnsi="Times New Roman" w:cs="Times New Roman"/>
          <w:sz w:val="20"/>
          <w:szCs w:val="20"/>
        </w:rPr>
        <w:t>. The HDMR method allows for any appropriate sampling method, and the stratified Latin hypercube method was applied. Parameters were normalised within the range of 0-1 to be evaluated by the neural network model, where normalised parameters increase the rate of convergence of the training. To determine the rate of convergence for each GSA method, the sample size was increased between 300 to 500,000 for each GSA method when possible. Due to numerical or hardware limitations some sample sizes were not possible when implementing certain methods</w:t>
      </w:r>
      <w:r w:rsidR="00B6605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66056">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pecifically, the EFAST method has limitations at smaller sample sizes, while some sample sizes were too large for the HDMR method when the available RAM was insufficient (&lt;128Gb).  </w:t>
      </w:r>
      <w:r>
        <w:t xml:space="preserve">     </w:t>
      </w:r>
    </w:p>
    <w:p w14:paraId="00000302" w14:textId="01071405" w:rsidR="00F87ED1" w:rsidRDefault="00082627" w:rsidP="002037E4">
      <w:pPr>
        <w:pStyle w:val="Heading1"/>
        <w:tabs>
          <w:tab w:val="center" w:pos="4800"/>
          <w:tab w:val="right" w:pos="9500"/>
        </w:tabs>
        <w:rPr>
          <w:rFonts w:ascii="Times New Roman" w:eastAsia="Times New Roman" w:hAnsi="Times New Roman"/>
          <w:color w:val="000052"/>
          <w:sz w:val="21"/>
          <w:szCs w:val="21"/>
        </w:rPr>
      </w:pPr>
      <w:r>
        <w:rPr>
          <w:rFonts w:ascii="Times New Roman" w:eastAsia="Times New Roman" w:hAnsi="Times New Roman"/>
          <w:color w:val="000052"/>
          <w:sz w:val="21"/>
          <w:szCs w:val="21"/>
        </w:rPr>
        <w:t>4. Case Studies Results</w:t>
      </w:r>
    </w:p>
    <w:p w14:paraId="63E95833" w14:textId="008758B2" w:rsidR="00FC128A" w:rsidRPr="002037E4" w:rsidRDefault="00FC128A" w:rsidP="0017359A">
      <w:pPr>
        <w:tabs>
          <w:tab w:val="center" w:pos="4680"/>
        </w:tabs>
        <w:spacing w:after="0"/>
        <w:rPr>
          <w:rFonts w:ascii="Times New Roman" w:eastAsia="Times New Roman" w:hAnsi="Times New Roman" w:cs="Times New Roman"/>
          <w:b/>
          <w:color w:val="002060"/>
          <w:sz w:val="24"/>
          <w:szCs w:val="24"/>
        </w:rPr>
      </w:pPr>
      <w:r w:rsidRPr="001E3E54">
        <w:rPr>
          <w:rFonts w:ascii="Times New Roman" w:eastAsia="Times New Roman" w:hAnsi="Times New Roman" w:cs="Times New Roman"/>
          <w:b/>
          <w:color w:val="002060"/>
          <w:sz w:val="24"/>
          <w:szCs w:val="24"/>
        </w:rPr>
        <w:t>4.</w:t>
      </w:r>
      <w:r>
        <w:rPr>
          <w:rFonts w:ascii="Times New Roman" w:eastAsia="Times New Roman" w:hAnsi="Times New Roman" w:cs="Times New Roman"/>
          <w:b/>
          <w:color w:val="002060"/>
          <w:sz w:val="24"/>
          <w:szCs w:val="24"/>
        </w:rPr>
        <w:t>1</w:t>
      </w:r>
      <w:r w:rsidRPr="001E3E54">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color w:val="002060"/>
          <w:sz w:val="24"/>
          <w:szCs w:val="24"/>
        </w:rPr>
        <w:t xml:space="preserve">Convergence </w:t>
      </w:r>
      <w:r w:rsidR="00BD39B2">
        <w:rPr>
          <w:rFonts w:ascii="Times New Roman" w:eastAsia="Times New Roman" w:hAnsi="Times New Roman" w:cs="Times New Roman"/>
          <w:b/>
          <w:color w:val="002060"/>
          <w:sz w:val="24"/>
          <w:szCs w:val="24"/>
        </w:rPr>
        <w:t>Study</w:t>
      </w:r>
      <w:r w:rsidR="0017359A">
        <w:rPr>
          <w:rFonts w:ascii="Times New Roman" w:eastAsia="Times New Roman" w:hAnsi="Times New Roman" w:cs="Times New Roman"/>
          <w:b/>
          <w:color w:val="002060"/>
          <w:sz w:val="24"/>
          <w:szCs w:val="24"/>
        </w:rPr>
        <w:tab/>
      </w:r>
    </w:p>
    <w:p w14:paraId="63A76B4F" w14:textId="28C534FF" w:rsidR="004057DE" w:rsidRDefault="00F737EC" w:rsidP="004057DE">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samples at convergence was determined for each method and </w:t>
      </w:r>
      <w:r w:rsidR="00FC128A">
        <w:rPr>
          <w:rFonts w:ascii="Times New Roman" w:eastAsia="Times New Roman" w:hAnsi="Times New Roman" w:cs="Times New Roman"/>
          <w:sz w:val="20"/>
          <w:szCs w:val="20"/>
        </w:rPr>
        <w:t xml:space="preserve">summarized in Table </w:t>
      </w:r>
      <w:r w:rsidR="0000548F">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r w:rsidR="00FC128A">
        <w:rPr>
          <w:rFonts w:ascii="Times New Roman" w:eastAsia="Times New Roman" w:hAnsi="Times New Roman" w:cs="Times New Roman"/>
          <w:sz w:val="20"/>
          <w:szCs w:val="20"/>
        </w:rPr>
        <w:t xml:space="preserve"> </w:t>
      </w:r>
      <w:r w:rsidR="007B0D75">
        <w:rPr>
          <w:rFonts w:ascii="Times New Roman" w:eastAsia="Times New Roman" w:hAnsi="Times New Roman" w:cs="Times New Roman"/>
          <w:sz w:val="20"/>
          <w:szCs w:val="20"/>
        </w:rPr>
        <w:t>C</w:t>
      </w:r>
      <w:r>
        <w:rPr>
          <w:rFonts w:ascii="Times New Roman" w:eastAsia="Times New Roman" w:hAnsi="Times New Roman" w:cs="Times New Roman"/>
          <w:sz w:val="20"/>
          <w:szCs w:val="20"/>
        </w:rPr>
        <w:t>onvergence</w:t>
      </w:r>
      <w:r w:rsidR="00FC128A">
        <w:rPr>
          <w:rFonts w:ascii="Times New Roman" w:eastAsia="Times New Roman" w:hAnsi="Times New Roman" w:cs="Times New Roman"/>
          <w:sz w:val="20"/>
          <w:szCs w:val="20"/>
        </w:rPr>
        <w:t xml:space="preserve"> is</w:t>
      </w:r>
      <w:r w:rsidR="00F8267A">
        <w:rPr>
          <w:rFonts w:ascii="Times New Roman" w:eastAsia="Times New Roman" w:hAnsi="Times New Roman" w:cs="Times New Roman"/>
          <w:sz w:val="20"/>
          <w:szCs w:val="20"/>
        </w:rPr>
        <w:t xml:space="preserve"> determined as</w:t>
      </w:r>
      <w:r w:rsidR="00FC128A">
        <w:rPr>
          <w:rFonts w:ascii="Times New Roman" w:eastAsia="Times New Roman" w:hAnsi="Times New Roman" w:cs="Times New Roman"/>
          <w:sz w:val="20"/>
          <w:szCs w:val="20"/>
        </w:rPr>
        <w:t xml:space="preserve"> the number of samples required for each method to produce </w:t>
      </w:r>
      <w:r>
        <w:rPr>
          <w:rFonts w:ascii="Times New Roman" w:eastAsia="Times New Roman" w:hAnsi="Times New Roman" w:cs="Times New Roman"/>
          <w:sz w:val="20"/>
          <w:szCs w:val="20"/>
        </w:rPr>
        <w:t>con</w:t>
      </w:r>
      <w:r w:rsidR="007B0D75">
        <w:rPr>
          <w:rFonts w:ascii="Times New Roman" w:eastAsia="Times New Roman" w:hAnsi="Times New Roman" w:cs="Times New Roman"/>
          <w:sz w:val="20"/>
          <w:szCs w:val="20"/>
        </w:rPr>
        <w:t>stant</w:t>
      </w:r>
      <w:r w:rsidR="00FC128A">
        <w:rPr>
          <w:rFonts w:ascii="Times New Roman" w:eastAsia="Times New Roman" w:hAnsi="Times New Roman" w:cs="Times New Roman"/>
          <w:sz w:val="20"/>
          <w:szCs w:val="20"/>
        </w:rPr>
        <w:t xml:space="preserve"> estimations</w:t>
      </w:r>
      <w:r w:rsidR="007B0D75">
        <w:rPr>
          <w:rFonts w:ascii="Times New Roman" w:eastAsia="Times New Roman" w:hAnsi="Times New Roman" w:cs="Times New Roman"/>
          <w:sz w:val="20"/>
          <w:szCs w:val="20"/>
        </w:rPr>
        <w:t xml:space="preserve"> (within 5% for two consecutive increases in sample size)</w:t>
      </w:r>
      <w:r w:rsidR="00FC128A">
        <w:rPr>
          <w:rFonts w:ascii="Times New Roman" w:eastAsia="Times New Roman" w:hAnsi="Times New Roman" w:cs="Times New Roman"/>
          <w:sz w:val="20"/>
          <w:szCs w:val="20"/>
        </w:rPr>
        <w:t xml:space="preserve"> for </w:t>
      </w:r>
      <w:r>
        <w:rPr>
          <w:rFonts w:ascii="Times New Roman" w:eastAsia="Times New Roman" w:hAnsi="Times New Roman" w:cs="Times New Roman"/>
          <w:sz w:val="20"/>
          <w:szCs w:val="20"/>
        </w:rPr>
        <w:t xml:space="preserve">all </w:t>
      </w:r>
      <w:r w:rsidR="00FC128A">
        <w:rPr>
          <w:rFonts w:ascii="Times New Roman" w:eastAsia="Times New Roman" w:hAnsi="Times New Roman" w:cs="Times New Roman"/>
          <w:sz w:val="20"/>
          <w:szCs w:val="20"/>
        </w:rPr>
        <w:t>parameters</w:t>
      </w:r>
      <w:r w:rsidR="00C950D9">
        <w:rPr>
          <w:rFonts w:ascii="Times New Roman" w:eastAsia="Times New Roman" w:hAnsi="Times New Roman" w:cs="Times New Roman"/>
          <w:sz w:val="20"/>
          <w:szCs w:val="20"/>
        </w:rPr>
        <w:t xml:space="preserve"> with a sensitivity measure</w:t>
      </w:r>
      <w:r w:rsidR="00FC128A">
        <w:rPr>
          <w:rFonts w:ascii="Times New Roman" w:eastAsia="Times New Roman" w:hAnsi="Times New Roman" w:cs="Times New Roman"/>
          <w:sz w:val="20"/>
          <w:szCs w:val="20"/>
        </w:rPr>
        <w:t xml:space="preserve"> contributing more than 10% to the </w:t>
      </w:r>
      <w:r w:rsidR="00C950D9">
        <w:rPr>
          <w:rFonts w:ascii="Times New Roman" w:eastAsia="Times New Roman" w:hAnsi="Times New Roman" w:cs="Times New Roman"/>
          <w:sz w:val="20"/>
          <w:szCs w:val="20"/>
        </w:rPr>
        <w:t xml:space="preserve">model </w:t>
      </w:r>
      <w:r w:rsidR="00FC128A">
        <w:rPr>
          <w:rFonts w:ascii="Times New Roman" w:eastAsia="Times New Roman" w:hAnsi="Times New Roman" w:cs="Times New Roman"/>
          <w:sz w:val="20"/>
          <w:szCs w:val="20"/>
        </w:rPr>
        <w:t xml:space="preserve">output. </w:t>
      </w:r>
      <w:r w:rsidR="00205171">
        <w:rPr>
          <w:rFonts w:ascii="Times New Roman" w:eastAsia="Times New Roman" w:hAnsi="Times New Roman" w:cs="Times New Roman"/>
          <w:sz w:val="20"/>
          <w:szCs w:val="20"/>
        </w:rPr>
        <w:t>The</w:t>
      </w:r>
      <w:r w:rsidR="00FC128A">
        <w:rPr>
          <w:rFonts w:ascii="Times New Roman" w:eastAsia="Times New Roman" w:hAnsi="Times New Roman" w:cs="Times New Roman"/>
          <w:sz w:val="20"/>
          <w:szCs w:val="20"/>
        </w:rPr>
        <w:t xml:space="preserve"> </w:t>
      </w:r>
      <w:r w:rsidR="00C950D9">
        <w:rPr>
          <w:rFonts w:ascii="Times New Roman" w:eastAsia="Times New Roman" w:hAnsi="Times New Roman" w:cs="Times New Roman"/>
          <w:sz w:val="20"/>
          <w:szCs w:val="20"/>
        </w:rPr>
        <w:t xml:space="preserve">rate of convergence for each method </w:t>
      </w:r>
      <w:r w:rsidR="00FC128A">
        <w:rPr>
          <w:rFonts w:ascii="Times New Roman" w:eastAsia="Times New Roman" w:hAnsi="Times New Roman" w:cs="Times New Roman"/>
          <w:sz w:val="20"/>
          <w:szCs w:val="20"/>
        </w:rPr>
        <w:t xml:space="preserve">is visualized </w:t>
      </w:r>
      <w:r w:rsidR="00C950D9">
        <w:rPr>
          <w:rFonts w:ascii="Times New Roman" w:eastAsia="Times New Roman" w:hAnsi="Times New Roman" w:cs="Times New Roman"/>
          <w:sz w:val="20"/>
          <w:szCs w:val="20"/>
        </w:rPr>
        <w:t>by</w:t>
      </w:r>
      <w:r w:rsidR="00FC128A">
        <w:rPr>
          <w:rFonts w:ascii="Times New Roman" w:eastAsia="Times New Roman" w:hAnsi="Times New Roman" w:cs="Times New Roman"/>
          <w:sz w:val="20"/>
          <w:szCs w:val="20"/>
        </w:rPr>
        <w:t xml:space="preserve"> heatmaps </w:t>
      </w:r>
      <w:r w:rsidR="007B0D75">
        <w:rPr>
          <w:rFonts w:ascii="Times New Roman" w:eastAsia="Times New Roman" w:hAnsi="Times New Roman" w:cs="Times New Roman"/>
          <w:sz w:val="20"/>
          <w:szCs w:val="20"/>
        </w:rPr>
        <w:t>that report the absolute difference as a percentage between consecutive sample sizes</w:t>
      </w:r>
      <w:r w:rsidR="00EF4ED1">
        <w:rPr>
          <w:rFonts w:ascii="Times New Roman" w:eastAsia="Times New Roman" w:hAnsi="Times New Roman" w:cs="Times New Roman"/>
          <w:sz w:val="20"/>
          <w:szCs w:val="20"/>
        </w:rPr>
        <w:t xml:space="preserve"> (Figs. </w:t>
      </w:r>
      <w:r w:rsidR="00E22AA3">
        <w:rPr>
          <w:rFonts w:ascii="Times New Roman" w:eastAsia="Times New Roman" w:hAnsi="Times New Roman" w:cs="Times New Roman"/>
          <w:sz w:val="20"/>
          <w:szCs w:val="20"/>
        </w:rPr>
        <w:t>2</w:t>
      </w:r>
      <w:r w:rsidR="00EF4ED1">
        <w:rPr>
          <w:rFonts w:ascii="Times New Roman" w:eastAsia="Times New Roman" w:hAnsi="Times New Roman" w:cs="Times New Roman"/>
          <w:sz w:val="20"/>
          <w:szCs w:val="20"/>
        </w:rPr>
        <w:t>,</w:t>
      </w:r>
      <w:r w:rsidR="00E22AA3">
        <w:rPr>
          <w:rFonts w:ascii="Times New Roman" w:eastAsia="Times New Roman" w:hAnsi="Times New Roman" w:cs="Times New Roman"/>
          <w:sz w:val="20"/>
          <w:szCs w:val="20"/>
        </w:rPr>
        <w:t>3</w:t>
      </w:r>
      <w:r w:rsidR="00EF4ED1">
        <w:rPr>
          <w:rFonts w:ascii="Times New Roman" w:eastAsia="Times New Roman" w:hAnsi="Times New Roman" w:cs="Times New Roman"/>
          <w:sz w:val="20"/>
          <w:szCs w:val="20"/>
        </w:rPr>
        <w:t>)</w:t>
      </w:r>
      <w:r w:rsidR="00FC128A">
        <w:rPr>
          <w:rFonts w:ascii="Times New Roman" w:eastAsia="Times New Roman" w:hAnsi="Times New Roman" w:cs="Times New Roman"/>
          <w:sz w:val="20"/>
          <w:szCs w:val="20"/>
        </w:rPr>
        <w:t xml:space="preserve">. </w:t>
      </w:r>
      <w:r w:rsidR="004057DE">
        <w:rPr>
          <w:rFonts w:ascii="Times New Roman" w:eastAsia="Times New Roman" w:hAnsi="Times New Roman" w:cs="Times New Roman"/>
          <w:sz w:val="20"/>
          <w:szCs w:val="20"/>
        </w:rPr>
        <w:t>The heatmaps</w:t>
      </w:r>
      <w:r w:rsidR="00BD3E53">
        <w:rPr>
          <w:rFonts w:ascii="Times New Roman" w:eastAsia="Times New Roman" w:hAnsi="Times New Roman" w:cs="Times New Roman"/>
          <w:sz w:val="20"/>
          <w:szCs w:val="20"/>
        </w:rPr>
        <w:t xml:space="preserve"> present convergence rates for the individual </w:t>
      </w:r>
      <w:r w:rsidR="004057DE">
        <w:rPr>
          <w:rFonts w:ascii="Times New Roman" w:eastAsia="Times New Roman" w:hAnsi="Times New Roman" w:cs="Times New Roman"/>
          <w:sz w:val="20"/>
          <w:szCs w:val="20"/>
        </w:rPr>
        <w:t xml:space="preserve">parameters estimated to contribute more than 10%, an average </w:t>
      </w:r>
      <w:r w:rsidR="00B92F05">
        <w:rPr>
          <w:rFonts w:ascii="Times New Roman" w:eastAsia="Times New Roman" w:hAnsi="Times New Roman" w:cs="Times New Roman"/>
          <w:sz w:val="20"/>
          <w:szCs w:val="20"/>
        </w:rPr>
        <w:t xml:space="preserve">rate for </w:t>
      </w:r>
      <w:r w:rsidR="004057DE">
        <w:rPr>
          <w:rFonts w:ascii="Times New Roman" w:eastAsia="Times New Roman" w:hAnsi="Times New Roman" w:cs="Times New Roman"/>
          <w:sz w:val="20"/>
          <w:szCs w:val="20"/>
        </w:rPr>
        <w:t xml:space="preserve">the parameters contributing </w:t>
      </w:r>
      <w:r w:rsidR="00DD0BE8">
        <w:rPr>
          <w:rFonts w:ascii="Times New Roman" w:eastAsia="Times New Roman" w:hAnsi="Times New Roman" w:cs="Times New Roman"/>
          <w:sz w:val="20"/>
          <w:szCs w:val="20"/>
        </w:rPr>
        <w:lastRenderedPageBreak/>
        <w:t>greater</w:t>
      </w:r>
      <w:r w:rsidR="004057DE">
        <w:rPr>
          <w:rFonts w:ascii="Times New Roman" w:eastAsia="Times New Roman" w:hAnsi="Times New Roman" w:cs="Times New Roman"/>
          <w:sz w:val="20"/>
          <w:szCs w:val="20"/>
        </w:rPr>
        <w:t xml:space="preserve"> than 10% (GT 10%), </w:t>
      </w:r>
      <w:r w:rsidR="000912E0">
        <w:rPr>
          <w:rFonts w:ascii="Times New Roman" w:eastAsia="Times New Roman" w:hAnsi="Times New Roman" w:cs="Times New Roman"/>
          <w:sz w:val="20"/>
          <w:szCs w:val="20"/>
        </w:rPr>
        <w:t xml:space="preserve">an average rate for </w:t>
      </w:r>
      <w:r w:rsidR="004057DE">
        <w:rPr>
          <w:rFonts w:ascii="Times New Roman" w:eastAsia="Times New Roman" w:hAnsi="Times New Roman" w:cs="Times New Roman"/>
          <w:sz w:val="20"/>
          <w:szCs w:val="20"/>
        </w:rPr>
        <w:t xml:space="preserve">parameters that were </w:t>
      </w:r>
      <w:r w:rsidR="000912E0">
        <w:rPr>
          <w:rFonts w:ascii="Times New Roman" w:eastAsia="Times New Roman" w:hAnsi="Times New Roman" w:cs="Times New Roman"/>
          <w:sz w:val="20"/>
          <w:szCs w:val="20"/>
        </w:rPr>
        <w:t>identified to be</w:t>
      </w:r>
      <w:r w:rsidR="004057DE">
        <w:rPr>
          <w:rFonts w:ascii="Times New Roman" w:eastAsia="Times New Roman" w:hAnsi="Times New Roman" w:cs="Times New Roman"/>
          <w:sz w:val="20"/>
          <w:szCs w:val="20"/>
        </w:rPr>
        <w:t xml:space="preserve"> non-negligible by inspection of the indices (Top 10 or Top 3), and an average </w:t>
      </w:r>
      <w:r w:rsidR="000912E0">
        <w:rPr>
          <w:rFonts w:ascii="Times New Roman" w:eastAsia="Times New Roman" w:hAnsi="Times New Roman" w:cs="Times New Roman"/>
          <w:sz w:val="20"/>
          <w:szCs w:val="20"/>
        </w:rPr>
        <w:t>rate for</w:t>
      </w:r>
      <w:r w:rsidR="004057DE">
        <w:rPr>
          <w:rFonts w:ascii="Times New Roman" w:eastAsia="Times New Roman" w:hAnsi="Times New Roman" w:cs="Times New Roman"/>
          <w:sz w:val="20"/>
          <w:szCs w:val="20"/>
        </w:rPr>
        <w:t xml:space="preserve"> all parameters (All). </w:t>
      </w:r>
      <w:r w:rsidR="00E3238C">
        <w:rPr>
          <w:rFonts w:ascii="Times New Roman" w:eastAsia="Times New Roman" w:hAnsi="Times New Roman" w:cs="Times New Roman"/>
          <w:sz w:val="20"/>
          <w:szCs w:val="20"/>
        </w:rPr>
        <w:t>In general, more parameters</w:t>
      </w:r>
      <w:r w:rsidR="00685BC3">
        <w:rPr>
          <w:rFonts w:ascii="Times New Roman" w:eastAsia="Times New Roman" w:hAnsi="Times New Roman" w:cs="Times New Roman"/>
          <w:sz w:val="20"/>
          <w:szCs w:val="20"/>
        </w:rPr>
        <w:t xml:space="preserve"> resulted in</w:t>
      </w:r>
      <w:r w:rsidR="00E3238C">
        <w:rPr>
          <w:rFonts w:ascii="Times New Roman" w:eastAsia="Times New Roman" w:hAnsi="Times New Roman" w:cs="Times New Roman"/>
          <w:sz w:val="20"/>
          <w:szCs w:val="20"/>
        </w:rPr>
        <w:t xml:space="preserve"> </w:t>
      </w:r>
      <w:r w:rsidR="00685BC3">
        <w:rPr>
          <w:rFonts w:ascii="Times New Roman" w:eastAsia="Times New Roman" w:hAnsi="Times New Roman" w:cs="Times New Roman"/>
          <w:sz w:val="20"/>
          <w:szCs w:val="20"/>
        </w:rPr>
        <w:t>larger datasets to achieve</w:t>
      </w:r>
      <w:r w:rsidR="00E3238C">
        <w:rPr>
          <w:rFonts w:ascii="Times New Roman" w:eastAsia="Times New Roman" w:hAnsi="Times New Roman" w:cs="Times New Roman"/>
          <w:sz w:val="20"/>
          <w:szCs w:val="20"/>
        </w:rPr>
        <w:t xml:space="preserve"> convergence</w:t>
      </w:r>
      <w:r w:rsidR="004057DE">
        <w:rPr>
          <w:rFonts w:ascii="Times New Roman" w:eastAsia="Times New Roman" w:hAnsi="Times New Roman" w:cs="Times New Roman"/>
          <w:sz w:val="20"/>
          <w:szCs w:val="20"/>
        </w:rPr>
        <w:t xml:space="preserve">. This </w:t>
      </w:r>
      <w:r w:rsidR="00E3238C">
        <w:rPr>
          <w:rFonts w:ascii="Times New Roman" w:eastAsia="Times New Roman" w:hAnsi="Times New Roman" w:cs="Times New Roman"/>
          <w:sz w:val="20"/>
          <w:szCs w:val="20"/>
        </w:rPr>
        <w:t>finding</w:t>
      </w:r>
      <w:r w:rsidR="004057DE">
        <w:rPr>
          <w:rFonts w:ascii="Times New Roman" w:eastAsia="Times New Roman" w:hAnsi="Times New Roman" w:cs="Times New Roman"/>
          <w:sz w:val="20"/>
          <w:szCs w:val="20"/>
        </w:rPr>
        <w:t xml:space="preserve"> is important as GSA can provide </w:t>
      </w:r>
      <w:r w:rsidR="00E3238C">
        <w:rPr>
          <w:rFonts w:ascii="Times New Roman" w:eastAsia="Times New Roman" w:hAnsi="Times New Roman" w:cs="Times New Roman"/>
          <w:sz w:val="20"/>
          <w:szCs w:val="20"/>
        </w:rPr>
        <w:t>relevant</w:t>
      </w:r>
      <w:r w:rsidR="004057DE">
        <w:rPr>
          <w:rFonts w:ascii="Times New Roman" w:eastAsia="Times New Roman" w:hAnsi="Times New Roman" w:cs="Times New Roman"/>
          <w:sz w:val="20"/>
          <w:szCs w:val="20"/>
        </w:rPr>
        <w:t xml:space="preserve"> information without convergence</w:t>
      </w:r>
      <w:r w:rsidR="00685BC3">
        <w:rPr>
          <w:rFonts w:ascii="Times New Roman" w:eastAsia="Times New Roman" w:hAnsi="Times New Roman" w:cs="Times New Roman"/>
          <w:sz w:val="20"/>
          <w:szCs w:val="20"/>
        </w:rPr>
        <w:t xml:space="preserve"> for some objectives</w:t>
      </w:r>
      <w:r w:rsidR="004057DE">
        <w:rPr>
          <w:rFonts w:ascii="Times New Roman" w:eastAsia="Times New Roman" w:hAnsi="Times New Roman" w:cs="Times New Roman"/>
          <w:sz w:val="20"/>
          <w:szCs w:val="20"/>
        </w:rPr>
        <w:t xml:space="preserve">.  For example, if </w:t>
      </w:r>
      <w:r w:rsidR="00E3238C">
        <w:rPr>
          <w:rFonts w:ascii="Times New Roman" w:eastAsia="Times New Roman" w:hAnsi="Times New Roman" w:cs="Times New Roman"/>
          <w:sz w:val="20"/>
          <w:szCs w:val="20"/>
        </w:rPr>
        <w:t>the objective is to identify</w:t>
      </w:r>
      <w:r w:rsidR="004057DE">
        <w:rPr>
          <w:rFonts w:ascii="Times New Roman" w:eastAsia="Times New Roman" w:hAnsi="Times New Roman" w:cs="Times New Roman"/>
          <w:sz w:val="20"/>
          <w:szCs w:val="20"/>
        </w:rPr>
        <w:t xml:space="preserve"> </w:t>
      </w:r>
      <w:r w:rsidR="00FC5262">
        <w:rPr>
          <w:rFonts w:ascii="Times New Roman" w:eastAsia="Times New Roman" w:hAnsi="Times New Roman" w:cs="Times New Roman"/>
          <w:sz w:val="20"/>
          <w:szCs w:val="20"/>
        </w:rPr>
        <w:t xml:space="preserve">the </w:t>
      </w:r>
      <w:r w:rsidR="004057DE">
        <w:rPr>
          <w:rFonts w:ascii="Times New Roman" w:eastAsia="Times New Roman" w:hAnsi="Times New Roman" w:cs="Times New Roman"/>
          <w:sz w:val="20"/>
          <w:szCs w:val="20"/>
        </w:rPr>
        <w:t>most dominant parameters, this i</w:t>
      </w:r>
      <w:r w:rsidR="00E3238C">
        <w:rPr>
          <w:rFonts w:ascii="Times New Roman" w:eastAsia="Times New Roman" w:hAnsi="Times New Roman" w:cs="Times New Roman"/>
          <w:sz w:val="20"/>
          <w:szCs w:val="20"/>
        </w:rPr>
        <w:t>nformation</w:t>
      </w:r>
      <w:r w:rsidR="004057DE">
        <w:rPr>
          <w:rFonts w:ascii="Times New Roman" w:eastAsia="Times New Roman" w:hAnsi="Times New Roman" w:cs="Times New Roman"/>
          <w:sz w:val="20"/>
          <w:szCs w:val="20"/>
        </w:rPr>
        <w:t xml:space="preserve"> will be </w:t>
      </w:r>
      <w:r w:rsidR="00E3238C">
        <w:rPr>
          <w:rFonts w:ascii="Times New Roman" w:eastAsia="Times New Roman" w:hAnsi="Times New Roman" w:cs="Times New Roman"/>
          <w:sz w:val="20"/>
          <w:szCs w:val="20"/>
        </w:rPr>
        <w:t>evident</w:t>
      </w:r>
      <w:r w:rsidR="004057DE">
        <w:rPr>
          <w:rFonts w:ascii="Times New Roman" w:eastAsia="Times New Roman" w:hAnsi="Times New Roman" w:cs="Times New Roman"/>
          <w:sz w:val="20"/>
          <w:szCs w:val="20"/>
        </w:rPr>
        <w:t xml:space="preserve"> </w:t>
      </w:r>
      <w:r w:rsidR="00E3238C">
        <w:rPr>
          <w:rFonts w:ascii="Times New Roman" w:eastAsia="Times New Roman" w:hAnsi="Times New Roman" w:cs="Times New Roman"/>
          <w:sz w:val="20"/>
          <w:szCs w:val="20"/>
        </w:rPr>
        <w:t>at</w:t>
      </w:r>
      <w:r w:rsidR="004057DE">
        <w:rPr>
          <w:rFonts w:ascii="Times New Roman" w:eastAsia="Times New Roman" w:hAnsi="Times New Roman" w:cs="Times New Roman"/>
          <w:sz w:val="20"/>
          <w:szCs w:val="20"/>
        </w:rPr>
        <w:t xml:space="preserve"> a much smaller computational cost than if </w:t>
      </w:r>
      <w:r w:rsidR="00853867">
        <w:rPr>
          <w:rFonts w:ascii="Times New Roman" w:eastAsia="Times New Roman" w:hAnsi="Times New Roman" w:cs="Times New Roman"/>
          <w:sz w:val="20"/>
          <w:szCs w:val="20"/>
        </w:rPr>
        <w:t xml:space="preserve">the specific ordering or </w:t>
      </w:r>
      <w:r w:rsidR="004057DE">
        <w:rPr>
          <w:rFonts w:ascii="Times New Roman" w:eastAsia="Times New Roman" w:hAnsi="Times New Roman" w:cs="Times New Roman"/>
          <w:sz w:val="20"/>
          <w:szCs w:val="20"/>
        </w:rPr>
        <w:t xml:space="preserve">converged influence values </w:t>
      </w:r>
      <w:r w:rsidR="00E3238C">
        <w:rPr>
          <w:rFonts w:ascii="Times New Roman" w:eastAsia="Times New Roman" w:hAnsi="Times New Roman" w:cs="Times New Roman"/>
          <w:sz w:val="20"/>
          <w:szCs w:val="20"/>
        </w:rPr>
        <w:t xml:space="preserve">for all parameters </w:t>
      </w:r>
      <w:r w:rsidR="004057DE">
        <w:rPr>
          <w:rFonts w:ascii="Times New Roman" w:eastAsia="Times New Roman" w:hAnsi="Times New Roman" w:cs="Times New Roman"/>
          <w:sz w:val="20"/>
          <w:szCs w:val="20"/>
        </w:rPr>
        <w:t xml:space="preserve">are needed. </w:t>
      </w:r>
    </w:p>
    <w:p w14:paraId="09E98C49" w14:textId="6EF56E83" w:rsidR="00FC128A" w:rsidRDefault="00FC128A" w:rsidP="00FC128A">
      <w:pPr>
        <w:spacing w:line="276" w:lineRule="auto"/>
        <w:rPr>
          <w:rFonts w:ascii="Times New Roman" w:eastAsia="Times New Roman" w:hAnsi="Times New Roman" w:cs="Times New Roman"/>
          <w:sz w:val="20"/>
          <w:szCs w:val="20"/>
        </w:rPr>
      </w:pPr>
    </w:p>
    <w:p w14:paraId="5FB78FF4" w14:textId="29D1DB79" w:rsidR="00FC128A" w:rsidRDefault="00FC128A" w:rsidP="00FC128A">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w:t>
      </w:r>
      <w:r w:rsidR="0000548F">
        <w:rPr>
          <w:rFonts w:ascii="Times New Roman" w:eastAsia="Times New Roman" w:hAnsi="Times New Roman" w:cs="Times New Roman"/>
          <w:b/>
          <w:sz w:val="20"/>
          <w:szCs w:val="20"/>
        </w:rPr>
        <w:t>7</w:t>
      </w:r>
      <w:r>
        <w:rPr>
          <w:rFonts w:ascii="Times New Roman" w:eastAsia="Times New Roman" w:hAnsi="Times New Roman" w:cs="Times New Roman"/>
          <w:sz w:val="20"/>
          <w:szCs w:val="20"/>
        </w:rPr>
        <w:t xml:space="preserve">. </w:t>
      </w:r>
      <w:r w:rsidR="00944291">
        <w:rPr>
          <w:rFonts w:ascii="Times New Roman" w:eastAsia="Times New Roman" w:hAnsi="Times New Roman" w:cs="Times New Roman"/>
          <w:sz w:val="20"/>
          <w:szCs w:val="20"/>
        </w:rPr>
        <w:t>Number of samples</w:t>
      </w:r>
      <w:r w:rsidR="00040138">
        <w:rPr>
          <w:rFonts w:ascii="Times New Roman" w:eastAsia="Times New Roman" w:hAnsi="Times New Roman" w:cs="Times New Roman"/>
          <w:sz w:val="20"/>
          <w:szCs w:val="20"/>
        </w:rPr>
        <w:t xml:space="preserve"> </w:t>
      </w:r>
      <w:r w:rsidR="00944291">
        <w:rPr>
          <w:rFonts w:ascii="Times New Roman" w:eastAsia="Times New Roman" w:hAnsi="Times New Roman" w:cs="Times New Roman"/>
          <w:sz w:val="20"/>
          <w:szCs w:val="20"/>
        </w:rPr>
        <w:t xml:space="preserve">for </w:t>
      </w:r>
      <w:r w:rsidR="00040138">
        <w:rPr>
          <w:rFonts w:ascii="Times New Roman" w:eastAsia="Times New Roman" w:hAnsi="Times New Roman" w:cs="Times New Roman"/>
          <w:sz w:val="20"/>
          <w:szCs w:val="20"/>
        </w:rPr>
        <w:t>convergence</w:t>
      </w:r>
      <w:r>
        <w:rPr>
          <w:rFonts w:ascii="Times New Roman" w:eastAsia="Times New Roman" w:hAnsi="Times New Roman" w:cs="Times New Roman"/>
          <w:sz w:val="20"/>
          <w:szCs w:val="20"/>
        </w:rPr>
        <w:t xml:space="preserve"> required by each method to estimate first and total order GSA measures for parameters contributing more than 10% to the model output. </w:t>
      </w:r>
    </w:p>
    <w:tbl>
      <w:tblPr>
        <w:tblStyle w:val="a4"/>
        <w:tblW w:w="6750" w:type="dxa"/>
        <w:jc w:val="center"/>
        <w:tblLayout w:type="fixed"/>
        <w:tblLook w:val="0400" w:firstRow="0" w:lastRow="0" w:firstColumn="0" w:lastColumn="0" w:noHBand="0" w:noVBand="1"/>
      </w:tblPr>
      <w:tblGrid>
        <w:gridCol w:w="2415"/>
        <w:gridCol w:w="855"/>
        <w:gridCol w:w="780"/>
        <w:gridCol w:w="825"/>
        <w:gridCol w:w="825"/>
        <w:gridCol w:w="1050"/>
      </w:tblGrid>
      <w:tr w:rsidR="00FC128A" w14:paraId="313E69CD" w14:textId="77777777" w:rsidTr="00F8267A">
        <w:trPr>
          <w:cantSplit/>
          <w:trHeight w:val="300"/>
          <w:jc w:val="center"/>
        </w:trPr>
        <w:tc>
          <w:tcPr>
            <w:tcW w:w="67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01A6FC4"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Cost of Convergence</w:t>
            </w:r>
          </w:p>
        </w:tc>
      </w:tr>
      <w:tr w:rsidR="00FC128A" w14:paraId="7ACD5D72"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426DAEC5"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Model</w:t>
            </w:r>
          </w:p>
        </w:tc>
        <w:tc>
          <w:tcPr>
            <w:tcW w:w="855" w:type="dxa"/>
            <w:tcBorders>
              <w:top w:val="nil"/>
              <w:left w:val="nil"/>
              <w:bottom w:val="single" w:sz="4" w:space="0" w:color="000000"/>
              <w:right w:val="single" w:sz="4" w:space="0" w:color="000000"/>
            </w:tcBorders>
            <w:shd w:val="clear" w:color="auto" w:fill="auto"/>
            <w:vAlign w:val="center"/>
          </w:tcPr>
          <w:p w14:paraId="04D6987B"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Sobol </w:t>
            </w:r>
            <w:r>
              <w:rPr>
                <w:rFonts w:ascii="Times New Roman" w:eastAsia="Times New Roman" w:hAnsi="Times New Roman" w:cs="Times New Roman"/>
                <w:b/>
                <w:sz w:val="18"/>
                <w:szCs w:val="18"/>
              </w:rPr>
              <w:t>‘</w:t>
            </w:r>
          </w:p>
        </w:tc>
        <w:tc>
          <w:tcPr>
            <w:tcW w:w="780" w:type="dxa"/>
            <w:tcBorders>
              <w:top w:val="nil"/>
              <w:left w:val="nil"/>
              <w:bottom w:val="single" w:sz="4" w:space="0" w:color="000000"/>
              <w:right w:val="single" w:sz="4" w:space="0" w:color="000000"/>
            </w:tcBorders>
            <w:shd w:val="clear" w:color="auto" w:fill="auto"/>
            <w:vAlign w:val="center"/>
          </w:tcPr>
          <w:p w14:paraId="37A46327"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Morris</w:t>
            </w:r>
          </w:p>
        </w:tc>
        <w:tc>
          <w:tcPr>
            <w:tcW w:w="825" w:type="dxa"/>
            <w:tcBorders>
              <w:top w:val="nil"/>
              <w:left w:val="nil"/>
              <w:bottom w:val="single" w:sz="4" w:space="0" w:color="000000"/>
              <w:right w:val="single" w:sz="4" w:space="0" w:color="000000"/>
            </w:tcBorders>
            <w:shd w:val="clear" w:color="auto" w:fill="auto"/>
            <w:vAlign w:val="center"/>
          </w:tcPr>
          <w:p w14:paraId="387C990C"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EFAST</w:t>
            </w:r>
          </w:p>
        </w:tc>
        <w:tc>
          <w:tcPr>
            <w:tcW w:w="825" w:type="dxa"/>
            <w:tcBorders>
              <w:top w:val="nil"/>
              <w:left w:val="nil"/>
              <w:bottom w:val="single" w:sz="4" w:space="0" w:color="000000"/>
              <w:right w:val="single" w:sz="4" w:space="0" w:color="000000"/>
            </w:tcBorders>
            <w:shd w:val="clear" w:color="auto" w:fill="auto"/>
            <w:vAlign w:val="center"/>
          </w:tcPr>
          <w:p w14:paraId="1F083EF2"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HDMR</w:t>
            </w:r>
          </w:p>
        </w:tc>
        <w:tc>
          <w:tcPr>
            <w:tcW w:w="1050" w:type="dxa"/>
            <w:tcBorders>
              <w:top w:val="nil"/>
              <w:left w:val="nil"/>
              <w:bottom w:val="single" w:sz="4" w:space="0" w:color="000000"/>
              <w:right w:val="single" w:sz="4" w:space="0" w:color="000000"/>
            </w:tcBorders>
            <w:shd w:val="clear" w:color="auto" w:fill="auto"/>
            <w:vAlign w:val="center"/>
          </w:tcPr>
          <w:p w14:paraId="1A639EBC"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DGSM</w:t>
            </w:r>
          </w:p>
        </w:tc>
      </w:tr>
      <w:tr w:rsidR="00FC128A" w14:paraId="04BB640E"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3386E5BC"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FE FBP 41: First Order </w:t>
            </w:r>
          </w:p>
        </w:tc>
        <w:tc>
          <w:tcPr>
            <w:tcW w:w="855" w:type="dxa"/>
            <w:tcBorders>
              <w:top w:val="nil"/>
              <w:left w:val="nil"/>
              <w:bottom w:val="single" w:sz="4" w:space="0" w:color="000000"/>
              <w:right w:val="single" w:sz="4" w:space="0" w:color="000000"/>
            </w:tcBorders>
            <w:shd w:val="clear" w:color="auto" w:fill="auto"/>
            <w:vAlign w:val="center"/>
          </w:tcPr>
          <w:p w14:paraId="592838EF"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r w:rsidRPr="005F324D">
              <w:rPr>
                <w:rFonts w:ascii="Times New Roman" w:eastAsia="Times New Roman" w:hAnsi="Times New Roman" w:cs="Times New Roman"/>
                <w:color w:val="000000"/>
                <w:sz w:val="18"/>
                <w:szCs w:val="18"/>
              </w:rPr>
              <w:t>K</w:t>
            </w:r>
            <w:r>
              <w:rPr>
                <w:rFonts w:ascii="Times New Roman" w:eastAsia="Times New Roman" w:hAnsi="Times New Roman" w:cs="Times New Roman"/>
                <w:color w:val="000000"/>
                <w:sz w:val="18"/>
                <w:szCs w:val="18"/>
              </w:rPr>
              <w:t>+</w:t>
            </w:r>
          </w:p>
        </w:tc>
        <w:tc>
          <w:tcPr>
            <w:tcW w:w="780" w:type="dxa"/>
            <w:tcBorders>
              <w:top w:val="nil"/>
              <w:left w:val="nil"/>
              <w:bottom w:val="single" w:sz="4" w:space="0" w:color="000000"/>
              <w:right w:val="single" w:sz="4" w:space="0" w:color="000000"/>
            </w:tcBorders>
            <w:shd w:val="clear" w:color="auto" w:fill="auto"/>
            <w:vAlign w:val="center"/>
          </w:tcPr>
          <w:p w14:paraId="771D0848"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c>
          <w:tcPr>
            <w:tcW w:w="825" w:type="dxa"/>
            <w:tcBorders>
              <w:top w:val="nil"/>
              <w:left w:val="nil"/>
              <w:bottom w:val="single" w:sz="4" w:space="0" w:color="000000"/>
              <w:right w:val="single" w:sz="4" w:space="0" w:color="000000"/>
            </w:tcBorders>
            <w:shd w:val="clear" w:color="auto" w:fill="auto"/>
            <w:vAlign w:val="center"/>
          </w:tcPr>
          <w:p w14:paraId="2FD39BBB"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Pr="005F324D">
              <w:rPr>
                <w:rFonts w:ascii="Times New Roman" w:eastAsia="Times New Roman" w:hAnsi="Times New Roman" w:cs="Times New Roman"/>
                <w:color w:val="000000"/>
                <w:sz w:val="18"/>
                <w:szCs w:val="18"/>
              </w:rPr>
              <w:t>0K</w:t>
            </w:r>
            <w:r>
              <w:rPr>
                <w:rFonts w:ascii="Times New Roman" w:eastAsia="Times New Roman" w:hAnsi="Times New Roman" w:cs="Times New Roman"/>
                <w:color w:val="000000"/>
                <w:sz w:val="18"/>
                <w:szCs w:val="18"/>
              </w:rPr>
              <w:t>+</w:t>
            </w:r>
          </w:p>
        </w:tc>
        <w:tc>
          <w:tcPr>
            <w:tcW w:w="825" w:type="dxa"/>
            <w:tcBorders>
              <w:top w:val="nil"/>
              <w:left w:val="nil"/>
              <w:bottom w:val="single" w:sz="4" w:space="0" w:color="000000"/>
              <w:right w:val="single" w:sz="4" w:space="0" w:color="000000"/>
            </w:tcBorders>
            <w:shd w:val="clear" w:color="auto" w:fill="auto"/>
            <w:vAlign w:val="center"/>
          </w:tcPr>
          <w:p w14:paraId="640A2C39"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2500</w:t>
            </w:r>
          </w:p>
        </w:tc>
        <w:tc>
          <w:tcPr>
            <w:tcW w:w="1050" w:type="dxa"/>
            <w:tcBorders>
              <w:top w:val="nil"/>
              <w:left w:val="nil"/>
              <w:bottom w:val="single" w:sz="4" w:space="0" w:color="000000"/>
              <w:right w:val="single" w:sz="4" w:space="0" w:color="000000"/>
            </w:tcBorders>
            <w:shd w:val="clear" w:color="auto" w:fill="auto"/>
            <w:vAlign w:val="center"/>
          </w:tcPr>
          <w:p w14:paraId="754F77FF"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r>
      <w:tr w:rsidR="00FC128A" w14:paraId="77C53337"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23FA2EA6"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FE FBP 41: Total Order </w:t>
            </w:r>
          </w:p>
        </w:tc>
        <w:tc>
          <w:tcPr>
            <w:tcW w:w="855" w:type="dxa"/>
            <w:tcBorders>
              <w:top w:val="nil"/>
              <w:left w:val="nil"/>
              <w:bottom w:val="single" w:sz="4" w:space="0" w:color="000000"/>
              <w:right w:val="single" w:sz="4" w:space="0" w:color="000000"/>
            </w:tcBorders>
            <w:shd w:val="clear" w:color="auto" w:fill="auto"/>
            <w:vAlign w:val="center"/>
          </w:tcPr>
          <w:p w14:paraId="4FDC6DAC"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50K</w:t>
            </w:r>
          </w:p>
        </w:tc>
        <w:tc>
          <w:tcPr>
            <w:tcW w:w="780" w:type="dxa"/>
            <w:tcBorders>
              <w:top w:val="nil"/>
              <w:left w:val="nil"/>
              <w:bottom w:val="single" w:sz="4" w:space="0" w:color="000000"/>
              <w:right w:val="single" w:sz="4" w:space="0" w:color="000000"/>
            </w:tcBorders>
            <w:shd w:val="clear" w:color="auto" w:fill="auto"/>
            <w:vAlign w:val="center"/>
          </w:tcPr>
          <w:p w14:paraId="56683161"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w:t>
            </w:r>
            <w:r w:rsidRPr="005F324D">
              <w:rPr>
                <w:rFonts w:ascii="Times New Roman" w:eastAsia="Times New Roman" w:hAnsi="Times New Roman" w:cs="Times New Roman"/>
                <w:color w:val="000000"/>
                <w:sz w:val="18"/>
                <w:szCs w:val="18"/>
              </w:rPr>
              <w:t>00</w:t>
            </w:r>
          </w:p>
        </w:tc>
        <w:tc>
          <w:tcPr>
            <w:tcW w:w="825" w:type="dxa"/>
            <w:tcBorders>
              <w:top w:val="nil"/>
              <w:left w:val="nil"/>
              <w:bottom w:val="single" w:sz="4" w:space="0" w:color="000000"/>
              <w:right w:val="single" w:sz="4" w:space="0" w:color="000000"/>
            </w:tcBorders>
            <w:shd w:val="clear" w:color="auto" w:fill="auto"/>
            <w:vAlign w:val="center"/>
          </w:tcPr>
          <w:p w14:paraId="763B4488"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r w:rsidRPr="005F324D">
              <w:rPr>
                <w:rFonts w:ascii="Times New Roman" w:eastAsia="Times New Roman" w:hAnsi="Times New Roman" w:cs="Times New Roman"/>
                <w:color w:val="000000"/>
                <w:sz w:val="18"/>
                <w:szCs w:val="18"/>
              </w:rPr>
              <w:t>K</w:t>
            </w:r>
            <w:r>
              <w:rPr>
                <w:rFonts w:ascii="Times New Roman" w:eastAsia="Times New Roman" w:hAnsi="Times New Roman" w:cs="Times New Roman"/>
                <w:color w:val="000000"/>
                <w:sz w:val="18"/>
                <w:szCs w:val="18"/>
              </w:rPr>
              <w:t>+</w:t>
            </w:r>
          </w:p>
        </w:tc>
        <w:tc>
          <w:tcPr>
            <w:tcW w:w="825" w:type="dxa"/>
            <w:tcBorders>
              <w:top w:val="nil"/>
              <w:left w:val="nil"/>
              <w:bottom w:val="single" w:sz="4" w:space="0" w:color="000000"/>
              <w:right w:val="single" w:sz="4" w:space="0" w:color="000000"/>
            </w:tcBorders>
            <w:shd w:val="clear" w:color="auto" w:fill="auto"/>
            <w:vAlign w:val="center"/>
          </w:tcPr>
          <w:p w14:paraId="5AC0FDA1"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50K</w:t>
            </w:r>
            <w:r>
              <w:rPr>
                <w:rFonts w:ascii="Times New Roman" w:eastAsia="Times New Roman" w:hAnsi="Times New Roman" w:cs="Times New Roman"/>
                <w:color w:val="000000"/>
                <w:sz w:val="18"/>
                <w:szCs w:val="18"/>
              </w:rPr>
              <w:t>+</w:t>
            </w:r>
          </w:p>
        </w:tc>
        <w:tc>
          <w:tcPr>
            <w:tcW w:w="1050" w:type="dxa"/>
            <w:tcBorders>
              <w:top w:val="nil"/>
              <w:left w:val="nil"/>
              <w:bottom w:val="single" w:sz="4" w:space="0" w:color="000000"/>
              <w:right w:val="single" w:sz="4" w:space="0" w:color="000000"/>
            </w:tcBorders>
            <w:shd w:val="clear" w:color="auto" w:fill="auto"/>
            <w:vAlign w:val="center"/>
          </w:tcPr>
          <w:p w14:paraId="38CEFCCE"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F324D">
              <w:rPr>
                <w:rFonts w:ascii="Times New Roman" w:eastAsia="Times New Roman" w:hAnsi="Times New Roman" w:cs="Times New Roman"/>
                <w:color w:val="000000"/>
                <w:sz w:val="18"/>
                <w:szCs w:val="18"/>
              </w:rPr>
              <w:t>K</w:t>
            </w:r>
          </w:p>
        </w:tc>
      </w:tr>
      <w:tr w:rsidR="00FC128A" w14:paraId="11A9DEA3"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634AB0A7"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FE DCB 9: First Order </w:t>
            </w:r>
          </w:p>
        </w:tc>
        <w:tc>
          <w:tcPr>
            <w:tcW w:w="855" w:type="dxa"/>
            <w:tcBorders>
              <w:top w:val="nil"/>
              <w:left w:val="nil"/>
              <w:bottom w:val="single" w:sz="4" w:space="0" w:color="000000"/>
              <w:right w:val="single" w:sz="4" w:space="0" w:color="000000"/>
            </w:tcBorders>
            <w:shd w:val="clear" w:color="auto" w:fill="auto"/>
            <w:vAlign w:val="center"/>
          </w:tcPr>
          <w:p w14:paraId="4367D142"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1000</w:t>
            </w:r>
          </w:p>
        </w:tc>
        <w:tc>
          <w:tcPr>
            <w:tcW w:w="780" w:type="dxa"/>
            <w:tcBorders>
              <w:top w:val="nil"/>
              <w:left w:val="nil"/>
              <w:bottom w:val="single" w:sz="4" w:space="0" w:color="000000"/>
              <w:right w:val="single" w:sz="4" w:space="0" w:color="000000"/>
            </w:tcBorders>
            <w:shd w:val="clear" w:color="auto" w:fill="auto"/>
            <w:vAlign w:val="center"/>
          </w:tcPr>
          <w:p w14:paraId="00D39B9C"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c>
          <w:tcPr>
            <w:tcW w:w="825" w:type="dxa"/>
            <w:tcBorders>
              <w:top w:val="nil"/>
              <w:left w:val="nil"/>
              <w:bottom w:val="single" w:sz="4" w:space="0" w:color="000000"/>
              <w:right w:val="single" w:sz="4" w:space="0" w:color="000000"/>
            </w:tcBorders>
            <w:shd w:val="clear" w:color="auto" w:fill="auto"/>
            <w:vAlign w:val="center"/>
          </w:tcPr>
          <w:p w14:paraId="51055FDA"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2000</w:t>
            </w:r>
          </w:p>
        </w:tc>
        <w:tc>
          <w:tcPr>
            <w:tcW w:w="825" w:type="dxa"/>
            <w:tcBorders>
              <w:top w:val="nil"/>
              <w:left w:val="nil"/>
              <w:bottom w:val="single" w:sz="4" w:space="0" w:color="000000"/>
              <w:right w:val="single" w:sz="4" w:space="0" w:color="000000"/>
            </w:tcBorders>
            <w:shd w:val="clear" w:color="auto" w:fill="auto"/>
            <w:vAlign w:val="center"/>
          </w:tcPr>
          <w:p w14:paraId="563B002B"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300</w:t>
            </w:r>
          </w:p>
        </w:tc>
        <w:tc>
          <w:tcPr>
            <w:tcW w:w="1050" w:type="dxa"/>
            <w:tcBorders>
              <w:top w:val="nil"/>
              <w:left w:val="nil"/>
              <w:bottom w:val="single" w:sz="4" w:space="0" w:color="000000"/>
              <w:right w:val="single" w:sz="4" w:space="0" w:color="000000"/>
            </w:tcBorders>
            <w:shd w:val="clear" w:color="auto" w:fill="auto"/>
            <w:vAlign w:val="center"/>
          </w:tcPr>
          <w:p w14:paraId="30824BFC"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r>
      <w:tr w:rsidR="00FC128A" w14:paraId="10381239"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3CCECFC2"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FE DCB 9: Total Order </w:t>
            </w:r>
          </w:p>
        </w:tc>
        <w:tc>
          <w:tcPr>
            <w:tcW w:w="855" w:type="dxa"/>
            <w:tcBorders>
              <w:top w:val="nil"/>
              <w:left w:val="nil"/>
              <w:bottom w:val="single" w:sz="4" w:space="0" w:color="000000"/>
              <w:right w:val="single" w:sz="4" w:space="0" w:color="000000"/>
            </w:tcBorders>
            <w:shd w:val="clear" w:color="auto" w:fill="auto"/>
            <w:vAlign w:val="center"/>
          </w:tcPr>
          <w:p w14:paraId="65051652"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1000</w:t>
            </w:r>
          </w:p>
        </w:tc>
        <w:tc>
          <w:tcPr>
            <w:tcW w:w="780" w:type="dxa"/>
            <w:tcBorders>
              <w:top w:val="nil"/>
              <w:left w:val="nil"/>
              <w:bottom w:val="single" w:sz="4" w:space="0" w:color="000000"/>
              <w:right w:val="single" w:sz="4" w:space="0" w:color="000000"/>
            </w:tcBorders>
            <w:shd w:val="clear" w:color="auto" w:fill="auto"/>
            <w:vAlign w:val="center"/>
          </w:tcPr>
          <w:p w14:paraId="0F36479F"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300</w:t>
            </w:r>
          </w:p>
        </w:tc>
        <w:tc>
          <w:tcPr>
            <w:tcW w:w="825" w:type="dxa"/>
            <w:tcBorders>
              <w:top w:val="nil"/>
              <w:left w:val="nil"/>
              <w:bottom w:val="single" w:sz="4" w:space="0" w:color="000000"/>
              <w:right w:val="single" w:sz="4" w:space="0" w:color="000000"/>
            </w:tcBorders>
            <w:shd w:val="clear" w:color="auto" w:fill="auto"/>
            <w:vAlign w:val="center"/>
          </w:tcPr>
          <w:p w14:paraId="30664D98"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2000</w:t>
            </w:r>
          </w:p>
        </w:tc>
        <w:tc>
          <w:tcPr>
            <w:tcW w:w="825" w:type="dxa"/>
            <w:tcBorders>
              <w:top w:val="nil"/>
              <w:left w:val="nil"/>
              <w:bottom w:val="single" w:sz="4" w:space="0" w:color="000000"/>
              <w:right w:val="single" w:sz="4" w:space="0" w:color="000000"/>
            </w:tcBorders>
            <w:shd w:val="clear" w:color="auto" w:fill="auto"/>
            <w:vAlign w:val="center"/>
          </w:tcPr>
          <w:p w14:paraId="5FBB87D9"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5F324D">
              <w:rPr>
                <w:rFonts w:ascii="Times New Roman" w:eastAsia="Times New Roman" w:hAnsi="Times New Roman" w:cs="Times New Roman"/>
                <w:color w:val="000000"/>
                <w:sz w:val="18"/>
                <w:szCs w:val="18"/>
              </w:rPr>
              <w:t>00</w:t>
            </w:r>
          </w:p>
        </w:tc>
        <w:tc>
          <w:tcPr>
            <w:tcW w:w="1050" w:type="dxa"/>
            <w:tcBorders>
              <w:top w:val="nil"/>
              <w:left w:val="nil"/>
              <w:bottom w:val="single" w:sz="4" w:space="0" w:color="000000"/>
              <w:right w:val="single" w:sz="4" w:space="0" w:color="000000"/>
            </w:tcBorders>
            <w:shd w:val="clear" w:color="auto" w:fill="auto"/>
            <w:vAlign w:val="center"/>
          </w:tcPr>
          <w:p w14:paraId="3857828C"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5F324D">
              <w:rPr>
                <w:rFonts w:ascii="Times New Roman" w:eastAsia="Times New Roman" w:hAnsi="Times New Roman" w:cs="Times New Roman"/>
                <w:color w:val="000000"/>
                <w:sz w:val="18"/>
                <w:szCs w:val="18"/>
              </w:rPr>
              <w:t>00</w:t>
            </w:r>
          </w:p>
        </w:tc>
      </w:tr>
      <w:tr w:rsidR="00FC128A" w14:paraId="47735E7A"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521FD49F"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PD Uniaxial 18: First Order</w:t>
            </w:r>
          </w:p>
        </w:tc>
        <w:tc>
          <w:tcPr>
            <w:tcW w:w="855" w:type="dxa"/>
            <w:tcBorders>
              <w:top w:val="nil"/>
              <w:left w:val="nil"/>
              <w:bottom w:val="single" w:sz="4" w:space="0" w:color="000000"/>
              <w:right w:val="single" w:sz="4" w:space="0" w:color="000000"/>
            </w:tcBorders>
            <w:shd w:val="clear" w:color="auto" w:fill="auto"/>
            <w:vAlign w:val="center"/>
          </w:tcPr>
          <w:p w14:paraId="2A2CAF48"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200K+</w:t>
            </w:r>
          </w:p>
        </w:tc>
        <w:tc>
          <w:tcPr>
            <w:tcW w:w="780" w:type="dxa"/>
            <w:tcBorders>
              <w:top w:val="nil"/>
              <w:left w:val="nil"/>
              <w:bottom w:val="single" w:sz="4" w:space="0" w:color="000000"/>
              <w:right w:val="single" w:sz="4" w:space="0" w:color="000000"/>
            </w:tcBorders>
            <w:shd w:val="clear" w:color="auto" w:fill="auto"/>
            <w:vAlign w:val="center"/>
          </w:tcPr>
          <w:p w14:paraId="0F4D16A1"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c>
          <w:tcPr>
            <w:tcW w:w="825" w:type="dxa"/>
            <w:tcBorders>
              <w:top w:val="nil"/>
              <w:left w:val="nil"/>
              <w:bottom w:val="single" w:sz="4" w:space="0" w:color="000000"/>
              <w:right w:val="single" w:sz="4" w:space="0" w:color="000000"/>
            </w:tcBorders>
            <w:shd w:val="clear" w:color="auto" w:fill="auto"/>
            <w:vAlign w:val="center"/>
          </w:tcPr>
          <w:p w14:paraId="1B69DE2E"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F324D">
              <w:rPr>
                <w:rFonts w:ascii="Times New Roman" w:eastAsia="Times New Roman" w:hAnsi="Times New Roman" w:cs="Times New Roman"/>
                <w:color w:val="000000"/>
                <w:sz w:val="18"/>
                <w:szCs w:val="18"/>
              </w:rPr>
              <w:t>K</w:t>
            </w:r>
          </w:p>
        </w:tc>
        <w:tc>
          <w:tcPr>
            <w:tcW w:w="825" w:type="dxa"/>
            <w:tcBorders>
              <w:top w:val="nil"/>
              <w:left w:val="nil"/>
              <w:bottom w:val="single" w:sz="4" w:space="0" w:color="000000"/>
              <w:right w:val="single" w:sz="4" w:space="0" w:color="000000"/>
            </w:tcBorders>
            <w:shd w:val="clear" w:color="auto" w:fill="auto"/>
            <w:vAlign w:val="center"/>
          </w:tcPr>
          <w:p w14:paraId="477D4D52"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750</w:t>
            </w:r>
          </w:p>
        </w:tc>
        <w:tc>
          <w:tcPr>
            <w:tcW w:w="1050" w:type="dxa"/>
            <w:tcBorders>
              <w:top w:val="nil"/>
              <w:left w:val="nil"/>
              <w:bottom w:val="single" w:sz="4" w:space="0" w:color="000000"/>
              <w:right w:val="single" w:sz="4" w:space="0" w:color="000000"/>
            </w:tcBorders>
            <w:shd w:val="clear" w:color="auto" w:fill="auto"/>
            <w:vAlign w:val="center"/>
          </w:tcPr>
          <w:p w14:paraId="2D0C2EFD"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N/A</w:t>
            </w:r>
          </w:p>
        </w:tc>
      </w:tr>
      <w:tr w:rsidR="00FC128A" w14:paraId="3EB18A26" w14:textId="77777777" w:rsidTr="00F8267A">
        <w:trPr>
          <w:cantSplit/>
          <w:trHeight w:val="300"/>
          <w:jc w:val="center"/>
        </w:trPr>
        <w:tc>
          <w:tcPr>
            <w:tcW w:w="2415" w:type="dxa"/>
            <w:tcBorders>
              <w:top w:val="nil"/>
              <w:left w:val="single" w:sz="4" w:space="0" w:color="000000"/>
              <w:bottom w:val="single" w:sz="4" w:space="0" w:color="000000"/>
              <w:right w:val="single" w:sz="4" w:space="0" w:color="000000"/>
            </w:tcBorders>
            <w:shd w:val="clear" w:color="auto" w:fill="auto"/>
            <w:vAlign w:val="center"/>
          </w:tcPr>
          <w:p w14:paraId="2FFC3B7F" w14:textId="77777777" w:rsidR="00FC128A" w:rsidRDefault="00FC128A" w:rsidP="00F8267A">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PD Uniaxial 18: Total Order</w:t>
            </w:r>
          </w:p>
        </w:tc>
        <w:tc>
          <w:tcPr>
            <w:tcW w:w="855" w:type="dxa"/>
            <w:tcBorders>
              <w:top w:val="nil"/>
              <w:left w:val="nil"/>
              <w:bottom w:val="single" w:sz="4" w:space="0" w:color="000000"/>
              <w:right w:val="single" w:sz="4" w:space="0" w:color="000000"/>
            </w:tcBorders>
            <w:shd w:val="clear" w:color="auto" w:fill="auto"/>
            <w:vAlign w:val="center"/>
          </w:tcPr>
          <w:p w14:paraId="7A83546B"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sidRPr="005F324D">
              <w:rPr>
                <w:rFonts w:ascii="Times New Roman" w:eastAsia="Times New Roman" w:hAnsi="Times New Roman" w:cs="Times New Roman"/>
                <w:color w:val="000000"/>
                <w:sz w:val="18"/>
                <w:szCs w:val="18"/>
              </w:rPr>
              <w:t>50K</w:t>
            </w:r>
          </w:p>
        </w:tc>
        <w:tc>
          <w:tcPr>
            <w:tcW w:w="780" w:type="dxa"/>
            <w:tcBorders>
              <w:top w:val="nil"/>
              <w:left w:val="nil"/>
              <w:bottom w:val="single" w:sz="4" w:space="0" w:color="000000"/>
              <w:right w:val="single" w:sz="4" w:space="0" w:color="000000"/>
            </w:tcBorders>
            <w:shd w:val="clear" w:color="auto" w:fill="auto"/>
            <w:vAlign w:val="center"/>
          </w:tcPr>
          <w:p w14:paraId="1B4A928C"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10K</w:t>
            </w:r>
          </w:p>
        </w:tc>
        <w:tc>
          <w:tcPr>
            <w:tcW w:w="825" w:type="dxa"/>
            <w:tcBorders>
              <w:top w:val="nil"/>
              <w:left w:val="nil"/>
              <w:bottom w:val="single" w:sz="4" w:space="0" w:color="000000"/>
              <w:right w:val="single" w:sz="4" w:space="0" w:color="000000"/>
            </w:tcBorders>
            <w:shd w:val="clear" w:color="auto" w:fill="auto"/>
            <w:vAlign w:val="center"/>
          </w:tcPr>
          <w:p w14:paraId="16E4BA23"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F324D">
              <w:rPr>
                <w:rFonts w:ascii="Times New Roman" w:eastAsia="Times New Roman" w:hAnsi="Times New Roman" w:cs="Times New Roman"/>
                <w:color w:val="000000"/>
                <w:sz w:val="18"/>
                <w:szCs w:val="18"/>
              </w:rPr>
              <w:t>K</w:t>
            </w:r>
          </w:p>
        </w:tc>
        <w:tc>
          <w:tcPr>
            <w:tcW w:w="825" w:type="dxa"/>
            <w:tcBorders>
              <w:top w:val="nil"/>
              <w:left w:val="nil"/>
              <w:bottom w:val="single" w:sz="4" w:space="0" w:color="000000"/>
              <w:right w:val="single" w:sz="4" w:space="0" w:color="000000"/>
            </w:tcBorders>
            <w:shd w:val="clear" w:color="auto" w:fill="auto"/>
            <w:vAlign w:val="center"/>
          </w:tcPr>
          <w:p w14:paraId="5FC589CF"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50" w:type="dxa"/>
            <w:tcBorders>
              <w:top w:val="nil"/>
              <w:left w:val="nil"/>
              <w:bottom w:val="single" w:sz="4" w:space="0" w:color="000000"/>
              <w:right w:val="single" w:sz="4" w:space="0" w:color="000000"/>
            </w:tcBorders>
            <w:shd w:val="clear" w:color="auto" w:fill="auto"/>
            <w:vAlign w:val="center"/>
          </w:tcPr>
          <w:p w14:paraId="3844B3C6" w14:textId="77777777" w:rsidR="00FC128A" w:rsidRPr="005F324D" w:rsidRDefault="00FC128A" w:rsidP="00F8267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10K</w:t>
            </w:r>
          </w:p>
        </w:tc>
      </w:tr>
    </w:tbl>
    <w:p w14:paraId="3C0D97C4" w14:textId="77777777" w:rsidR="00FC128A" w:rsidRDefault="00FC128A" w:rsidP="00FC128A">
      <w:pPr>
        <w:rPr>
          <w:rFonts w:ascii="Times New Roman" w:eastAsia="Times New Roman" w:hAnsi="Times New Roman" w:cs="Times New Roman"/>
          <w:sz w:val="24"/>
          <w:szCs w:val="24"/>
        </w:rPr>
      </w:pPr>
    </w:p>
    <w:p w14:paraId="70840A60" w14:textId="29FE2F4F" w:rsidR="00FC128A" w:rsidRDefault="00FC128A" w:rsidP="00FC128A">
      <w:pPr>
        <w:spacing w:after="0"/>
        <w:rPr>
          <w:rFonts w:ascii="Times New Roman" w:eastAsia="Times New Roman" w:hAnsi="Times New Roman" w:cs="Times New Roman"/>
          <w:sz w:val="20"/>
          <w:szCs w:val="20"/>
        </w:rPr>
      </w:pPr>
    </w:p>
    <w:p w14:paraId="148EEC5B" w14:textId="77777777" w:rsidR="00FC128A" w:rsidRDefault="00FC128A" w:rsidP="00FC128A">
      <w:pPr>
        <w:spacing w:after="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8993075" wp14:editId="27E4F0C4">
            <wp:extent cx="59436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14:paraId="4A0E0CB1" w14:textId="00758133" w:rsidR="00FC128A" w:rsidRDefault="00FC128A" w:rsidP="00FC128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w:t>
      </w:r>
      <w:r w:rsidR="00E22AA3">
        <w:rPr>
          <w:rFonts w:ascii="Times New Roman" w:eastAsia="Times New Roman" w:hAnsi="Times New Roman" w:cs="Times New Roman"/>
          <w:sz w:val="20"/>
          <w:szCs w:val="20"/>
        </w:rPr>
        <w:t xml:space="preserve"> 2</w:t>
      </w:r>
      <w:r>
        <w:rPr>
          <w:rFonts w:ascii="Times New Roman" w:eastAsia="Times New Roman" w:hAnsi="Times New Roman" w:cs="Times New Roman"/>
          <w:sz w:val="20"/>
          <w:szCs w:val="20"/>
        </w:rPr>
        <w:t>. Heat maps</w:t>
      </w:r>
      <w:r w:rsidR="00F8267A">
        <w:rPr>
          <w:rFonts w:ascii="Times New Roman" w:eastAsia="Times New Roman" w:hAnsi="Times New Roman" w:cs="Times New Roman"/>
          <w:sz w:val="20"/>
          <w:szCs w:val="20"/>
        </w:rPr>
        <w:t xml:space="preserve"> for total order convergence</w:t>
      </w:r>
      <w:r>
        <w:rPr>
          <w:rFonts w:ascii="Times New Roman" w:eastAsia="Times New Roman" w:hAnsi="Times New Roman" w:cs="Times New Roman"/>
          <w:sz w:val="20"/>
          <w:szCs w:val="20"/>
        </w:rPr>
        <w:t xml:space="preserve"> </w:t>
      </w:r>
    </w:p>
    <w:p w14:paraId="1809AD88" w14:textId="77777777" w:rsidR="00FC128A" w:rsidRDefault="00FC128A" w:rsidP="00FC128A">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4F55736" wp14:editId="3703C5F8">
            <wp:extent cx="5943342" cy="2400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342" cy="2400300"/>
                    </a:xfrm>
                    <a:prstGeom prst="rect">
                      <a:avLst/>
                    </a:prstGeom>
                  </pic:spPr>
                </pic:pic>
              </a:graphicData>
            </a:graphic>
          </wp:inline>
        </w:drawing>
      </w:r>
    </w:p>
    <w:p w14:paraId="4652FBF8" w14:textId="4F6836E9" w:rsidR="00FC128A" w:rsidRPr="001D192B" w:rsidRDefault="00FC128A" w:rsidP="00FC128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E22AA3">
        <w:rPr>
          <w:rFonts w:ascii="Times New Roman" w:eastAsia="Times New Roman" w:hAnsi="Times New Roman" w:cs="Times New Roman"/>
          <w:sz w:val="20"/>
          <w:szCs w:val="20"/>
        </w:rPr>
        <w:t>3</w:t>
      </w:r>
      <w:r>
        <w:rPr>
          <w:rFonts w:ascii="Times New Roman" w:eastAsia="Times New Roman" w:hAnsi="Times New Roman" w:cs="Times New Roman"/>
          <w:sz w:val="20"/>
          <w:szCs w:val="20"/>
        </w:rPr>
        <w:t>. Heat maps</w:t>
      </w:r>
      <w:r w:rsidR="00F8267A">
        <w:rPr>
          <w:rFonts w:ascii="Times New Roman" w:eastAsia="Times New Roman" w:hAnsi="Times New Roman" w:cs="Times New Roman"/>
          <w:sz w:val="20"/>
          <w:szCs w:val="20"/>
        </w:rPr>
        <w:t xml:space="preserve"> for first order convergence</w:t>
      </w:r>
      <w:r>
        <w:rPr>
          <w:rFonts w:ascii="Times New Roman" w:eastAsia="Times New Roman" w:hAnsi="Times New Roman" w:cs="Times New Roman"/>
          <w:sz w:val="20"/>
          <w:szCs w:val="20"/>
        </w:rPr>
        <w:t xml:space="preserve"> </w:t>
      </w:r>
    </w:p>
    <w:p w14:paraId="0797C190" w14:textId="77777777" w:rsidR="00FC128A" w:rsidRPr="00FC128A" w:rsidRDefault="00FC128A" w:rsidP="00FC128A">
      <w:pPr>
        <w:rPr>
          <w:lang w:val="en-US"/>
        </w:rPr>
      </w:pPr>
    </w:p>
    <w:p w14:paraId="00000303" w14:textId="068FA3F3" w:rsidR="00F87ED1" w:rsidRPr="001E3E54" w:rsidRDefault="00082627">
      <w:pPr>
        <w:rPr>
          <w:rFonts w:ascii="Times New Roman" w:eastAsia="Times New Roman" w:hAnsi="Times New Roman" w:cs="Times New Roman"/>
          <w:b/>
          <w:color w:val="002060"/>
          <w:sz w:val="24"/>
          <w:szCs w:val="24"/>
        </w:rPr>
      </w:pPr>
      <w:r w:rsidRPr="001E3E54">
        <w:rPr>
          <w:rFonts w:ascii="Times New Roman" w:eastAsia="Times New Roman" w:hAnsi="Times New Roman" w:cs="Times New Roman"/>
          <w:b/>
          <w:color w:val="002060"/>
          <w:sz w:val="24"/>
          <w:szCs w:val="24"/>
        </w:rPr>
        <w:t>4.</w:t>
      </w:r>
      <w:r w:rsidR="00FC128A">
        <w:rPr>
          <w:rFonts w:ascii="Times New Roman" w:eastAsia="Times New Roman" w:hAnsi="Times New Roman" w:cs="Times New Roman"/>
          <w:b/>
          <w:color w:val="002060"/>
          <w:sz w:val="24"/>
          <w:szCs w:val="24"/>
        </w:rPr>
        <w:t>2</w:t>
      </w:r>
      <w:r w:rsidRPr="001E3E54">
        <w:rPr>
          <w:rFonts w:ascii="Times New Roman" w:eastAsia="Times New Roman" w:hAnsi="Times New Roman" w:cs="Times New Roman"/>
          <w:b/>
          <w:color w:val="002060"/>
          <w:sz w:val="24"/>
          <w:szCs w:val="24"/>
        </w:rPr>
        <w:t xml:space="preserve"> Case 1: FE FPB 41</w:t>
      </w:r>
    </w:p>
    <w:p w14:paraId="3E1D059A" w14:textId="4EE97802" w:rsidR="00AC4017" w:rsidRPr="00C21E05" w:rsidRDefault="00082627">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The </w:t>
      </w:r>
      <w:r w:rsidR="00914144" w:rsidRPr="00C21E05">
        <w:rPr>
          <w:rFonts w:ascii="Times New Roman" w:eastAsia="Times New Roman" w:hAnsi="Times New Roman" w:cs="Times New Roman"/>
          <w:sz w:val="20"/>
          <w:szCs w:val="20"/>
        </w:rPr>
        <w:t xml:space="preserve">converged </w:t>
      </w:r>
      <w:r w:rsidRPr="00C21E05">
        <w:rPr>
          <w:rFonts w:ascii="Times New Roman" w:eastAsia="Times New Roman" w:hAnsi="Times New Roman" w:cs="Times New Roman"/>
          <w:sz w:val="20"/>
          <w:szCs w:val="20"/>
        </w:rPr>
        <w:t>first and total order sensitivity measures calculated by each GSA method for Case 1 are shown in Fig</w:t>
      </w:r>
      <w:r w:rsidR="00FC5262" w:rsidRPr="00C21E05">
        <w:rPr>
          <w:rFonts w:ascii="Times New Roman" w:eastAsia="Times New Roman" w:hAnsi="Times New Roman" w:cs="Times New Roman"/>
          <w:sz w:val="20"/>
          <w:szCs w:val="20"/>
        </w:rPr>
        <w:t>s</w:t>
      </w:r>
      <w:r w:rsidR="00914144"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4</w:t>
      </w:r>
      <w:r w:rsidR="00263781" w:rsidRPr="00C21E05">
        <w:rPr>
          <w:rFonts w:ascii="Times New Roman" w:eastAsia="Times New Roman" w:hAnsi="Times New Roman" w:cs="Times New Roman"/>
          <w:sz w:val="20"/>
          <w:szCs w:val="20"/>
        </w:rPr>
        <w:t>a</w:t>
      </w:r>
      <w:r w:rsidR="00FC5262" w:rsidRPr="00C21E05">
        <w:rPr>
          <w:rFonts w:ascii="Times New Roman" w:eastAsia="Times New Roman" w:hAnsi="Times New Roman" w:cs="Times New Roman"/>
          <w:sz w:val="20"/>
          <w:szCs w:val="20"/>
        </w:rPr>
        <w:t xml:space="preserve"> and </w:t>
      </w:r>
      <w:r w:rsidR="00263781" w:rsidRPr="00C21E05">
        <w:rPr>
          <w:rFonts w:ascii="Times New Roman" w:eastAsia="Times New Roman" w:hAnsi="Times New Roman" w:cs="Times New Roman"/>
          <w:sz w:val="20"/>
          <w:szCs w:val="20"/>
        </w:rPr>
        <w:t>4b,</w:t>
      </w:r>
      <w:r w:rsidR="00457763" w:rsidRPr="00C21E05">
        <w:rPr>
          <w:rFonts w:ascii="Times New Roman" w:eastAsia="Times New Roman" w:hAnsi="Times New Roman" w:cs="Times New Roman"/>
          <w:sz w:val="20"/>
          <w:szCs w:val="20"/>
        </w:rPr>
        <w:t xml:space="preserve"> and quantitative sensitivity measures are provided in Table </w:t>
      </w:r>
      <w:r w:rsidR="0000548F" w:rsidRPr="00C21E05">
        <w:rPr>
          <w:rFonts w:ascii="Times New Roman" w:eastAsia="Times New Roman" w:hAnsi="Times New Roman" w:cs="Times New Roman"/>
          <w:sz w:val="20"/>
          <w:szCs w:val="20"/>
        </w:rPr>
        <w:t>8</w:t>
      </w:r>
      <w:r w:rsidR="00914144"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w:t>
      </w:r>
      <w:r w:rsidR="00DE27BB" w:rsidRPr="00C21E05">
        <w:rPr>
          <w:rFonts w:ascii="Times New Roman" w:eastAsia="Times New Roman" w:hAnsi="Times New Roman" w:cs="Times New Roman"/>
          <w:sz w:val="20"/>
          <w:szCs w:val="20"/>
        </w:rPr>
        <w:t>E</w:t>
      </w:r>
      <w:r w:rsidRPr="00C21E05">
        <w:rPr>
          <w:rFonts w:ascii="Times New Roman" w:eastAsia="Times New Roman" w:hAnsi="Times New Roman" w:cs="Times New Roman"/>
          <w:sz w:val="20"/>
          <w:szCs w:val="20"/>
        </w:rPr>
        <w:t xml:space="preserve">ach of the GSA methods </w:t>
      </w:r>
      <w:r w:rsidR="00404C47" w:rsidRPr="00C21E05">
        <w:rPr>
          <w:rFonts w:ascii="Times New Roman" w:eastAsia="Times New Roman" w:hAnsi="Times New Roman" w:cs="Times New Roman"/>
          <w:sz w:val="20"/>
          <w:szCs w:val="20"/>
        </w:rPr>
        <w:t xml:space="preserve">produced </w:t>
      </w:r>
      <w:r w:rsidRPr="00C21E05">
        <w:rPr>
          <w:rFonts w:ascii="Times New Roman" w:eastAsia="Times New Roman" w:hAnsi="Times New Roman" w:cs="Times New Roman"/>
          <w:sz w:val="20"/>
          <w:szCs w:val="20"/>
        </w:rPr>
        <w:t>similar estimations for first order indices</w:t>
      </w:r>
      <w:r w:rsidR="00AC4017" w:rsidRPr="00C21E05">
        <w:rPr>
          <w:rFonts w:ascii="Times New Roman" w:eastAsia="Times New Roman" w:hAnsi="Times New Roman" w:cs="Times New Roman"/>
          <w:sz w:val="20"/>
          <w:szCs w:val="20"/>
        </w:rPr>
        <w:t xml:space="preserve"> when available. Total indices differed with HDMR and DGSM predicting higher measures than Sobol and EFAST</w:t>
      </w:r>
      <w:r w:rsidR="00800197" w:rsidRPr="00C21E05">
        <w:rPr>
          <w:rFonts w:ascii="Times New Roman" w:eastAsia="Times New Roman" w:hAnsi="Times New Roman" w:cs="Times New Roman"/>
          <w:sz w:val="20"/>
          <w:szCs w:val="20"/>
        </w:rPr>
        <w:t xml:space="preserve"> for the most influential parameter (X2)</w:t>
      </w:r>
      <w:r w:rsidR="00AC4017" w:rsidRPr="00C21E05">
        <w:rPr>
          <w:rFonts w:ascii="Times New Roman" w:eastAsia="Times New Roman" w:hAnsi="Times New Roman" w:cs="Times New Roman"/>
          <w:sz w:val="20"/>
          <w:szCs w:val="20"/>
        </w:rPr>
        <w:t xml:space="preserve">. </w:t>
      </w:r>
      <w:r w:rsidR="00036129" w:rsidRPr="00C21E05">
        <w:rPr>
          <w:rFonts w:ascii="Times New Roman" w:eastAsia="Times New Roman" w:hAnsi="Times New Roman" w:cs="Times New Roman"/>
          <w:sz w:val="20"/>
          <w:szCs w:val="20"/>
        </w:rPr>
        <w:t>M</w:t>
      </w:r>
      <w:r w:rsidR="00AC4017" w:rsidRPr="00C21E05">
        <w:rPr>
          <w:rFonts w:ascii="Times New Roman" w:eastAsia="Times New Roman" w:hAnsi="Times New Roman" w:cs="Times New Roman"/>
          <w:sz w:val="20"/>
          <w:szCs w:val="20"/>
        </w:rPr>
        <w:t>eanwhile, t</w:t>
      </w:r>
      <w:r w:rsidRPr="00C21E05">
        <w:rPr>
          <w:rFonts w:ascii="Times New Roman" w:eastAsia="Times New Roman" w:hAnsi="Times New Roman" w:cs="Times New Roman"/>
          <w:sz w:val="20"/>
          <w:szCs w:val="20"/>
        </w:rPr>
        <w:t xml:space="preserve">he Morris method </w:t>
      </w:r>
      <w:r w:rsidR="002475A9" w:rsidRPr="00C21E05">
        <w:rPr>
          <w:rFonts w:ascii="Times New Roman" w:eastAsia="Times New Roman" w:hAnsi="Times New Roman" w:cs="Times New Roman"/>
          <w:sz w:val="20"/>
          <w:szCs w:val="20"/>
        </w:rPr>
        <w:t>differentiate</w:t>
      </w:r>
      <w:r w:rsidR="00036129" w:rsidRPr="00C21E05">
        <w:rPr>
          <w:rFonts w:ascii="Times New Roman" w:eastAsia="Times New Roman" w:hAnsi="Times New Roman" w:cs="Times New Roman"/>
          <w:sz w:val="20"/>
          <w:szCs w:val="20"/>
        </w:rPr>
        <w:t>d</w:t>
      </w:r>
      <w:r w:rsidR="002475A9" w:rsidRPr="00C21E05">
        <w:rPr>
          <w:rFonts w:ascii="Times New Roman" w:eastAsia="Times New Roman" w:hAnsi="Times New Roman" w:cs="Times New Roman"/>
          <w:sz w:val="20"/>
          <w:szCs w:val="20"/>
        </w:rPr>
        <w:t xml:space="preserve"> the dominant </w:t>
      </w:r>
      <w:r w:rsidRPr="00C21E05">
        <w:rPr>
          <w:rFonts w:ascii="Times New Roman" w:eastAsia="Times New Roman" w:hAnsi="Times New Roman" w:cs="Times New Roman"/>
          <w:sz w:val="20"/>
          <w:szCs w:val="20"/>
        </w:rPr>
        <w:t xml:space="preserve">parameters but generally underpredicted parameters of greater significance and overpredicted parameters with less significance </w:t>
      </w:r>
      <w:r w:rsidR="00036129" w:rsidRPr="00C21E05">
        <w:rPr>
          <w:rFonts w:ascii="Times New Roman" w:eastAsia="Times New Roman" w:hAnsi="Times New Roman" w:cs="Times New Roman"/>
          <w:sz w:val="20"/>
          <w:szCs w:val="20"/>
        </w:rPr>
        <w:t>as</w:t>
      </w:r>
      <w:r w:rsidRPr="00C21E05">
        <w:rPr>
          <w:rFonts w:ascii="Times New Roman" w:eastAsia="Times New Roman" w:hAnsi="Times New Roman" w:cs="Times New Roman"/>
          <w:sz w:val="20"/>
          <w:szCs w:val="20"/>
        </w:rPr>
        <w:t xml:space="preserve"> compared to the other methods</w:t>
      </w:r>
      <w:r w:rsidR="004D5CDB"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w:t>
      </w:r>
    </w:p>
    <w:p w14:paraId="35D3BFD4" w14:textId="35407FD1" w:rsidR="005874F6" w:rsidRPr="00C21E05" w:rsidRDefault="0014363A">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P</w:t>
      </w:r>
      <w:r w:rsidR="00082627" w:rsidRPr="00C21E05">
        <w:rPr>
          <w:rFonts w:ascii="Times New Roman" w:eastAsia="Times New Roman" w:hAnsi="Times New Roman" w:cs="Times New Roman"/>
          <w:sz w:val="20"/>
          <w:szCs w:val="20"/>
        </w:rPr>
        <w:t xml:space="preserve">arameters X2, X0, X4, X31 </w:t>
      </w:r>
      <w:r w:rsidR="00FC5262" w:rsidRPr="00C21E05">
        <w:rPr>
          <w:rFonts w:ascii="Times New Roman" w:eastAsia="Times New Roman" w:hAnsi="Times New Roman" w:cs="Times New Roman"/>
          <w:sz w:val="20"/>
          <w:szCs w:val="20"/>
        </w:rPr>
        <w:t xml:space="preserve">have </w:t>
      </w:r>
      <w:r w:rsidR="00082627" w:rsidRPr="00C21E05">
        <w:rPr>
          <w:rFonts w:ascii="Times New Roman" w:eastAsia="Times New Roman" w:hAnsi="Times New Roman" w:cs="Times New Roman"/>
          <w:sz w:val="20"/>
          <w:szCs w:val="20"/>
        </w:rPr>
        <w:t>the largest overall influence on the model</w:t>
      </w:r>
      <w:r w:rsidR="004370F4" w:rsidRPr="00C21E05">
        <w:rPr>
          <w:rFonts w:ascii="Times New Roman" w:eastAsia="Times New Roman" w:hAnsi="Times New Roman" w:cs="Times New Roman"/>
          <w:sz w:val="20"/>
          <w:szCs w:val="20"/>
        </w:rPr>
        <w:t>’</w:t>
      </w:r>
      <w:r w:rsidR="00082627" w:rsidRPr="00C21E05">
        <w:rPr>
          <w:rFonts w:ascii="Times New Roman" w:eastAsia="Times New Roman" w:hAnsi="Times New Roman" w:cs="Times New Roman"/>
          <w:sz w:val="20"/>
          <w:szCs w:val="20"/>
        </w:rPr>
        <w:t xml:space="preserve">s output </w:t>
      </w:r>
      <w:r w:rsidR="00036129" w:rsidRPr="00C21E05">
        <w:rPr>
          <w:rFonts w:ascii="Times New Roman" w:eastAsia="Times New Roman" w:hAnsi="Times New Roman" w:cs="Times New Roman"/>
          <w:sz w:val="20"/>
          <w:szCs w:val="20"/>
        </w:rPr>
        <w:t xml:space="preserve">as </w:t>
      </w:r>
      <w:r w:rsidR="00082627" w:rsidRPr="00C21E05">
        <w:rPr>
          <w:rFonts w:ascii="Times New Roman" w:eastAsia="Times New Roman" w:hAnsi="Times New Roman" w:cs="Times New Roman"/>
          <w:sz w:val="20"/>
          <w:szCs w:val="20"/>
        </w:rPr>
        <w:t xml:space="preserve">indicated by both total and first order indices. </w:t>
      </w:r>
      <w:r w:rsidR="005874F6" w:rsidRPr="00C21E05">
        <w:rPr>
          <w:rFonts w:ascii="Times New Roman" w:eastAsia="Times New Roman" w:hAnsi="Times New Roman" w:cs="Times New Roman"/>
          <w:sz w:val="20"/>
          <w:szCs w:val="20"/>
        </w:rPr>
        <w:t>All methods ranked these as the top four</w:t>
      </w:r>
      <w:r w:rsidRPr="00C21E05">
        <w:rPr>
          <w:rFonts w:ascii="Times New Roman" w:eastAsia="Times New Roman" w:hAnsi="Times New Roman" w:cs="Times New Roman"/>
          <w:sz w:val="20"/>
          <w:szCs w:val="20"/>
        </w:rPr>
        <w:t xml:space="preserve"> influential parameters</w:t>
      </w:r>
      <w:r w:rsidR="005874F6" w:rsidRPr="00C21E05">
        <w:rPr>
          <w:rFonts w:ascii="Times New Roman" w:eastAsia="Times New Roman" w:hAnsi="Times New Roman" w:cs="Times New Roman"/>
          <w:sz w:val="20"/>
          <w:szCs w:val="20"/>
        </w:rPr>
        <w:t>, although the order of importance</w:t>
      </w:r>
      <w:r w:rsidRPr="00C21E05">
        <w:rPr>
          <w:rFonts w:ascii="Times New Roman" w:eastAsia="Times New Roman" w:hAnsi="Times New Roman" w:cs="Times New Roman"/>
          <w:sz w:val="20"/>
          <w:szCs w:val="20"/>
        </w:rPr>
        <w:t xml:space="preserve"> determined by the Morris method</w:t>
      </w:r>
      <w:r w:rsidR="005874F6" w:rsidRPr="00C21E05">
        <w:rPr>
          <w:rFonts w:ascii="Times New Roman" w:eastAsia="Times New Roman" w:hAnsi="Times New Roman" w:cs="Times New Roman"/>
          <w:sz w:val="20"/>
          <w:szCs w:val="20"/>
        </w:rPr>
        <w:t xml:space="preserve"> deviated </w:t>
      </w:r>
      <w:r w:rsidRPr="00C21E05">
        <w:rPr>
          <w:rFonts w:ascii="Times New Roman" w:eastAsia="Times New Roman" w:hAnsi="Times New Roman" w:cs="Times New Roman"/>
          <w:sz w:val="20"/>
          <w:szCs w:val="20"/>
        </w:rPr>
        <w:t xml:space="preserve">from the other methods for </w:t>
      </w:r>
      <w:r w:rsidR="005874F6" w:rsidRPr="00C21E05">
        <w:rPr>
          <w:rFonts w:ascii="Times New Roman" w:eastAsia="Times New Roman" w:hAnsi="Times New Roman" w:cs="Times New Roman"/>
          <w:sz w:val="20"/>
          <w:szCs w:val="20"/>
        </w:rPr>
        <w:t>I-3 and I-4</w:t>
      </w:r>
      <w:r w:rsidR="00800197" w:rsidRPr="00C21E05">
        <w:rPr>
          <w:rFonts w:ascii="Times New Roman" w:eastAsia="Times New Roman" w:hAnsi="Times New Roman" w:cs="Times New Roman"/>
          <w:sz w:val="20"/>
          <w:szCs w:val="20"/>
        </w:rPr>
        <w:t xml:space="preserve"> (the third and </w:t>
      </w:r>
      <w:r w:rsidR="0017359A" w:rsidRPr="00C21E05">
        <w:rPr>
          <w:rFonts w:ascii="Times New Roman" w:eastAsia="Times New Roman" w:hAnsi="Times New Roman" w:cs="Times New Roman"/>
          <w:sz w:val="20"/>
          <w:szCs w:val="20"/>
        </w:rPr>
        <w:t>fourth</w:t>
      </w:r>
      <w:r w:rsidR="00800197" w:rsidRPr="00C21E05">
        <w:rPr>
          <w:rFonts w:ascii="Times New Roman" w:eastAsia="Times New Roman" w:hAnsi="Times New Roman" w:cs="Times New Roman"/>
          <w:sz w:val="20"/>
          <w:szCs w:val="20"/>
        </w:rPr>
        <w:t xml:space="preserve"> most influential parameter, respectively)</w:t>
      </w:r>
      <w:r w:rsidRPr="00C21E05">
        <w:rPr>
          <w:rFonts w:ascii="Times New Roman" w:eastAsia="Times New Roman" w:hAnsi="Times New Roman" w:cs="Times New Roman"/>
          <w:sz w:val="20"/>
          <w:szCs w:val="20"/>
        </w:rPr>
        <w:t>. The Morris method switched the importance of</w:t>
      </w:r>
      <w:r w:rsidR="005874F6" w:rsidRPr="00C21E05">
        <w:rPr>
          <w:rFonts w:ascii="Times New Roman" w:eastAsia="Times New Roman" w:hAnsi="Times New Roman" w:cs="Times New Roman"/>
          <w:sz w:val="20"/>
          <w:szCs w:val="20"/>
        </w:rPr>
        <w:t xml:space="preserve"> X4 and X31</w:t>
      </w:r>
      <w:r w:rsidRPr="00C21E05">
        <w:rPr>
          <w:rFonts w:ascii="Times New Roman" w:eastAsia="Times New Roman" w:hAnsi="Times New Roman" w:cs="Times New Roman"/>
          <w:sz w:val="20"/>
          <w:szCs w:val="20"/>
        </w:rPr>
        <w:t>; however, there is a</w:t>
      </w:r>
      <w:r w:rsidR="005874F6" w:rsidRPr="00C21E05">
        <w:rPr>
          <w:rFonts w:ascii="Times New Roman" w:eastAsia="Times New Roman" w:hAnsi="Times New Roman" w:cs="Times New Roman"/>
          <w:sz w:val="20"/>
          <w:szCs w:val="20"/>
        </w:rPr>
        <w:t xml:space="preserve"> small difference in sensitivity measure between the two, indicating that they are similar in importance. Similarly, the I-5 </w:t>
      </w:r>
      <w:r w:rsidR="00800197" w:rsidRPr="00C21E05">
        <w:rPr>
          <w:rFonts w:ascii="Times New Roman" w:eastAsia="Times New Roman" w:hAnsi="Times New Roman" w:cs="Times New Roman"/>
          <w:sz w:val="20"/>
          <w:szCs w:val="20"/>
        </w:rPr>
        <w:t xml:space="preserve">(the fifth most influential parameter) </w:t>
      </w:r>
      <w:r w:rsidR="005874F6" w:rsidRPr="00C21E05">
        <w:rPr>
          <w:rFonts w:ascii="Times New Roman" w:eastAsia="Times New Roman" w:hAnsi="Times New Roman" w:cs="Times New Roman"/>
          <w:sz w:val="20"/>
          <w:szCs w:val="20"/>
        </w:rPr>
        <w:t xml:space="preserve">ranking deviated </w:t>
      </w:r>
      <w:r w:rsidRPr="00C21E05">
        <w:rPr>
          <w:rFonts w:ascii="Times New Roman" w:eastAsia="Times New Roman" w:hAnsi="Times New Roman" w:cs="Times New Roman"/>
          <w:sz w:val="20"/>
          <w:szCs w:val="20"/>
        </w:rPr>
        <w:t>with DGSM and EFAST predicting</w:t>
      </w:r>
      <w:r w:rsidR="005874F6" w:rsidRPr="00C21E05">
        <w:rPr>
          <w:rFonts w:ascii="Times New Roman" w:eastAsia="Times New Roman" w:hAnsi="Times New Roman" w:cs="Times New Roman"/>
          <w:sz w:val="20"/>
          <w:szCs w:val="20"/>
        </w:rPr>
        <w:t xml:space="preserve"> X31 and </w:t>
      </w:r>
      <w:r w:rsidRPr="00C21E05">
        <w:rPr>
          <w:rFonts w:ascii="Times New Roman" w:eastAsia="Times New Roman" w:hAnsi="Times New Roman" w:cs="Times New Roman"/>
          <w:sz w:val="20"/>
          <w:szCs w:val="20"/>
        </w:rPr>
        <w:t xml:space="preserve">the other methods selecting </w:t>
      </w:r>
      <w:r w:rsidR="005874F6" w:rsidRPr="00C21E05">
        <w:rPr>
          <w:rFonts w:ascii="Times New Roman" w:eastAsia="Times New Roman" w:hAnsi="Times New Roman" w:cs="Times New Roman"/>
          <w:sz w:val="20"/>
          <w:szCs w:val="20"/>
        </w:rPr>
        <w:t>X28</w:t>
      </w:r>
      <w:r w:rsidRPr="00C21E05">
        <w:rPr>
          <w:rFonts w:ascii="Times New Roman" w:eastAsia="Times New Roman" w:hAnsi="Times New Roman" w:cs="Times New Roman"/>
          <w:sz w:val="20"/>
          <w:szCs w:val="20"/>
        </w:rPr>
        <w:t xml:space="preserve">. As seen in </w:t>
      </w:r>
      <w:r w:rsidR="00263781" w:rsidRPr="00C21E05">
        <w:rPr>
          <w:rFonts w:ascii="Times New Roman" w:eastAsia="Times New Roman" w:hAnsi="Times New Roman" w:cs="Times New Roman"/>
          <w:sz w:val="20"/>
          <w:szCs w:val="20"/>
        </w:rPr>
        <w:t>Table</w:t>
      </w:r>
      <w:r w:rsidRPr="00C21E05">
        <w:rPr>
          <w:rFonts w:ascii="Times New Roman" w:eastAsia="Times New Roman" w:hAnsi="Times New Roman" w:cs="Times New Roman"/>
          <w:sz w:val="20"/>
          <w:szCs w:val="20"/>
        </w:rPr>
        <w:t>.</w:t>
      </w:r>
      <w:r w:rsidR="00263781" w:rsidRPr="00C21E05">
        <w:rPr>
          <w:rFonts w:ascii="Times New Roman" w:eastAsia="Times New Roman" w:hAnsi="Times New Roman" w:cs="Times New Roman"/>
          <w:sz w:val="20"/>
          <w:szCs w:val="20"/>
        </w:rPr>
        <w:t xml:space="preserve"> 8</w:t>
      </w:r>
      <w:r w:rsidRPr="00C21E05">
        <w:rPr>
          <w:rFonts w:ascii="Times New Roman" w:eastAsia="Times New Roman" w:hAnsi="Times New Roman" w:cs="Times New Roman"/>
          <w:sz w:val="20"/>
          <w:szCs w:val="20"/>
        </w:rPr>
        <w:t>, there is a small difference between the two indices, again indicating that these two parameters are similar in importance</w:t>
      </w:r>
      <w:r w:rsidR="005874F6" w:rsidRPr="00C21E05">
        <w:rPr>
          <w:rFonts w:ascii="Times New Roman" w:eastAsia="Times New Roman" w:hAnsi="Times New Roman" w:cs="Times New Roman"/>
          <w:sz w:val="20"/>
          <w:szCs w:val="20"/>
        </w:rPr>
        <w:t>.</w:t>
      </w:r>
    </w:p>
    <w:p w14:paraId="00000305" w14:textId="11194B90" w:rsidR="00F87ED1" w:rsidRPr="00C21E05" w:rsidRDefault="00AC7F36" w:rsidP="005046BD">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The HDMR method predicted some </w:t>
      </w:r>
      <w:r w:rsidR="00082627" w:rsidRPr="00C21E05">
        <w:rPr>
          <w:rFonts w:ascii="Times New Roman" w:eastAsia="Times New Roman" w:hAnsi="Times New Roman" w:cs="Times New Roman"/>
          <w:sz w:val="20"/>
          <w:szCs w:val="20"/>
        </w:rPr>
        <w:t xml:space="preserve">interaction </w:t>
      </w:r>
      <w:r w:rsidRPr="00C21E05">
        <w:rPr>
          <w:rFonts w:ascii="Times New Roman" w:eastAsia="Times New Roman" w:hAnsi="Times New Roman" w:cs="Times New Roman"/>
          <w:sz w:val="20"/>
          <w:szCs w:val="20"/>
        </w:rPr>
        <w:t>between</w:t>
      </w:r>
      <w:r w:rsidR="00082627" w:rsidRPr="00C21E05">
        <w:rPr>
          <w:rFonts w:ascii="Times New Roman" w:eastAsia="Times New Roman" w:hAnsi="Times New Roman" w:cs="Times New Roman"/>
          <w:sz w:val="20"/>
          <w:szCs w:val="20"/>
        </w:rPr>
        <w:t xml:space="preserve"> parameters</w:t>
      </w:r>
      <w:r w:rsidR="00594BE1" w:rsidRPr="00C21E05">
        <w:rPr>
          <w:rFonts w:ascii="Times New Roman" w:eastAsia="Times New Roman" w:hAnsi="Times New Roman" w:cs="Times New Roman"/>
          <w:sz w:val="20"/>
          <w:szCs w:val="20"/>
        </w:rPr>
        <w:t xml:space="preserve"> </w:t>
      </w:r>
      <w:r w:rsidR="00082627" w:rsidRPr="00C21E05">
        <w:rPr>
          <w:rFonts w:ascii="Times New Roman" w:eastAsia="Times New Roman" w:hAnsi="Times New Roman" w:cs="Times New Roman"/>
          <w:sz w:val="20"/>
          <w:szCs w:val="20"/>
        </w:rPr>
        <w:t xml:space="preserve">as indicated by </w:t>
      </w:r>
      <w:r w:rsidR="007B59C6" w:rsidRPr="00C21E05">
        <w:rPr>
          <w:rFonts w:ascii="Times New Roman" w:eastAsia="Times New Roman" w:hAnsi="Times New Roman" w:cs="Times New Roman"/>
          <w:sz w:val="20"/>
          <w:szCs w:val="20"/>
        </w:rPr>
        <w:t>the difference between</w:t>
      </w:r>
      <w:r w:rsidR="00082627" w:rsidRPr="00C21E05">
        <w:rPr>
          <w:rFonts w:ascii="Times New Roman" w:eastAsia="Times New Roman" w:hAnsi="Times New Roman" w:cs="Times New Roman"/>
          <w:sz w:val="20"/>
          <w:szCs w:val="20"/>
        </w:rPr>
        <w:t xml:space="preserve"> the total and first order </w:t>
      </w:r>
      <w:r w:rsidR="007B59C6" w:rsidRPr="00C21E05">
        <w:rPr>
          <w:rFonts w:ascii="Times New Roman" w:eastAsia="Times New Roman" w:hAnsi="Times New Roman" w:cs="Times New Roman"/>
          <w:sz w:val="20"/>
          <w:szCs w:val="20"/>
        </w:rPr>
        <w:t>measures</w:t>
      </w:r>
      <w:r w:rsidR="00594BE1" w:rsidRPr="00C21E05">
        <w:rPr>
          <w:rFonts w:ascii="Times New Roman" w:eastAsia="Times New Roman" w:hAnsi="Times New Roman" w:cs="Times New Roman"/>
          <w:sz w:val="20"/>
          <w:szCs w:val="20"/>
        </w:rPr>
        <w:t xml:space="preserve">. </w:t>
      </w:r>
      <w:r w:rsidR="007B59C6" w:rsidRPr="00C21E05">
        <w:rPr>
          <w:rFonts w:ascii="Times New Roman" w:eastAsia="Times New Roman" w:hAnsi="Times New Roman" w:cs="Times New Roman"/>
          <w:sz w:val="20"/>
          <w:szCs w:val="20"/>
        </w:rPr>
        <w:t xml:space="preserve">Meanwhile, </w:t>
      </w:r>
      <w:r w:rsidR="00594BE1" w:rsidRPr="00C21E05">
        <w:rPr>
          <w:rFonts w:ascii="Times New Roman" w:eastAsia="Times New Roman" w:hAnsi="Times New Roman" w:cs="Times New Roman"/>
          <w:sz w:val="20"/>
          <w:szCs w:val="20"/>
        </w:rPr>
        <w:t xml:space="preserve">the Sobol’ and EFAST </w:t>
      </w:r>
      <w:r w:rsidRPr="00C21E05">
        <w:rPr>
          <w:rFonts w:ascii="Times New Roman" w:eastAsia="Times New Roman" w:hAnsi="Times New Roman" w:cs="Times New Roman"/>
          <w:sz w:val="20"/>
          <w:szCs w:val="20"/>
        </w:rPr>
        <w:t xml:space="preserve">methods </w:t>
      </w:r>
      <w:r w:rsidR="00594BE1" w:rsidRPr="00C21E05">
        <w:rPr>
          <w:rFonts w:ascii="Times New Roman" w:eastAsia="Times New Roman" w:hAnsi="Times New Roman" w:cs="Times New Roman"/>
          <w:sz w:val="20"/>
          <w:szCs w:val="20"/>
        </w:rPr>
        <w:t>calculated nearly identical first and total values</w:t>
      </w:r>
      <w:r w:rsidR="002155C3" w:rsidRPr="00C21E05">
        <w:rPr>
          <w:rFonts w:ascii="Times New Roman" w:eastAsia="Times New Roman" w:hAnsi="Times New Roman" w:cs="Times New Roman"/>
          <w:sz w:val="20"/>
          <w:szCs w:val="20"/>
        </w:rPr>
        <w:t xml:space="preserve">, indicating minimal, if any, parameter interaction. </w:t>
      </w:r>
    </w:p>
    <w:p w14:paraId="00000306" w14:textId="40ACF4A5"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0B787D" wp14:editId="1F6DE784">
            <wp:extent cx="5731510" cy="2384642"/>
            <wp:effectExtent l="0" t="0" r="2540" b="0"/>
            <wp:docPr id="245" name="image7.png"/>
            <wp:cNvGraphicFramePr/>
            <a:graphic xmlns:a="http://schemas.openxmlformats.org/drawingml/2006/main">
              <a:graphicData uri="http://schemas.openxmlformats.org/drawingml/2006/picture">
                <pic:pic xmlns:pic="http://schemas.openxmlformats.org/drawingml/2006/picture">
                  <pic:nvPicPr>
                    <pic:cNvPr id="245" name="image7.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31510" cy="2384642"/>
                    </a:xfrm>
                    <a:prstGeom prst="rect">
                      <a:avLst/>
                    </a:prstGeom>
                    <a:ln/>
                  </pic:spPr>
                </pic:pic>
              </a:graphicData>
            </a:graphic>
          </wp:inline>
        </w:drawing>
      </w:r>
    </w:p>
    <w:p w14:paraId="46322978" w14:textId="016F79D2" w:rsidR="00F44EFB" w:rsidRPr="00C21E05" w:rsidRDefault="00F44EFB">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E22AA3" w:rsidRPr="00C21E05">
        <w:rPr>
          <w:rFonts w:ascii="Times New Roman" w:eastAsia="Times New Roman" w:hAnsi="Times New Roman" w:cs="Times New Roman"/>
          <w:b/>
          <w:sz w:val="20"/>
          <w:szCs w:val="20"/>
        </w:rPr>
        <w:t>4</w:t>
      </w:r>
      <w:r w:rsidRPr="00C21E05">
        <w:rPr>
          <w:rFonts w:ascii="Times New Roman" w:eastAsia="Times New Roman" w:hAnsi="Times New Roman" w:cs="Times New Roman"/>
          <w:b/>
          <w:sz w:val="20"/>
          <w:szCs w:val="20"/>
        </w:rPr>
        <w:t>a</w:t>
      </w:r>
      <w:r w:rsidRPr="00C21E05">
        <w:rPr>
          <w:rFonts w:ascii="Times New Roman" w:eastAsia="Times New Roman" w:hAnsi="Times New Roman" w:cs="Times New Roman"/>
          <w:sz w:val="20"/>
          <w:szCs w:val="20"/>
        </w:rPr>
        <w:t>. Values of total order SA measures estimated by each method for the FPB A-41 model using a sample size of 50,000 for the HDMR method and converged values at 500,000 for all other methods</w:t>
      </w:r>
      <w:r w:rsidR="00800197" w:rsidRPr="00C21E05">
        <w:rPr>
          <w:rFonts w:ascii="Times New Roman" w:eastAsia="Times New Roman" w:hAnsi="Times New Roman" w:cs="Times New Roman"/>
          <w:sz w:val="20"/>
          <w:szCs w:val="20"/>
        </w:rPr>
        <w:t>.</w:t>
      </w:r>
    </w:p>
    <w:p w14:paraId="00000307" w14:textId="77777777"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EFAC41" wp14:editId="6414CE9B">
            <wp:extent cx="5731510" cy="2385843"/>
            <wp:effectExtent l="0" t="0" r="2540" b="0"/>
            <wp:docPr id="248" name="image10.png"/>
            <wp:cNvGraphicFramePr/>
            <a:graphic xmlns:a="http://schemas.openxmlformats.org/drawingml/2006/main">
              <a:graphicData uri="http://schemas.openxmlformats.org/drawingml/2006/picture">
                <pic:pic xmlns:pic="http://schemas.openxmlformats.org/drawingml/2006/picture">
                  <pic:nvPicPr>
                    <pic:cNvPr id="248" name="image10.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31510" cy="2385843"/>
                    </a:xfrm>
                    <a:prstGeom prst="rect">
                      <a:avLst/>
                    </a:prstGeom>
                    <a:ln/>
                  </pic:spPr>
                </pic:pic>
              </a:graphicData>
            </a:graphic>
          </wp:inline>
        </w:drawing>
      </w:r>
    </w:p>
    <w:p w14:paraId="00000308" w14:textId="1F25124F" w:rsidR="00F87ED1" w:rsidRPr="00C21E05" w:rsidRDefault="00082627">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E22AA3" w:rsidRPr="00C21E05">
        <w:rPr>
          <w:rFonts w:ascii="Times New Roman" w:eastAsia="Times New Roman" w:hAnsi="Times New Roman" w:cs="Times New Roman"/>
          <w:b/>
          <w:sz w:val="20"/>
          <w:szCs w:val="20"/>
        </w:rPr>
        <w:t>4</w:t>
      </w:r>
      <w:r w:rsidR="00F44EFB" w:rsidRPr="00C21E05">
        <w:rPr>
          <w:rFonts w:ascii="Times New Roman" w:eastAsia="Times New Roman" w:hAnsi="Times New Roman" w:cs="Times New Roman"/>
          <w:b/>
          <w:sz w:val="20"/>
          <w:szCs w:val="20"/>
        </w:rPr>
        <w:t>b</w:t>
      </w:r>
      <w:r w:rsidRPr="00C21E05">
        <w:rPr>
          <w:rFonts w:ascii="Times New Roman" w:eastAsia="Times New Roman" w:hAnsi="Times New Roman" w:cs="Times New Roman"/>
          <w:sz w:val="20"/>
          <w:szCs w:val="20"/>
        </w:rPr>
        <w:t xml:space="preserve">. </w:t>
      </w:r>
      <w:r w:rsidR="003D5296" w:rsidRPr="00C21E05">
        <w:rPr>
          <w:rFonts w:ascii="Times New Roman" w:eastAsia="Times New Roman" w:hAnsi="Times New Roman" w:cs="Times New Roman"/>
          <w:sz w:val="20"/>
          <w:szCs w:val="20"/>
        </w:rPr>
        <w:t>V</w:t>
      </w:r>
      <w:r w:rsidRPr="00C21E05">
        <w:rPr>
          <w:rFonts w:ascii="Times New Roman" w:eastAsia="Times New Roman" w:hAnsi="Times New Roman" w:cs="Times New Roman"/>
          <w:sz w:val="20"/>
          <w:szCs w:val="20"/>
        </w:rPr>
        <w:t xml:space="preserve">alues of first order SA measures estimated by each method for the FPB A-41 model using a sample size of 50,000 for the HDMR method and </w:t>
      </w:r>
      <w:r w:rsidR="00B615DC" w:rsidRPr="00C21E05">
        <w:rPr>
          <w:rFonts w:ascii="Times New Roman" w:eastAsia="Times New Roman" w:hAnsi="Times New Roman" w:cs="Times New Roman"/>
          <w:sz w:val="20"/>
          <w:szCs w:val="20"/>
        </w:rPr>
        <w:t xml:space="preserve">converged values at </w:t>
      </w:r>
      <w:r w:rsidRPr="00C21E05">
        <w:rPr>
          <w:rFonts w:ascii="Times New Roman" w:eastAsia="Times New Roman" w:hAnsi="Times New Roman" w:cs="Times New Roman"/>
          <w:sz w:val="20"/>
          <w:szCs w:val="20"/>
        </w:rPr>
        <w:t>500,000 for all other methods.</w:t>
      </w:r>
    </w:p>
    <w:p w14:paraId="18994634" w14:textId="77777777" w:rsidR="00457763" w:rsidRPr="00C21E05" w:rsidRDefault="00457763">
      <w:pPr>
        <w:jc w:val="center"/>
        <w:rPr>
          <w:rFonts w:ascii="Times New Roman" w:eastAsia="Times New Roman" w:hAnsi="Times New Roman" w:cs="Times New Roman"/>
          <w:sz w:val="20"/>
          <w:szCs w:val="20"/>
        </w:rPr>
      </w:pPr>
    </w:p>
    <w:p w14:paraId="526DE9D2" w14:textId="2C70CB0F" w:rsidR="00457763" w:rsidRPr="00C21E05" w:rsidRDefault="00457763" w:rsidP="00457763">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Table </w:t>
      </w:r>
      <w:r w:rsidR="0000548F" w:rsidRPr="00C21E05">
        <w:rPr>
          <w:rFonts w:ascii="Times New Roman" w:eastAsia="Times New Roman" w:hAnsi="Times New Roman" w:cs="Times New Roman"/>
          <w:b/>
          <w:sz w:val="20"/>
          <w:szCs w:val="20"/>
        </w:rPr>
        <w:t>8</w:t>
      </w:r>
      <w:r w:rsidRPr="00C21E05">
        <w:rPr>
          <w:rFonts w:ascii="Times New Roman" w:eastAsia="Times New Roman" w:hAnsi="Times New Roman" w:cs="Times New Roman"/>
          <w:sz w:val="20"/>
          <w:szCs w:val="20"/>
        </w:rPr>
        <w:t xml:space="preserve">. </w:t>
      </w:r>
      <w:r w:rsidR="00D12CB2" w:rsidRPr="00C21E05">
        <w:rPr>
          <w:rFonts w:ascii="Times New Roman" w:eastAsia="Times New Roman" w:hAnsi="Times New Roman" w:cs="Times New Roman"/>
          <w:sz w:val="20"/>
          <w:szCs w:val="20"/>
        </w:rPr>
        <w:t>Top 5 influential parameters</w:t>
      </w:r>
      <w:r w:rsidRPr="00C21E05">
        <w:rPr>
          <w:rFonts w:ascii="Times New Roman" w:eastAsia="Times New Roman" w:hAnsi="Times New Roman" w:cs="Times New Roman"/>
          <w:sz w:val="20"/>
          <w:szCs w:val="20"/>
        </w:rPr>
        <w:t xml:space="preserve"> for Case 1 ranked in order from most (I-1) to le</w:t>
      </w:r>
      <w:r w:rsidR="00D37895" w:rsidRPr="00C21E05">
        <w:rPr>
          <w:rFonts w:ascii="Times New Roman" w:eastAsia="Times New Roman" w:hAnsi="Times New Roman" w:cs="Times New Roman"/>
          <w:sz w:val="20"/>
          <w:szCs w:val="20"/>
        </w:rPr>
        <w:t>ss</w:t>
      </w:r>
      <w:r w:rsidRPr="00C21E05">
        <w:rPr>
          <w:rFonts w:ascii="Times New Roman" w:eastAsia="Times New Roman" w:hAnsi="Times New Roman" w:cs="Times New Roman"/>
          <w:sz w:val="20"/>
          <w:szCs w:val="20"/>
        </w:rPr>
        <w:t xml:space="preserve"> (I-5) significant by each method </w:t>
      </w:r>
      <w:r w:rsidR="00917146" w:rsidRPr="00C21E05">
        <w:rPr>
          <w:rFonts w:ascii="Times New Roman" w:eastAsia="Times New Roman" w:hAnsi="Times New Roman" w:cs="Times New Roman"/>
          <w:sz w:val="20"/>
          <w:szCs w:val="20"/>
        </w:rPr>
        <w:t>at</w:t>
      </w:r>
      <w:r w:rsidRPr="00C21E05">
        <w:rPr>
          <w:rFonts w:ascii="Times New Roman" w:eastAsia="Times New Roman" w:hAnsi="Times New Roman" w:cs="Times New Roman"/>
          <w:sz w:val="20"/>
          <w:szCs w:val="20"/>
        </w:rPr>
        <w:t xml:space="preserve"> converged values. </w:t>
      </w:r>
    </w:p>
    <w:tbl>
      <w:tblPr>
        <w:tblStyle w:val="a7"/>
        <w:tblW w:w="9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732"/>
        <w:gridCol w:w="733"/>
        <w:gridCol w:w="733"/>
        <w:gridCol w:w="733"/>
        <w:gridCol w:w="733"/>
        <w:gridCol w:w="733"/>
        <w:gridCol w:w="733"/>
        <w:gridCol w:w="733"/>
        <w:gridCol w:w="733"/>
        <w:gridCol w:w="733"/>
      </w:tblGrid>
      <w:tr w:rsidR="00706EB9" w14:paraId="2A9650F5" w14:textId="77777777" w:rsidTr="00706EB9">
        <w:trPr>
          <w:jc w:val="center"/>
        </w:trPr>
        <w:tc>
          <w:tcPr>
            <w:tcW w:w="1723" w:type="dxa"/>
          </w:tcPr>
          <w:p w14:paraId="74C91CB4" w14:textId="77777777" w:rsidR="00706EB9" w:rsidRPr="003B2C1D" w:rsidRDefault="00706EB9" w:rsidP="00706EB9">
            <w:pPr>
              <w:jc w:val="center"/>
              <w:rPr>
                <w:rFonts w:ascii="Times New Roman" w:eastAsia="Times New Roman" w:hAnsi="Times New Roman" w:cs="Times New Roman"/>
                <w:sz w:val="20"/>
                <w:szCs w:val="20"/>
              </w:rPr>
            </w:pPr>
            <w:r w:rsidRPr="003B2C1D">
              <w:rPr>
                <w:rFonts w:ascii="Times New Roman" w:eastAsia="Times New Roman" w:hAnsi="Times New Roman" w:cs="Times New Roman"/>
                <w:b/>
                <w:sz w:val="20"/>
                <w:szCs w:val="20"/>
              </w:rPr>
              <w:t>Method</w:t>
            </w:r>
          </w:p>
        </w:tc>
        <w:tc>
          <w:tcPr>
            <w:tcW w:w="1465" w:type="dxa"/>
            <w:gridSpan w:val="2"/>
          </w:tcPr>
          <w:p w14:paraId="625F236B"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I-1</w:t>
            </w:r>
          </w:p>
        </w:tc>
        <w:tc>
          <w:tcPr>
            <w:tcW w:w="1466" w:type="dxa"/>
            <w:gridSpan w:val="2"/>
          </w:tcPr>
          <w:p w14:paraId="76DEADCA"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I-2</w:t>
            </w:r>
          </w:p>
        </w:tc>
        <w:tc>
          <w:tcPr>
            <w:tcW w:w="1466" w:type="dxa"/>
            <w:gridSpan w:val="2"/>
          </w:tcPr>
          <w:p w14:paraId="57BE0A21"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I-3</w:t>
            </w:r>
          </w:p>
        </w:tc>
        <w:tc>
          <w:tcPr>
            <w:tcW w:w="1466" w:type="dxa"/>
            <w:gridSpan w:val="2"/>
          </w:tcPr>
          <w:p w14:paraId="3097759F"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I-4</w:t>
            </w:r>
          </w:p>
        </w:tc>
        <w:tc>
          <w:tcPr>
            <w:tcW w:w="1466" w:type="dxa"/>
            <w:gridSpan w:val="2"/>
          </w:tcPr>
          <w:p w14:paraId="3D88223D"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I-5</w:t>
            </w:r>
          </w:p>
        </w:tc>
      </w:tr>
      <w:tr w:rsidR="00706EB9" w14:paraId="3F8AA483" w14:textId="77777777" w:rsidTr="00706EB9">
        <w:trPr>
          <w:jc w:val="center"/>
        </w:trPr>
        <w:tc>
          <w:tcPr>
            <w:tcW w:w="1723" w:type="dxa"/>
          </w:tcPr>
          <w:p w14:paraId="63AC95D4"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Order</w:t>
            </w:r>
          </w:p>
        </w:tc>
        <w:tc>
          <w:tcPr>
            <w:tcW w:w="732" w:type="dxa"/>
            <w:shd w:val="clear" w:color="auto" w:fill="F2F2F2" w:themeFill="background1" w:themeFillShade="F2"/>
          </w:tcPr>
          <w:p w14:paraId="6EFCC326"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71D7808A"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736B1229"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6DA49B9D"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5EF2C574"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228DD0E1"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35930422"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64124F43"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2D779F0C"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611D63CD"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r>
      <w:tr w:rsidR="00706EB9" w14:paraId="7B437D59" w14:textId="77777777" w:rsidTr="00706EB9">
        <w:trPr>
          <w:jc w:val="center"/>
        </w:trPr>
        <w:tc>
          <w:tcPr>
            <w:tcW w:w="1723" w:type="dxa"/>
            <w:vAlign w:val="center"/>
          </w:tcPr>
          <w:p w14:paraId="44D604CA" w14:textId="77777777" w:rsidR="00706EB9" w:rsidRPr="003B2C1D" w:rsidRDefault="00706EB9"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Sobol’</w:t>
            </w:r>
          </w:p>
        </w:tc>
        <w:tc>
          <w:tcPr>
            <w:tcW w:w="732" w:type="dxa"/>
            <w:shd w:val="clear" w:color="auto" w:fill="F2F2F2" w:themeFill="background1" w:themeFillShade="F2"/>
            <w:vAlign w:val="center"/>
          </w:tcPr>
          <w:p w14:paraId="618292FF" w14:textId="54486965"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(0.38)</w:t>
            </w:r>
          </w:p>
        </w:tc>
        <w:tc>
          <w:tcPr>
            <w:tcW w:w="733" w:type="dxa"/>
            <w:vAlign w:val="center"/>
          </w:tcPr>
          <w:p w14:paraId="694E23C4" w14:textId="65218D1B"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(0.37)</w:t>
            </w:r>
          </w:p>
        </w:tc>
        <w:tc>
          <w:tcPr>
            <w:tcW w:w="733" w:type="dxa"/>
            <w:shd w:val="clear" w:color="auto" w:fill="F2F2F2" w:themeFill="background1" w:themeFillShade="F2"/>
            <w:vAlign w:val="center"/>
          </w:tcPr>
          <w:p w14:paraId="75BEFBF4" w14:textId="00B3465B"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(0.14)</w:t>
            </w:r>
          </w:p>
        </w:tc>
        <w:tc>
          <w:tcPr>
            <w:tcW w:w="733" w:type="dxa"/>
            <w:vAlign w:val="center"/>
          </w:tcPr>
          <w:p w14:paraId="3AD4B31B" w14:textId="17091798"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(0.14)</w:t>
            </w:r>
          </w:p>
        </w:tc>
        <w:tc>
          <w:tcPr>
            <w:tcW w:w="733" w:type="dxa"/>
            <w:shd w:val="clear" w:color="auto" w:fill="F2F2F2" w:themeFill="background1" w:themeFillShade="F2"/>
            <w:vAlign w:val="center"/>
          </w:tcPr>
          <w:p w14:paraId="0CE7E934" w14:textId="3529E6E1"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(0.12)</w:t>
            </w:r>
          </w:p>
        </w:tc>
        <w:tc>
          <w:tcPr>
            <w:tcW w:w="733" w:type="dxa"/>
            <w:vAlign w:val="center"/>
          </w:tcPr>
          <w:p w14:paraId="37EA33ED" w14:textId="6B14E092"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(0.11)</w:t>
            </w:r>
          </w:p>
        </w:tc>
        <w:tc>
          <w:tcPr>
            <w:tcW w:w="733" w:type="dxa"/>
            <w:shd w:val="clear" w:color="auto" w:fill="F2F2F2" w:themeFill="background1" w:themeFillShade="F2"/>
            <w:vAlign w:val="center"/>
          </w:tcPr>
          <w:p w14:paraId="2ED6E23E" w14:textId="745A0E80"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(0.11)</w:t>
            </w:r>
          </w:p>
        </w:tc>
        <w:tc>
          <w:tcPr>
            <w:tcW w:w="733" w:type="dxa"/>
            <w:vAlign w:val="center"/>
          </w:tcPr>
          <w:p w14:paraId="04B22185" w14:textId="35657860"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w:t>
            </w:r>
            <w:r w:rsidR="009621D7">
              <w:rPr>
                <w:rFonts w:ascii="Times New Roman" w:eastAsia="Times New Roman" w:hAnsi="Times New Roman" w:cs="Times New Roman"/>
                <w:sz w:val="20"/>
                <w:szCs w:val="20"/>
              </w:rPr>
              <w:t>0</w:t>
            </w:r>
            <w:r w:rsidRPr="003449DC">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40BC993F" w14:textId="7663A6BC"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X28 (0.04)</w:t>
            </w:r>
          </w:p>
        </w:tc>
        <w:tc>
          <w:tcPr>
            <w:tcW w:w="733" w:type="dxa"/>
            <w:vAlign w:val="center"/>
          </w:tcPr>
          <w:p w14:paraId="1E4FECFE" w14:textId="657F386A"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X28 (0.03)</w:t>
            </w:r>
          </w:p>
        </w:tc>
      </w:tr>
      <w:tr w:rsidR="00706EB9" w14:paraId="49996E0A" w14:textId="77777777" w:rsidTr="00706EB9">
        <w:trPr>
          <w:jc w:val="center"/>
        </w:trPr>
        <w:tc>
          <w:tcPr>
            <w:tcW w:w="1723" w:type="dxa"/>
            <w:vAlign w:val="center"/>
          </w:tcPr>
          <w:p w14:paraId="672CBE8F"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EFAST</w:t>
            </w:r>
          </w:p>
        </w:tc>
        <w:tc>
          <w:tcPr>
            <w:tcW w:w="732" w:type="dxa"/>
            <w:shd w:val="clear" w:color="auto" w:fill="F2F2F2" w:themeFill="background1" w:themeFillShade="F2"/>
            <w:vAlign w:val="center"/>
          </w:tcPr>
          <w:p w14:paraId="3A975E46" w14:textId="1B246FF3"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(0.38)</w:t>
            </w:r>
          </w:p>
        </w:tc>
        <w:tc>
          <w:tcPr>
            <w:tcW w:w="733" w:type="dxa"/>
            <w:vAlign w:val="center"/>
          </w:tcPr>
          <w:p w14:paraId="5C08739A" w14:textId="53A7F3A9"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(0.37)</w:t>
            </w:r>
          </w:p>
        </w:tc>
        <w:tc>
          <w:tcPr>
            <w:tcW w:w="733" w:type="dxa"/>
            <w:shd w:val="clear" w:color="auto" w:fill="F2F2F2" w:themeFill="background1" w:themeFillShade="F2"/>
            <w:vAlign w:val="center"/>
          </w:tcPr>
          <w:p w14:paraId="4B47C26C" w14:textId="24CD3847"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(0.14)</w:t>
            </w:r>
          </w:p>
        </w:tc>
        <w:tc>
          <w:tcPr>
            <w:tcW w:w="733" w:type="dxa"/>
            <w:vAlign w:val="center"/>
          </w:tcPr>
          <w:p w14:paraId="1AFA7D28" w14:textId="66AA7561"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(0.13)</w:t>
            </w:r>
          </w:p>
        </w:tc>
        <w:tc>
          <w:tcPr>
            <w:tcW w:w="733" w:type="dxa"/>
            <w:shd w:val="clear" w:color="auto" w:fill="F2F2F2" w:themeFill="background1" w:themeFillShade="F2"/>
            <w:vAlign w:val="center"/>
          </w:tcPr>
          <w:p w14:paraId="16A02BCB" w14:textId="6AA9606D"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(0.12)</w:t>
            </w:r>
          </w:p>
        </w:tc>
        <w:tc>
          <w:tcPr>
            <w:tcW w:w="733" w:type="dxa"/>
            <w:vAlign w:val="center"/>
          </w:tcPr>
          <w:p w14:paraId="19BCD06F" w14:textId="10D77A2B"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(0.11)</w:t>
            </w:r>
          </w:p>
        </w:tc>
        <w:tc>
          <w:tcPr>
            <w:tcW w:w="733" w:type="dxa"/>
            <w:shd w:val="clear" w:color="auto" w:fill="F2F2F2" w:themeFill="background1" w:themeFillShade="F2"/>
            <w:vAlign w:val="center"/>
          </w:tcPr>
          <w:p w14:paraId="7B94E2F3" w14:textId="6433E27B"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(0.11)</w:t>
            </w:r>
          </w:p>
        </w:tc>
        <w:tc>
          <w:tcPr>
            <w:tcW w:w="733" w:type="dxa"/>
            <w:vAlign w:val="center"/>
          </w:tcPr>
          <w:p w14:paraId="19D38010" w14:textId="526A8F0D"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(0.10)</w:t>
            </w:r>
          </w:p>
        </w:tc>
        <w:tc>
          <w:tcPr>
            <w:tcW w:w="733" w:type="dxa"/>
            <w:shd w:val="clear" w:color="auto" w:fill="F2F2F2" w:themeFill="background1" w:themeFillShade="F2"/>
            <w:vAlign w:val="center"/>
          </w:tcPr>
          <w:p w14:paraId="61E49BFC" w14:textId="39B99DF8"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X33 (0.04)</w:t>
            </w:r>
          </w:p>
        </w:tc>
        <w:tc>
          <w:tcPr>
            <w:tcW w:w="733" w:type="dxa"/>
            <w:vAlign w:val="center"/>
          </w:tcPr>
          <w:p w14:paraId="1A40F8E7" w14:textId="044014AC"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X28 (0.03)</w:t>
            </w:r>
          </w:p>
        </w:tc>
      </w:tr>
      <w:tr w:rsidR="00706EB9" w14:paraId="78619891" w14:textId="77777777" w:rsidTr="00706EB9">
        <w:trPr>
          <w:jc w:val="center"/>
        </w:trPr>
        <w:tc>
          <w:tcPr>
            <w:tcW w:w="1723" w:type="dxa"/>
            <w:vAlign w:val="center"/>
          </w:tcPr>
          <w:p w14:paraId="1E1F5159" w14:textId="77777777" w:rsidR="00706EB9" w:rsidRPr="003B2C1D"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HDMR</w:t>
            </w:r>
          </w:p>
        </w:tc>
        <w:tc>
          <w:tcPr>
            <w:tcW w:w="732" w:type="dxa"/>
            <w:shd w:val="clear" w:color="auto" w:fill="F2F2F2" w:themeFill="background1" w:themeFillShade="F2"/>
            <w:vAlign w:val="center"/>
          </w:tcPr>
          <w:p w14:paraId="32808366" w14:textId="441242E1"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(0.47)</w:t>
            </w:r>
          </w:p>
        </w:tc>
        <w:tc>
          <w:tcPr>
            <w:tcW w:w="733" w:type="dxa"/>
            <w:vAlign w:val="center"/>
          </w:tcPr>
          <w:p w14:paraId="073D9F26" w14:textId="171C55B8"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 (0.37)</w:t>
            </w:r>
          </w:p>
        </w:tc>
        <w:tc>
          <w:tcPr>
            <w:tcW w:w="733" w:type="dxa"/>
            <w:shd w:val="clear" w:color="auto" w:fill="F2F2F2" w:themeFill="background1" w:themeFillShade="F2"/>
            <w:vAlign w:val="center"/>
          </w:tcPr>
          <w:p w14:paraId="620F2608" w14:textId="66B5461E"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(0.18)</w:t>
            </w:r>
          </w:p>
        </w:tc>
        <w:tc>
          <w:tcPr>
            <w:tcW w:w="733" w:type="dxa"/>
            <w:vAlign w:val="center"/>
          </w:tcPr>
          <w:p w14:paraId="7A32E7B4" w14:textId="622CCC69"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X0 (0.14)</w:t>
            </w:r>
          </w:p>
        </w:tc>
        <w:tc>
          <w:tcPr>
            <w:tcW w:w="733" w:type="dxa"/>
            <w:shd w:val="clear" w:color="auto" w:fill="F2F2F2" w:themeFill="background1" w:themeFillShade="F2"/>
            <w:vAlign w:val="center"/>
          </w:tcPr>
          <w:p w14:paraId="0DEFECB0" w14:textId="25DFB03E"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(0.14)</w:t>
            </w:r>
          </w:p>
        </w:tc>
        <w:tc>
          <w:tcPr>
            <w:tcW w:w="733" w:type="dxa"/>
            <w:vAlign w:val="center"/>
          </w:tcPr>
          <w:p w14:paraId="4857DF00" w14:textId="6506357C"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(0.11)</w:t>
            </w:r>
          </w:p>
        </w:tc>
        <w:tc>
          <w:tcPr>
            <w:tcW w:w="733" w:type="dxa"/>
            <w:shd w:val="clear" w:color="auto" w:fill="F2F2F2" w:themeFill="background1" w:themeFillShade="F2"/>
            <w:vAlign w:val="center"/>
          </w:tcPr>
          <w:p w14:paraId="6E12CC47" w14:textId="469E47D5"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X31 (0.13)</w:t>
            </w:r>
          </w:p>
        </w:tc>
        <w:tc>
          <w:tcPr>
            <w:tcW w:w="733" w:type="dxa"/>
            <w:vAlign w:val="center"/>
          </w:tcPr>
          <w:p w14:paraId="6233B25B" w14:textId="4F739E9C"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X4 (0.10)</w:t>
            </w:r>
          </w:p>
        </w:tc>
        <w:tc>
          <w:tcPr>
            <w:tcW w:w="733" w:type="dxa"/>
            <w:shd w:val="clear" w:color="auto" w:fill="F2F2F2" w:themeFill="background1" w:themeFillShade="F2"/>
            <w:vAlign w:val="center"/>
          </w:tcPr>
          <w:p w14:paraId="744E42EB" w14:textId="176A9260"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X28 (0.05)</w:t>
            </w:r>
          </w:p>
        </w:tc>
        <w:tc>
          <w:tcPr>
            <w:tcW w:w="733" w:type="dxa"/>
            <w:vAlign w:val="center"/>
          </w:tcPr>
          <w:p w14:paraId="796A26DB" w14:textId="262F85A5" w:rsidR="00706EB9" w:rsidRDefault="003449DC" w:rsidP="00706EB9">
            <w:pPr>
              <w:jc w:val="center"/>
              <w:rPr>
                <w:rFonts w:ascii="Times New Roman" w:eastAsia="Times New Roman" w:hAnsi="Times New Roman" w:cs="Times New Roman"/>
                <w:b/>
                <w:sz w:val="20"/>
                <w:szCs w:val="20"/>
              </w:rPr>
            </w:pPr>
            <w:r w:rsidRPr="003449DC">
              <w:rPr>
                <w:rFonts w:ascii="Times New Roman" w:eastAsia="Times New Roman" w:hAnsi="Times New Roman" w:cs="Times New Roman"/>
                <w:sz w:val="20"/>
                <w:szCs w:val="20"/>
              </w:rPr>
              <w:t>X28 (0.03)</w:t>
            </w:r>
          </w:p>
        </w:tc>
      </w:tr>
      <w:tr w:rsidR="00706EB9" w14:paraId="40C4FDD9" w14:textId="77777777" w:rsidTr="00706EB9">
        <w:trPr>
          <w:jc w:val="center"/>
        </w:trPr>
        <w:tc>
          <w:tcPr>
            <w:tcW w:w="1723" w:type="dxa"/>
            <w:vAlign w:val="center"/>
          </w:tcPr>
          <w:p w14:paraId="5326DA00" w14:textId="77777777" w:rsidR="00706EB9"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Morris</w:t>
            </w:r>
          </w:p>
        </w:tc>
        <w:tc>
          <w:tcPr>
            <w:tcW w:w="732" w:type="dxa"/>
            <w:shd w:val="clear" w:color="auto" w:fill="F2F2F2" w:themeFill="background1" w:themeFillShade="F2"/>
            <w:vAlign w:val="center"/>
          </w:tcPr>
          <w:p w14:paraId="14861E6D" w14:textId="2E43F9F2"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X2 (0.26)</w:t>
            </w:r>
          </w:p>
        </w:tc>
        <w:tc>
          <w:tcPr>
            <w:tcW w:w="733" w:type="dxa"/>
            <w:vAlign w:val="center"/>
          </w:tcPr>
          <w:p w14:paraId="7849E8B4"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46712891" w14:textId="77ABF35B"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X0 (0.16)</w:t>
            </w:r>
          </w:p>
        </w:tc>
        <w:tc>
          <w:tcPr>
            <w:tcW w:w="733" w:type="dxa"/>
            <w:vAlign w:val="center"/>
          </w:tcPr>
          <w:p w14:paraId="7E2E2128"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4ABAFD9B" w14:textId="15D118EA"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X31 (0.15)</w:t>
            </w:r>
          </w:p>
        </w:tc>
        <w:tc>
          <w:tcPr>
            <w:tcW w:w="733" w:type="dxa"/>
            <w:vAlign w:val="center"/>
          </w:tcPr>
          <w:p w14:paraId="02A009BD"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50A256C0" w14:textId="30B4D722"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X4 (0.14)</w:t>
            </w:r>
          </w:p>
        </w:tc>
        <w:tc>
          <w:tcPr>
            <w:tcW w:w="733" w:type="dxa"/>
            <w:vAlign w:val="center"/>
          </w:tcPr>
          <w:p w14:paraId="7EE6DB57"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79799668" w14:textId="10943479"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X28 (0.08)</w:t>
            </w:r>
          </w:p>
        </w:tc>
        <w:tc>
          <w:tcPr>
            <w:tcW w:w="733" w:type="dxa"/>
            <w:vAlign w:val="center"/>
          </w:tcPr>
          <w:p w14:paraId="488C1316"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06EB9" w14:paraId="2E0CF654" w14:textId="77777777" w:rsidTr="00706EB9">
        <w:trPr>
          <w:jc w:val="center"/>
        </w:trPr>
        <w:tc>
          <w:tcPr>
            <w:tcW w:w="1723" w:type="dxa"/>
            <w:vAlign w:val="center"/>
          </w:tcPr>
          <w:p w14:paraId="604B32EA" w14:textId="77777777" w:rsidR="00706EB9" w:rsidRDefault="00706EB9"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DGSM</w:t>
            </w:r>
          </w:p>
        </w:tc>
        <w:tc>
          <w:tcPr>
            <w:tcW w:w="732" w:type="dxa"/>
            <w:shd w:val="clear" w:color="auto" w:fill="F2F2F2" w:themeFill="background1" w:themeFillShade="F2"/>
            <w:vAlign w:val="center"/>
          </w:tcPr>
          <w:p w14:paraId="3FED26FB" w14:textId="5C1379AD"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X2 (0.48)</w:t>
            </w:r>
          </w:p>
        </w:tc>
        <w:tc>
          <w:tcPr>
            <w:tcW w:w="733" w:type="dxa"/>
            <w:vAlign w:val="center"/>
          </w:tcPr>
          <w:p w14:paraId="07FD3B36"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18D539CC" w14:textId="1E355AB9"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X0 (0.18)</w:t>
            </w:r>
          </w:p>
        </w:tc>
        <w:tc>
          <w:tcPr>
            <w:tcW w:w="733" w:type="dxa"/>
            <w:vAlign w:val="center"/>
          </w:tcPr>
          <w:p w14:paraId="4716FCE8"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57F13A27" w14:textId="6304C900"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X4 (0.15)</w:t>
            </w:r>
          </w:p>
        </w:tc>
        <w:tc>
          <w:tcPr>
            <w:tcW w:w="733" w:type="dxa"/>
            <w:vAlign w:val="center"/>
          </w:tcPr>
          <w:p w14:paraId="5C50DD42"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254506D1" w14:textId="303BEA27"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X31 (0.14)</w:t>
            </w:r>
          </w:p>
        </w:tc>
        <w:tc>
          <w:tcPr>
            <w:tcW w:w="733" w:type="dxa"/>
            <w:vAlign w:val="center"/>
          </w:tcPr>
          <w:p w14:paraId="64235199"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9FE33F9" w14:textId="4D37A56D" w:rsidR="00706EB9" w:rsidRPr="003B2C1D" w:rsidRDefault="003449DC" w:rsidP="00706EB9">
            <w:pPr>
              <w:jc w:val="center"/>
              <w:rPr>
                <w:rFonts w:ascii="Times New Roman" w:eastAsia="Times New Roman" w:hAnsi="Times New Roman" w:cs="Times New Roman"/>
                <w:sz w:val="20"/>
                <w:szCs w:val="20"/>
              </w:rPr>
            </w:pPr>
            <w:r w:rsidRPr="003449DC">
              <w:rPr>
                <w:rFonts w:ascii="Times New Roman" w:eastAsia="Times New Roman" w:hAnsi="Times New Roman" w:cs="Times New Roman"/>
                <w:sz w:val="20"/>
                <w:szCs w:val="20"/>
              </w:rPr>
              <w:t>X33 (0.04)</w:t>
            </w:r>
          </w:p>
        </w:tc>
        <w:tc>
          <w:tcPr>
            <w:tcW w:w="733" w:type="dxa"/>
            <w:vAlign w:val="center"/>
          </w:tcPr>
          <w:p w14:paraId="681CA5AE" w14:textId="77777777" w:rsidR="00706EB9" w:rsidRPr="003B2C1D" w:rsidRDefault="00706EB9"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31EEF25" w14:textId="77777777" w:rsidR="00706EB9" w:rsidRDefault="00706EB9">
      <w:pPr>
        <w:jc w:val="center"/>
        <w:rPr>
          <w:rFonts w:ascii="Times New Roman" w:eastAsia="Times New Roman" w:hAnsi="Times New Roman" w:cs="Times New Roman"/>
          <w:sz w:val="24"/>
          <w:szCs w:val="24"/>
        </w:rPr>
      </w:pPr>
    </w:p>
    <w:p w14:paraId="00000344" w14:textId="1547E378" w:rsidR="00F87ED1" w:rsidRPr="001E3E54" w:rsidRDefault="00082627" w:rsidP="0009133D">
      <w:pPr>
        <w:spacing w:after="0"/>
        <w:rPr>
          <w:rFonts w:ascii="Times New Roman" w:eastAsia="Times New Roman" w:hAnsi="Times New Roman" w:cs="Times New Roman"/>
          <w:b/>
          <w:color w:val="002060"/>
          <w:sz w:val="24"/>
          <w:szCs w:val="24"/>
        </w:rPr>
      </w:pPr>
      <w:r w:rsidRPr="001E3E54">
        <w:rPr>
          <w:rFonts w:ascii="Times New Roman" w:eastAsia="Times New Roman" w:hAnsi="Times New Roman" w:cs="Times New Roman"/>
          <w:b/>
          <w:color w:val="002060"/>
          <w:sz w:val="24"/>
          <w:szCs w:val="24"/>
        </w:rPr>
        <w:t>4.</w:t>
      </w:r>
      <w:r w:rsidR="00FC128A">
        <w:rPr>
          <w:rFonts w:ascii="Times New Roman" w:eastAsia="Times New Roman" w:hAnsi="Times New Roman" w:cs="Times New Roman"/>
          <w:b/>
          <w:color w:val="002060"/>
          <w:sz w:val="24"/>
          <w:szCs w:val="24"/>
        </w:rPr>
        <w:t>3</w:t>
      </w:r>
      <w:r w:rsidRPr="001E3E54">
        <w:rPr>
          <w:rFonts w:ascii="Times New Roman" w:eastAsia="Times New Roman" w:hAnsi="Times New Roman" w:cs="Times New Roman"/>
          <w:b/>
          <w:color w:val="002060"/>
          <w:sz w:val="24"/>
          <w:szCs w:val="24"/>
        </w:rPr>
        <w:t xml:space="preserve"> Case 2: FE DCB 9</w:t>
      </w:r>
    </w:p>
    <w:p w14:paraId="2FFE8555" w14:textId="448B53BE" w:rsidR="007A25BD" w:rsidRPr="00C21E05" w:rsidRDefault="00082627">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The </w:t>
      </w:r>
      <w:r w:rsidR="008A542B" w:rsidRPr="00C21E05">
        <w:rPr>
          <w:rFonts w:ascii="Times New Roman" w:eastAsia="Times New Roman" w:hAnsi="Times New Roman" w:cs="Times New Roman"/>
          <w:sz w:val="20"/>
          <w:szCs w:val="20"/>
        </w:rPr>
        <w:t>converged</w:t>
      </w:r>
      <w:r w:rsidRPr="00C21E05">
        <w:rPr>
          <w:rFonts w:ascii="Times New Roman" w:eastAsia="Times New Roman" w:hAnsi="Times New Roman" w:cs="Times New Roman"/>
          <w:sz w:val="20"/>
          <w:szCs w:val="20"/>
        </w:rPr>
        <w:t xml:space="preserve"> first and total order sensitivity indices for the </w:t>
      </w:r>
      <w:r w:rsidR="002F5367" w:rsidRPr="00C21E05">
        <w:rPr>
          <w:rFonts w:ascii="Times New Roman" w:eastAsia="Times New Roman" w:hAnsi="Times New Roman" w:cs="Times New Roman"/>
          <w:sz w:val="20"/>
          <w:szCs w:val="20"/>
        </w:rPr>
        <w:t xml:space="preserve">FE </w:t>
      </w:r>
      <w:r w:rsidRPr="00C21E05">
        <w:rPr>
          <w:rFonts w:ascii="Times New Roman" w:eastAsia="Times New Roman" w:hAnsi="Times New Roman" w:cs="Times New Roman"/>
          <w:sz w:val="20"/>
          <w:szCs w:val="20"/>
        </w:rPr>
        <w:t xml:space="preserve">DCB </w:t>
      </w:r>
      <w:r w:rsidR="002F5367" w:rsidRPr="00C21E05">
        <w:rPr>
          <w:rFonts w:ascii="Times New Roman" w:eastAsia="Times New Roman" w:hAnsi="Times New Roman" w:cs="Times New Roman"/>
          <w:sz w:val="20"/>
          <w:szCs w:val="20"/>
        </w:rPr>
        <w:t xml:space="preserve">9 </w:t>
      </w:r>
      <w:r w:rsidRPr="00C21E05">
        <w:rPr>
          <w:rFonts w:ascii="Times New Roman" w:eastAsia="Times New Roman" w:hAnsi="Times New Roman" w:cs="Times New Roman"/>
          <w:sz w:val="20"/>
          <w:szCs w:val="20"/>
        </w:rPr>
        <w:t>model are shown in Fig</w:t>
      </w:r>
      <w:r w:rsidR="007A25BD" w:rsidRPr="00C21E05">
        <w:rPr>
          <w:rFonts w:ascii="Times New Roman" w:eastAsia="Times New Roman" w:hAnsi="Times New Roman" w:cs="Times New Roman"/>
          <w:sz w:val="20"/>
          <w:szCs w:val="20"/>
        </w:rPr>
        <w:t xml:space="preserve">. </w:t>
      </w:r>
      <w:r w:rsidR="00263781" w:rsidRPr="00C21E05">
        <w:rPr>
          <w:rFonts w:ascii="Times New Roman" w:eastAsia="Times New Roman" w:hAnsi="Times New Roman" w:cs="Times New Roman"/>
          <w:sz w:val="20"/>
          <w:szCs w:val="20"/>
        </w:rPr>
        <w:t>5a,5b,</w:t>
      </w:r>
      <w:r w:rsidR="007A25BD" w:rsidRPr="00C21E05">
        <w:rPr>
          <w:rFonts w:ascii="Times New Roman" w:eastAsia="Times New Roman" w:hAnsi="Times New Roman" w:cs="Times New Roman"/>
          <w:sz w:val="20"/>
          <w:szCs w:val="20"/>
        </w:rPr>
        <w:t xml:space="preserve"> with the quantitative values provided in Table </w:t>
      </w:r>
      <w:r w:rsidR="0000548F" w:rsidRPr="00C21E05">
        <w:rPr>
          <w:rFonts w:ascii="Times New Roman" w:eastAsia="Times New Roman" w:hAnsi="Times New Roman" w:cs="Times New Roman"/>
          <w:sz w:val="20"/>
          <w:szCs w:val="20"/>
        </w:rPr>
        <w:t>9</w:t>
      </w:r>
      <w:r w:rsidRPr="00C21E05">
        <w:rPr>
          <w:rFonts w:ascii="Times New Roman" w:eastAsia="Times New Roman" w:hAnsi="Times New Roman" w:cs="Times New Roman"/>
          <w:sz w:val="20"/>
          <w:szCs w:val="20"/>
        </w:rPr>
        <w:t xml:space="preserve">. </w:t>
      </w:r>
      <w:r w:rsidR="007A25BD" w:rsidRPr="00C21E05">
        <w:rPr>
          <w:rFonts w:ascii="Times New Roman" w:eastAsia="Times New Roman" w:hAnsi="Times New Roman" w:cs="Times New Roman"/>
          <w:sz w:val="20"/>
          <w:szCs w:val="20"/>
        </w:rPr>
        <w:t>As with Case 1, all methods predicted similar results for first order measures</w:t>
      </w:r>
      <w:r w:rsidR="00D37895" w:rsidRPr="00C21E05">
        <w:rPr>
          <w:rFonts w:ascii="Times New Roman" w:eastAsia="Times New Roman" w:hAnsi="Times New Roman" w:cs="Times New Roman"/>
          <w:sz w:val="20"/>
          <w:szCs w:val="20"/>
        </w:rPr>
        <w:t>,</w:t>
      </w:r>
      <w:r w:rsidR="007A25BD" w:rsidRPr="00C21E05">
        <w:rPr>
          <w:rFonts w:ascii="Times New Roman" w:eastAsia="Times New Roman" w:hAnsi="Times New Roman" w:cs="Times New Roman"/>
          <w:sz w:val="20"/>
          <w:szCs w:val="20"/>
        </w:rPr>
        <w:t xml:space="preserve"> when available</w:t>
      </w:r>
      <w:r w:rsidR="00D37895" w:rsidRPr="00C21E05">
        <w:rPr>
          <w:rFonts w:ascii="Times New Roman" w:eastAsia="Times New Roman" w:hAnsi="Times New Roman" w:cs="Times New Roman"/>
          <w:sz w:val="20"/>
          <w:szCs w:val="20"/>
        </w:rPr>
        <w:t>,</w:t>
      </w:r>
      <w:r w:rsidR="007A25BD" w:rsidRPr="00C21E05">
        <w:rPr>
          <w:rFonts w:ascii="Times New Roman" w:eastAsia="Times New Roman" w:hAnsi="Times New Roman" w:cs="Times New Roman"/>
          <w:sz w:val="20"/>
          <w:szCs w:val="20"/>
        </w:rPr>
        <w:t xml:space="preserve"> with differences </w:t>
      </w:r>
      <w:r w:rsidR="00D37895" w:rsidRPr="00C21E05">
        <w:rPr>
          <w:rFonts w:ascii="Times New Roman" w:eastAsia="Times New Roman" w:hAnsi="Times New Roman" w:cs="Times New Roman"/>
          <w:sz w:val="20"/>
          <w:szCs w:val="20"/>
        </w:rPr>
        <w:t>noted</w:t>
      </w:r>
      <w:r w:rsidR="007A25BD" w:rsidRPr="00C21E05">
        <w:rPr>
          <w:rFonts w:ascii="Times New Roman" w:eastAsia="Times New Roman" w:hAnsi="Times New Roman" w:cs="Times New Roman"/>
          <w:sz w:val="20"/>
          <w:szCs w:val="20"/>
        </w:rPr>
        <w:t xml:space="preserve"> in the total measures. T</w:t>
      </w:r>
      <w:r w:rsidRPr="00C21E05">
        <w:rPr>
          <w:rFonts w:ascii="Times New Roman" w:eastAsia="Times New Roman" w:hAnsi="Times New Roman" w:cs="Times New Roman"/>
          <w:sz w:val="20"/>
          <w:szCs w:val="20"/>
        </w:rPr>
        <w:t xml:space="preserve">he Morris method continued a trend of overestimating the </w:t>
      </w:r>
      <w:r w:rsidR="00AF5E11" w:rsidRPr="00C21E05">
        <w:rPr>
          <w:rFonts w:ascii="Times New Roman" w:eastAsia="Times New Roman" w:hAnsi="Times New Roman" w:cs="Times New Roman"/>
          <w:sz w:val="20"/>
          <w:szCs w:val="20"/>
        </w:rPr>
        <w:t xml:space="preserve">less </w:t>
      </w:r>
      <w:r w:rsidRPr="00C21E05">
        <w:rPr>
          <w:rFonts w:ascii="Times New Roman" w:eastAsia="Times New Roman" w:hAnsi="Times New Roman" w:cs="Times New Roman"/>
          <w:sz w:val="20"/>
          <w:szCs w:val="20"/>
        </w:rPr>
        <w:t xml:space="preserve">significant parameters </w:t>
      </w:r>
      <w:r w:rsidR="0047026E" w:rsidRPr="00C21E05">
        <w:rPr>
          <w:rFonts w:ascii="Times New Roman" w:eastAsia="Times New Roman" w:hAnsi="Times New Roman" w:cs="Times New Roman"/>
          <w:sz w:val="20"/>
          <w:szCs w:val="20"/>
        </w:rPr>
        <w:t xml:space="preserve">indices </w:t>
      </w:r>
      <w:r w:rsidRPr="00C21E05">
        <w:rPr>
          <w:rFonts w:ascii="Times New Roman" w:eastAsia="Times New Roman" w:hAnsi="Times New Roman" w:cs="Times New Roman"/>
          <w:sz w:val="20"/>
          <w:szCs w:val="20"/>
        </w:rPr>
        <w:t>while underestimating the significant parameters indices</w:t>
      </w:r>
      <w:r w:rsidR="00D03FF2" w:rsidRPr="00C21E05">
        <w:rPr>
          <w:rFonts w:ascii="Times New Roman" w:eastAsia="Times New Roman" w:hAnsi="Times New Roman" w:cs="Times New Roman"/>
          <w:sz w:val="20"/>
          <w:szCs w:val="20"/>
        </w:rPr>
        <w:t xml:space="preserve"> relative to the other methods</w:t>
      </w:r>
      <w:r w:rsidRPr="00C21E05">
        <w:rPr>
          <w:rFonts w:ascii="Times New Roman" w:eastAsia="Times New Roman" w:hAnsi="Times New Roman" w:cs="Times New Roman"/>
          <w:sz w:val="20"/>
          <w:szCs w:val="20"/>
        </w:rPr>
        <w:t xml:space="preserve">, </w:t>
      </w:r>
      <w:r w:rsidR="00D03FF2" w:rsidRPr="00C21E05">
        <w:rPr>
          <w:rFonts w:ascii="Times New Roman" w:eastAsia="Times New Roman" w:hAnsi="Times New Roman" w:cs="Times New Roman"/>
          <w:sz w:val="20"/>
          <w:szCs w:val="20"/>
        </w:rPr>
        <w:t>while in general predicting the same set of most influential parameters.</w:t>
      </w:r>
      <w:r w:rsidRPr="00C21E05">
        <w:rPr>
          <w:rFonts w:ascii="Times New Roman" w:eastAsia="Times New Roman" w:hAnsi="Times New Roman" w:cs="Times New Roman"/>
          <w:sz w:val="20"/>
          <w:szCs w:val="20"/>
        </w:rPr>
        <w:t xml:space="preserve"> </w:t>
      </w:r>
      <w:r w:rsidR="007A25BD" w:rsidRPr="00C21E05">
        <w:rPr>
          <w:rFonts w:ascii="Times New Roman" w:eastAsia="Times New Roman" w:hAnsi="Times New Roman" w:cs="Times New Roman"/>
          <w:sz w:val="20"/>
          <w:szCs w:val="20"/>
        </w:rPr>
        <w:t xml:space="preserve">Meanwhile, the DGSM method </w:t>
      </w:r>
      <w:r w:rsidR="00B57C69" w:rsidRPr="00C21E05">
        <w:rPr>
          <w:rFonts w:ascii="Times New Roman" w:eastAsia="Times New Roman" w:hAnsi="Times New Roman" w:cs="Times New Roman"/>
          <w:sz w:val="20"/>
          <w:szCs w:val="20"/>
        </w:rPr>
        <w:t xml:space="preserve">again </w:t>
      </w:r>
      <w:r w:rsidR="00F858EC" w:rsidRPr="00C21E05">
        <w:rPr>
          <w:rFonts w:ascii="Times New Roman" w:eastAsia="Times New Roman" w:hAnsi="Times New Roman" w:cs="Times New Roman"/>
          <w:sz w:val="20"/>
          <w:szCs w:val="20"/>
        </w:rPr>
        <w:t xml:space="preserve">predicted </w:t>
      </w:r>
      <w:r w:rsidR="007A25BD" w:rsidRPr="00C21E05">
        <w:rPr>
          <w:rFonts w:ascii="Times New Roman" w:eastAsia="Times New Roman" w:hAnsi="Times New Roman" w:cs="Times New Roman"/>
          <w:sz w:val="20"/>
          <w:szCs w:val="20"/>
        </w:rPr>
        <w:t xml:space="preserve">sensitivity measures 20-40% </w:t>
      </w:r>
      <w:r w:rsidR="00F858EC" w:rsidRPr="00C21E05">
        <w:rPr>
          <w:rFonts w:ascii="Times New Roman" w:eastAsia="Times New Roman" w:hAnsi="Times New Roman" w:cs="Times New Roman"/>
          <w:sz w:val="20"/>
          <w:szCs w:val="20"/>
        </w:rPr>
        <w:t xml:space="preserve">higher than </w:t>
      </w:r>
      <w:r w:rsidR="007A25BD" w:rsidRPr="00C21E05">
        <w:rPr>
          <w:rFonts w:ascii="Times New Roman" w:eastAsia="Times New Roman" w:hAnsi="Times New Roman" w:cs="Times New Roman"/>
          <w:sz w:val="20"/>
          <w:szCs w:val="20"/>
        </w:rPr>
        <w:t>the other methods.</w:t>
      </w:r>
      <w:r w:rsidR="00D03FF2" w:rsidRPr="00C21E05">
        <w:rPr>
          <w:rFonts w:ascii="Times New Roman" w:eastAsia="Times New Roman" w:hAnsi="Times New Roman" w:cs="Times New Roman"/>
          <w:sz w:val="20"/>
          <w:szCs w:val="20"/>
        </w:rPr>
        <w:t xml:space="preserve"> </w:t>
      </w:r>
      <w:r w:rsidR="00686B8B" w:rsidRPr="00C21E05">
        <w:rPr>
          <w:rFonts w:ascii="Times New Roman" w:eastAsia="Times New Roman" w:hAnsi="Times New Roman" w:cs="Times New Roman"/>
          <w:sz w:val="20"/>
          <w:szCs w:val="20"/>
        </w:rPr>
        <w:t>However,</w:t>
      </w:r>
      <w:r w:rsidR="00D03FF2" w:rsidRPr="00C21E05">
        <w:rPr>
          <w:rFonts w:ascii="Times New Roman" w:eastAsia="Times New Roman" w:hAnsi="Times New Roman" w:cs="Times New Roman"/>
          <w:sz w:val="20"/>
          <w:szCs w:val="20"/>
        </w:rPr>
        <w:t xml:space="preserve"> for Case </w:t>
      </w:r>
      <w:r w:rsidR="00F75D13" w:rsidRPr="00C21E05">
        <w:rPr>
          <w:rFonts w:ascii="Times New Roman" w:eastAsia="Times New Roman" w:hAnsi="Times New Roman" w:cs="Times New Roman"/>
          <w:sz w:val="20"/>
          <w:szCs w:val="20"/>
        </w:rPr>
        <w:t>2</w:t>
      </w:r>
      <w:r w:rsidR="00D03FF2" w:rsidRPr="00C21E05">
        <w:rPr>
          <w:rFonts w:ascii="Times New Roman" w:eastAsia="Times New Roman" w:hAnsi="Times New Roman" w:cs="Times New Roman"/>
          <w:sz w:val="20"/>
          <w:szCs w:val="20"/>
        </w:rPr>
        <w:t>, the HDMR predictions aligned with Sobol’ and EFAST sensitivity measures</w:t>
      </w:r>
      <w:r w:rsidR="00686B8B" w:rsidRPr="00C21E05">
        <w:rPr>
          <w:rFonts w:ascii="Times New Roman" w:eastAsia="Times New Roman" w:hAnsi="Times New Roman" w:cs="Times New Roman"/>
          <w:sz w:val="20"/>
          <w:szCs w:val="20"/>
        </w:rPr>
        <w:t xml:space="preserve"> rather than the DGSM predictions as in Case 1</w:t>
      </w:r>
      <w:r w:rsidR="00D03FF2" w:rsidRPr="00C21E05">
        <w:rPr>
          <w:rFonts w:ascii="Times New Roman" w:eastAsia="Times New Roman" w:hAnsi="Times New Roman" w:cs="Times New Roman"/>
          <w:sz w:val="20"/>
          <w:szCs w:val="20"/>
        </w:rPr>
        <w:t>.</w:t>
      </w:r>
    </w:p>
    <w:p w14:paraId="23C87DE7" w14:textId="26A4AEFE" w:rsidR="00B57C69" w:rsidRPr="00C21E05" w:rsidRDefault="00082627">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For </w:t>
      </w:r>
      <w:r w:rsidR="007A25BD" w:rsidRPr="00C21E05">
        <w:rPr>
          <w:rFonts w:ascii="Times New Roman" w:eastAsia="Times New Roman" w:hAnsi="Times New Roman" w:cs="Times New Roman"/>
          <w:sz w:val="20"/>
          <w:szCs w:val="20"/>
        </w:rPr>
        <w:t>Ca</w:t>
      </w:r>
      <w:r w:rsidRPr="00C21E05">
        <w:rPr>
          <w:rFonts w:ascii="Times New Roman" w:eastAsia="Times New Roman" w:hAnsi="Times New Roman" w:cs="Times New Roman"/>
          <w:sz w:val="20"/>
          <w:szCs w:val="20"/>
        </w:rPr>
        <w:t>se 2, parameter X0 was determined to be the most significant parameter with little interaction with other parameters, shown by the large</w:t>
      </w:r>
      <w:r w:rsidR="00B57C69" w:rsidRPr="00C21E05">
        <w:rPr>
          <w:rFonts w:ascii="Times New Roman" w:eastAsia="Times New Roman" w:hAnsi="Times New Roman" w:cs="Times New Roman"/>
          <w:sz w:val="20"/>
          <w:szCs w:val="20"/>
        </w:rPr>
        <w:t xml:space="preserve"> and</w:t>
      </w:r>
      <w:r w:rsidRPr="00C21E05">
        <w:rPr>
          <w:rFonts w:ascii="Times New Roman" w:eastAsia="Times New Roman" w:hAnsi="Times New Roman" w:cs="Times New Roman"/>
          <w:sz w:val="20"/>
          <w:szCs w:val="20"/>
        </w:rPr>
        <w:t xml:space="preserve"> similar magnitude</w:t>
      </w:r>
      <w:r w:rsidR="00B57C69" w:rsidRPr="00C21E05">
        <w:rPr>
          <w:rFonts w:ascii="Times New Roman" w:eastAsia="Times New Roman" w:hAnsi="Times New Roman" w:cs="Times New Roman"/>
          <w:sz w:val="20"/>
          <w:szCs w:val="20"/>
        </w:rPr>
        <w:t>s</w:t>
      </w:r>
      <w:r w:rsidRPr="00C21E05">
        <w:rPr>
          <w:rFonts w:ascii="Times New Roman" w:eastAsia="Times New Roman" w:hAnsi="Times New Roman" w:cs="Times New Roman"/>
          <w:sz w:val="20"/>
          <w:szCs w:val="20"/>
        </w:rPr>
        <w:t xml:space="preserve"> for both total and first order </w:t>
      </w:r>
      <w:r w:rsidR="00B57C69" w:rsidRPr="00C21E05">
        <w:rPr>
          <w:rFonts w:ascii="Times New Roman" w:eastAsia="Times New Roman" w:hAnsi="Times New Roman" w:cs="Times New Roman"/>
          <w:sz w:val="20"/>
          <w:szCs w:val="20"/>
        </w:rPr>
        <w:t>measures</w:t>
      </w:r>
      <w:r w:rsidRPr="00C21E05">
        <w:rPr>
          <w:rFonts w:ascii="Times New Roman" w:eastAsia="Times New Roman" w:hAnsi="Times New Roman" w:cs="Times New Roman"/>
          <w:sz w:val="20"/>
          <w:szCs w:val="20"/>
        </w:rPr>
        <w:t xml:space="preserve">. </w:t>
      </w:r>
      <w:proofErr w:type="gramStart"/>
      <w:r w:rsidR="00B57C69" w:rsidRPr="00C21E05">
        <w:rPr>
          <w:rFonts w:ascii="Times New Roman" w:eastAsia="Times New Roman" w:hAnsi="Times New Roman" w:cs="Times New Roman"/>
          <w:sz w:val="20"/>
          <w:szCs w:val="20"/>
        </w:rPr>
        <w:t>All of</w:t>
      </w:r>
      <w:proofErr w:type="gramEnd"/>
      <w:r w:rsidR="00B57C69" w:rsidRPr="00C21E05">
        <w:rPr>
          <w:rFonts w:ascii="Times New Roman" w:eastAsia="Times New Roman" w:hAnsi="Times New Roman" w:cs="Times New Roman"/>
          <w:sz w:val="20"/>
          <w:szCs w:val="20"/>
        </w:rPr>
        <w:t xml:space="preserve"> the methods identified the same three dominant parameters, X0, X1, and X8, with the DGSM switching the order of X1 and X8. Given the extremely small difference in sensitivity measures</w:t>
      </w:r>
      <w:r w:rsidR="00D03FF2" w:rsidRPr="00C21E05">
        <w:rPr>
          <w:rFonts w:ascii="Times New Roman" w:eastAsia="Times New Roman" w:hAnsi="Times New Roman" w:cs="Times New Roman"/>
          <w:sz w:val="20"/>
          <w:szCs w:val="20"/>
        </w:rPr>
        <w:t>,</w:t>
      </w:r>
      <w:r w:rsidR="00B57C69" w:rsidRPr="00C21E05">
        <w:rPr>
          <w:rFonts w:ascii="Times New Roman" w:eastAsia="Times New Roman" w:hAnsi="Times New Roman" w:cs="Times New Roman"/>
          <w:sz w:val="20"/>
          <w:szCs w:val="20"/>
        </w:rPr>
        <w:t xml:space="preserve"> indicating nearly equal importance between these </w:t>
      </w:r>
      <w:r w:rsidR="0097786C" w:rsidRPr="00C21E05">
        <w:rPr>
          <w:rFonts w:ascii="Times New Roman" w:eastAsia="Times New Roman" w:hAnsi="Times New Roman" w:cs="Times New Roman"/>
          <w:sz w:val="20"/>
          <w:szCs w:val="20"/>
        </w:rPr>
        <w:t xml:space="preserve">two </w:t>
      </w:r>
      <w:r w:rsidR="00B57C69" w:rsidRPr="00C21E05">
        <w:rPr>
          <w:rFonts w:ascii="Times New Roman" w:eastAsia="Times New Roman" w:hAnsi="Times New Roman" w:cs="Times New Roman"/>
          <w:sz w:val="20"/>
          <w:szCs w:val="20"/>
        </w:rPr>
        <w:t>parameters, this difference is considered insignificant.</w:t>
      </w:r>
    </w:p>
    <w:p w14:paraId="00000346" w14:textId="5E7A3ACE"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D1AA0F" wp14:editId="09854231">
            <wp:extent cx="5731508" cy="2878816"/>
            <wp:effectExtent l="0" t="0" r="3175" b="0"/>
            <wp:docPr id="249" name="image14.png"/>
            <wp:cNvGraphicFramePr/>
            <a:graphic xmlns:a="http://schemas.openxmlformats.org/drawingml/2006/main">
              <a:graphicData uri="http://schemas.openxmlformats.org/drawingml/2006/picture">
                <pic:pic xmlns:pic="http://schemas.openxmlformats.org/drawingml/2006/picture">
                  <pic:nvPicPr>
                    <pic:cNvPr id="249" name="image14.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731508" cy="2878816"/>
                    </a:xfrm>
                    <a:prstGeom prst="rect">
                      <a:avLst/>
                    </a:prstGeom>
                    <a:ln/>
                  </pic:spPr>
                </pic:pic>
              </a:graphicData>
            </a:graphic>
          </wp:inline>
        </w:drawing>
      </w:r>
    </w:p>
    <w:p w14:paraId="27D763E2" w14:textId="5B936957" w:rsidR="00FF0E70" w:rsidRPr="00C21E05" w:rsidRDefault="00FF0E70" w:rsidP="00FF0E70">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E22AA3" w:rsidRPr="00C21E05">
        <w:rPr>
          <w:rFonts w:ascii="Times New Roman" w:eastAsia="Times New Roman" w:hAnsi="Times New Roman" w:cs="Times New Roman"/>
          <w:b/>
          <w:sz w:val="20"/>
          <w:szCs w:val="20"/>
        </w:rPr>
        <w:t>5</w:t>
      </w:r>
      <w:r w:rsidRPr="00C21E05">
        <w:rPr>
          <w:rFonts w:ascii="Times New Roman" w:eastAsia="Times New Roman" w:hAnsi="Times New Roman" w:cs="Times New Roman"/>
          <w:b/>
          <w:sz w:val="20"/>
          <w:szCs w:val="20"/>
        </w:rPr>
        <w:t>a</w:t>
      </w:r>
      <w:r w:rsidRPr="00C21E05">
        <w:rPr>
          <w:rFonts w:ascii="Times New Roman" w:eastAsia="Times New Roman" w:hAnsi="Times New Roman" w:cs="Times New Roman"/>
          <w:sz w:val="20"/>
          <w:szCs w:val="20"/>
        </w:rPr>
        <w:t>. Converged values of total order SA measures estimated by each method for the FE DCB 9 model using a sample size of 75,000 for the HDMR method and 200,000 for all other methods.</w:t>
      </w:r>
    </w:p>
    <w:p w14:paraId="122EC8BB" w14:textId="77777777" w:rsidR="00FF0E70" w:rsidRDefault="00FF0E70">
      <w:pPr>
        <w:jc w:val="center"/>
        <w:rPr>
          <w:rFonts w:ascii="Times New Roman" w:eastAsia="Times New Roman" w:hAnsi="Times New Roman" w:cs="Times New Roman"/>
          <w:sz w:val="24"/>
          <w:szCs w:val="24"/>
        </w:rPr>
      </w:pPr>
    </w:p>
    <w:p w14:paraId="00000347" w14:textId="77777777"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E2348D5" wp14:editId="5985A84D">
            <wp:extent cx="5728037" cy="2874465"/>
            <wp:effectExtent l="0" t="0" r="6350" b="2540"/>
            <wp:docPr id="253" name="image17.png"/>
            <wp:cNvGraphicFramePr/>
            <a:graphic xmlns:a="http://schemas.openxmlformats.org/drawingml/2006/main">
              <a:graphicData uri="http://schemas.openxmlformats.org/drawingml/2006/picture">
                <pic:pic xmlns:pic="http://schemas.openxmlformats.org/drawingml/2006/picture">
                  <pic:nvPicPr>
                    <pic:cNvPr id="253" name="image17.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728037" cy="2874465"/>
                    </a:xfrm>
                    <a:prstGeom prst="rect">
                      <a:avLst/>
                    </a:prstGeom>
                    <a:ln/>
                  </pic:spPr>
                </pic:pic>
              </a:graphicData>
            </a:graphic>
          </wp:inline>
        </w:drawing>
      </w:r>
    </w:p>
    <w:p w14:paraId="00000348" w14:textId="60932B64" w:rsidR="00F87ED1" w:rsidRPr="00C21E05" w:rsidRDefault="00082627">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E22AA3" w:rsidRPr="00C21E05">
        <w:rPr>
          <w:rFonts w:ascii="Times New Roman" w:eastAsia="Times New Roman" w:hAnsi="Times New Roman" w:cs="Times New Roman"/>
          <w:b/>
          <w:sz w:val="20"/>
          <w:szCs w:val="20"/>
        </w:rPr>
        <w:t>5</w:t>
      </w:r>
      <w:r w:rsidR="00FF0E70" w:rsidRPr="00C21E05">
        <w:rPr>
          <w:rFonts w:ascii="Times New Roman" w:eastAsia="Times New Roman" w:hAnsi="Times New Roman" w:cs="Times New Roman"/>
          <w:b/>
          <w:sz w:val="20"/>
          <w:szCs w:val="20"/>
        </w:rPr>
        <w:t>b</w:t>
      </w:r>
      <w:r w:rsidRPr="00C21E05">
        <w:rPr>
          <w:rFonts w:ascii="Times New Roman" w:eastAsia="Times New Roman" w:hAnsi="Times New Roman" w:cs="Times New Roman"/>
          <w:sz w:val="20"/>
          <w:szCs w:val="20"/>
        </w:rPr>
        <w:t xml:space="preserve">. </w:t>
      </w:r>
      <w:r w:rsidR="008A5CC1" w:rsidRPr="00C21E05">
        <w:rPr>
          <w:rFonts w:ascii="Times New Roman" w:eastAsia="Times New Roman" w:hAnsi="Times New Roman" w:cs="Times New Roman"/>
          <w:sz w:val="20"/>
          <w:szCs w:val="20"/>
        </w:rPr>
        <w:t>Converged</w:t>
      </w:r>
      <w:r w:rsidRPr="00C21E05">
        <w:rPr>
          <w:rFonts w:ascii="Times New Roman" w:eastAsia="Times New Roman" w:hAnsi="Times New Roman" w:cs="Times New Roman"/>
          <w:sz w:val="20"/>
          <w:szCs w:val="20"/>
        </w:rPr>
        <w:t xml:space="preserve"> values of first order SA measures estimated by each method for the </w:t>
      </w:r>
      <w:r w:rsidR="00CA6F6E" w:rsidRPr="00C21E05">
        <w:rPr>
          <w:rFonts w:ascii="Times New Roman" w:eastAsia="Times New Roman" w:hAnsi="Times New Roman" w:cs="Times New Roman"/>
          <w:sz w:val="20"/>
          <w:szCs w:val="20"/>
        </w:rPr>
        <w:t xml:space="preserve">FE </w:t>
      </w:r>
      <w:r w:rsidRPr="00C21E05">
        <w:rPr>
          <w:rFonts w:ascii="Times New Roman" w:eastAsia="Times New Roman" w:hAnsi="Times New Roman" w:cs="Times New Roman"/>
          <w:sz w:val="20"/>
          <w:szCs w:val="20"/>
        </w:rPr>
        <w:t>DCB 9 model using a sample size of 75,000 for the HDMR method and 200,000 for all other methods.</w:t>
      </w:r>
    </w:p>
    <w:p w14:paraId="09736B8E" w14:textId="004F2CC1" w:rsidR="00F13816" w:rsidRPr="00C21E05" w:rsidRDefault="00F13816" w:rsidP="00F13816">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Table </w:t>
      </w:r>
      <w:r w:rsidR="0000548F" w:rsidRPr="00C21E05">
        <w:rPr>
          <w:rFonts w:ascii="Times New Roman" w:eastAsia="Times New Roman" w:hAnsi="Times New Roman" w:cs="Times New Roman"/>
          <w:b/>
          <w:sz w:val="20"/>
          <w:szCs w:val="20"/>
        </w:rPr>
        <w:t>9</w:t>
      </w:r>
      <w:r w:rsidRPr="00C21E05">
        <w:rPr>
          <w:rFonts w:ascii="Times New Roman" w:eastAsia="Times New Roman" w:hAnsi="Times New Roman" w:cs="Times New Roman"/>
          <w:sz w:val="20"/>
          <w:szCs w:val="20"/>
        </w:rPr>
        <w:t xml:space="preserve">. </w:t>
      </w:r>
      <w:r w:rsidR="00D37895" w:rsidRPr="00C21E05">
        <w:rPr>
          <w:rFonts w:ascii="Times New Roman" w:eastAsia="Times New Roman" w:hAnsi="Times New Roman" w:cs="Times New Roman"/>
          <w:sz w:val="20"/>
          <w:szCs w:val="20"/>
        </w:rPr>
        <w:t>The most influential p</w:t>
      </w:r>
      <w:r w:rsidRPr="00C21E05">
        <w:rPr>
          <w:rFonts w:ascii="Times New Roman" w:eastAsia="Times New Roman" w:hAnsi="Times New Roman" w:cs="Times New Roman"/>
          <w:sz w:val="20"/>
          <w:szCs w:val="20"/>
        </w:rPr>
        <w:t>arameters for Case 2 ranked in order from most</w:t>
      </w:r>
      <w:r w:rsidR="00D37895" w:rsidRPr="00C21E05">
        <w:rPr>
          <w:rFonts w:ascii="Times New Roman" w:eastAsia="Times New Roman" w:hAnsi="Times New Roman" w:cs="Times New Roman"/>
          <w:sz w:val="20"/>
          <w:szCs w:val="20"/>
        </w:rPr>
        <w:t xml:space="preserve"> (I-1)</w:t>
      </w:r>
      <w:r w:rsidRPr="00C21E05">
        <w:rPr>
          <w:rFonts w:ascii="Times New Roman" w:eastAsia="Times New Roman" w:hAnsi="Times New Roman" w:cs="Times New Roman"/>
          <w:sz w:val="20"/>
          <w:szCs w:val="20"/>
        </w:rPr>
        <w:t xml:space="preserve"> to l</w:t>
      </w:r>
      <w:r w:rsidR="00D37895" w:rsidRPr="00C21E05">
        <w:rPr>
          <w:rFonts w:ascii="Times New Roman" w:eastAsia="Times New Roman" w:hAnsi="Times New Roman" w:cs="Times New Roman"/>
          <w:sz w:val="20"/>
          <w:szCs w:val="20"/>
        </w:rPr>
        <w:t>ess</w:t>
      </w:r>
      <w:r w:rsidRPr="00C21E05">
        <w:rPr>
          <w:rFonts w:ascii="Times New Roman" w:eastAsia="Times New Roman" w:hAnsi="Times New Roman" w:cs="Times New Roman"/>
          <w:sz w:val="20"/>
          <w:szCs w:val="20"/>
        </w:rPr>
        <w:t xml:space="preserve"> significant</w:t>
      </w:r>
      <w:r w:rsidR="00D37895" w:rsidRPr="00C21E05">
        <w:rPr>
          <w:rFonts w:ascii="Times New Roman" w:eastAsia="Times New Roman" w:hAnsi="Times New Roman" w:cs="Times New Roman"/>
          <w:sz w:val="20"/>
          <w:szCs w:val="20"/>
        </w:rPr>
        <w:t xml:space="preserve"> (I-3) by each method at converged values</w:t>
      </w:r>
      <w:r w:rsidRPr="00C21E05">
        <w:rPr>
          <w:rFonts w:ascii="Times New Roman" w:eastAsia="Times New Roman" w:hAnsi="Times New Roman" w:cs="Times New Roman"/>
          <w:sz w:val="20"/>
          <w:szCs w:val="20"/>
        </w:rPr>
        <w:t>.</w:t>
      </w:r>
    </w:p>
    <w:tbl>
      <w:tblPr>
        <w:tblStyle w:val="a7"/>
        <w:tblW w:w="6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732"/>
        <w:gridCol w:w="733"/>
        <w:gridCol w:w="767"/>
        <w:gridCol w:w="739"/>
        <w:gridCol w:w="733"/>
        <w:gridCol w:w="733"/>
      </w:tblGrid>
      <w:tr w:rsidR="007D1CD5" w14:paraId="1F75C968" w14:textId="77777777" w:rsidTr="007D1CD5">
        <w:trPr>
          <w:jc w:val="center"/>
        </w:trPr>
        <w:tc>
          <w:tcPr>
            <w:tcW w:w="1723" w:type="dxa"/>
          </w:tcPr>
          <w:p w14:paraId="101129D9" w14:textId="77777777" w:rsidR="007D1CD5" w:rsidRPr="003B2C1D" w:rsidRDefault="007D1CD5" w:rsidP="00706EB9">
            <w:pPr>
              <w:jc w:val="center"/>
              <w:rPr>
                <w:rFonts w:ascii="Times New Roman" w:eastAsia="Times New Roman" w:hAnsi="Times New Roman" w:cs="Times New Roman"/>
                <w:sz w:val="20"/>
                <w:szCs w:val="20"/>
              </w:rPr>
            </w:pPr>
            <w:r w:rsidRPr="003B2C1D">
              <w:rPr>
                <w:rFonts w:ascii="Times New Roman" w:eastAsia="Times New Roman" w:hAnsi="Times New Roman" w:cs="Times New Roman"/>
                <w:b/>
                <w:sz w:val="20"/>
                <w:szCs w:val="20"/>
              </w:rPr>
              <w:t>Method</w:t>
            </w:r>
          </w:p>
        </w:tc>
        <w:tc>
          <w:tcPr>
            <w:tcW w:w="1465" w:type="dxa"/>
            <w:gridSpan w:val="2"/>
          </w:tcPr>
          <w:p w14:paraId="7D7F2027" w14:textId="77777777" w:rsidR="007D1CD5" w:rsidRPr="003B2C1D" w:rsidRDefault="007D1CD5"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I-1</w:t>
            </w:r>
          </w:p>
        </w:tc>
        <w:tc>
          <w:tcPr>
            <w:tcW w:w="1506" w:type="dxa"/>
            <w:gridSpan w:val="2"/>
          </w:tcPr>
          <w:p w14:paraId="11016C76" w14:textId="77777777" w:rsidR="007D1CD5" w:rsidRPr="003B2C1D" w:rsidRDefault="007D1CD5"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I-2</w:t>
            </w:r>
          </w:p>
        </w:tc>
        <w:tc>
          <w:tcPr>
            <w:tcW w:w="1466" w:type="dxa"/>
            <w:gridSpan w:val="2"/>
          </w:tcPr>
          <w:p w14:paraId="7EAA9ABE" w14:textId="77777777" w:rsidR="007D1CD5" w:rsidRPr="003B2C1D" w:rsidRDefault="007D1CD5"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I-3</w:t>
            </w:r>
          </w:p>
        </w:tc>
      </w:tr>
      <w:tr w:rsidR="007D1CD5" w14:paraId="1DC3B3F9" w14:textId="77777777" w:rsidTr="007D1CD5">
        <w:trPr>
          <w:jc w:val="center"/>
        </w:trPr>
        <w:tc>
          <w:tcPr>
            <w:tcW w:w="1723" w:type="dxa"/>
          </w:tcPr>
          <w:p w14:paraId="04BC4E90"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Order</w:t>
            </w:r>
          </w:p>
        </w:tc>
        <w:tc>
          <w:tcPr>
            <w:tcW w:w="732" w:type="dxa"/>
            <w:shd w:val="clear" w:color="auto" w:fill="F2F2F2" w:themeFill="background1" w:themeFillShade="F2"/>
          </w:tcPr>
          <w:p w14:paraId="471E8B22"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79CC6041"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67" w:type="dxa"/>
            <w:shd w:val="clear" w:color="auto" w:fill="F2F2F2" w:themeFill="background1" w:themeFillShade="F2"/>
          </w:tcPr>
          <w:p w14:paraId="309593B4"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9" w:type="dxa"/>
          </w:tcPr>
          <w:p w14:paraId="75501E0E"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1D9DEBBC"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4E694D75"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r>
      <w:tr w:rsidR="007D1CD5" w14:paraId="56CBB8D7" w14:textId="77777777" w:rsidTr="007D1CD5">
        <w:trPr>
          <w:jc w:val="center"/>
        </w:trPr>
        <w:tc>
          <w:tcPr>
            <w:tcW w:w="1723" w:type="dxa"/>
            <w:vAlign w:val="center"/>
          </w:tcPr>
          <w:p w14:paraId="77DC27DA" w14:textId="77777777" w:rsidR="007D1CD5" w:rsidRPr="003B2C1D" w:rsidRDefault="007D1CD5" w:rsidP="00706EB9">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Sobol’</w:t>
            </w:r>
          </w:p>
        </w:tc>
        <w:tc>
          <w:tcPr>
            <w:tcW w:w="732" w:type="dxa"/>
            <w:shd w:val="clear" w:color="auto" w:fill="F2F2F2" w:themeFill="background1" w:themeFillShade="F2"/>
            <w:vAlign w:val="center"/>
          </w:tcPr>
          <w:p w14:paraId="53F1D293" w14:textId="2904D838"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(0.91)</w:t>
            </w:r>
          </w:p>
        </w:tc>
        <w:tc>
          <w:tcPr>
            <w:tcW w:w="733" w:type="dxa"/>
            <w:vAlign w:val="center"/>
          </w:tcPr>
          <w:p w14:paraId="7F283F52" w14:textId="4BAA3650"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(0.9)</w:t>
            </w:r>
          </w:p>
        </w:tc>
        <w:tc>
          <w:tcPr>
            <w:tcW w:w="767" w:type="dxa"/>
            <w:shd w:val="clear" w:color="auto" w:fill="F2F2F2" w:themeFill="background1" w:themeFillShade="F2"/>
            <w:vAlign w:val="center"/>
          </w:tcPr>
          <w:p w14:paraId="46121889" w14:textId="37290AA0"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9" w:type="dxa"/>
            <w:vAlign w:val="center"/>
          </w:tcPr>
          <w:p w14:paraId="3F442167" w14:textId="148438EE"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3" w:type="dxa"/>
            <w:shd w:val="clear" w:color="auto" w:fill="F2F2F2" w:themeFill="background1" w:themeFillShade="F2"/>
            <w:vAlign w:val="center"/>
          </w:tcPr>
          <w:p w14:paraId="33C239E5" w14:textId="615EA36E"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(0.05)</w:t>
            </w:r>
          </w:p>
        </w:tc>
        <w:tc>
          <w:tcPr>
            <w:tcW w:w="733" w:type="dxa"/>
            <w:vAlign w:val="center"/>
          </w:tcPr>
          <w:p w14:paraId="3D33D8FD" w14:textId="6A73839C"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(0.04)</w:t>
            </w:r>
          </w:p>
        </w:tc>
      </w:tr>
      <w:tr w:rsidR="007D1CD5" w14:paraId="44076B24" w14:textId="77777777" w:rsidTr="007D1CD5">
        <w:trPr>
          <w:jc w:val="center"/>
        </w:trPr>
        <w:tc>
          <w:tcPr>
            <w:tcW w:w="1723" w:type="dxa"/>
            <w:vAlign w:val="center"/>
          </w:tcPr>
          <w:p w14:paraId="607F02F8"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EFAST</w:t>
            </w:r>
          </w:p>
        </w:tc>
        <w:tc>
          <w:tcPr>
            <w:tcW w:w="732" w:type="dxa"/>
            <w:shd w:val="clear" w:color="auto" w:fill="F2F2F2" w:themeFill="background1" w:themeFillShade="F2"/>
            <w:vAlign w:val="center"/>
          </w:tcPr>
          <w:p w14:paraId="03A1CF65" w14:textId="5564FC0D"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(0.91)</w:t>
            </w:r>
          </w:p>
        </w:tc>
        <w:tc>
          <w:tcPr>
            <w:tcW w:w="733" w:type="dxa"/>
            <w:vAlign w:val="center"/>
          </w:tcPr>
          <w:p w14:paraId="719E0D5C" w14:textId="56CE01DD"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(0.89)</w:t>
            </w:r>
          </w:p>
        </w:tc>
        <w:tc>
          <w:tcPr>
            <w:tcW w:w="767" w:type="dxa"/>
            <w:shd w:val="clear" w:color="auto" w:fill="F2F2F2" w:themeFill="background1" w:themeFillShade="F2"/>
            <w:vAlign w:val="center"/>
          </w:tcPr>
          <w:p w14:paraId="5773810D" w14:textId="0CC6FA70"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9" w:type="dxa"/>
            <w:vAlign w:val="center"/>
          </w:tcPr>
          <w:p w14:paraId="052AA8AB" w14:textId="2629EC8C"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3" w:type="dxa"/>
            <w:shd w:val="clear" w:color="auto" w:fill="F2F2F2" w:themeFill="background1" w:themeFillShade="F2"/>
            <w:vAlign w:val="center"/>
          </w:tcPr>
          <w:p w14:paraId="50954C89" w14:textId="5911869C"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(0.05)</w:t>
            </w:r>
          </w:p>
        </w:tc>
        <w:tc>
          <w:tcPr>
            <w:tcW w:w="733" w:type="dxa"/>
            <w:vAlign w:val="center"/>
          </w:tcPr>
          <w:p w14:paraId="0AA60840" w14:textId="6DB8B72F"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(0.04)</w:t>
            </w:r>
          </w:p>
        </w:tc>
      </w:tr>
      <w:tr w:rsidR="007D1CD5" w14:paraId="7BE28F4D" w14:textId="77777777" w:rsidTr="007D1CD5">
        <w:trPr>
          <w:jc w:val="center"/>
        </w:trPr>
        <w:tc>
          <w:tcPr>
            <w:tcW w:w="1723" w:type="dxa"/>
            <w:vAlign w:val="center"/>
          </w:tcPr>
          <w:p w14:paraId="6BA62269" w14:textId="77777777" w:rsidR="007D1CD5" w:rsidRPr="003B2C1D"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HDMR</w:t>
            </w:r>
          </w:p>
        </w:tc>
        <w:tc>
          <w:tcPr>
            <w:tcW w:w="732" w:type="dxa"/>
            <w:shd w:val="clear" w:color="auto" w:fill="F2F2F2" w:themeFill="background1" w:themeFillShade="F2"/>
            <w:vAlign w:val="center"/>
          </w:tcPr>
          <w:p w14:paraId="5F830A48" w14:textId="20ED9C65"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(0.92)</w:t>
            </w:r>
          </w:p>
        </w:tc>
        <w:tc>
          <w:tcPr>
            <w:tcW w:w="733" w:type="dxa"/>
            <w:vAlign w:val="center"/>
          </w:tcPr>
          <w:p w14:paraId="412E5AFA" w14:textId="61A5602F"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X0 (0.89)</w:t>
            </w:r>
          </w:p>
        </w:tc>
        <w:tc>
          <w:tcPr>
            <w:tcW w:w="767" w:type="dxa"/>
            <w:shd w:val="clear" w:color="auto" w:fill="F2F2F2" w:themeFill="background1" w:themeFillShade="F2"/>
            <w:vAlign w:val="center"/>
          </w:tcPr>
          <w:p w14:paraId="2A64F519" w14:textId="796A3B46"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9" w:type="dxa"/>
            <w:vAlign w:val="center"/>
          </w:tcPr>
          <w:p w14:paraId="7E1B9679" w14:textId="4E9272D8"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X1 (0.05)</w:t>
            </w:r>
          </w:p>
        </w:tc>
        <w:tc>
          <w:tcPr>
            <w:tcW w:w="733" w:type="dxa"/>
            <w:shd w:val="clear" w:color="auto" w:fill="F2F2F2" w:themeFill="background1" w:themeFillShade="F2"/>
            <w:vAlign w:val="center"/>
          </w:tcPr>
          <w:p w14:paraId="03688A5C" w14:textId="17ED0DA2"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(0.05)</w:t>
            </w:r>
          </w:p>
        </w:tc>
        <w:tc>
          <w:tcPr>
            <w:tcW w:w="733" w:type="dxa"/>
            <w:vAlign w:val="center"/>
          </w:tcPr>
          <w:p w14:paraId="5C909C33" w14:textId="796A9D32" w:rsidR="007D1CD5" w:rsidRDefault="007D1CD5" w:rsidP="00706EB9">
            <w:pPr>
              <w:jc w:val="center"/>
              <w:rPr>
                <w:rFonts w:ascii="Times New Roman" w:eastAsia="Times New Roman" w:hAnsi="Times New Roman" w:cs="Times New Roman"/>
                <w:b/>
                <w:sz w:val="20"/>
                <w:szCs w:val="20"/>
              </w:rPr>
            </w:pPr>
            <w:r w:rsidRPr="007D1CD5">
              <w:rPr>
                <w:rFonts w:ascii="Times New Roman" w:eastAsia="Times New Roman" w:hAnsi="Times New Roman" w:cs="Times New Roman"/>
                <w:sz w:val="20"/>
                <w:szCs w:val="20"/>
              </w:rPr>
              <w:t>X8 (0.04)</w:t>
            </w:r>
          </w:p>
        </w:tc>
      </w:tr>
      <w:tr w:rsidR="007D1CD5" w14:paraId="42E4B3CC" w14:textId="77777777" w:rsidTr="007D1CD5">
        <w:trPr>
          <w:jc w:val="center"/>
        </w:trPr>
        <w:tc>
          <w:tcPr>
            <w:tcW w:w="1723" w:type="dxa"/>
            <w:vAlign w:val="center"/>
          </w:tcPr>
          <w:p w14:paraId="3DA06726" w14:textId="77777777" w:rsidR="007D1CD5"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Morris</w:t>
            </w:r>
          </w:p>
        </w:tc>
        <w:tc>
          <w:tcPr>
            <w:tcW w:w="732" w:type="dxa"/>
            <w:shd w:val="clear" w:color="auto" w:fill="F2F2F2" w:themeFill="background1" w:themeFillShade="F2"/>
            <w:vAlign w:val="center"/>
          </w:tcPr>
          <w:p w14:paraId="4DA1DF1E" w14:textId="229B0011"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X0 (0.67)</w:t>
            </w:r>
          </w:p>
        </w:tc>
        <w:tc>
          <w:tcPr>
            <w:tcW w:w="733" w:type="dxa"/>
            <w:vAlign w:val="center"/>
          </w:tcPr>
          <w:p w14:paraId="55F95238"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7" w:type="dxa"/>
            <w:shd w:val="clear" w:color="auto" w:fill="F2F2F2" w:themeFill="background1" w:themeFillShade="F2"/>
            <w:vAlign w:val="center"/>
          </w:tcPr>
          <w:p w14:paraId="58D423C1" w14:textId="08706757"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X1 (0.16)</w:t>
            </w:r>
          </w:p>
        </w:tc>
        <w:tc>
          <w:tcPr>
            <w:tcW w:w="739" w:type="dxa"/>
            <w:vAlign w:val="center"/>
          </w:tcPr>
          <w:p w14:paraId="5D6C9527"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29A2E48B" w14:textId="52C37C3B"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X8 (0.14)</w:t>
            </w:r>
          </w:p>
        </w:tc>
        <w:tc>
          <w:tcPr>
            <w:tcW w:w="733" w:type="dxa"/>
            <w:vAlign w:val="center"/>
          </w:tcPr>
          <w:p w14:paraId="69266722"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D1CD5" w14:paraId="3097195B" w14:textId="77777777" w:rsidTr="007D1CD5">
        <w:trPr>
          <w:jc w:val="center"/>
        </w:trPr>
        <w:tc>
          <w:tcPr>
            <w:tcW w:w="1723" w:type="dxa"/>
            <w:vAlign w:val="center"/>
          </w:tcPr>
          <w:p w14:paraId="5AD273D9" w14:textId="77777777" w:rsidR="007D1CD5" w:rsidRDefault="007D1CD5" w:rsidP="00706E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DGSM</w:t>
            </w:r>
          </w:p>
        </w:tc>
        <w:tc>
          <w:tcPr>
            <w:tcW w:w="732" w:type="dxa"/>
            <w:shd w:val="clear" w:color="auto" w:fill="F2F2F2" w:themeFill="background1" w:themeFillShade="F2"/>
            <w:vAlign w:val="center"/>
          </w:tcPr>
          <w:p w14:paraId="56B32465" w14:textId="57C26FC8"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X0 (1.13)</w:t>
            </w:r>
          </w:p>
        </w:tc>
        <w:tc>
          <w:tcPr>
            <w:tcW w:w="733" w:type="dxa"/>
            <w:vAlign w:val="center"/>
          </w:tcPr>
          <w:p w14:paraId="31882B5B"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7" w:type="dxa"/>
            <w:shd w:val="clear" w:color="auto" w:fill="F2F2F2" w:themeFill="background1" w:themeFillShade="F2"/>
            <w:vAlign w:val="center"/>
          </w:tcPr>
          <w:p w14:paraId="4FF414C7" w14:textId="0278E6B5"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X8 (0.07)</w:t>
            </w:r>
          </w:p>
        </w:tc>
        <w:tc>
          <w:tcPr>
            <w:tcW w:w="739" w:type="dxa"/>
            <w:vAlign w:val="center"/>
          </w:tcPr>
          <w:p w14:paraId="61CE0483"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78FF6D9" w14:textId="493B1A08" w:rsidR="007D1CD5" w:rsidRPr="003B2C1D" w:rsidRDefault="007D1CD5" w:rsidP="00706EB9">
            <w:pPr>
              <w:jc w:val="center"/>
              <w:rPr>
                <w:rFonts w:ascii="Times New Roman" w:eastAsia="Times New Roman" w:hAnsi="Times New Roman" w:cs="Times New Roman"/>
                <w:sz w:val="20"/>
                <w:szCs w:val="20"/>
              </w:rPr>
            </w:pPr>
            <w:r w:rsidRPr="007D1CD5">
              <w:rPr>
                <w:rFonts w:ascii="Times New Roman" w:eastAsia="Times New Roman" w:hAnsi="Times New Roman" w:cs="Times New Roman"/>
                <w:sz w:val="20"/>
                <w:szCs w:val="20"/>
              </w:rPr>
              <w:t>X1 (0.06)</w:t>
            </w:r>
          </w:p>
        </w:tc>
        <w:tc>
          <w:tcPr>
            <w:tcW w:w="733" w:type="dxa"/>
            <w:vAlign w:val="center"/>
          </w:tcPr>
          <w:p w14:paraId="28FDB3D5" w14:textId="77777777" w:rsidR="007D1CD5" w:rsidRPr="003B2C1D" w:rsidRDefault="007D1CD5" w:rsidP="00706E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0000371" w14:textId="77777777" w:rsidR="00F87ED1" w:rsidRDefault="00F87ED1" w:rsidP="002037E4">
      <w:pPr>
        <w:rPr>
          <w:rFonts w:ascii="Times New Roman" w:eastAsia="Times New Roman" w:hAnsi="Times New Roman" w:cs="Times New Roman"/>
          <w:sz w:val="24"/>
          <w:szCs w:val="24"/>
        </w:rPr>
      </w:pPr>
    </w:p>
    <w:p w14:paraId="00000372" w14:textId="2A6D98BC" w:rsidR="00F87ED1" w:rsidRPr="001E3E54" w:rsidRDefault="00082627" w:rsidP="00F8172A">
      <w:pPr>
        <w:spacing w:after="0"/>
        <w:rPr>
          <w:rFonts w:ascii="Times New Roman" w:eastAsia="Times New Roman" w:hAnsi="Times New Roman" w:cs="Times New Roman"/>
          <w:b/>
          <w:color w:val="002060"/>
          <w:sz w:val="24"/>
          <w:szCs w:val="24"/>
        </w:rPr>
      </w:pPr>
      <w:r w:rsidRPr="001E3E54">
        <w:rPr>
          <w:rFonts w:ascii="Times New Roman" w:eastAsia="Times New Roman" w:hAnsi="Times New Roman" w:cs="Times New Roman"/>
          <w:b/>
          <w:color w:val="002060"/>
          <w:sz w:val="24"/>
          <w:szCs w:val="24"/>
        </w:rPr>
        <w:t>4.</w:t>
      </w:r>
      <w:r w:rsidR="00FC128A">
        <w:rPr>
          <w:rFonts w:ascii="Times New Roman" w:eastAsia="Times New Roman" w:hAnsi="Times New Roman" w:cs="Times New Roman"/>
          <w:b/>
          <w:color w:val="002060"/>
          <w:sz w:val="24"/>
          <w:szCs w:val="24"/>
        </w:rPr>
        <w:t>4</w:t>
      </w:r>
      <w:r w:rsidRPr="001E3E54">
        <w:rPr>
          <w:rFonts w:ascii="Times New Roman" w:eastAsia="Times New Roman" w:hAnsi="Times New Roman" w:cs="Times New Roman"/>
          <w:b/>
          <w:color w:val="002060"/>
          <w:sz w:val="24"/>
          <w:szCs w:val="24"/>
        </w:rPr>
        <w:t xml:space="preserve"> Case 3: PD Uniaxial 18</w:t>
      </w:r>
    </w:p>
    <w:p w14:paraId="00000373" w14:textId="22CC7D4A" w:rsidR="00F87ED1" w:rsidRPr="00C21E05" w:rsidRDefault="00082627">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Total and first order sensitivity indices</w:t>
      </w:r>
      <w:r w:rsidR="00BC50FA" w:rsidRPr="00C21E05">
        <w:rPr>
          <w:rFonts w:ascii="Times New Roman" w:eastAsia="Times New Roman" w:hAnsi="Times New Roman" w:cs="Times New Roman"/>
          <w:sz w:val="20"/>
          <w:szCs w:val="20"/>
        </w:rPr>
        <w:t xml:space="preserve"> for Case 3</w:t>
      </w:r>
      <w:r w:rsidRPr="00C21E05">
        <w:rPr>
          <w:rFonts w:ascii="Times New Roman" w:eastAsia="Times New Roman" w:hAnsi="Times New Roman" w:cs="Times New Roman"/>
          <w:sz w:val="20"/>
          <w:szCs w:val="20"/>
        </w:rPr>
        <w:t xml:space="preserve"> are shown in Fig</w:t>
      </w:r>
      <w:r w:rsidR="00F8172A"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w:t>
      </w:r>
      <w:r w:rsidR="008712D4" w:rsidRPr="00C21E05">
        <w:rPr>
          <w:rFonts w:ascii="Times New Roman" w:eastAsia="Times New Roman" w:hAnsi="Times New Roman" w:cs="Times New Roman"/>
          <w:sz w:val="20"/>
          <w:szCs w:val="20"/>
        </w:rPr>
        <w:t>6a,6b,</w:t>
      </w:r>
      <w:r w:rsidR="00AF076C" w:rsidRPr="00C21E05">
        <w:rPr>
          <w:rFonts w:ascii="Times New Roman" w:eastAsia="Times New Roman" w:hAnsi="Times New Roman" w:cs="Times New Roman"/>
          <w:sz w:val="20"/>
          <w:szCs w:val="20"/>
        </w:rPr>
        <w:t xml:space="preserve"> </w:t>
      </w:r>
      <w:r w:rsidR="00BB2387" w:rsidRPr="00C21E05">
        <w:rPr>
          <w:rFonts w:ascii="Times New Roman" w:eastAsia="Times New Roman" w:hAnsi="Times New Roman" w:cs="Times New Roman"/>
          <w:sz w:val="20"/>
          <w:szCs w:val="20"/>
        </w:rPr>
        <w:t xml:space="preserve">with quantitative values provided in Table </w:t>
      </w:r>
      <w:r w:rsidR="0000548F" w:rsidRPr="00C21E05">
        <w:rPr>
          <w:rFonts w:ascii="Times New Roman" w:eastAsia="Times New Roman" w:hAnsi="Times New Roman" w:cs="Times New Roman"/>
          <w:sz w:val="20"/>
          <w:szCs w:val="20"/>
        </w:rPr>
        <w:t>10</w:t>
      </w:r>
      <w:r w:rsidR="00BB2387"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w:t>
      </w:r>
      <w:r w:rsidR="00BB2387" w:rsidRPr="00C21E05">
        <w:rPr>
          <w:rFonts w:ascii="Times New Roman" w:eastAsia="Times New Roman" w:hAnsi="Times New Roman" w:cs="Times New Roman"/>
          <w:sz w:val="20"/>
          <w:szCs w:val="20"/>
        </w:rPr>
        <w:t>As with Case 2, it was</w:t>
      </w:r>
      <w:r w:rsidRPr="00C21E05">
        <w:rPr>
          <w:rFonts w:ascii="Times New Roman" w:eastAsia="Times New Roman" w:hAnsi="Times New Roman" w:cs="Times New Roman"/>
          <w:sz w:val="20"/>
          <w:szCs w:val="20"/>
        </w:rPr>
        <w:t xml:space="preserve"> observed that both the Morris and the DGSM varied from the other methods for the total order estimations while all other </w:t>
      </w:r>
      <w:r w:rsidR="0099436B" w:rsidRPr="00C21E05">
        <w:rPr>
          <w:rFonts w:ascii="Times New Roman" w:eastAsia="Times New Roman" w:hAnsi="Times New Roman" w:cs="Times New Roman"/>
          <w:sz w:val="20"/>
          <w:szCs w:val="20"/>
        </w:rPr>
        <w:t xml:space="preserve">predictions </w:t>
      </w:r>
      <w:r w:rsidR="00BB2387" w:rsidRPr="00C21E05">
        <w:rPr>
          <w:rFonts w:ascii="Times New Roman" w:eastAsia="Times New Roman" w:hAnsi="Times New Roman" w:cs="Times New Roman"/>
          <w:sz w:val="20"/>
          <w:szCs w:val="20"/>
        </w:rPr>
        <w:t>were nearly identical.</w:t>
      </w:r>
      <w:r w:rsidRPr="00C21E05">
        <w:rPr>
          <w:rFonts w:ascii="Times New Roman" w:eastAsia="Times New Roman" w:hAnsi="Times New Roman" w:cs="Times New Roman"/>
          <w:sz w:val="20"/>
          <w:szCs w:val="20"/>
        </w:rPr>
        <w:t xml:space="preserve"> Parameters X0, X15, and X14 were shown by the GSA methods to be the most </w:t>
      </w:r>
      <w:r w:rsidR="00C0269B" w:rsidRPr="00C21E05">
        <w:rPr>
          <w:rFonts w:ascii="Times New Roman" w:eastAsia="Times New Roman" w:hAnsi="Times New Roman" w:cs="Times New Roman"/>
          <w:sz w:val="20"/>
          <w:szCs w:val="20"/>
        </w:rPr>
        <w:t xml:space="preserve">dominant </w:t>
      </w:r>
      <w:r w:rsidRPr="00C21E05">
        <w:rPr>
          <w:rFonts w:ascii="Times New Roman" w:eastAsia="Times New Roman" w:hAnsi="Times New Roman" w:cs="Times New Roman"/>
          <w:sz w:val="20"/>
          <w:szCs w:val="20"/>
        </w:rPr>
        <w:t xml:space="preserve">with </w:t>
      </w:r>
      <w:r w:rsidR="00B948D3" w:rsidRPr="00C21E05">
        <w:rPr>
          <w:rFonts w:ascii="Times New Roman" w:eastAsia="Times New Roman" w:hAnsi="Times New Roman" w:cs="Times New Roman"/>
          <w:sz w:val="20"/>
          <w:szCs w:val="20"/>
        </w:rPr>
        <w:t>minimal</w:t>
      </w:r>
      <w:r w:rsidRPr="00C21E05">
        <w:rPr>
          <w:rFonts w:ascii="Times New Roman" w:eastAsia="Times New Roman" w:hAnsi="Times New Roman" w:cs="Times New Roman"/>
          <w:sz w:val="20"/>
          <w:szCs w:val="20"/>
        </w:rPr>
        <w:t xml:space="preserve"> parameter interaction shown by the relatively large</w:t>
      </w:r>
      <w:r w:rsidR="00B948D3" w:rsidRPr="00C21E05">
        <w:rPr>
          <w:rFonts w:ascii="Times New Roman" w:eastAsia="Times New Roman" w:hAnsi="Times New Roman" w:cs="Times New Roman"/>
          <w:sz w:val="20"/>
          <w:szCs w:val="20"/>
        </w:rPr>
        <w:t xml:space="preserve"> and</w:t>
      </w:r>
      <w:r w:rsidRPr="00C21E05">
        <w:rPr>
          <w:rFonts w:ascii="Times New Roman" w:eastAsia="Times New Roman" w:hAnsi="Times New Roman" w:cs="Times New Roman"/>
          <w:sz w:val="20"/>
          <w:szCs w:val="20"/>
        </w:rPr>
        <w:t xml:space="preserve"> similar estimations for both total and first order </w:t>
      </w:r>
      <w:r w:rsidR="00C0269B" w:rsidRPr="00C21E05">
        <w:rPr>
          <w:rFonts w:ascii="Times New Roman" w:eastAsia="Times New Roman" w:hAnsi="Times New Roman" w:cs="Times New Roman"/>
          <w:sz w:val="20"/>
          <w:szCs w:val="20"/>
        </w:rPr>
        <w:t>measures</w:t>
      </w:r>
      <w:r w:rsidRPr="00C21E05">
        <w:rPr>
          <w:rFonts w:ascii="Times New Roman" w:eastAsia="Times New Roman" w:hAnsi="Times New Roman" w:cs="Times New Roman"/>
          <w:sz w:val="20"/>
          <w:szCs w:val="20"/>
        </w:rPr>
        <w:t>.</w:t>
      </w:r>
      <w:r w:rsidR="00D31AA1" w:rsidRPr="00C21E05">
        <w:rPr>
          <w:rFonts w:ascii="Times New Roman" w:eastAsia="Times New Roman" w:hAnsi="Times New Roman" w:cs="Times New Roman"/>
          <w:sz w:val="20"/>
          <w:szCs w:val="20"/>
        </w:rPr>
        <w:t xml:space="preserve"> </w:t>
      </w:r>
      <w:r w:rsidR="0043780B" w:rsidRPr="00C21E05">
        <w:rPr>
          <w:rFonts w:ascii="Times New Roman" w:eastAsia="Times New Roman" w:hAnsi="Times New Roman" w:cs="Times New Roman"/>
          <w:sz w:val="20"/>
          <w:szCs w:val="20"/>
        </w:rPr>
        <w:t>However</w:t>
      </w:r>
      <w:r w:rsidR="00D31AA1" w:rsidRPr="00C21E05">
        <w:rPr>
          <w:rFonts w:ascii="Times New Roman" w:eastAsia="Times New Roman" w:hAnsi="Times New Roman" w:cs="Times New Roman"/>
          <w:sz w:val="20"/>
          <w:szCs w:val="20"/>
        </w:rPr>
        <w:t xml:space="preserve">, the DGSM method </w:t>
      </w:r>
      <w:r w:rsidR="0043780B" w:rsidRPr="00C21E05">
        <w:rPr>
          <w:rFonts w:ascii="Times New Roman" w:eastAsia="Times New Roman" w:hAnsi="Times New Roman" w:cs="Times New Roman"/>
          <w:sz w:val="20"/>
          <w:szCs w:val="20"/>
        </w:rPr>
        <w:t xml:space="preserve">alone </w:t>
      </w:r>
      <w:r w:rsidR="00D31AA1" w:rsidRPr="00C21E05">
        <w:rPr>
          <w:rFonts w:ascii="Times New Roman" w:eastAsia="Times New Roman" w:hAnsi="Times New Roman" w:cs="Times New Roman"/>
          <w:sz w:val="20"/>
          <w:szCs w:val="20"/>
        </w:rPr>
        <w:t xml:space="preserve">ranked X15 over X0 as the most </w:t>
      </w:r>
      <w:r w:rsidR="0043780B" w:rsidRPr="00C21E05">
        <w:rPr>
          <w:rFonts w:ascii="Times New Roman" w:eastAsia="Times New Roman" w:hAnsi="Times New Roman" w:cs="Times New Roman"/>
          <w:sz w:val="20"/>
          <w:szCs w:val="20"/>
        </w:rPr>
        <w:t>influential</w:t>
      </w:r>
      <w:r w:rsidR="00D31AA1" w:rsidRPr="00C21E05">
        <w:rPr>
          <w:rFonts w:ascii="Times New Roman" w:eastAsia="Times New Roman" w:hAnsi="Times New Roman" w:cs="Times New Roman"/>
          <w:sz w:val="20"/>
          <w:szCs w:val="20"/>
        </w:rPr>
        <w:t xml:space="preserve"> parameter.</w:t>
      </w:r>
      <w:r w:rsidRPr="00C21E05">
        <w:rPr>
          <w:rFonts w:ascii="Times New Roman" w:eastAsia="Times New Roman" w:hAnsi="Times New Roman" w:cs="Times New Roman"/>
          <w:sz w:val="20"/>
          <w:szCs w:val="20"/>
        </w:rPr>
        <w:t xml:space="preserve"> </w:t>
      </w:r>
      <w:r w:rsidR="00B948D3" w:rsidRPr="00C21E05">
        <w:rPr>
          <w:rFonts w:ascii="Times New Roman" w:eastAsia="Times New Roman" w:hAnsi="Times New Roman" w:cs="Times New Roman"/>
          <w:sz w:val="20"/>
          <w:szCs w:val="20"/>
        </w:rPr>
        <w:t>All methods except for the DGSM predicted X1</w:t>
      </w:r>
      <w:r w:rsidR="008B4B51" w:rsidRPr="00C21E05">
        <w:rPr>
          <w:rFonts w:ascii="Times New Roman" w:eastAsia="Times New Roman" w:hAnsi="Times New Roman" w:cs="Times New Roman"/>
          <w:sz w:val="20"/>
          <w:szCs w:val="20"/>
        </w:rPr>
        <w:t>3</w:t>
      </w:r>
      <w:r w:rsidR="00B948D3" w:rsidRPr="00C21E05">
        <w:rPr>
          <w:rFonts w:ascii="Times New Roman" w:eastAsia="Times New Roman" w:hAnsi="Times New Roman" w:cs="Times New Roman"/>
          <w:sz w:val="20"/>
          <w:szCs w:val="20"/>
        </w:rPr>
        <w:t xml:space="preserve"> as the </w:t>
      </w:r>
      <w:r w:rsidR="0043780B" w:rsidRPr="00C21E05">
        <w:rPr>
          <w:rFonts w:ascii="Times New Roman" w:eastAsia="Times New Roman" w:hAnsi="Times New Roman" w:cs="Times New Roman"/>
          <w:sz w:val="20"/>
          <w:szCs w:val="20"/>
        </w:rPr>
        <w:t>fifth most</w:t>
      </w:r>
      <w:r w:rsidR="00B948D3" w:rsidRPr="00C21E05">
        <w:rPr>
          <w:rFonts w:ascii="Times New Roman" w:eastAsia="Times New Roman" w:hAnsi="Times New Roman" w:cs="Times New Roman"/>
          <w:sz w:val="20"/>
          <w:szCs w:val="20"/>
        </w:rPr>
        <w:t xml:space="preserve"> influential parameter. DGSM </w:t>
      </w:r>
      <w:r w:rsidR="0043780B" w:rsidRPr="00C21E05">
        <w:rPr>
          <w:rFonts w:ascii="Times New Roman" w:eastAsia="Times New Roman" w:hAnsi="Times New Roman" w:cs="Times New Roman"/>
          <w:sz w:val="20"/>
          <w:szCs w:val="20"/>
        </w:rPr>
        <w:t xml:space="preserve">instead </w:t>
      </w:r>
      <w:r w:rsidR="00B948D3" w:rsidRPr="00C21E05">
        <w:rPr>
          <w:rFonts w:ascii="Times New Roman" w:eastAsia="Times New Roman" w:hAnsi="Times New Roman" w:cs="Times New Roman"/>
          <w:sz w:val="20"/>
          <w:szCs w:val="20"/>
        </w:rPr>
        <w:t xml:space="preserve">predicted X16 which is a notable difference </w:t>
      </w:r>
      <w:r w:rsidR="008B4B51" w:rsidRPr="00C21E05">
        <w:rPr>
          <w:rFonts w:ascii="Times New Roman" w:eastAsia="Times New Roman" w:hAnsi="Times New Roman" w:cs="Times New Roman"/>
          <w:sz w:val="20"/>
          <w:szCs w:val="20"/>
        </w:rPr>
        <w:t xml:space="preserve">when comparing X13 and X16 </w:t>
      </w:r>
      <w:r w:rsidR="00490A67" w:rsidRPr="00C21E05">
        <w:rPr>
          <w:rFonts w:ascii="Times New Roman" w:eastAsia="Times New Roman" w:hAnsi="Times New Roman" w:cs="Times New Roman"/>
          <w:sz w:val="20"/>
          <w:szCs w:val="20"/>
        </w:rPr>
        <w:t>i</w:t>
      </w:r>
      <w:r w:rsidR="008B4B51" w:rsidRPr="00C21E05">
        <w:rPr>
          <w:rFonts w:ascii="Times New Roman" w:eastAsia="Times New Roman" w:hAnsi="Times New Roman" w:cs="Times New Roman"/>
          <w:sz w:val="20"/>
          <w:szCs w:val="20"/>
        </w:rPr>
        <w:t xml:space="preserve">n </w:t>
      </w:r>
      <w:r w:rsidR="008712D4" w:rsidRPr="00C21E05">
        <w:rPr>
          <w:rFonts w:ascii="Times New Roman" w:eastAsia="Times New Roman" w:hAnsi="Times New Roman" w:cs="Times New Roman"/>
          <w:sz w:val="20"/>
          <w:szCs w:val="20"/>
        </w:rPr>
        <w:t>Table</w:t>
      </w:r>
      <w:r w:rsidR="008B4B51" w:rsidRPr="00C21E05">
        <w:rPr>
          <w:rFonts w:ascii="Times New Roman" w:eastAsia="Times New Roman" w:hAnsi="Times New Roman" w:cs="Times New Roman"/>
          <w:sz w:val="20"/>
          <w:szCs w:val="20"/>
        </w:rPr>
        <w:t xml:space="preserve">. </w:t>
      </w:r>
      <w:r w:rsidR="008712D4" w:rsidRPr="00C21E05">
        <w:rPr>
          <w:rFonts w:ascii="Times New Roman" w:eastAsia="Times New Roman" w:hAnsi="Times New Roman" w:cs="Times New Roman"/>
          <w:sz w:val="20"/>
          <w:szCs w:val="20"/>
        </w:rPr>
        <w:t>10</w:t>
      </w:r>
      <w:r w:rsidR="008B4B51" w:rsidRPr="00C21E05">
        <w:rPr>
          <w:rFonts w:ascii="Times New Roman" w:eastAsia="Times New Roman" w:hAnsi="Times New Roman" w:cs="Times New Roman"/>
          <w:sz w:val="20"/>
          <w:szCs w:val="20"/>
        </w:rPr>
        <w:t>.</w:t>
      </w:r>
      <w:r w:rsidR="00FF0D97" w:rsidRPr="00C21E05">
        <w:rPr>
          <w:rFonts w:ascii="Times New Roman" w:eastAsia="Times New Roman" w:hAnsi="Times New Roman" w:cs="Times New Roman"/>
          <w:sz w:val="20"/>
          <w:szCs w:val="20"/>
        </w:rPr>
        <w:t xml:space="preserve"> </w:t>
      </w:r>
    </w:p>
    <w:p w14:paraId="00000374" w14:textId="42B798A2"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855EDF" wp14:editId="71A36905">
            <wp:extent cx="5731509" cy="2855390"/>
            <wp:effectExtent l="0" t="0" r="3175" b="2540"/>
            <wp:docPr id="254" name="image15.png"/>
            <wp:cNvGraphicFramePr/>
            <a:graphic xmlns:a="http://schemas.openxmlformats.org/drawingml/2006/main">
              <a:graphicData uri="http://schemas.openxmlformats.org/drawingml/2006/picture">
                <pic:pic xmlns:pic="http://schemas.openxmlformats.org/drawingml/2006/picture">
                  <pic:nvPicPr>
                    <pic:cNvPr id="254" name="image15.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731509" cy="2855390"/>
                    </a:xfrm>
                    <a:prstGeom prst="rect">
                      <a:avLst/>
                    </a:prstGeom>
                    <a:ln/>
                  </pic:spPr>
                </pic:pic>
              </a:graphicData>
            </a:graphic>
          </wp:inline>
        </w:drawing>
      </w:r>
    </w:p>
    <w:p w14:paraId="5154BDDE" w14:textId="1738F968" w:rsidR="00FF0E70" w:rsidRPr="00C21E05" w:rsidRDefault="00FF0E70" w:rsidP="00FF0E70">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AA1880" w:rsidRPr="00C21E05">
        <w:rPr>
          <w:rFonts w:ascii="Times New Roman" w:eastAsia="Times New Roman" w:hAnsi="Times New Roman" w:cs="Times New Roman"/>
          <w:b/>
          <w:sz w:val="20"/>
          <w:szCs w:val="20"/>
        </w:rPr>
        <w:t>6</w:t>
      </w:r>
      <w:r w:rsidRPr="00C21E05">
        <w:rPr>
          <w:rFonts w:ascii="Times New Roman" w:eastAsia="Times New Roman" w:hAnsi="Times New Roman" w:cs="Times New Roman"/>
          <w:b/>
          <w:sz w:val="20"/>
          <w:szCs w:val="20"/>
        </w:rPr>
        <w:t>a</w:t>
      </w:r>
      <w:r w:rsidRPr="00C21E05">
        <w:rPr>
          <w:rFonts w:ascii="Times New Roman" w:eastAsia="Times New Roman" w:hAnsi="Times New Roman" w:cs="Times New Roman"/>
          <w:sz w:val="20"/>
          <w:szCs w:val="20"/>
        </w:rPr>
        <w:t>. Converged values of total order SA measures estimated by each method for the PD Uniaxial18 model using a sample size of 50,000 for the HDMR method and 200,000 for all other methods.</w:t>
      </w:r>
    </w:p>
    <w:p w14:paraId="1867632F" w14:textId="77777777" w:rsidR="00FF0E70" w:rsidRDefault="00FF0E70">
      <w:pPr>
        <w:jc w:val="center"/>
        <w:rPr>
          <w:rFonts w:ascii="Times New Roman" w:eastAsia="Times New Roman" w:hAnsi="Times New Roman" w:cs="Times New Roman"/>
          <w:sz w:val="24"/>
          <w:szCs w:val="24"/>
        </w:rPr>
      </w:pPr>
    </w:p>
    <w:p w14:paraId="00000375" w14:textId="77777777" w:rsidR="00F87ED1" w:rsidRDefault="0008262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7420F4" wp14:editId="574910E5">
            <wp:extent cx="5731509" cy="2852787"/>
            <wp:effectExtent l="0" t="0" r="3175" b="5080"/>
            <wp:docPr id="255" name="image13.png"/>
            <wp:cNvGraphicFramePr/>
            <a:graphic xmlns:a="http://schemas.openxmlformats.org/drawingml/2006/main">
              <a:graphicData uri="http://schemas.openxmlformats.org/drawingml/2006/picture">
                <pic:pic xmlns:pic="http://schemas.openxmlformats.org/drawingml/2006/picture">
                  <pic:nvPicPr>
                    <pic:cNvPr id="255" name="image13.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731509" cy="2852787"/>
                    </a:xfrm>
                    <a:prstGeom prst="rect">
                      <a:avLst/>
                    </a:prstGeom>
                    <a:ln/>
                  </pic:spPr>
                </pic:pic>
              </a:graphicData>
            </a:graphic>
          </wp:inline>
        </w:drawing>
      </w:r>
    </w:p>
    <w:p w14:paraId="7182B2FE" w14:textId="0F3EA603" w:rsidR="008B3FE3" w:rsidRPr="00C21E05" w:rsidRDefault="00082627" w:rsidP="008B3FE3">
      <w:pPr>
        <w:jc w:val="center"/>
        <w:rPr>
          <w:rFonts w:ascii="Times New Roman" w:eastAsia="Times New Roman" w:hAnsi="Times New Roman" w:cs="Times New Roman"/>
          <w:sz w:val="20"/>
          <w:szCs w:val="20"/>
        </w:rPr>
      </w:pPr>
      <w:r w:rsidRPr="00C21E05">
        <w:rPr>
          <w:rFonts w:ascii="Times New Roman" w:eastAsia="Times New Roman" w:hAnsi="Times New Roman" w:cs="Times New Roman"/>
          <w:b/>
          <w:sz w:val="20"/>
          <w:szCs w:val="20"/>
        </w:rPr>
        <w:t xml:space="preserve">Figure </w:t>
      </w:r>
      <w:r w:rsidR="00E22AA3" w:rsidRPr="00C21E05">
        <w:rPr>
          <w:rFonts w:ascii="Times New Roman" w:eastAsia="Times New Roman" w:hAnsi="Times New Roman" w:cs="Times New Roman"/>
          <w:b/>
          <w:sz w:val="20"/>
          <w:szCs w:val="20"/>
        </w:rPr>
        <w:t>6</w:t>
      </w:r>
      <w:r w:rsidR="00FF0E70" w:rsidRPr="00C21E05">
        <w:rPr>
          <w:rFonts w:ascii="Times New Roman" w:eastAsia="Times New Roman" w:hAnsi="Times New Roman" w:cs="Times New Roman"/>
          <w:b/>
          <w:sz w:val="20"/>
          <w:szCs w:val="20"/>
        </w:rPr>
        <w:t>b</w:t>
      </w:r>
      <w:r w:rsidRPr="00C21E05">
        <w:rPr>
          <w:rFonts w:ascii="Times New Roman" w:eastAsia="Times New Roman" w:hAnsi="Times New Roman" w:cs="Times New Roman"/>
          <w:sz w:val="20"/>
          <w:szCs w:val="20"/>
        </w:rPr>
        <w:t xml:space="preserve">. </w:t>
      </w:r>
      <w:r w:rsidR="000B2D3A" w:rsidRPr="00C21E05">
        <w:rPr>
          <w:rFonts w:ascii="Times New Roman" w:eastAsia="Times New Roman" w:hAnsi="Times New Roman" w:cs="Times New Roman"/>
          <w:sz w:val="20"/>
          <w:szCs w:val="20"/>
        </w:rPr>
        <w:t>Converged</w:t>
      </w:r>
      <w:r w:rsidRPr="00C21E05">
        <w:rPr>
          <w:rFonts w:ascii="Times New Roman" w:eastAsia="Times New Roman" w:hAnsi="Times New Roman" w:cs="Times New Roman"/>
          <w:sz w:val="20"/>
          <w:szCs w:val="20"/>
        </w:rPr>
        <w:t xml:space="preserve"> values of first order SA measures estimated by each method for the </w:t>
      </w:r>
      <w:r w:rsidR="000B2D3A" w:rsidRPr="00C21E05">
        <w:rPr>
          <w:rFonts w:ascii="Times New Roman" w:eastAsia="Times New Roman" w:hAnsi="Times New Roman" w:cs="Times New Roman"/>
          <w:sz w:val="20"/>
          <w:szCs w:val="20"/>
        </w:rPr>
        <w:t>PD Uniaxial</w:t>
      </w:r>
      <w:r w:rsidRPr="00C21E05">
        <w:rPr>
          <w:rFonts w:ascii="Times New Roman" w:eastAsia="Times New Roman" w:hAnsi="Times New Roman" w:cs="Times New Roman"/>
          <w:sz w:val="20"/>
          <w:szCs w:val="20"/>
        </w:rPr>
        <w:t>18 model using a sample size of 50,000 for the HDMR method and 200,000 for</w:t>
      </w:r>
      <w:r w:rsidR="008B3FE3" w:rsidRPr="00C21E05">
        <w:rPr>
          <w:rFonts w:ascii="Times New Roman" w:eastAsia="Times New Roman" w:hAnsi="Times New Roman" w:cs="Times New Roman"/>
          <w:sz w:val="20"/>
          <w:szCs w:val="20"/>
        </w:rPr>
        <w:t xml:space="preserve"> all other methods.</w:t>
      </w:r>
    </w:p>
    <w:p w14:paraId="0552B69B" w14:textId="020061CF" w:rsidR="00B17306" w:rsidRPr="00C21E05" w:rsidRDefault="00082627" w:rsidP="00B17306">
      <w:pPr>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sdt>
        <w:sdtPr>
          <w:tag w:val="goog_rdk_22"/>
          <w:id w:val="569933265"/>
          <w:showingPlcHdr/>
        </w:sdtPr>
        <w:sdtContent>
          <w:r w:rsidR="00B17306">
            <w:t xml:space="preserve">     </w:t>
          </w:r>
        </w:sdtContent>
      </w:sdt>
      <w:r w:rsidR="00B17306" w:rsidRPr="00C21E05">
        <w:rPr>
          <w:rFonts w:ascii="Times New Roman" w:eastAsia="Times New Roman" w:hAnsi="Times New Roman" w:cs="Times New Roman"/>
          <w:b/>
          <w:sz w:val="20"/>
          <w:szCs w:val="20"/>
        </w:rPr>
        <w:t xml:space="preserve">Table </w:t>
      </w:r>
      <w:r w:rsidR="0000548F" w:rsidRPr="00C21E05">
        <w:rPr>
          <w:rFonts w:ascii="Times New Roman" w:eastAsia="Times New Roman" w:hAnsi="Times New Roman" w:cs="Times New Roman"/>
          <w:b/>
          <w:sz w:val="20"/>
          <w:szCs w:val="20"/>
        </w:rPr>
        <w:t>10</w:t>
      </w:r>
      <w:r w:rsidR="00B17306" w:rsidRPr="00C21E05">
        <w:rPr>
          <w:rFonts w:ascii="Times New Roman" w:eastAsia="Times New Roman" w:hAnsi="Times New Roman" w:cs="Times New Roman"/>
          <w:sz w:val="20"/>
          <w:szCs w:val="20"/>
        </w:rPr>
        <w:t xml:space="preserve">. </w:t>
      </w:r>
      <w:r w:rsidR="007A62C3" w:rsidRPr="00C21E05">
        <w:rPr>
          <w:rFonts w:ascii="Times New Roman" w:eastAsia="Times New Roman" w:hAnsi="Times New Roman" w:cs="Times New Roman"/>
          <w:sz w:val="20"/>
          <w:szCs w:val="20"/>
        </w:rPr>
        <w:t>Dominant p</w:t>
      </w:r>
      <w:r w:rsidR="00B17306" w:rsidRPr="00C21E05">
        <w:rPr>
          <w:rFonts w:ascii="Times New Roman" w:eastAsia="Times New Roman" w:hAnsi="Times New Roman" w:cs="Times New Roman"/>
          <w:sz w:val="20"/>
          <w:szCs w:val="20"/>
        </w:rPr>
        <w:t>arameters</w:t>
      </w:r>
      <w:r w:rsidR="007A62C3" w:rsidRPr="00C21E05">
        <w:rPr>
          <w:rFonts w:ascii="Times New Roman" w:eastAsia="Times New Roman" w:hAnsi="Times New Roman" w:cs="Times New Roman"/>
          <w:sz w:val="20"/>
          <w:szCs w:val="20"/>
        </w:rPr>
        <w:t xml:space="preserve"> </w:t>
      </w:r>
      <w:r w:rsidR="00B17306" w:rsidRPr="00C21E05">
        <w:rPr>
          <w:rFonts w:ascii="Times New Roman" w:eastAsia="Times New Roman" w:hAnsi="Times New Roman" w:cs="Times New Roman"/>
          <w:sz w:val="20"/>
          <w:szCs w:val="20"/>
        </w:rPr>
        <w:t xml:space="preserve">for </w:t>
      </w:r>
      <w:r w:rsidR="00283386" w:rsidRPr="00C21E05">
        <w:rPr>
          <w:rFonts w:ascii="Times New Roman" w:eastAsia="Times New Roman" w:hAnsi="Times New Roman" w:cs="Times New Roman"/>
          <w:sz w:val="20"/>
          <w:szCs w:val="20"/>
        </w:rPr>
        <w:t xml:space="preserve">PD Uniaxial 18 </w:t>
      </w:r>
      <w:r w:rsidR="00B17306" w:rsidRPr="00C21E05">
        <w:rPr>
          <w:rFonts w:ascii="Times New Roman" w:eastAsia="Times New Roman" w:hAnsi="Times New Roman" w:cs="Times New Roman"/>
          <w:sz w:val="20"/>
          <w:szCs w:val="20"/>
        </w:rPr>
        <w:t xml:space="preserve">ranked in order from most </w:t>
      </w:r>
      <w:r w:rsidR="007A62C3" w:rsidRPr="00C21E05">
        <w:rPr>
          <w:rFonts w:ascii="Times New Roman" w:eastAsia="Times New Roman" w:hAnsi="Times New Roman" w:cs="Times New Roman"/>
          <w:sz w:val="20"/>
          <w:szCs w:val="20"/>
        </w:rPr>
        <w:t xml:space="preserve">(I-1) </w:t>
      </w:r>
      <w:r w:rsidR="00B17306" w:rsidRPr="00C21E05">
        <w:rPr>
          <w:rFonts w:ascii="Times New Roman" w:eastAsia="Times New Roman" w:hAnsi="Times New Roman" w:cs="Times New Roman"/>
          <w:sz w:val="20"/>
          <w:szCs w:val="20"/>
        </w:rPr>
        <w:t xml:space="preserve">to least </w:t>
      </w:r>
      <w:r w:rsidR="007A62C3" w:rsidRPr="00C21E05">
        <w:rPr>
          <w:rFonts w:ascii="Times New Roman" w:eastAsia="Times New Roman" w:hAnsi="Times New Roman" w:cs="Times New Roman"/>
          <w:sz w:val="20"/>
          <w:szCs w:val="20"/>
        </w:rPr>
        <w:t xml:space="preserve">(I-5) </w:t>
      </w:r>
      <w:r w:rsidR="00B17306" w:rsidRPr="00C21E05">
        <w:rPr>
          <w:rFonts w:ascii="Times New Roman" w:eastAsia="Times New Roman" w:hAnsi="Times New Roman" w:cs="Times New Roman"/>
          <w:sz w:val="20"/>
          <w:szCs w:val="20"/>
        </w:rPr>
        <w:t>significant by each method.</w:t>
      </w:r>
    </w:p>
    <w:tbl>
      <w:tblPr>
        <w:tblStyle w:val="a7"/>
        <w:tblW w:w="9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732"/>
        <w:gridCol w:w="733"/>
        <w:gridCol w:w="733"/>
        <w:gridCol w:w="733"/>
        <w:gridCol w:w="733"/>
        <w:gridCol w:w="733"/>
        <w:gridCol w:w="733"/>
        <w:gridCol w:w="733"/>
        <w:gridCol w:w="733"/>
        <w:gridCol w:w="733"/>
      </w:tblGrid>
      <w:tr w:rsidR="00B17306" w14:paraId="07FC9054" w14:textId="77777777" w:rsidTr="003B2C1D">
        <w:trPr>
          <w:jc w:val="center"/>
        </w:trPr>
        <w:tc>
          <w:tcPr>
            <w:tcW w:w="1723" w:type="dxa"/>
          </w:tcPr>
          <w:p w14:paraId="5134142D" w14:textId="720958CE" w:rsidR="00B17306" w:rsidRPr="003B2C1D" w:rsidRDefault="00B17306" w:rsidP="008C682F">
            <w:pPr>
              <w:jc w:val="center"/>
              <w:rPr>
                <w:rFonts w:ascii="Times New Roman" w:eastAsia="Times New Roman" w:hAnsi="Times New Roman" w:cs="Times New Roman"/>
                <w:sz w:val="20"/>
                <w:szCs w:val="20"/>
              </w:rPr>
            </w:pPr>
            <w:r w:rsidRPr="003B2C1D">
              <w:rPr>
                <w:rFonts w:ascii="Times New Roman" w:eastAsia="Times New Roman" w:hAnsi="Times New Roman" w:cs="Times New Roman"/>
                <w:b/>
                <w:sz w:val="20"/>
                <w:szCs w:val="20"/>
              </w:rPr>
              <w:t>Method</w:t>
            </w:r>
          </w:p>
        </w:tc>
        <w:tc>
          <w:tcPr>
            <w:tcW w:w="1465" w:type="dxa"/>
            <w:gridSpan w:val="2"/>
          </w:tcPr>
          <w:p w14:paraId="55F6E135" w14:textId="77777777" w:rsidR="00B17306" w:rsidRPr="003B2C1D" w:rsidRDefault="00B17306" w:rsidP="008C682F">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I-1</w:t>
            </w:r>
          </w:p>
        </w:tc>
        <w:tc>
          <w:tcPr>
            <w:tcW w:w="1466" w:type="dxa"/>
            <w:gridSpan w:val="2"/>
          </w:tcPr>
          <w:p w14:paraId="7B2A8671" w14:textId="77777777" w:rsidR="00B17306" w:rsidRPr="003B2C1D" w:rsidRDefault="00B17306" w:rsidP="008C682F">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I-2</w:t>
            </w:r>
          </w:p>
        </w:tc>
        <w:tc>
          <w:tcPr>
            <w:tcW w:w="1466" w:type="dxa"/>
            <w:gridSpan w:val="2"/>
          </w:tcPr>
          <w:p w14:paraId="2974953D" w14:textId="77777777" w:rsidR="00B17306" w:rsidRPr="003B2C1D" w:rsidRDefault="00B17306" w:rsidP="008C682F">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I-3</w:t>
            </w:r>
          </w:p>
        </w:tc>
        <w:tc>
          <w:tcPr>
            <w:tcW w:w="1466" w:type="dxa"/>
            <w:gridSpan w:val="2"/>
          </w:tcPr>
          <w:p w14:paraId="788E061F" w14:textId="77777777" w:rsidR="00B17306" w:rsidRPr="003B2C1D" w:rsidRDefault="00B17306" w:rsidP="008C682F">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I-4</w:t>
            </w:r>
          </w:p>
        </w:tc>
        <w:tc>
          <w:tcPr>
            <w:tcW w:w="1466" w:type="dxa"/>
            <w:gridSpan w:val="2"/>
          </w:tcPr>
          <w:p w14:paraId="7B8DBF9B" w14:textId="77777777" w:rsidR="00B17306" w:rsidRPr="003B2C1D" w:rsidRDefault="00B17306" w:rsidP="008C682F">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I-5</w:t>
            </w:r>
          </w:p>
        </w:tc>
      </w:tr>
      <w:tr w:rsidR="003B2C1D" w14:paraId="054C4F41" w14:textId="77777777" w:rsidTr="00881594">
        <w:trPr>
          <w:jc w:val="center"/>
        </w:trPr>
        <w:tc>
          <w:tcPr>
            <w:tcW w:w="1723" w:type="dxa"/>
          </w:tcPr>
          <w:p w14:paraId="6CFDFFA9" w14:textId="47F4E301"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Order</w:t>
            </w:r>
          </w:p>
        </w:tc>
        <w:tc>
          <w:tcPr>
            <w:tcW w:w="732" w:type="dxa"/>
            <w:shd w:val="clear" w:color="auto" w:fill="F2F2F2" w:themeFill="background1" w:themeFillShade="F2"/>
          </w:tcPr>
          <w:p w14:paraId="4A6D3688" w14:textId="07FA2A0A"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5AD1DEA4" w14:textId="568E9574"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40570E3F" w14:textId="5798A127"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66CA6A77" w14:textId="156B306F"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7E63406D" w14:textId="3D0EE914"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40AB96B3" w14:textId="00108261"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11C129AC" w14:textId="3AFB9846"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3A685A64" w14:textId="610D902B"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733" w:type="dxa"/>
            <w:shd w:val="clear" w:color="auto" w:fill="F2F2F2" w:themeFill="background1" w:themeFillShade="F2"/>
          </w:tcPr>
          <w:p w14:paraId="50607CED" w14:textId="76D166C2"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w:t>
            </w:r>
          </w:p>
        </w:tc>
        <w:tc>
          <w:tcPr>
            <w:tcW w:w="733" w:type="dxa"/>
          </w:tcPr>
          <w:p w14:paraId="4F4E2E20" w14:textId="5A6017D6" w:rsidR="003B2C1D" w:rsidRPr="003B2C1D" w:rsidRDefault="003B2C1D" w:rsidP="003B2C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r>
      <w:tr w:rsidR="003B2C1D" w14:paraId="6FA8932B" w14:textId="77777777" w:rsidTr="00881594">
        <w:trPr>
          <w:jc w:val="center"/>
        </w:trPr>
        <w:tc>
          <w:tcPr>
            <w:tcW w:w="1723" w:type="dxa"/>
            <w:vAlign w:val="center"/>
          </w:tcPr>
          <w:p w14:paraId="3B024273" w14:textId="6CBAF22A" w:rsidR="003B2C1D" w:rsidRP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b/>
                <w:sz w:val="20"/>
                <w:szCs w:val="20"/>
              </w:rPr>
              <w:t>Sobol’</w:t>
            </w:r>
          </w:p>
        </w:tc>
        <w:tc>
          <w:tcPr>
            <w:tcW w:w="732" w:type="dxa"/>
            <w:shd w:val="clear" w:color="auto" w:fill="F2F2F2" w:themeFill="background1" w:themeFillShade="F2"/>
            <w:vAlign w:val="center"/>
          </w:tcPr>
          <w:p w14:paraId="60BC160F" w14:textId="4F59B068" w:rsid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(0.46)</w:t>
            </w:r>
          </w:p>
        </w:tc>
        <w:tc>
          <w:tcPr>
            <w:tcW w:w="733" w:type="dxa"/>
            <w:vAlign w:val="center"/>
          </w:tcPr>
          <w:p w14:paraId="2AA726F3" w14:textId="0BC39999"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(0.43)</w:t>
            </w:r>
          </w:p>
        </w:tc>
        <w:tc>
          <w:tcPr>
            <w:tcW w:w="733" w:type="dxa"/>
            <w:shd w:val="clear" w:color="auto" w:fill="F2F2F2" w:themeFill="background1" w:themeFillShade="F2"/>
            <w:vAlign w:val="center"/>
          </w:tcPr>
          <w:p w14:paraId="698E0886" w14:textId="51045770" w:rsid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(0.26)</w:t>
            </w:r>
          </w:p>
        </w:tc>
        <w:tc>
          <w:tcPr>
            <w:tcW w:w="733" w:type="dxa"/>
            <w:vAlign w:val="center"/>
          </w:tcPr>
          <w:p w14:paraId="08E9EB21" w14:textId="32C9444A"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(0.22)</w:t>
            </w:r>
          </w:p>
        </w:tc>
        <w:tc>
          <w:tcPr>
            <w:tcW w:w="733" w:type="dxa"/>
            <w:shd w:val="clear" w:color="auto" w:fill="F2F2F2" w:themeFill="background1" w:themeFillShade="F2"/>
            <w:vAlign w:val="center"/>
          </w:tcPr>
          <w:p w14:paraId="10EDFA6D" w14:textId="17591713" w:rsid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(0.19)</w:t>
            </w:r>
          </w:p>
        </w:tc>
        <w:tc>
          <w:tcPr>
            <w:tcW w:w="733" w:type="dxa"/>
            <w:vAlign w:val="center"/>
          </w:tcPr>
          <w:p w14:paraId="14ACEC3C" w14:textId="523A9EDD"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(0.18)</w:t>
            </w:r>
          </w:p>
        </w:tc>
        <w:tc>
          <w:tcPr>
            <w:tcW w:w="733" w:type="dxa"/>
            <w:shd w:val="clear" w:color="auto" w:fill="F2F2F2" w:themeFill="background1" w:themeFillShade="F2"/>
            <w:vAlign w:val="center"/>
          </w:tcPr>
          <w:p w14:paraId="48EF7BF5" w14:textId="7FC5EF67" w:rsid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(0.08)</w:t>
            </w:r>
          </w:p>
        </w:tc>
        <w:tc>
          <w:tcPr>
            <w:tcW w:w="733" w:type="dxa"/>
            <w:vAlign w:val="center"/>
          </w:tcPr>
          <w:p w14:paraId="26734EC1" w14:textId="20BDF033"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(0.05)</w:t>
            </w:r>
          </w:p>
        </w:tc>
        <w:tc>
          <w:tcPr>
            <w:tcW w:w="733" w:type="dxa"/>
            <w:shd w:val="clear" w:color="auto" w:fill="F2F2F2" w:themeFill="background1" w:themeFillShade="F2"/>
            <w:vAlign w:val="center"/>
          </w:tcPr>
          <w:p w14:paraId="30A11968" w14:textId="13636BD4" w:rsidR="003B2C1D" w:rsidRDefault="003B2C1D"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(0.05)</w:t>
            </w:r>
          </w:p>
        </w:tc>
        <w:tc>
          <w:tcPr>
            <w:tcW w:w="733" w:type="dxa"/>
            <w:vAlign w:val="center"/>
          </w:tcPr>
          <w:p w14:paraId="2F5875B6" w14:textId="1FD804E1"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(0.04)</w:t>
            </w:r>
          </w:p>
        </w:tc>
      </w:tr>
      <w:tr w:rsidR="003B2C1D" w14:paraId="11404F00" w14:textId="77777777" w:rsidTr="00881594">
        <w:trPr>
          <w:jc w:val="center"/>
        </w:trPr>
        <w:tc>
          <w:tcPr>
            <w:tcW w:w="1723" w:type="dxa"/>
            <w:vAlign w:val="center"/>
          </w:tcPr>
          <w:p w14:paraId="4354511E" w14:textId="09698AF3" w:rsidR="003B2C1D" w:rsidRPr="003B2C1D" w:rsidRDefault="00FF00C2" w:rsidP="00FF00C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EFAST</w:t>
            </w:r>
          </w:p>
        </w:tc>
        <w:tc>
          <w:tcPr>
            <w:tcW w:w="732" w:type="dxa"/>
            <w:shd w:val="clear" w:color="auto" w:fill="F2F2F2" w:themeFill="background1" w:themeFillShade="F2"/>
            <w:vAlign w:val="center"/>
          </w:tcPr>
          <w:p w14:paraId="14B8D4CD" w14:textId="45E6E2AD"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(0.46)</w:t>
            </w:r>
          </w:p>
        </w:tc>
        <w:tc>
          <w:tcPr>
            <w:tcW w:w="733" w:type="dxa"/>
            <w:vAlign w:val="center"/>
          </w:tcPr>
          <w:p w14:paraId="11C87B57" w14:textId="59A9EB5C"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(0.43)</w:t>
            </w:r>
          </w:p>
        </w:tc>
        <w:tc>
          <w:tcPr>
            <w:tcW w:w="733" w:type="dxa"/>
            <w:shd w:val="clear" w:color="auto" w:fill="F2F2F2" w:themeFill="background1" w:themeFillShade="F2"/>
            <w:vAlign w:val="center"/>
          </w:tcPr>
          <w:p w14:paraId="53307B4A" w14:textId="7530C5CC"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(0.26)</w:t>
            </w:r>
          </w:p>
        </w:tc>
        <w:tc>
          <w:tcPr>
            <w:tcW w:w="733" w:type="dxa"/>
            <w:vAlign w:val="center"/>
          </w:tcPr>
          <w:p w14:paraId="05F6B90D" w14:textId="5FEEDFB8"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(0.22)</w:t>
            </w:r>
          </w:p>
        </w:tc>
        <w:tc>
          <w:tcPr>
            <w:tcW w:w="733" w:type="dxa"/>
            <w:shd w:val="clear" w:color="auto" w:fill="F2F2F2" w:themeFill="background1" w:themeFillShade="F2"/>
            <w:vAlign w:val="center"/>
          </w:tcPr>
          <w:p w14:paraId="6525E22A" w14:textId="64C87B9A"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(0.19)</w:t>
            </w:r>
          </w:p>
        </w:tc>
        <w:tc>
          <w:tcPr>
            <w:tcW w:w="733" w:type="dxa"/>
            <w:vAlign w:val="center"/>
          </w:tcPr>
          <w:p w14:paraId="7962592B" w14:textId="4964BD98"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(0.17)</w:t>
            </w:r>
          </w:p>
        </w:tc>
        <w:tc>
          <w:tcPr>
            <w:tcW w:w="733" w:type="dxa"/>
            <w:shd w:val="clear" w:color="auto" w:fill="F2F2F2" w:themeFill="background1" w:themeFillShade="F2"/>
            <w:vAlign w:val="center"/>
          </w:tcPr>
          <w:p w14:paraId="4D03C6BF" w14:textId="2E09F36B"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(0.09)</w:t>
            </w:r>
          </w:p>
        </w:tc>
        <w:tc>
          <w:tcPr>
            <w:tcW w:w="733" w:type="dxa"/>
            <w:vAlign w:val="center"/>
          </w:tcPr>
          <w:p w14:paraId="24EC7E9B" w14:textId="3501354E"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(0.06)</w:t>
            </w:r>
          </w:p>
        </w:tc>
        <w:tc>
          <w:tcPr>
            <w:tcW w:w="733" w:type="dxa"/>
            <w:shd w:val="clear" w:color="auto" w:fill="F2F2F2" w:themeFill="background1" w:themeFillShade="F2"/>
            <w:vAlign w:val="center"/>
          </w:tcPr>
          <w:p w14:paraId="1FC1C565" w14:textId="3D4EAD29"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(0.05)</w:t>
            </w:r>
          </w:p>
        </w:tc>
        <w:tc>
          <w:tcPr>
            <w:tcW w:w="733" w:type="dxa"/>
            <w:vAlign w:val="center"/>
          </w:tcPr>
          <w:p w14:paraId="67BE794C" w14:textId="268A37CB"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(0.04)</w:t>
            </w:r>
          </w:p>
        </w:tc>
      </w:tr>
      <w:tr w:rsidR="003B2C1D" w14:paraId="3C1D4E4F" w14:textId="77777777" w:rsidTr="00881594">
        <w:trPr>
          <w:jc w:val="center"/>
        </w:trPr>
        <w:tc>
          <w:tcPr>
            <w:tcW w:w="1723" w:type="dxa"/>
            <w:vAlign w:val="center"/>
          </w:tcPr>
          <w:p w14:paraId="1D7A0526" w14:textId="1DCAD8A2" w:rsidR="003B2C1D" w:rsidRPr="003B2C1D" w:rsidRDefault="00FF00C2" w:rsidP="00FF00C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HDMR</w:t>
            </w:r>
          </w:p>
        </w:tc>
        <w:tc>
          <w:tcPr>
            <w:tcW w:w="732" w:type="dxa"/>
            <w:shd w:val="clear" w:color="auto" w:fill="F2F2F2" w:themeFill="background1" w:themeFillShade="F2"/>
            <w:vAlign w:val="center"/>
          </w:tcPr>
          <w:p w14:paraId="6D2441BE" w14:textId="2EE64E45"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(0.45)</w:t>
            </w:r>
          </w:p>
        </w:tc>
        <w:tc>
          <w:tcPr>
            <w:tcW w:w="733" w:type="dxa"/>
            <w:vAlign w:val="center"/>
          </w:tcPr>
          <w:p w14:paraId="22FB060B" w14:textId="6354AEAD"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X0 (0.43)</w:t>
            </w:r>
          </w:p>
        </w:tc>
        <w:tc>
          <w:tcPr>
            <w:tcW w:w="733" w:type="dxa"/>
            <w:shd w:val="clear" w:color="auto" w:fill="F2F2F2" w:themeFill="background1" w:themeFillShade="F2"/>
            <w:vAlign w:val="center"/>
          </w:tcPr>
          <w:p w14:paraId="13239CC1" w14:textId="7F71403B"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(0.26)</w:t>
            </w:r>
          </w:p>
        </w:tc>
        <w:tc>
          <w:tcPr>
            <w:tcW w:w="733" w:type="dxa"/>
            <w:vAlign w:val="center"/>
          </w:tcPr>
          <w:p w14:paraId="584159E6" w14:textId="6699670E"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X15 (0.24)</w:t>
            </w:r>
          </w:p>
        </w:tc>
        <w:tc>
          <w:tcPr>
            <w:tcW w:w="733" w:type="dxa"/>
            <w:shd w:val="clear" w:color="auto" w:fill="F2F2F2" w:themeFill="background1" w:themeFillShade="F2"/>
            <w:vAlign w:val="center"/>
          </w:tcPr>
          <w:p w14:paraId="5E22B8D3" w14:textId="176042D2"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(0.19)</w:t>
            </w:r>
          </w:p>
        </w:tc>
        <w:tc>
          <w:tcPr>
            <w:tcW w:w="733" w:type="dxa"/>
            <w:vAlign w:val="center"/>
          </w:tcPr>
          <w:p w14:paraId="7519628C" w14:textId="46A02915"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X14 (0.18)</w:t>
            </w:r>
          </w:p>
        </w:tc>
        <w:tc>
          <w:tcPr>
            <w:tcW w:w="733" w:type="dxa"/>
            <w:shd w:val="clear" w:color="auto" w:fill="F2F2F2" w:themeFill="background1" w:themeFillShade="F2"/>
            <w:vAlign w:val="center"/>
          </w:tcPr>
          <w:p w14:paraId="69E68447" w14:textId="1CEA1E2A"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(0.08)</w:t>
            </w:r>
          </w:p>
        </w:tc>
        <w:tc>
          <w:tcPr>
            <w:tcW w:w="733" w:type="dxa"/>
            <w:vAlign w:val="center"/>
          </w:tcPr>
          <w:p w14:paraId="4B6D7587" w14:textId="11766EB4"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 (0.05)</w:t>
            </w:r>
          </w:p>
        </w:tc>
        <w:tc>
          <w:tcPr>
            <w:tcW w:w="733" w:type="dxa"/>
            <w:shd w:val="clear" w:color="auto" w:fill="F2F2F2" w:themeFill="background1" w:themeFillShade="F2"/>
            <w:vAlign w:val="center"/>
          </w:tcPr>
          <w:p w14:paraId="41429ECC" w14:textId="0FD11350"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(0.04)</w:t>
            </w:r>
          </w:p>
        </w:tc>
        <w:tc>
          <w:tcPr>
            <w:tcW w:w="733" w:type="dxa"/>
            <w:vAlign w:val="center"/>
          </w:tcPr>
          <w:p w14:paraId="33D2E162" w14:textId="136D247C" w:rsidR="003B2C1D" w:rsidRDefault="00FF00C2" w:rsidP="00FF00C2">
            <w:pPr>
              <w:jc w:val="center"/>
              <w:rPr>
                <w:rFonts w:ascii="Times New Roman" w:eastAsia="Times New Roman" w:hAnsi="Times New Roman" w:cs="Times New Roman"/>
                <w:b/>
                <w:sz w:val="20"/>
                <w:szCs w:val="20"/>
              </w:rPr>
            </w:pPr>
            <w:r w:rsidRPr="003B2C1D">
              <w:rPr>
                <w:rFonts w:ascii="Times New Roman" w:eastAsia="Times New Roman" w:hAnsi="Times New Roman" w:cs="Times New Roman"/>
                <w:sz w:val="20"/>
                <w:szCs w:val="20"/>
              </w:rPr>
              <w:t>X13 (0.04)</w:t>
            </w:r>
          </w:p>
        </w:tc>
      </w:tr>
      <w:tr w:rsidR="00FF00C2" w14:paraId="314F91AC" w14:textId="77777777" w:rsidTr="00881594">
        <w:trPr>
          <w:jc w:val="center"/>
        </w:trPr>
        <w:tc>
          <w:tcPr>
            <w:tcW w:w="1723" w:type="dxa"/>
            <w:vAlign w:val="center"/>
          </w:tcPr>
          <w:p w14:paraId="78766BAF" w14:textId="527B79E3" w:rsidR="00FF00C2" w:rsidRDefault="00FF00C2" w:rsidP="00FF00C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Morris</w:t>
            </w:r>
          </w:p>
        </w:tc>
        <w:tc>
          <w:tcPr>
            <w:tcW w:w="732" w:type="dxa"/>
            <w:shd w:val="clear" w:color="auto" w:fill="F2F2F2" w:themeFill="background1" w:themeFillShade="F2"/>
            <w:vAlign w:val="center"/>
          </w:tcPr>
          <w:p w14:paraId="720E1806" w14:textId="0677D43D"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X0 (0.33)</w:t>
            </w:r>
          </w:p>
        </w:tc>
        <w:tc>
          <w:tcPr>
            <w:tcW w:w="733" w:type="dxa"/>
            <w:vAlign w:val="center"/>
          </w:tcPr>
          <w:p w14:paraId="21BC9D56" w14:textId="36CC060E"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5BECA928" w14:textId="099499BB"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X15 (0.25)</w:t>
            </w:r>
          </w:p>
        </w:tc>
        <w:tc>
          <w:tcPr>
            <w:tcW w:w="733" w:type="dxa"/>
            <w:vAlign w:val="center"/>
          </w:tcPr>
          <w:p w14:paraId="21225739" w14:textId="10016A3E"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D78EA91" w14:textId="3FC8FC51"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X14 (0.21)</w:t>
            </w:r>
          </w:p>
        </w:tc>
        <w:tc>
          <w:tcPr>
            <w:tcW w:w="733" w:type="dxa"/>
            <w:vAlign w:val="center"/>
          </w:tcPr>
          <w:p w14:paraId="62CB93BE" w14:textId="10C76828"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6EFBC69" w14:textId="223D2091"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 (0.13)</w:t>
            </w:r>
          </w:p>
        </w:tc>
        <w:tc>
          <w:tcPr>
            <w:tcW w:w="733" w:type="dxa"/>
            <w:vAlign w:val="center"/>
          </w:tcPr>
          <w:p w14:paraId="261BE090" w14:textId="7C6931B6"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1682B4AE" w14:textId="4CAD9FBF"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X13 (0.09)</w:t>
            </w:r>
          </w:p>
        </w:tc>
        <w:tc>
          <w:tcPr>
            <w:tcW w:w="733" w:type="dxa"/>
            <w:vAlign w:val="center"/>
          </w:tcPr>
          <w:p w14:paraId="2F5A2BD0" w14:textId="032C80BE"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F00C2" w14:paraId="561E2FA6" w14:textId="77777777" w:rsidTr="00881594">
        <w:trPr>
          <w:jc w:val="center"/>
        </w:trPr>
        <w:tc>
          <w:tcPr>
            <w:tcW w:w="1723" w:type="dxa"/>
            <w:vAlign w:val="center"/>
          </w:tcPr>
          <w:p w14:paraId="7D3E67A8" w14:textId="74785297" w:rsidR="00FF00C2" w:rsidRDefault="00FF00C2" w:rsidP="00FF00C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DGSM</w:t>
            </w:r>
          </w:p>
        </w:tc>
        <w:tc>
          <w:tcPr>
            <w:tcW w:w="732" w:type="dxa"/>
            <w:shd w:val="clear" w:color="auto" w:fill="F2F2F2" w:themeFill="background1" w:themeFillShade="F2"/>
            <w:vAlign w:val="center"/>
          </w:tcPr>
          <w:p w14:paraId="5E1B94EF" w14:textId="3B9780D3"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X15 (0.65)</w:t>
            </w:r>
          </w:p>
        </w:tc>
        <w:tc>
          <w:tcPr>
            <w:tcW w:w="733" w:type="dxa"/>
            <w:vAlign w:val="center"/>
          </w:tcPr>
          <w:p w14:paraId="632D8D3B" w14:textId="47629EB1"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65900CAA" w14:textId="56B5AC29"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X0 (0.56)</w:t>
            </w:r>
          </w:p>
        </w:tc>
        <w:tc>
          <w:tcPr>
            <w:tcW w:w="733" w:type="dxa"/>
            <w:vAlign w:val="center"/>
          </w:tcPr>
          <w:p w14:paraId="6242B5BD" w14:textId="67EB73DE"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44307A6" w14:textId="7EB9125B"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X14 (0.24)</w:t>
            </w:r>
          </w:p>
        </w:tc>
        <w:tc>
          <w:tcPr>
            <w:tcW w:w="733" w:type="dxa"/>
            <w:vAlign w:val="center"/>
          </w:tcPr>
          <w:p w14:paraId="0A894C0A" w14:textId="34B90399"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5036E237" w14:textId="51DB7D9E"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 (0.11)</w:t>
            </w:r>
          </w:p>
        </w:tc>
        <w:tc>
          <w:tcPr>
            <w:tcW w:w="733" w:type="dxa"/>
            <w:vAlign w:val="center"/>
          </w:tcPr>
          <w:p w14:paraId="649135DD" w14:textId="574540BE"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shd w:val="clear" w:color="auto" w:fill="F2F2F2" w:themeFill="background1" w:themeFillShade="F2"/>
            <w:vAlign w:val="center"/>
          </w:tcPr>
          <w:p w14:paraId="31CC4FFA" w14:textId="5554E9B2" w:rsidR="00FF00C2" w:rsidRPr="003B2C1D" w:rsidRDefault="00FF00C2" w:rsidP="00FF00C2">
            <w:pPr>
              <w:jc w:val="center"/>
              <w:rPr>
                <w:rFonts w:ascii="Times New Roman" w:eastAsia="Times New Roman" w:hAnsi="Times New Roman" w:cs="Times New Roman"/>
                <w:sz w:val="20"/>
                <w:szCs w:val="20"/>
              </w:rPr>
            </w:pPr>
            <w:r w:rsidRPr="003B2C1D">
              <w:rPr>
                <w:rFonts w:ascii="Times New Roman" w:eastAsia="Times New Roman" w:hAnsi="Times New Roman" w:cs="Times New Roman"/>
                <w:sz w:val="20"/>
                <w:szCs w:val="20"/>
              </w:rPr>
              <w:t>X16 (0.06)</w:t>
            </w:r>
          </w:p>
        </w:tc>
        <w:tc>
          <w:tcPr>
            <w:tcW w:w="733" w:type="dxa"/>
            <w:vAlign w:val="center"/>
          </w:tcPr>
          <w:p w14:paraId="06250ADB" w14:textId="6E49D975" w:rsidR="00FF00C2" w:rsidRPr="003B2C1D" w:rsidRDefault="00FF00C2" w:rsidP="00FF00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781EFBFB" w14:textId="77777777" w:rsidR="002037E4" w:rsidRDefault="002037E4" w:rsidP="002037E4">
      <w:pPr>
        <w:spacing w:after="0"/>
        <w:rPr>
          <w:rFonts w:ascii="Times New Roman" w:eastAsia="Times New Roman" w:hAnsi="Times New Roman" w:cs="Times New Roman"/>
          <w:b/>
          <w:color w:val="002060"/>
          <w:sz w:val="24"/>
          <w:szCs w:val="24"/>
        </w:rPr>
      </w:pPr>
    </w:p>
    <w:p w14:paraId="000003B2" w14:textId="7E49E66A" w:rsidR="00F87ED1" w:rsidRDefault="00082627">
      <w:pPr>
        <w:pStyle w:val="Heading1"/>
        <w:tabs>
          <w:tab w:val="center" w:pos="4800"/>
          <w:tab w:val="right" w:pos="9500"/>
        </w:tabs>
        <w:rPr>
          <w:rFonts w:ascii="Times New Roman" w:eastAsia="Times New Roman" w:hAnsi="Times New Roman"/>
          <w:color w:val="000052"/>
          <w:sz w:val="21"/>
          <w:szCs w:val="21"/>
        </w:rPr>
      </w:pPr>
      <w:r>
        <w:rPr>
          <w:rFonts w:ascii="Times New Roman" w:eastAsia="Times New Roman" w:hAnsi="Times New Roman"/>
          <w:color w:val="000052"/>
          <w:sz w:val="21"/>
          <w:szCs w:val="21"/>
        </w:rPr>
        <w:t xml:space="preserve">5. Discussion </w:t>
      </w:r>
    </w:p>
    <w:p w14:paraId="000003B3" w14:textId="35F21110" w:rsidR="00F87ED1" w:rsidRDefault="00082627">
      <w:pPr>
        <w:spacing w:after="0"/>
        <w:rPr>
          <w:rFonts w:ascii="Times New Roman" w:eastAsia="Times New Roman" w:hAnsi="Times New Roman" w:cs="Times New Roman"/>
          <w:b/>
          <w:color w:val="002060"/>
          <w:sz w:val="24"/>
          <w:szCs w:val="24"/>
        </w:rPr>
      </w:pPr>
      <w:r w:rsidRPr="001E3E54">
        <w:rPr>
          <w:rFonts w:ascii="Times New Roman" w:eastAsia="Times New Roman" w:hAnsi="Times New Roman" w:cs="Times New Roman"/>
          <w:b/>
          <w:color w:val="002060"/>
          <w:sz w:val="24"/>
          <w:szCs w:val="24"/>
        </w:rPr>
        <w:t xml:space="preserve">5.1 </w:t>
      </w:r>
      <w:r w:rsidR="001F373E">
        <w:rPr>
          <w:rFonts w:ascii="Times New Roman" w:eastAsia="Times New Roman" w:hAnsi="Times New Roman" w:cs="Times New Roman"/>
          <w:b/>
          <w:color w:val="002060"/>
          <w:sz w:val="24"/>
          <w:szCs w:val="24"/>
        </w:rPr>
        <w:t>Convergence</w:t>
      </w:r>
    </w:p>
    <w:p w14:paraId="7BC00802" w14:textId="66E33A5F" w:rsidR="00E45766" w:rsidRPr="00C21E05" w:rsidRDefault="00015764" w:rsidP="007A3DDD">
      <w:pPr>
        <w:spacing w:after="0"/>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For case 1 and case 2 the EFAST method required the same number of samples to converge as the Sobol </w:t>
      </w:r>
      <w:r w:rsidR="0017359A" w:rsidRPr="00C21E05">
        <w:rPr>
          <w:rFonts w:ascii="Times New Roman" w:eastAsia="Times New Roman" w:hAnsi="Times New Roman" w:cs="Times New Roman"/>
          <w:sz w:val="20"/>
          <w:szCs w:val="20"/>
        </w:rPr>
        <w:t>method but</w:t>
      </w:r>
      <w:r w:rsidRPr="00C21E05">
        <w:rPr>
          <w:rFonts w:ascii="Times New Roman" w:eastAsia="Times New Roman" w:hAnsi="Times New Roman" w:cs="Times New Roman"/>
          <w:sz w:val="20"/>
          <w:szCs w:val="20"/>
        </w:rPr>
        <w:t xml:space="preserve"> was more efficient for case 3. The improved convergence of the EFAST method for case 3 did not appear to be caused by parameter interdependence or the lack of</w:t>
      </w:r>
      <w:r w:rsidR="00EA23C8" w:rsidRPr="00C21E05">
        <w:rPr>
          <w:rFonts w:ascii="Times New Roman" w:eastAsia="Times New Roman" w:hAnsi="Times New Roman" w:cs="Times New Roman"/>
          <w:sz w:val="20"/>
          <w:szCs w:val="20"/>
        </w:rPr>
        <w:t xml:space="preserve"> </w:t>
      </w:r>
      <w:r w:rsidRPr="00C21E05">
        <w:rPr>
          <w:rFonts w:ascii="Times New Roman" w:eastAsia="Times New Roman" w:hAnsi="Times New Roman" w:cs="Times New Roman"/>
          <w:sz w:val="20"/>
          <w:szCs w:val="20"/>
        </w:rPr>
        <w:t xml:space="preserve">and given the models for each case are represented by NN surrogate models, it was concluded that the outstanding convergence performance for case 3 for the EFAST method isn’t directly related to the model construction. The convergence rate of the EFAST method for case 3 </w:t>
      </w:r>
      <w:proofErr w:type="gramStart"/>
      <w:r w:rsidRPr="00C21E05">
        <w:rPr>
          <w:rFonts w:ascii="Times New Roman" w:eastAsia="Times New Roman" w:hAnsi="Times New Roman" w:cs="Times New Roman"/>
          <w:sz w:val="20"/>
          <w:szCs w:val="20"/>
        </w:rPr>
        <w:t>was considered to be</w:t>
      </w:r>
      <w:proofErr w:type="gramEnd"/>
      <w:r w:rsidRPr="00C21E05">
        <w:rPr>
          <w:rFonts w:ascii="Times New Roman" w:eastAsia="Times New Roman" w:hAnsi="Times New Roman" w:cs="Times New Roman"/>
          <w:sz w:val="20"/>
          <w:szCs w:val="20"/>
        </w:rPr>
        <w:t xml:space="preserve"> unrelated to the model itself excluding the possibility of a “goldilocks dimensionality” that could suit the EFAST method particularly well. </w:t>
      </w:r>
    </w:p>
    <w:p w14:paraId="4F20EA09" w14:textId="1AE19C3C" w:rsidR="00E45766" w:rsidRPr="00C21E05" w:rsidRDefault="00E45766" w:rsidP="007A3DDD">
      <w:pPr>
        <w:spacing w:after="0"/>
        <w:rPr>
          <w:rFonts w:ascii="Times New Roman" w:eastAsia="Times New Roman" w:hAnsi="Times New Roman" w:cs="Times New Roman"/>
          <w:sz w:val="20"/>
          <w:szCs w:val="20"/>
        </w:rPr>
      </w:pPr>
    </w:p>
    <w:p w14:paraId="3DAA28C5" w14:textId="6BBCFA2F" w:rsidR="00A01C2C" w:rsidRPr="00C21E05" w:rsidRDefault="00A01C2C" w:rsidP="00A01C2C">
      <w:pPr>
        <w:spacing w:after="0"/>
        <w:rPr>
          <w:rFonts w:ascii="Times New Roman" w:eastAsia="Times New Roman" w:hAnsi="Times New Roman" w:cs="Times New Roman"/>
          <w:color w:val="FF0000"/>
          <w:sz w:val="20"/>
          <w:szCs w:val="20"/>
        </w:rPr>
      </w:pPr>
      <w:r w:rsidRPr="00C21E05">
        <w:rPr>
          <w:rFonts w:ascii="Times New Roman" w:eastAsia="Times New Roman" w:hAnsi="Times New Roman" w:cs="Times New Roman"/>
          <w:sz w:val="20"/>
          <w:szCs w:val="20"/>
        </w:rPr>
        <w:t xml:space="preserve">Comparing the first and total order </w:t>
      </w:r>
      <w:r w:rsidR="00CC0500" w:rsidRPr="00C21E05">
        <w:rPr>
          <w:rFonts w:ascii="Times New Roman" w:eastAsia="Times New Roman" w:hAnsi="Times New Roman" w:cs="Times New Roman"/>
          <w:sz w:val="20"/>
          <w:szCs w:val="20"/>
        </w:rPr>
        <w:t>convergence results</w:t>
      </w:r>
      <w:r w:rsidRPr="00C21E05">
        <w:rPr>
          <w:rFonts w:ascii="Times New Roman" w:eastAsia="Times New Roman" w:hAnsi="Times New Roman" w:cs="Times New Roman"/>
          <w:sz w:val="20"/>
          <w:szCs w:val="20"/>
        </w:rPr>
        <w:t xml:space="preserve">, its shown that the first order </w:t>
      </w:r>
      <w:r w:rsidR="00CC0500" w:rsidRPr="00C21E05">
        <w:rPr>
          <w:rFonts w:ascii="Times New Roman" w:eastAsia="Times New Roman" w:hAnsi="Times New Roman" w:cs="Times New Roman"/>
          <w:sz w:val="20"/>
          <w:szCs w:val="20"/>
        </w:rPr>
        <w:t>parameter</w:t>
      </w:r>
      <w:r w:rsidRPr="00C21E05">
        <w:rPr>
          <w:rFonts w:ascii="Times New Roman" w:eastAsia="Times New Roman" w:hAnsi="Times New Roman" w:cs="Times New Roman"/>
          <w:sz w:val="20"/>
          <w:szCs w:val="20"/>
        </w:rPr>
        <w:t xml:space="preserve"> measure</w:t>
      </w:r>
      <w:r w:rsidR="00CC0500" w:rsidRPr="00C21E05">
        <w:rPr>
          <w:rFonts w:ascii="Times New Roman" w:eastAsia="Times New Roman" w:hAnsi="Times New Roman" w:cs="Times New Roman"/>
          <w:sz w:val="20"/>
          <w:szCs w:val="20"/>
        </w:rPr>
        <w:t>s</w:t>
      </w:r>
      <w:r w:rsidRPr="00C21E05">
        <w:rPr>
          <w:rFonts w:ascii="Times New Roman" w:eastAsia="Times New Roman" w:hAnsi="Times New Roman" w:cs="Times New Roman"/>
          <w:sz w:val="20"/>
          <w:szCs w:val="20"/>
        </w:rPr>
        <w:t xml:space="preserve"> converged faster than the total order</w:t>
      </w:r>
      <w:r w:rsidR="00CC0500" w:rsidRPr="00C21E05">
        <w:rPr>
          <w:rFonts w:ascii="Times New Roman" w:eastAsia="Times New Roman" w:hAnsi="Times New Roman" w:cs="Times New Roman"/>
          <w:sz w:val="20"/>
          <w:szCs w:val="20"/>
        </w:rPr>
        <w:t xml:space="preserve"> measures</w:t>
      </w:r>
      <w:r w:rsidRPr="00C21E05">
        <w:rPr>
          <w:rFonts w:ascii="Times New Roman" w:eastAsia="Times New Roman" w:hAnsi="Times New Roman" w:cs="Times New Roman"/>
          <w:sz w:val="20"/>
          <w:szCs w:val="20"/>
        </w:rPr>
        <w:t xml:space="preserve">, except for the Sobol’ method. Because the total order measure is a sum of the first order measure and all interdependent measures, it is speculated that the variance of the interdependence component opposes the variation of the first order measure, indicating convergence by acceptable variation. </w:t>
      </w:r>
      <w:r w:rsidR="004F3CAB" w:rsidRPr="00C21E05">
        <w:rPr>
          <w:rFonts w:ascii="Times New Roman" w:eastAsia="Times New Roman" w:hAnsi="Times New Roman" w:cs="Times New Roman"/>
          <w:sz w:val="20"/>
          <w:szCs w:val="20"/>
        </w:rPr>
        <w:t xml:space="preserve">The SALib library version of the </w:t>
      </w:r>
      <w:r w:rsidRPr="00C21E05">
        <w:rPr>
          <w:rFonts w:ascii="Times New Roman" w:eastAsia="Times New Roman" w:hAnsi="Times New Roman" w:cs="Times New Roman"/>
          <w:sz w:val="20"/>
          <w:szCs w:val="20"/>
        </w:rPr>
        <w:t>Sobol’ method</w:t>
      </w:r>
      <w:r w:rsidR="0096328D" w:rsidRPr="00C21E05">
        <w:rPr>
          <w:rFonts w:ascii="Times New Roman" w:eastAsia="Times New Roman" w:hAnsi="Times New Roman" w:cs="Times New Roman"/>
          <w:sz w:val="20"/>
          <w:szCs w:val="20"/>
        </w:rPr>
        <w:t xml:space="preserve"> calculates </w:t>
      </w:r>
      <w:r w:rsidRPr="00C21E05">
        <w:rPr>
          <w:rFonts w:ascii="Times New Roman" w:eastAsia="Times New Roman" w:hAnsi="Times New Roman" w:cs="Times New Roman"/>
          <w:sz w:val="20"/>
          <w:szCs w:val="20"/>
        </w:rPr>
        <w:t>the first and total order measures simultaneously using identical sample matrices</w:t>
      </w:r>
      <w:r w:rsidR="0096328D" w:rsidRPr="00C21E05">
        <w:rPr>
          <w:rFonts w:ascii="Times New Roman" w:eastAsia="Times New Roman" w:hAnsi="Times New Roman" w:cs="Times New Roman"/>
          <w:sz w:val="20"/>
          <w:szCs w:val="20"/>
        </w:rPr>
        <w:t xml:space="preserve">, </w:t>
      </w:r>
      <w:r w:rsidRPr="00C21E05">
        <w:rPr>
          <w:rFonts w:ascii="Times New Roman" w:eastAsia="Times New Roman" w:hAnsi="Times New Roman" w:cs="Times New Roman"/>
          <w:sz w:val="20"/>
          <w:szCs w:val="20"/>
        </w:rPr>
        <w:t>eliminating implementation as the source of this behaviour.</w:t>
      </w:r>
      <w:r w:rsidR="00FE2CE5" w:rsidRPr="00C21E05">
        <w:rPr>
          <w:rFonts w:ascii="Times New Roman" w:eastAsia="Times New Roman" w:hAnsi="Times New Roman" w:cs="Times New Roman"/>
          <w:sz w:val="20"/>
          <w:szCs w:val="20"/>
        </w:rPr>
        <w:t xml:space="preserve"> It was observed that the EFAST method required the same number of samples to converge for both first and total order for each of the three cases, where the HDMR method converged more rapidly for the first order than the total order GSA measures for case 1 and 3. The lower CoC for the first order measure compared to the total order is intuitive and is believed to be due to the method in which </w:t>
      </w:r>
      <w:r w:rsidR="00B02338" w:rsidRPr="00C21E05">
        <w:rPr>
          <w:rFonts w:ascii="Times New Roman" w:eastAsia="Times New Roman" w:hAnsi="Times New Roman" w:cs="Times New Roman"/>
          <w:sz w:val="20"/>
          <w:szCs w:val="20"/>
        </w:rPr>
        <w:t>the</w:t>
      </w:r>
      <w:r w:rsidR="00FE2CE5" w:rsidRPr="00C21E05">
        <w:rPr>
          <w:rFonts w:ascii="Times New Roman" w:eastAsia="Times New Roman" w:hAnsi="Times New Roman" w:cs="Times New Roman"/>
          <w:sz w:val="20"/>
          <w:szCs w:val="20"/>
        </w:rPr>
        <w:t xml:space="preserve"> </w:t>
      </w:r>
      <w:r w:rsidR="000A098E" w:rsidRPr="00C21E05">
        <w:rPr>
          <w:rFonts w:ascii="Times New Roman" w:eastAsia="Times New Roman" w:hAnsi="Times New Roman" w:cs="Times New Roman"/>
          <w:sz w:val="20"/>
          <w:szCs w:val="20"/>
        </w:rPr>
        <w:t xml:space="preserve">particular </w:t>
      </w:r>
      <w:r w:rsidR="00FE2CE5" w:rsidRPr="00C21E05">
        <w:rPr>
          <w:rFonts w:ascii="Times New Roman" w:eastAsia="Times New Roman" w:hAnsi="Times New Roman" w:cs="Times New Roman"/>
          <w:sz w:val="20"/>
          <w:szCs w:val="20"/>
        </w:rPr>
        <w:t xml:space="preserve">HDMR method </w:t>
      </w:r>
      <w:r w:rsidR="00B02338" w:rsidRPr="00C21E05">
        <w:rPr>
          <w:rFonts w:ascii="Times New Roman" w:eastAsia="Times New Roman" w:hAnsi="Times New Roman" w:cs="Times New Roman"/>
          <w:sz w:val="20"/>
          <w:szCs w:val="20"/>
        </w:rPr>
        <w:t xml:space="preserve">contained in the SALib </w:t>
      </w:r>
      <w:r w:rsidR="00FE2CE5" w:rsidRPr="00C21E05">
        <w:rPr>
          <w:rFonts w:ascii="Times New Roman" w:eastAsia="Times New Roman" w:hAnsi="Times New Roman" w:cs="Times New Roman"/>
          <w:sz w:val="20"/>
          <w:szCs w:val="20"/>
        </w:rPr>
        <w:t>use</w:t>
      </w:r>
      <w:r w:rsidR="00B02338" w:rsidRPr="00C21E05">
        <w:rPr>
          <w:rFonts w:ascii="Times New Roman" w:eastAsia="Times New Roman" w:hAnsi="Times New Roman" w:cs="Times New Roman"/>
          <w:sz w:val="20"/>
          <w:szCs w:val="20"/>
        </w:rPr>
        <w:t xml:space="preserve">s </w:t>
      </w:r>
      <w:r w:rsidR="00FE2CE5" w:rsidRPr="00C21E05">
        <w:rPr>
          <w:rFonts w:ascii="Times New Roman" w:eastAsia="Times New Roman" w:hAnsi="Times New Roman" w:cs="Times New Roman"/>
          <w:sz w:val="20"/>
          <w:szCs w:val="20"/>
        </w:rPr>
        <w:t>to estimate the first and total order GSA measures, using both a ANOVA method and an analysis of covariance (AN</w:t>
      </w:r>
      <w:r w:rsidR="00B02338" w:rsidRPr="00C21E05">
        <w:rPr>
          <w:rFonts w:ascii="Times New Roman" w:eastAsia="Times New Roman" w:hAnsi="Times New Roman" w:cs="Times New Roman"/>
          <w:sz w:val="20"/>
          <w:szCs w:val="20"/>
        </w:rPr>
        <w:t>CO</w:t>
      </w:r>
      <w:r w:rsidR="00FE2CE5" w:rsidRPr="00C21E05">
        <w:rPr>
          <w:rFonts w:ascii="Times New Roman" w:eastAsia="Times New Roman" w:hAnsi="Times New Roman" w:cs="Times New Roman"/>
          <w:sz w:val="20"/>
          <w:szCs w:val="20"/>
        </w:rPr>
        <w:t>VA)</w:t>
      </w:r>
      <w:r w:rsidR="00B02338" w:rsidRPr="00C21E05">
        <w:rPr>
          <w:rFonts w:ascii="Times New Roman" w:eastAsia="Times New Roman" w:hAnsi="Times New Roman" w:cs="Times New Roman"/>
          <w:sz w:val="20"/>
          <w:szCs w:val="20"/>
        </w:rPr>
        <w:t xml:space="preserve"> as opposed to the Sobol method using only ANOVA. </w:t>
      </w:r>
    </w:p>
    <w:p w14:paraId="5C3378B2" w14:textId="77777777" w:rsidR="00A01C2C" w:rsidRPr="00C21E05" w:rsidRDefault="00A01C2C" w:rsidP="007A3DDD">
      <w:pPr>
        <w:spacing w:after="0"/>
        <w:rPr>
          <w:rFonts w:ascii="Times New Roman" w:eastAsia="Times New Roman" w:hAnsi="Times New Roman" w:cs="Times New Roman"/>
          <w:sz w:val="20"/>
          <w:szCs w:val="20"/>
        </w:rPr>
      </w:pPr>
    </w:p>
    <w:p w14:paraId="663F3DF7" w14:textId="55FCC1FF" w:rsidR="000B46F4" w:rsidRPr="00C21E05" w:rsidRDefault="00DC3C98" w:rsidP="000B46F4">
      <w:pPr>
        <w:spacing w:after="0"/>
        <w:rPr>
          <w:rFonts w:ascii="Times New Roman" w:eastAsia="Times New Roman" w:hAnsi="Times New Roman" w:cs="Times New Roman"/>
          <w:color w:val="FF0000"/>
          <w:sz w:val="20"/>
          <w:szCs w:val="20"/>
        </w:rPr>
      </w:pPr>
      <w:r w:rsidRPr="00C21E05">
        <w:rPr>
          <w:rFonts w:ascii="Times New Roman" w:eastAsia="Times New Roman" w:hAnsi="Times New Roman" w:cs="Times New Roman"/>
          <w:sz w:val="20"/>
          <w:szCs w:val="20"/>
        </w:rPr>
        <w:t>T</w:t>
      </w:r>
      <w:r w:rsidR="00071DB2" w:rsidRPr="00C21E05">
        <w:rPr>
          <w:rFonts w:ascii="Times New Roman" w:eastAsia="Times New Roman" w:hAnsi="Times New Roman" w:cs="Times New Roman"/>
          <w:sz w:val="20"/>
          <w:szCs w:val="20"/>
        </w:rPr>
        <w:t>he</w:t>
      </w:r>
      <w:r w:rsidR="007C37C3" w:rsidRPr="00C21E05">
        <w:rPr>
          <w:rFonts w:ascii="Times New Roman" w:eastAsia="Times New Roman" w:hAnsi="Times New Roman" w:cs="Times New Roman"/>
          <w:sz w:val="20"/>
          <w:szCs w:val="20"/>
        </w:rPr>
        <w:t xml:space="preserve"> trend </w:t>
      </w:r>
      <w:r w:rsidRPr="00C21E05">
        <w:rPr>
          <w:rFonts w:ascii="Times New Roman" w:eastAsia="Times New Roman" w:hAnsi="Times New Roman" w:cs="Times New Roman"/>
          <w:sz w:val="20"/>
          <w:szCs w:val="20"/>
        </w:rPr>
        <w:t>for</w:t>
      </w:r>
      <w:r w:rsidR="001B7734" w:rsidRPr="00C21E05">
        <w:rPr>
          <w:rFonts w:ascii="Times New Roman" w:eastAsia="Times New Roman" w:hAnsi="Times New Roman" w:cs="Times New Roman"/>
          <w:sz w:val="20"/>
          <w:szCs w:val="20"/>
        </w:rPr>
        <w:t xml:space="preserve"> </w:t>
      </w:r>
      <w:r w:rsidR="00D22E4F" w:rsidRPr="00C21E05">
        <w:rPr>
          <w:rFonts w:ascii="Times New Roman" w:eastAsia="Times New Roman" w:hAnsi="Times New Roman" w:cs="Times New Roman"/>
          <w:sz w:val="20"/>
          <w:szCs w:val="20"/>
        </w:rPr>
        <w:t xml:space="preserve">CoC </w:t>
      </w:r>
      <w:r w:rsidR="00071DB2" w:rsidRPr="00C21E05">
        <w:rPr>
          <w:rFonts w:ascii="Times New Roman" w:eastAsia="Times New Roman" w:hAnsi="Times New Roman" w:cs="Times New Roman"/>
          <w:sz w:val="20"/>
          <w:szCs w:val="20"/>
        </w:rPr>
        <w:t>increase</w:t>
      </w:r>
      <w:r w:rsidR="004A50A6" w:rsidRPr="00C21E05">
        <w:rPr>
          <w:rFonts w:ascii="Times New Roman" w:eastAsia="Times New Roman" w:hAnsi="Times New Roman" w:cs="Times New Roman"/>
          <w:sz w:val="20"/>
          <w:szCs w:val="20"/>
        </w:rPr>
        <w:t>d</w:t>
      </w:r>
      <w:r w:rsidR="001B7734" w:rsidRPr="00C21E05">
        <w:rPr>
          <w:rFonts w:ascii="Times New Roman" w:eastAsia="Times New Roman" w:hAnsi="Times New Roman" w:cs="Times New Roman"/>
          <w:sz w:val="20"/>
          <w:szCs w:val="20"/>
        </w:rPr>
        <w:t xml:space="preserve"> as a function of the number of parameters</w:t>
      </w:r>
      <w:r w:rsidRPr="00C21E05">
        <w:rPr>
          <w:rFonts w:ascii="Times New Roman" w:eastAsia="Times New Roman" w:hAnsi="Times New Roman" w:cs="Times New Roman"/>
          <w:sz w:val="20"/>
          <w:szCs w:val="20"/>
        </w:rPr>
        <w:t xml:space="preserve">, with </w:t>
      </w:r>
      <w:r w:rsidR="00856B11" w:rsidRPr="00C21E05">
        <w:rPr>
          <w:rFonts w:ascii="Times New Roman" w:eastAsia="Times New Roman" w:hAnsi="Times New Roman" w:cs="Times New Roman"/>
          <w:sz w:val="20"/>
          <w:szCs w:val="20"/>
        </w:rPr>
        <w:t>two</w:t>
      </w:r>
      <w:r w:rsidRPr="00C21E05">
        <w:rPr>
          <w:rFonts w:ascii="Times New Roman" w:eastAsia="Times New Roman" w:hAnsi="Times New Roman" w:cs="Times New Roman"/>
          <w:sz w:val="20"/>
          <w:szCs w:val="20"/>
        </w:rPr>
        <w:t xml:space="preserve"> exception</w:t>
      </w:r>
      <w:r w:rsidR="00856B11" w:rsidRPr="00C21E05">
        <w:rPr>
          <w:rFonts w:ascii="Times New Roman" w:eastAsia="Times New Roman" w:hAnsi="Times New Roman" w:cs="Times New Roman"/>
          <w:sz w:val="20"/>
          <w:szCs w:val="20"/>
        </w:rPr>
        <w:t>s caused by numerical instability</w:t>
      </w:r>
      <w:r w:rsidR="001B7734" w:rsidRPr="00C21E05">
        <w:rPr>
          <w:rFonts w:ascii="Times New Roman" w:eastAsia="Times New Roman" w:hAnsi="Times New Roman" w:cs="Times New Roman"/>
          <w:sz w:val="20"/>
          <w:szCs w:val="20"/>
        </w:rPr>
        <w:t xml:space="preserve">. </w:t>
      </w:r>
      <w:r w:rsidRPr="00C21E05">
        <w:rPr>
          <w:rFonts w:ascii="Times New Roman" w:eastAsia="Times New Roman" w:hAnsi="Times New Roman" w:cs="Times New Roman"/>
          <w:sz w:val="20"/>
          <w:szCs w:val="20"/>
        </w:rPr>
        <w:t>For Case 3</w:t>
      </w:r>
      <w:r w:rsidR="005A4601"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the </w:t>
      </w:r>
      <w:r w:rsidR="00856B11" w:rsidRPr="00C21E05">
        <w:rPr>
          <w:rFonts w:ascii="Times New Roman" w:eastAsia="Times New Roman" w:hAnsi="Times New Roman" w:cs="Times New Roman"/>
          <w:sz w:val="20"/>
          <w:szCs w:val="20"/>
        </w:rPr>
        <w:t>Morris</w:t>
      </w:r>
      <w:r w:rsidRPr="00C21E05">
        <w:rPr>
          <w:rFonts w:ascii="Times New Roman" w:eastAsia="Times New Roman" w:hAnsi="Times New Roman" w:cs="Times New Roman"/>
          <w:sz w:val="20"/>
          <w:szCs w:val="20"/>
        </w:rPr>
        <w:t xml:space="preserve"> method exhibited a single deviation for one of the dominant parameters with an error &gt;10% from the converged sensitivity value in the 7500-10,000 sample range</w:t>
      </w:r>
      <w:r w:rsidR="001D6FD9" w:rsidRPr="00C21E05">
        <w:rPr>
          <w:rFonts w:ascii="Times New Roman" w:eastAsia="Times New Roman" w:hAnsi="Times New Roman" w:cs="Times New Roman"/>
          <w:sz w:val="20"/>
          <w:szCs w:val="20"/>
        </w:rPr>
        <w:t xml:space="preserve"> (Fig. </w:t>
      </w:r>
      <w:r w:rsidR="00C84562" w:rsidRPr="00C21E05">
        <w:rPr>
          <w:rFonts w:ascii="Times New Roman" w:eastAsia="Times New Roman" w:hAnsi="Times New Roman" w:cs="Times New Roman"/>
          <w:sz w:val="20"/>
          <w:szCs w:val="20"/>
        </w:rPr>
        <w:t>2</w:t>
      </w:r>
      <w:r w:rsidR="001D6FD9" w:rsidRPr="00C21E05">
        <w:rPr>
          <w:rFonts w:ascii="Times New Roman" w:eastAsia="Times New Roman" w:hAnsi="Times New Roman" w:cs="Times New Roman"/>
          <w:sz w:val="20"/>
          <w:szCs w:val="20"/>
        </w:rPr>
        <w:t>)</w:t>
      </w:r>
      <w:r w:rsidR="00856B11" w:rsidRPr="00C21E05">
        <w:rPr>
          <w:rFonts w:ascii="Times New Roman" w:eastAsia="Times New Roman" w:hAnsi="Times New Roman" w:cs="Times New Roman"/>
          <w:sz w:val="20"/>
          <w:szCs w:val="20"/>
        </w:rPr>
        <w:t xml:space="preserve">, </w:t>
      </w:r>
      <w:r w:rsidR="004A50A6" w:rsidRPr="00C21E05">
        <w:rPr>
          <w:rFonts w:ascii="Times New Roman" w:eastAsia="Times New Roman" w:hAnsi="Times New Roman" w:cs="Times New Roman"/>
          <w:sz w:val="20"/>
          <w:szCs w:val="20"/>
        </w:rPr>
        <w:t>resulting in</w:t>
      </w:r>
      <w:r w:rsidR="00856B11" w:rsidRPr="00C21E05">
        <w:rPr>
          <w:rFonts w:ascii="Times New Roman" w:eastAsia="Times New Roman" w:hAnsi="Times New Roman" w:cs="Times New Roman"/>
          <w:sz w:val="20"/>
          <w:szCs w:val="20"/>
        </w:rPr>
        <w:t xml:space="preserve"> the Case</w:t>
      </w:r>
      <w:r w:rsidR="004A50A6" w:rsidRPr="00C21E05">
        <w:rPr>
          <w:rFonts w:ascii="Times New Roman" w:eastAsia="Times New Roman" w:hAnsi="Times New Roman" w:cs="Times New Roman"/>
          <w:sz w:val="20"/>
          <w:szCs w:val="20"/>
        </w:rPr>
        <w:t xml:space="preserve"> 3</w:t>
      </w:r>
      <w:r w:rsidR="00856B11" w:rsidRPr="00C21E05">
        <w:rPr>
          <w:rFonts w:ascii="Times New Roman" w:eastAsia="Times New Roman" w:hAnsi="Times New Roman" w:cs="Times New Roman"/>
          <w:sz w:val="20"/>
          <w:szCs w:val="20"/>
        </w:rPr>
        <w:t xml:space="preserve"> CoC to be greater than the Case </w:t>
      </w:r>
      <w:r w:rsidR="004A50A6" w:rsidRPr="00C21E05">
        <w:rPr>
          <w:rFonts w:ascii="Times New Roman" w:eastAsia="Times New Roman" w:hAnsi="Times New Roman" w:cs="Times New Roman"/>
          <w:sz w:val="20"/>
          <w:szCs w:val="20"/>
        </w:rPr>
        <w:t>1</w:t>
      </w:r>
      <w:r w:rsidR="00856B11" w:rsidRPr="00C21E05">
        <w:rPr>
          <w:rFonts w:ascii="Times New Roman" w:eastAsia="Times New Roman" w:hAnsi="Times New Roman" w:cs="Times New Roman"/>
          <w:sz w:val="20"/>
          <w:szCs w:val="20"/>
        </w:rPr>
        <w:t xml:space="preserve"> CoC</w:t>
      </w:r>
      <w:r w:rsidRPr="00C21E05">
        <w:rPr>
          <w:rFonts w:ascii="Times New Roman" w:eastAsia="Times New Roman" w:hAnsi="Times New Roman" w:cs="Times New Roman"/>
          <w:sz w:val="20"/>
          <w:szCs w:val="20"/>
        </w:rPr>
        <w:t>.</w:t>
      </w:r>
      <w:r w:rsidR="001D6FD9" w:rsidRPr="00C21E05">
        <w:rPr>
          <w:rFonts w:ascii="Times New Roman" w:eastAsia="Times New Roman" w:hAnsi="Times New Roman" w:cs="Times New Roman"/>
          <w:sz w:val="20"/>
          <w:szCs w:val="20"/>
        </w:rPr>
        <w:t xml:space="preserve"> </w:t>
      </w:r>
      <w:r w:rsidR="0086425D" w:rsidRPr="00C21E05">
        <w:rPr>
          <w:rFonts w:ascii="Times New Roman" w:eastAsia="Times New Roman" w:hAnsi="Times New Roman" w:cs="Times New Roman"/>
          <w:sz w:val="20"/>
          <w:szCs w:val="20"/>
        </w:rPr>
        <w:t>I</w:t>
      </w:r>
      <w:r w:rsidR="000B46F4" w:rsidRPr="00C21E05">
        <w:rPr>
          <w:rFonts w:ascii="Times New Roman" w:eastAsia="Times New Roman" w:hAnsi="Times New Roman" w:cs="Times New Roman"/>
          <w:sz w:val="20"/>
          <w:szCs w:val="20"/>
        </w:rPr>
        <w:t>nstabilit</w:t>
      </w:r>
      <w:r w:rsidR="0086425D" w:rsidRPr="00C21E05">
        <w:rPr>
          <w:rFonts w:ascii="Times New Roman" w:eastAsia="Times New Roman" w:hAnsi="Times New Roman" w:cs="Times New Roman"/>
          <w:sz w:val="20"/>
          <w:szCs w:val="20"/>
        </w:rPr>
        <w:t>y in convergence</w:t>
      </w:r>
      <w:r w:rsidR="000B46F4" w:rsidRPr="00C21E05">
        <w:rPr>
          <w:rFonts w:ascii="Times New Roman" w:eastAsia="Times New Roman" w:hAnsi="Times New Roman" w:cs="Times New Roman"/>
          <w:sz w:val="20"/>
          <w:szCs w:val="20"/>
        </w:rPr>
        <w:t xml:space="preserve"> </w:t>
      </w:r>
      <w:r w:rsidR="0086425D" w:rsidRPr="00C21E05">
        <w:rPr>
          <w:rFonts w:ascii="Times New Roman" w:eastAsia="Times New Roman" w:hAnsi="Times New Roman" w:cs="Times New Roman"/>
          <w:sz w:val="20"/>
          <w:szCs w:val="20"/>
        </w:rPr>
        <w:t>was also noted in</w:t>
      </w:r>
      <w:r w:rsidR="000B46F4" w:rsidRPr="00C21E05">
        <w:rPr>
          <w:rFonts w:ascii="Times New Roman" w:eastAsia="Times New Roman" w:hAnsi="Times New Roman" w:cs="Times New Roman"/>
          <w:sz w:val="20"/>
          <w:szCs w:val="20"/>
        </w:rPr>
        <w:t xml:space="preserve"> the Sobol method for case</w:t>
      </w:r>
      <w:r w:rsidR="001A628E" w:rsidRPr="00C21E05">
        <w:rPr>
          <w:rFonts w:ascii="Times New Roman" w:eastAsia="Times New Roman" w:hAnsi="Times New Roman" w:cs="Times New Roman"/>
          <w:sz w:val="20"/>
          <w:szCs w:val="20"/>
        </w:rPr>
        <w:t>s</w:t>
      </w:r>
      <w:r w:rsidR="000B46F4" w:rsidRPr="00C21E05">
        <w:rPr>
          <w:rFonts w:ascii="Times New Roman" w:eastAsia="Times New Roman" w:hAnsi="Times New Roman" w:cs="Times New Roman"/>
          <w:sz w:val="20"/>
          <w:szCs w:val="20"/>
        </w:rPr>
        <w:t xml:space="preserve"> 1</w:t>
      </w:r>
      <w:r w:rsidR="001A628E" w:rsidRPr="00C21E05">
        <w:rPr>
          <w:rFonts w:ascii="Times New Roman" w:eastAsia="Times New Roman" w:hAnsi="Times New Roman" w:cs="Times New Roman"/>
          <w:sz w:val="20"/>
          <w:szCs w:val="20"/>
        </w:rPr>
        <w:t xml:space="preserve"> and 3</w:t>
      </w:r>
      <w:r w:rsidR="00D863DD" w:rsidRPr="00C21E05">
        <w:rPr>
          <w:rFonts w:ascii="Times New Roman" w:eastAsia="Times New Roman" w:hAnsi="Times New Roman" w:cs="Times New Roman"/>
          <w:sz w:val="20"/>
          <w:szCs w:val="20"/>
        </w:rPr>
        <w:t xml:space="preserve"> where the dominant parameters oscillated about the converged value after </w:t>
      </w:r>
      <w:r w:rsidR="001A628E" w:rsidRPr="00C21E05">
        <w:rPr>
          <w:rFonts w:ascii="Times New Roman" w:eastAsia="Times New Roman" w:hAnsi="Times New Roman" w:cs="Times New Roman"/>
          <w:sz w:val="20"/>
          <w:szCs w:val="20"/>
        </w:rPr>
        <w:t>5000 samples until consistently predicting the converged value at 50,000 samples for both cases</w:t>
      </w:r>
      <w:r w:rsidR="000B46F4" w:rsidRPr="00C21E05">
        <w:rPr>
          <w:rFonts w:ascii="Times New Roman" w:eastAsia="Times New Roman" w:hAnsi="Times New Roman" w:cs="Times New Roman"/>
          <w:sz w:val="20"/>
          <w:szCs w:val="20"/>
        </w:rPr>
        <w:t xml:space="preserve">. </w:t>
      </w:r>
      <w:r w:rsidR="00EE72D2" w:rsidRPr="00C21E05">
        <w:rPr>
          <w:rFonts w:ascii="Times New Roman" w:eastAsia="Times New Roman" w:hAnsi="Times New Roman" w:cs="Times New Roman"/>
          <w:sz w:val="20"/>
          <w:szCs w:val="20"/>
        </w:rPr>
        <w:t>The reduced CoC for both the Morris method and the DGSM method</w:t>
      </w:r>
      <w:r w:rsidR="00DD042E" w:rsidRPr="00C21E05">
        <w:rPr>
          <w:rFonts w:ascii="Times New Roman" w:eastAsia="Times New Roman" w:hAnsi="Times New Roman" w:cs="Times New Roman"/>
          <w:sz w:val="20"/>
          <w:szCs w:val="20"/>
        </w:rPr>
        <w:t xml:space="preserve"> is likely </w:t>
      </w:r>
      <w:r w:rsidR="00EE72D2" w:rsidRPr="00C21E05">
        <w:rPr>
          <w:rFonts w:ascii="Times New Roman" w:eastAsia="Times New Roman" w:hAnsi="Times New Roman" w:cs="Times New Roman"/>
          <w:sz w:val="20"/>
          <w:szCs w:val="20"/>
        </w:rPr>
        <w:t xml:space="preserve">due to </w:t>
      </w:r>
      <w:r w:rsidR="00DD042E" w:rsidRPr="00C21E05">
        <w:rPr>
          <w:rFonts w:ascii="Times New Roman" w:eastAsia="Times New Roman" w:hAnsi="Times New Roman" w:cs="Times New Roman"/>
          <w:sz w:val="20"/>
          <w:szCs w:val="20"/>
        </w:rPr>
        <w:t>both</w:t>
      </w:r>
      <w:r w:rsidR="00EE72D2" w:rsidRPr="00C21E05">
        <w:rPr>
          <w:rFonts w:ascii="Times New Roman" w:eastAsia="Times New Roman" w:hAnsi="Times New Roman" w:cs="Times New Roman"/>
          <w:sz w:val="20"/>
          <w:szCs w:val="20"/>
        </w:rPr>
        <w:t xml:space="preserve"> methods using a derivative based approach to estimating the total order GSA measure, while the reduced CoC for the HDRM method when compared to the other quantitative methods studied is thought to be caused by </w:t>
      </w:r>
      <w:r w:rsidR="00DD042E" w:rsidRPr="00C21E05">
        <w:rPr>
          <w:rFonts w:ascii="Times New Roman" w:eastAsia="Times New Roman" w:hAnsi="Times New Roman" w:cs="Times New Roman"/>
          <w:sz w:val="20"/>
          <w:szCs w:val="20"/>
        </w:rPr>
        <w:t>implementation of the</w:t>
      </w:r>
      <w:r w:rsidR="00EE72D2" w:rsidRPr="00C21E05">
        <w:rPr>
          <w:rFonts w:ascii="Times New Roman" w:eastAsia="Times New Roman" w:hAnsi="Times New Roman" w:cs="Times New Roman"/>
          <w:sz w:val="20"/>
          <w:szCs w:val="20"/>
        </w:rPr>
        <w:t xml:space="preserve"> ANCOVA along</w:t>
      </w:r>
      <w:r w:rsidR="00DD042E" w:rsidRPr="00C21E05">
        <w:rPr>
          <w:rFonts w:ascii="Times New Roman" w:eastAsia="Times New Roman" w:hAnsi="Times New Roman" w:cs="Times New Roman"/>
          <w:sz w:val="20"/>
          <w:szCs w:val="20"/>
        </w:rPr>
        <w:t xml:space="preserve">side the </w:t>
      </w:r>
      <w:r w:rsidR="00EE72D2" w:rsidRPr="00C21E05">
        <w:rPr>
          <w:rFonts w:ascii="Times New Roman" w:eastAsia="Times New Roman" w:hAnsi="Times New Roman" w:cs="Times New Roman"/>
          <w:sz w:val="20"/>
          <w:szCs w:val="20"/>
        </w:rPr>
        <w:t xml:space="preserve">ANOVA </w:t>
      </w:r>
      <w:r w:rsidR="00DD042E" w:rsidRPr="00C21E05">
        <w:rPr>
          <w:rFonts w:ascii="Times New Roman" w:eastAsia="Times New Roman" w:hAnsi="Times New Roman" w:cs="Times New Roman"/>
          <w:sz w:val="20"/>
          <w:szCs w:val="20"/>
        </w:rPr>
        <w:t xml:space="preserve">approach </w:t>
      </w:r>
      <w:r w:rsidR="00EE72D2" w:rsidRPr="00C21E05">
        <w:rPr>
          <w:rFonts w:ascii="Times New Roman" w:eastAsia="Times New Roman" w:hAnsi="Times New Roman" w:cs="Times New Roman"/>
          <w:sz w:val="20"/>
          <w:szCs w:val="20"/>
        </w:rPr>
        <w:t xml:space="preserve">as opposed to only ANOVA as with the Sobol method. </w:t>
      </w:r>
    </w:p>
    <w:p w14:paraId="558313EC" w14:textId="77777777" w:rsidR="004A50A6" w:rsidRPr="00C21E05" w:rsidRDefault="004A50A6" w:rsidP="007A3DDD">
      <w:pPr>
        <w:spacing w:after="0"/>
        <w:rPr>
          <w:rFonts w:ascii="Times New Roman" w:eastAsia="Times New Roman" w:hAnsi="Times New Roman" w:cs="Times New Roman"/>
          <w:sz w:val="20"/>
          <w:szCs w:val="20"/>
        </w:rPr>
      </w:pPr>
    </w:p>
    <w:p w14:paraId="50425311" w14:textId="4973D3C6" w:rsidR="003E1974" w:rsidRPr="00C21E05" w:rsidRDefault="001B7734" w:rsidP="007A3DDD">
      <w:pPr>
        <w:spacing w:after="0"/>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The number of parameters </w:t>
      </w:r>
      <w:r w:rsidR="001D6FD9" w:rsidRPr="00C21E05">
        <w:rPr>
          <w:rFonts w:ascii="Times New Roman" w:eastAsia="Times New Roman" w:hAnsi="Times New Roman" w:cs="Times New Roman"/>
          <w:sz w:val="20"/>
          <w:szCs w:val="20"/>
        </w:rPr>
        <w:t xml:space="preserve">that should be included in a </w:t>
      </w:r>
      <w:r w:rsidRPr="00C21E05">
        <w:rPr>
          <w:rFonts w:ascii="Times New Roman" w:eastAsia="Times New Roman" w:hAnsi="Times New Roman" w:cs="Times New Roman"/>
          <w:sz w:val="20"/>
          <w:szCs w:val="20"/>
        </w:rPr>
        <w:t xml:space="preserve">convergence </w:t>
      </w:r>
      <w:r w:rsidR="001D6FD9" w:rsidRPr="00C21E05">
        <w:rPr>
          <w:rFonts w:ascii="Times New Roman" w:eastAsia="Times New Roman" w:hAnsi="Times New Roman" w:cs="Times New Roman"/>
          <w:sz w:val="20"/>
          <w:szCs w:val="20"/>
        </w:rPr>
        <w:t>study depends</w:t>
      </w:r>
      <w:r w:rsidRPr="00C21E05">
        <w:rPr>
          <w:rFonts w:ascii="Times New Roman" w:eastAsia="Times New Roman" w:hAnsi="Times New Roman" w:cs="Times New Roman"/>
          <w:sz w:val="20"/>
          <w:szCs w:val="20"/>
        </w:rPr>
        <w:t xml:space="preserve"> on the intended use of the GSA results</w:t>
      </w:r>
      <w:r w:rsidR="001D6FD9" w:rsidRPr="00C21E05">
        <w:rPr>
          <w:rFonts w:ascii="Times New Roman" w:eastAsia="Times New Roman" w:hAnsi="Times New Roman" w:cs="Times New Roman"/>
          <w:sz w:val="20"/>
          <w:szCs w:val="20"/>
        </w:rPr>
        <w:t>.</w:t>
      </w:r>
      <w:r w:rsidRPr="00C21E05">
        <w:rPr>
          <w:rFonts w:ascii="Times New Roman" w:eastAsia="Times New Roman" w:hAnsi="Times New Roman" w:cs="Times New Roman"/>
          <w:sz w:val="20"/>
          <w:szCs w:val="20"/>
        </w:rPr>
        <w:t xml:space="preserve"> </w:t>
      </w:r>
      <w:r w:rsidR="001D6FD9" w:rsidRPr="00C21E05">
        <w:rPr>
          <w:rFonts w:ascii="Times New Roman" w:eastAsia="Times New Roman" w:hAnsi="Times New Roman" w:cs="Times New Roman"/>
          <w:sz w:val="20"/>
          <w:szCs w:val="20"/>
        </w:rPr>
        <w:t>I</w:t>
      </w:r>
      <w:r w:rsidRPr="00C21E05">
        <w:rPr>
          <w:rFonts w:ascii="Times New Roman" w:eastAsia="Times New Roman" w:hAnsi="Times New Roman" w:cs="Times New Roman"/>
          <w:sz w:val="20"/>
          <w:szCs w:val="20"/>
        </w:rPr>
        <w:t xml:space="preserve">f </w:t>
      </w:r>
      <w:r w:rsidR="001D6FD9" w:rsidRPr="00C21E05">
        <w:rPr>
          <w:rFonts w:ascii="Times New Roman" w:eastAsia="Times New Roman" w:hAnsi="Times New Roman" w:cs="Times New Roman"/>
          <w:sz w:val="20"/>
          <w:szCs w:val="20"/>
        </w:rPr>
        <w:t xml:space="preserve">the purpose is </w:t>
      </w:r>
      <w:r w:rsidR="001C0407" w:rsidRPr="00C21E05">
        <w:rPr>
          <w:rFonts w:ascii="Times New Roman" w:eastAsia="Times New Roman" w:hAnsi="Times New Roman" w:cs="Times New Roman"/>
          <w:sz w:val="20"/>
          <w:szCs w:val="20"/>
        </w:rPr>
        <w:t xml:space="preserve">an initial screening </w:t>
      </w:r>
      <w:r w:rsidR="001D6FD9" w:rsidRPr="00C21E05">
        <w:rPr>
          <w:rFonts w:ascii="Times New Roman" w:eastAsia="Times New Roman" w:hAnsi="Times New Roman" w:cs="Times New Roman"/>
          <w:sz w:val="20"/>
          <w:szCs w:val="20"/>
        </w:rPr>
        <w:t>to r</w:t>
      </w:r>
      <w:r w:rsidR="00924608" w:rsidRPr="00C21E05">
        <w:rPr>
          <w:rFonts w:ascii="Times New Roman" w:eastAsia="Times New Roman" w:hAnsi="Times New Roman" w:cs="Times New Roman"/>
          <w:sz w:val="20"/>
          <w:szCs w:val="20"/>
        </w:rPr>
        <w:t>educ</w:t>
      </w:r>
      <w:r w:rsidR="001D6FD9" w:rsidRPr="00C21E05">
        <w:rPr>
          <w:rFonts w:ascii="Times New Roman" w:eastAsia="Times New Roman" w:hAnsi="Times New Roman" w:cs="Times New Roman"/>
          <w:sz w:val="20"/>
          <w:szCs w:val="20"/>
        </w:rPr>
        <w:t>e</w:t>
      </w:r>
      <w:r w:rsidR="00924608" w:rsidRPr="00C21E05">
        <w:rPr>
          <w:rFonts w:ascii="Times New Roman" w:eastAsia="Times New Roman" w:hAnsi="Times New Roman" w:cs="Times New Roman"/>
          <w:sz w:val="20"/>
          <w:szCs w:val="20"/>
        </w:rPr>
        <w:t xml:space="preserve"> </w:t>
      </w:r>
      <w:r w:rsidR="001D6FD9" w:rsidRPr="00C21E05">
        <w:rPr>
          <w:rFonts w:ascii="Times New Roman" w:eastAsia="Times New Roman" w:hAnsi="Times New Roman" w:cs="Times New Roman"/>
          <w:sz w:val="20"/>
          <w:szCs w:val="20"/>
        </w:rPr>
        <w:t>model</w:t>
      </w:r>
      <w:r w:rsidRPr="00C21E05">
        <w:rPr>
          <w:rFonts w:ascii="Times New Roman" w:eastAsia="Times New Roman" w:hAnsi="Times New Roman" w:cs="Times New Roman"/>
          <w:sz w:val="20"/>
          <w:szCs w:val="20"/>
        </w:rPr>
        <w:t xml:space="preserve"> dimensional</w:t>
      </w:r>
      <w:r w:rsidR="001D6FD9" w:rsidRPr="00C21E05">
        <w:rPr>
          <w:rFonts w:ascii="Times New Roman" w:eastAsia="Times New Roman" w:hAnsi="Times New Roman" w:cs="Times New Roman"/>
          <w:sz w:val="20"/>
          <w:szCs w:val="20"/>
        </w:rPr>
        <w:t>ity</w:t>
      </w:r>
      <w:r w:rsidR="005A4601" w:rsidRPr="00C21E05">
        <w:rPr>
          <w:rFonts w:ascii="Times New Roman" w:eastAsia="Times New Roman" w:hAnsi="Times New Roman" w:cs="Times New Roman"/>
          <w:sz w:val="20"/>
          <w:szCs w:val="20"/>
        </w:rPr>
        <w:t xml:space="preserve"> for more detailed investigation</w:t>
      </w:r>
      <w:r w:rsidRPr="00C21E05">
        <w:rPr>
          <w:rFonts w:ascii="Times New Roman" w:eastAsia="Times New Roman" w:hAnsi="Times New Roman" w:cs="Times New Roman"/>
          <w:sz w:val="20"/>
          <w:szCs w:val="20"/>
        </w:rPr>
        <w:t xml:space="preserve">, the </w:t>
      </w:r>
      <w:r w:rsidR="001D6FD9" w:rsidRPr="00C21E05">
        <w:rPr>
          <w:rFonts w:ascii="Times New Roman" w:eastAsia="Times New Roman" w:hAnsi="Times New Roman" w:cs="Times New Roman"/>
          <w:sz w:val="20"/>
          <w:szCs w:val="20"/>
        </w:rPr>
        <w:t>dominant p</w:t>
      </w:r>
      <w:r w:rsidRPr="00C21E05">
        <w:rPr>
          <w:rFonts w:ascii="Times New Roman" w:eastAsia="Times New Roman" w:hAnsi="Times New Roman" w:cs="Times New Roman"/>
          <w:sz w:val="20"/>
          <w:szCs w:val="20"/>
        </w:rPr>
        <w:t xml:space="preserve">arameters </w:t>
      </w:r>
      <w:r w:rsidR="001D6FD9" w:rsidRPr="00C21E05">
        <w:rPr>
          <w:rFonts w:ascii="Times New Roman" w:eastAsia="Times New Roman" w:hAnsi="Times New Roman" w:cs="Times New Roman"/>
          <w:sz w:val="20"/>
          <w:szCs w:val="20"/>
        </w:rPr>
        <w:t xml:space="preserve">can be readily identified early in the </w:t>
      </w:r>
      <w:r w:rsidRPr="00C21E05">
        <w:rPr>
          <w:rFonts w:ascii="Times New Roman" w:eastAsia="Times New Roman" w:hAnsi="Times New Roman" w:cs="Times New Roman"/>
          <w:sz w:val="20"/>
          <w:szCs w:val="20"/>
        </w:rPr>
        <w:t>convergence evaluation</w:t>
      </w:r>
      <w:r w:rsidR="00765FD3" w:rsidRPr="00C21E05">
        <w:rPr>
          <w:rFonts w:ascii="Times New Roman" w:eastAsia="Times New Roman" w:hAnsi="Times New Roman" w:cs="Times New Roman"/>
          <w:sz w:val="20"/>
          <w:szCs w:val="20"/>
        </w:rPr>
        <w:t xml:space="preserve"> using any of the methods</w:t>
      </w:r>
      <w:r w:rsidRPr="00C21E05">
        <w:rPr>
          <w:rFonts w:ascii="Times New Roman" w:eastAsia="Times New Roman" w:hAnsi="Times New Roman" w:cs="Times New Roman"/>
          <w:sz w:val="20"/>
          <w:szCs w:val="20"/>
        </w:rPr>
        <w:t xml:space="preserve">. If </w:t>
      </w:r>
      <w:r w:rsidR="005A4601" w:rsidRPr="00C21E05">
        <w:rPr>
          <w:rFonts w:ascii="Times New Roman" w:eastAsia="Times New Roman" w:hAnsi="Times New Roman" w:cs="Times New Roman"/>
          <w:sz w:val="20"/>
          <w:szCs w:val="20"/>
        </w:rPr>
        <w:t>accurate sensitivity predictions</w:t>
      </w:r>
      <w:r w:rsidRPr="00C21E05">
        <w:rPr>
          <w:rFonts w:ascii="Times New Roman" w:eastAsia="Times New Roman" w:hAnsi="Times New Roman" w:cs="Times New Roman"/>
          <w:sz w:val="20"/>
          <w:szCs w:val="20"/>
        </w:rPr>
        <w:t xml:space="preserve"> </w:t>
      </w:r>
      <w:r w:rsidR="005A4601" w:rsidRPr="00C21E05">
        <w:rPr>
          <w:rFonts w:ascii="Times New Roman" w:eastAsia="Times New Roman" w:hAnsi="Times New Roman" w:cs="Times New Roman"/>
          <w:sz w:val="20"/>
          <w:szCs w:val="20"/>
        </w:rPr>
        <w:t>are required</w:t>
      </w:r>
      <w:r w:rsidRPr="00C21E05">
        <w:rPr>
          <w:rFonts w:ascii="Times New Roman" w:eastAsia="Times New Roman" w:hAnsi="Times New Roman" w:cs="Times New Roman"/>
          <w:sz w:val="20"/>
          <w:szCs w:val="20"/>
        </w:rPr>
        <w:t xml:space="preserve"> </w:t>
      </w:r>
      <w:r w:rsidR="005766E2" w:rsidRPr="00C21E05">
        <w:rPr>
          <w:rFonts w:ascii="Times New Roman" w:eastAsia="Times New Roman" w:hAnsi="Times New Roman" w:cs="Times New Roman"/>
          <w:sz w:val="20"/>
          <w:szCs w:val="20"/>
        </w:rPr>
        <w:t xml:space="preserve">for </w:t>
      </w:r>
      <w:proofErr w:type="gramStart"/>
      <w:r w:rsidRPr="00C21E05">
        <w:rPr>
          <w:rFonts w:ascii="Times New Roman" w:eastAsia="Times New Roman" w:hAnsi="Times New Roman" w:cs="Times New Roman"/>
          <w:sz w:val="20"/>
          <w:szCs w:val="20"/>
        </w:rPr>
        <w:t xml:space="preserve">all </w:t>
      </w:r>
      <w:r w:rsidR="005766E2" w:rsidRPr="00C21E05">
        <w:rPr>
          <w:rFonts w:ascii="Times New Roman" w:eastAsia="Times New Roman" w:hAnsi="Times New Roman" w:cs="Times New Roman"/>
          <w:sz w:val="20"/>
          <w:szCs w:val="20"/>
        </w:rPr>
        <w:t>of</w:t>
      </w:r>
      <w:proofErr w:type="gramEnd"/>
      <w:r w:rsidR="005766E2" w:rsidRPr="00C21E05">
        <w:rPr>
          <w:rFonts w:ascii="Times New Roman" w:eastAsia="Times New Roman" w:hAnsi="Times New Roman" w:cs="Times New Roman"/>
          <w:sz w:val="20"/>
          <w:szCs w:val="20"/>
        </w:rPr>
        <w:t xml:space="preserve"> the </w:t>
      </w:r>
      <w:r w:rsidRPr="00C21E05">
        <w:rPr>
          <w:rFonts w:ascii="Times New Roman" w:eastAsia="Times New Roman" w:hAnsi="Times New Roman" w:cs="Times New Roman"/>
          <w:sz w:val="20"/>
          <w:szCs w:val="20"/>
        </w:rPr>
        <w:t>parameters, then all</w:t>
      </w:r>
      <w:r w:rsidR="005766E2" w:rsidRPr="00C21E05">
        <w:rPr>
          <w:rFonts w:ascii="Times New Roman" w:eastAsia="Times New Roman" w:hAnsi="Times New Roman" w:cs="Times New Roman"/>
          <w:sz w:val="20"/>
          <w:szCs w:val="20"/>
        </w:rPr>
        <w:t xml:space="preserve"> of the</w:t>
      </w:r>
      <w:r w:rsidRPr="00C21E05">
        <w:rPr>
          <w:rFonts w:ascii="Times New Roman" w:eastAsia="Times New Roman" w:hAnsi="Times New Roman" w:cs="Times New Roman"/>
          <w:sz w:val="20"/>
          <w:szCs w:val="20"/>
        </w:rPr>
        <w:t xml:space="preserve"> parameters should be considered for the GSA convergence evaluation</w:t>
      </w:r>
      <w:r w:rsidR="00924608" w:rsidRPr="00C21E05">
        <w:rPr>
          <w:rFonts w:ascii="Times New Roman" w:eastAsia="Times New Roman" w:hAnsi="Times New Roman" w:cs="Times New Roman"/>
          <w:sz w:val="20"/>
          <w:szCs w:val="20"/>
        </w:rPr>
        <w:t xml:space="preserve">, at a </w:t>
      </w:r>
      <w:r w:rsidR="001C0407" w:rsidRPr="00C21E05">
        <w:rPr>
          <w:rFonts w:ascii="Times New Roman" w:eastAsia="Times New Roman" w:hAnsi="Times New Roman" w:cs="Times New Roman"/>
          <w:sz w:val="20"/>
          <w:szCs w:val="20"/>
        </w:rPr>
        <w:t xml:space="preserve">significantly </w:t>
      </w:r>
      <w:r w:rsidR="00924608" w:rsidRPr="00C21E05">
        <w:rPr>
          <w:rFonts w:ascii="Times New Roman" w:eastAsia="Times New Roman" w:hAnsi="Times New Roman" w:cs="Times New Roman"/>
          <w:sz w:val="20"/>
          <w:szCs w:val="20"/>
        </w:rPr>
        <w:t>higher CoC</w:t>
      </w:r>
      <w:r w:rsidRPr="00C21E05">
        <w:rPr>
          <w:rFonts w:ascii="Times New Roman" w:eastAsia="Times New Roman" w:hAnsi="Times New Roman" w:cs="Times New Roman"/>
          <w:sz w:val="20"/>
          <w:szCs w:val="20"/>
        </w:rPr>
        <w:t xml:space="preserve">. </w:t>
      </w:r>
    </w:p>
    <w:p w14:paraId="0AB872B6" w14:textId="77777777" w:rsidR="00A46A11" w:rsidRDefault="00A46A11" w:rsidP="007A3DDD">
      <w:pPr>
        <w:spacing w:after="0"/>
        <w:rPr>
          <w:rFonts w:ascii="Times New Roman" w:eastAsia="Times New Roman" w:hAnsi="Times New Roman" w:cs="Times New Roman"/>
          <w:sz w:val="24"/>
          <w:szCs w:val="24"/>
        </w:rPr>
      </w:pPr>
    </w:p>
    <w:p w14:paraId="0AA8DD13" w14:textId="3AA39C04" w:rsidR="001F373E" w:rsidRDefault="001F373E">
      <w:pPr>
        <w:spacing w:after="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5.2 Parameter Ordering </w:t>
      </w:r>
    </w:p>
    <w:p w14:paraId="0E6B196D" w14:textId="66239F3F" w:rsidR="005B495C" w:rsidRPr="00C21E05" w:rsidRDefault="00731D4E">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 xml:space="preserve">All methods were able to similarly identify the least significant parameters for all </w:t>
      </w:r>
      <w:r w:rsidR="0017359A" w:rsidRPr="00C21E05">
        <w:rPr>
          <w:rFonts w:ascii="Times New Roman" w:eastAsia="Times New Roman" w:hAnsi="Times New Roman" w:cs="Times New Roman"/>
          <w:bCs/>
          <w:sz w:val="20"/>
          <w:szCs w:val="20"/>
        </w:rPr>
        <w:t>cases,</w:t>
      </w:r>
      <w:r w:rsidRPr="00C21E05">
        <w:rPr>
          <w:rFonts w:ascii="Times New Roman" w:eastAsia="Times New Roman" w:hAnsi="Times New Roman" w:cs="Times New Roman"/>
          <w:bCs/>
          <w:sz w:val="20"/>
          <w:szCs w:val="20"/>
        </w:rPr>
        <w:t xml:space="preserve"> but discrepancies can be seen in the exact ordering of the </w:t>
      </w:r>
      <w:r w:rsidR="00800197" w:rsidRPr="00C21E05">
        <w:rPr>
          <w:rFonts w:ascii="Times New Roman" w:eastAsia="Times New Roman" w:hAnsi="Times New Roman" w:cs="Times New Roman"/>
          <w:bCs/>
          <w:sz w:val="20"/>
          <w:szCs w:val="20"/>
        </w:rPr>
        <w:t xml:space="preserve">converged </w:t>
      </w:r>
      <w:r w:rsidRPr="00C21E05">
        <w:rPr>
          <w:rFonts w:ascii="Times New Roman" w:eastAsia="Times New Roman" w:hAnsi="Times New Roman" w:cs="Times New Roman"/>
          <w:bCs/>
          <w:sz w:val="20"/>
          <w:szCs w:val="20"/>
        </w:rPr>
        <w:t xml:space="preserve">GSA measures by inspecting Tables </w:t>
      </w:r>
      <w:r w:rsidR="0000548F" w:rsidRPr="00C21E05">
        <w:rPr>
          <w:rFonts w:ascii="Times New Roman" w:eastAsia="Times New Roman" w:hAnsi="Times New Roman" w:cs="Times New Roman"/>
          <w:bCs/>
          <w:sz w:val="20"/>
          <w:szCs w:val="20"/>
        </w:rPr>
        <w:t>8</w:t>
      </w:r>
      <w:r w:rsidRPr="00C21E05">
        <w:rPr>
          <w:rFonts w:ascii="Times New Roman" w:eastAsia="Times New Roman" w:hAnsi="Times New Roman" w:cs="Times New Roman"/>
          <w:bCs/>
          <w:sz w:val="20"/>
          <w:szCs w:val="20"/>
        </w:rPr>
        <w:t>,</w:t>
      </w:r>
      <w:r w:rsidR="0000548F" w:rsidRPr="00C21E05">
        <w:rPr>
          <w:rFonts w:ascii="Times New Roman" w:eastAsia="Times New Roman" w:hAnsi="Times New Roman" w:cs="Times New Roman"/>
          <w:bCs/>
          <w:sz w:val="20"/>
          <w:szCs w:val="20"/>
        </w:rPr>
        <w:t>9</w:t>
      </w:r>
      <w:r w:rsidRPr="00C21E05">
        <w:rPr>
          <w:rFonts w:ascii="Times New Roman" w:eastAsia="Times New Roman" w:hAnsi="Times New Roman" w:cs="Times New Roman"/>
          <w:bCs/>
          <w:sz w:val="20"/>
          <w:szCs w:val="20"/>
        </w:rPr>
        <w:t>,</w:t>
      </w:r>
      <w:r w:rsidR="0000548F" w:rsidRPr="00C21E05">
        <w:rPr>
          <w:rFonts w:ascii="Times New Roman" w:eastAsia="Times New Roman" w:hAnsi="Times New Roman" w:cs="Times New Roman"/>
          <w:bCs/>
          <w:sz w:val="20"/>
          <w:szCs w:val="20"/>
        </w:rPr>
        <w:t>10</w:t>
      </w:r>
      <w:r w:rsidRPr="00C21E05">
        <w:rPr>
          <w:rFonts w:ascii="Times New Roman" w:eastAsia="Times New Roman" w:hAnsi="Times New Roman" w:cs="Times New Roman"/>
          <w:bCs/>
          <w:sz w:val="20"/>
          <w:szCs w:val="20"/>
        </w:rPr>
        <w:t xml:space="preserve"> showing the ordering of the most influential parameters and the exact value estimated by each method. For case 1 the top five most influential parameters are shown along with their </w:t>
      </w:r>
      <w:r w:rsidR="005B495C" w:rsidRPr="00C21E05">
        <w:rPr>
          <w:rFonts w:ascii="Times New Roman" w:eastAsia="Times New Roman" w:hAnsi="Times New Roman" w:cs="Times New Roman"/>
          <w:bCs/>
          <w:sz w:val="20"/>
          <w:szCs w:val="20"/>
        </w:rPr>
        <w:t xml:space="preserve">estimated </w:t>
      </w:r>
      <w:r w:rsidRPr="00C21E05">
        <w:rPr>
          <w:rFonts w:ascii="Times New Roman" w:eastAsia="Times New Roman" w:hAnsi="Times New Roman" w:cs="Times New Roman"/>
          <w:bCs/>
          <w:sz w:val="20"/>
          <w:szCs w:val="20"/>
        </w:rPr>
        <w:t xml:space="preserve">GSA measure in Table </w:t>
      </w:r>
      <w:r w:rsidR="0000548F" w:rsidRPr="00C21E05">
        <w:rPr>
          <w:rFonts w:ascii="Times New Roman" w:eastAsia="Times New Roman" w:hAnsi="Times New Roman" w:cs="Times New Roman"/>
          <w:bCs/>
          <w:sz w:val="20"/>
          <w:szCs w:val="20"/>
        </w:rPr>
        <w:t>8</w:t>
      </w:r>
      <w:r w:rsidRPr="00C21E05">
        <w:rPr>
          <w:rFonts w:ascii="Times New Roman" w:eastAsia="Times New Roman" w:hAnsi="Times New Roman" w:cs="Times New Roman"/>
          <w:bCs/>
          <w:sz w:val="20"/>
          <w:szCs w:val="20"/>
        </w:rPr>
        <w:t>, where all methods agreed on the ordering of the top two parameters</w:t>
      </w:r>
      <w:r w:rsidR="00612B88" w:rsidRPr="00C21E05">
        <w:rPr>
          <w:rFonts w:ascii="Times New Roman" w:eastAsia="Times New Roman" w:hAnsi="Times New Roman" w:cs="Times New Roman"/>
          <w:bCs/>
          <w:sz w:val="20"/>
          <w:szCs w:val="20"/>
        </w:rPr>
        <w:t xml:space="preserve">, the yield stress and </w:t>
      </w:r>
      <w:proofErr w:type="gramStart"/>
      <w:r w:rsidR="00612B88" w:rsidRPr="00C21E05">
        <w:rPr>
          <w:rFonts w:ascii="Times New Roman" w:eastAsia="Times New Roman" w:hAnsi="Times New Roman" w:cs="Times New Roman"/>
          <w:bCs/>
          <w:sz w:val="20"/>
          <w:szCs w:val="20"/>
        </w:rPr>
        <w:t>Young’s</w:t>
      </w:r>
      <w:proofErr w:type="gramEnd"/>
      <w:r w:rsidR="00612B88" w:rsidRPr="00C21E05">
        <w:rPr>
          <w:rFonts w:ascii="Times New Roman" w:eastAsia="Times New Roman" w:hAnsi="Times New Roman" w:cs="Times New Roman"/>
          <w:bCs/>
          <w:sz w:val="20"/>
          <w:szCs w:val="20"/>
        </w:rPr>
        <w:t xml:space="preserve"> modulus of the aluminium adherends </w:t>
      </w:r>
      <w:r w:rsidRPr="00C21E05">
        <w:rPr>
          <w:rFonts w:ascii="Times New Roman" w:eastAsia="Times New Roman" w:hAnsi="Times New Roman" w:cs="Times New Roman"/>
          <w:bCs/>
          <w:sz w:val="20"/>
          <w:szCs w:val="20"/>
        </w:rPr>
        <w:t>(X2 and X</w:t>
      </w:r>
      <w:r w:rsidR="00612B88" w:rsidRPr="00C21E05">
        <w:rPr>
          <w:rFonts w:ascii="Times New Roman" w:eastAsia="Times New Roman" w:hAnsi="Times New Roman" w:cs="Times New Roman"/>
          <w:bCs/>
          <w:sz w:val="20"/>
          <w:szCs w:val="20"/>
        </w:rPr>
        <w:t>0) respectively</w:t>
      </w:r>
      <w:r w:rsidRPr="00C21E05">
        <w:rPr>
          <w:rFonts w:ascii="Times New Roman" w:eastAsia="Times New Roman" w:hAnsi="Times New Roman" w:cs="Times New Roman"/>
          <w:bCs/>
          <w:sz w:val="20"/>
          <w:szCs w:val="20"/>
        </w:rPr>
        <w:t>)</w:t>
      </w:r>
      <w:r w:rsidR="005B495C" w:rsidRPr="00C21E05">
        <w:rPr>
          <w:rFonts w:ascii="Times New Roman" w:eastAsia="Times New Roman" w:hAnsi="Times New Roman" w:cs="Times New Roman"/>
          <w:bCs/>
          <w:sz w:val="20"/>
          <w:szCs w:val="20"/>
        </w:rPr>
        <w:t xml:space="preserve">. </w:t>
      </w:r>
      <w:r w:rsidR="00C2467F" w:rsidRPr="00C21E05">
        <w:rPr>
          <w:rFonts w:ascii="Times New Roman" w:eastAsia="Times New Roman" w:hAnsi="Times New Roman" w:cs="Times New Roman"/>
          <w:bCs/>
          <w:sz w:val="20"/>
          <w:szCs w:val="20"/>
        </w:rPr>
        <w:t>Out of the three quantitative methods the HDMR method suggested stronger interactions between the parameters indicated by the increased estimated total order GSA sensitivity measure for X2 compared to the estimated first order sensitive measure. The cause of the increased interactions estimated by the HDMR method is unclear, given that the method performed similarly to the other quantitative methods for case 2 and 3. It is also noted that the parameter estimated by the HDMR method to have a high degree of interaction (X2) represents the yield strength of the aluminium adherends in the FPB model, which is not directly dependant on any other of the models parameters. While the reasoning for the presum</w:t>
      </w:r>
      <w:r w:rsidR="0041505A" w:rsidRPr="00C21E05">
        <w:rPr>
          <w:rFonts w:ascii="Times New Roman" w:eastAsia="Times New Roman" w:hAnsi="Times New Roman" w:cs="Times New Roman"/>
          <w:bCs/>
          <w:sz w:val="20"/>
          <w:szCs w:val="20"/>
        </w:rPr>
        <w:t>ed</w:t>
      </w:r>
      <w:r w:rsidR="00C2467F" w:rsidRPr="00C21E05">
        <w:rPr>
          <w:rFonts w:ascii="Times New Roman" w:eastAsia="Times New Roman" w:hAnsi="Times New Roman" w:cs="Times New Roman"/>
          <w:bCs/>
          <w:sz w:val="20"/>
          <w:szCs w:val="20"/>
        </w:rPr>
        <w:t xml:space="preserve"> over-estimated GSA sensitive measure for X2 shown by the HDMR method </w:t>
      </w:r>
      <w:r w:rsidR="0041505A" w:rsidRPr="00C21E05">
        <w:rPr>
          <w:rFonts w:ascii="Times New Roman" w:eastAsia="Times New Roman" w:hAnsi="Times New Roman" w:cs="Times New Roman"/>
          <w:bCs/>
          <w:sz w:val="20"/>
          <w:szCs w:val="20"/>
        </w:rPr>
        <w:t>was</w:t>
      </w:r>
      <w:r w:rsidR="00C2467F" w:rsidRPr="00C21E05">
        <w:rPr>
          <w:rFonts w:ascii="Times New Roman" w:eastAsia="Times New Roman" w:hAnsi="Times New Roman" w:cs="Times New Roman"/>
          <w:bCs/>
          <w:sz w:val="20"/>
          <w:szCs w:val="20"/>
        </w:rPr>
        <w:t xml:space="preserve"> unclear, the importance of understanding </w:t>
      </w:r>
      <w:r w:rsidR="001D2791" w:rsidRPr="00C21E05">
        <w:rPr>
          <w:rFonts w:ascii="Times New Roman" w:eastAsia="Times New Roman" w:hAnsi="Times New Roman" w:cs="Times New Roman"/>
          <w:bCs/>
          <w:sz w:val="20"/>
          <w:szCs w:val="20"/>
        </w:rPr>
        <w:t>a given</w:t>
      </w:r>
      <w:r w:rsidR="00C2467F" w:rsidRPr="00C21E05">
        <w:rPr>
          <w:rFonts w:ascii="Times New Roman" w:eastAsia="Times New Roman" w:hAnsi="Times New Roman" w:cs="Times New Roman"/>
          <w:bCs/>
          <w:sz w:val="20"/>
          <w:szCs w:val="20"/>
        </w:rPr>
        <w:t xml:space="preserve"> model </w:t>
      </w:r>
      <w:r w:rsidR="001D2791" w:rsidRPr="00C21E05">
        <w:rPr>
          <w:rFonts w:ascii="Times New Roman" w:eastAsia="Times New Roman" w:hAnsi="Times New Roman" w:cs="Times New Roman"/>
          <w:bCs/>
          <w:sz w:val="20"/>
          <w:szCs w:val="20"/>
        </w:rPr>
        <w:t xml:space="preserve">and its parameters </w:t>
      </w:r>
      <w:r w:rsidR="0041505A" w:rsidRPr="00C21E05">
        <w:rPr>
          <w:rFonts w:ascii="Times New Roman" w:eastAsia="Times New Roman" w:hAnsi="Times New Roman" w:cs="Times New Roman"/>
          <w:bCs/>
          <w:sz w:val="20"/>
          <w:szCs w:val="20"/>
        </w:rPr>
        <w:t>was</w:t>
      </w:r>
      <w:r w:rsidR="00C2467F" w:rsidRPr="00C21E05">
        <w:rPr>
          <w:rFonts w:ascii="Times New Roman" w:eastAsia="Times New Roman" w:hAnsi="Times New Roman" w:cs="Times New Roman"/>
          <w:bCs/>
          <w:sz w:val="20"/>
          <w:szCs w:val="20"/>
        </w:rPr>
        <w:t xml:space="preserve"> demonstrated, where a potential over or underestimation might be identified by the user. </w:t>
      </w:r>
      <w:r w:rsidR="005B495C" w:rsidRPr="00C21E05">
        <w:rPr>
          <w:rFonts w:ascii="Times New Roman" w:eastAsia="Times New Roman" w:hAnsi="Times New Roman" w:cs="Times New Roman"/>
          <w:bCs/>
          <w:sz w:val="20"/>
          <w:szCs w:val="20"/>
        </w:rPr>
        <w:t>Minor discrepancies for case 1 can be seen in the ordering of the third and fourth most influential parameters</w:t>
      </w:r>
      <w:r w:rsidR="00D22E4F" w:rsidRPr="00C21E05">
        <w:rPr>
          <w:rFonts w:ascii="Times New Roman" w:eastAsia="Times New Roman" w:hAnsi="Times New Roman" w:cs="Times New Roman"/>
          <w:bCs/>
          <w:sz w:val="20"/>
          <w:szCs w:val="20"/>
        </w:rPr>
        <w:t xml:space="preserve"> (X4 and X31), </w:t>
      </w:r>
      <w:r w:rsidR="005B495C" w:rsidRPr="00C21E05">
        <w:rPr>
          <w:rFonts w:ascii="Times New Roman" w:eastAsia="Times New Roman" w:hAnsi="Times New Roman" w:cs="Times New Roman"/>
          <w:bCs/>
          <w:sz w:val="20"/>
          <w:szCs w:val="20"/>
        </w:rPr>
        <w:t xml:space="preserve">where the order is determined by a magnitude of only 0.01 for each method. The fifth most influential parameter for case 1 estimated by each method varied between parameters X28 and X33 with these parameters having relatively small GSA measures compared to the top four. Given these minor discrepancies for case 1 it is considered to show adequate agreement between all five of the methods pertaining to parameter ordering. </w:t>
      </w:r>
    </w:p>
    <w:p w14:paraId="209DDCD9" w14:textId="77777777" w:rsidR="005B495C" w:rsidRPr="00C21E05" w:rsidRDefault="005B495C">
      <w:pPr>
        <w:spacing w:after="0"/>
        <w:rPr>
          <w:rFonts w:ascii="Times New Roman" w:eastAsia="Times New Roman" w:hAnsi="Times New Roman" w:cs="Times New Roman"/>
          <w:bCs/>
          <w:sz w:val="20"/>
          <w:szCs w:val="20"/>
        </w:rPr>
      </w:pPr>
    </w:p>
    <w:p w14:paraId="7C438BA8" w14:textId="77777777" w:rsidR="005B495C" w:rsidRPr="00C21E05" w:rsidRDefault="005B495C">
      <w:pPr>
        <w:spacing w:after="0"/>
        <w:rPr>
          <w:rFonts w:ascii="Times New Roman" w:eastAsia="Times New Roman" w:hAnsi="Times New Roman" w:cs="Times New Roman"/>
          <w:bCs/>
          <w:sz w:val="20"/>
          <w:szCs w:val="20"/>
        </w:rPr>
      </w:pPr>
    </w:p>
    <w:p w14:paraId="3C522348" w14:textId="1E5FFD48" w:rsidR="00342AAA" w:rsidRPr="00C21E05" w:rsidRDefault="005B495C">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 xml:space="preserve">For case 3 all methods </w:t>
      </w:r>
      <w:r w:rsidR="00342AAA" w:rsidRPr="00C21E05">
        <w:rPr>
          <w:rFonts w:ascii="Times New Roman" w:eastAsia="Times New Roman" w:hAnsi="Times New Roman" w:cs="Times New Roman"/>
          <w:bCs/>
          <w:sz w:val="20"/>
          <w:szCs w:val="20"/>
        </w:rPr>
        <w:t xml:space="preserve">similarly </w:t>
      </w:r>
      <w:r w:rsidRPr="00C21E05">
        <w:rPr>
          <w:rFonts w:ascii="Times New Roman" w:eastAsia="Times New Roman" w:hAnsi="Times New Roman" w:cs="Times New Roman"/>
          <w:bCs/>
          <w:sz w:val="20"/>
          <w:szCs w:val="20"/>
        </w:rPr>
        <w:t xml:space="preserve">estimated the </w:t>
      </w:r>
      <w:r w:rsidR="002036D5" w:rsidRPr="00C21E05">
        <w:rPr>
          <w:rFonts w:ascii="Times New Roman" w:eastAsia="Times New Roman" w:hAnsi="Times New Roman" w:cs="Times New Roman"/>
          <w:bCs/>
          <w:sz w:val="20"/>
          <w:szCs w:val="20"/>
        </w:rPr>
        <w:t xml:space="preserve">same </w:t>
      </w:r>
      <w:r w:rsidRPr="00C21E05">
        <w:rPr>
          <w:rFonts w:ascii="Times New Roman" w:eastAsia="Times New Roman" w:hAnsi="Times New Roman" w:cs="Times New Roman"/>
          <w:bCs/>
          <w:sz w:val="20"/>
          <w:szCs w:val="20"/>
        </w:rPr>
        <w:t xml:space="preserve">top parameters for the respective model except for the DGSM method. </w:t>
      </w:r>
      <w:r w:rsidR="00342AAA" w:rsidRPr="00C21E05">
        <w:rPr>
          <w:rFonts w:ascii="Times New Roman" w:eastAsia="Times New Roman" w:hAnsi="Times New Roman" w:cs="Times New Roman"/>
          <w:bCs/>
          <w:sz w:val="20"/>
          <w:szCs w:val="20"/>
        </w:rPr>
        <w:t xml:space="preserve">Parameter ordering estimated by the DGSM method for case 3 shown in Table </w:t>
      </w:r>
      <w:r w:rsidR="0000548F" w:rsidRPr="00C21E05">
        <w:rPr>
          <w:rFonts w:ascii="Times New Roman" w:eastAsia="Times New Roman" w:hAnsi="Times New Roman" w:cs="Times New Roman"/>
          <w:bCs/>
          <w:sz w:val="20"/>
          <w:szCs w:val="20"/>
        </w:rPr>
        <w:t>10</w:t>
      </w:r>
      <w:r w:rsidR="00342AAA" w:rsidRPr="00C21E05">
        <w:rPr>
          <w:rFonts w:ascii="Times New Roman" w:eastAsia="Times New Roman" w:hAnsi="Times New Roman" w:cs="Times New Roman"/>
          <w:bCs/>
          <w:sz w:val="20"/>
          <w:szCs w:val="20"/>
        </w:rPr>
        <w:t xml:space="preserve"> indicates the largest discrepancy of any test case where the DGSM method opposes all other methods for the most significant parameter being estimated as X15</w:t>
      </w:r>
      <w:r w:rsidR="00612B88" w:rsidRPr="00C21E05">
        <w:rPr>
          <w:rFonts w:ascii="Times New Roman" w:eastAsia="Times New Roman" w:hAnsi="Times New Roman" w:cs="Times New Roman"/>
          <w:bCs/>
          <w:sz w:val="20"/>
          <w:szCs w:val="20"/>
        </w:rPr>
        <w:t>, the hourglass coefficient for the Peridynamics correspondence</w:t>
      </w:r>
      <w:r w:rsidR="00342AAA" w:rsidRPr="00C21E05">
        <w:rPr>
          <w:rFonts w:ascii="Times New Roman" w:eastAsia="Times New Roman" w:hAnsi="Times New Roman" w:cs="Times New Roman"/>
          <w:bCs/>
          <w:sz w:val="20"/>
          <w:szCs w:val="20"/>
        </w:rPr>
        <w:t xml:space="preserve"> </w:t>
      </w:r>
      <w:r w:rsidR="00612B88" w:rsidRPr="00C21E05">
        <w:rPr>
          <w:rFonts w:ascii="Times New Roman" w:eastAsia="Times New Roman" w:hAnsi="Times New Roman" w:cs="Times New Roman"/>
          <w:bCs/>
          <w:sz w:val="20"/>
          <w:szCs w:val="20"/>
        </w:rPr>
        <w:t xml:space="preserve">material definition, </w:t>
      </w:r>
      <w:r w:rsidR="00342AAA" w:rsidRPr="00C21E05">
        <w:rPr>
          <w:rFonts w:ascii="Times New Roman" w:eastAsia="Times New Roman" w:hAnsi="Times New Roman" w:cs="Times New Roman"/>
          <w:bCs/>
          <w:sz w:val="20"/>
          <w:szCs w:val="20"/>
        </w:rPr>
        <w:t>as opposed to X0</w:t>
      </w:r>
      <w:r w:rsidR="00612B88" w:rsidRPr="00C21E05">
        <w:rPr>
          <w:rFonts w:ascii="Times New Roman" w:eastAsia="Times New Roman" w:hAnsi="Times New Roman" w:cs="Times New Roman"/>
          <w:bCs/>
          <w:sz w:val="20"/>
          <w:szCs w:val="20"/>
        </w:rPr>
        <w:t>, the Peridynamics point volume effecting computed material stiffness</w:t>
      </w:r>
      <w:r w:rsidR="00342AAA" w:rsidRPr="00C21E05">
        <w:rPr>
          <w:rFonts w:ascii="Times New Roman" w:eastAsia="Times New Roman" w:hAnsi="Times New Roman" w:cs="Times New Roman"/>
          <w:bCs/>
          <w:sz w:val="20"/>
          <w:szCs w:val="20"/>
        </w:rPr>
        <w:t>.</w:t>
      </w:r>
      <w:r w:rsidR="00FA4C91" w:rsidRPr="00C21E05">
        <w:rPr>
          <w:rFonts w:ascii="Times New Roman" w:eastAsia="Times New Roman" w:hAnsi="Times New Roman" w:cs="Times New Roman"/>
          <w:bCs/>
          <w:sz w:val="20"/>
          <w:szCs w:val="20"/>
        </w:rPr>
        <w:t xml:space="preserve"> The DGSM method greatly overestimates the significance of X15 compared to the other methods, skewing the respective parameter ordering for case 3</w:t>
      </w:r>
      <w:r w:rsidR="00902451" w:rsidRPr="00C21E05">
        <w:rPr>
          <w:rFonts w:ascii="Times New Roman" w:eastAsia="Times New Roman" w:hAnsi="Times New Roman" w:cs="Times New Roman"/>
          <w:bCs/>
          <w:sz w:val="20"/>
          <w:szCs w:val="20"/>
        </w:rPr>
        <w:t>.</w:t>
      </w:r>
      <w:r w:rsidR="00FA4C91" w:rsidRPr="00C21E05">
        <w:rPr>
          <w:rFonts w:ascii="Times New Roman" w:eastAsia="Times New Roman" w:hAnsi="Times New Roman" w:cs="Times New Roman"/>
          <w:bCs/>
          <w:sz w:val="20"/>
          <w:szCs w:val="20"/>
        </w:rPr>
        <w:t xml:space="preserve"> </w:t>
      </w:r>
      <w:r w:rsidR="00902451" w:rsidRPr="00C21E05">
        <w:rPr>
          <w:rFonts w:ascii="Times New Roman" w:eastAsia="Times New Roman" w:hAnsi="Times New Roman" w:cs="Times New Roman"/>
          <w:bCs/>
          <w:sz w:val="20"/>
          <w:szCs w:val="20"/>
        </w:rPr>
        <w:t>Case 3</w:t>
      </w:r>
      <w:r w:rsidR="00FA4C91" w:rsidRPr="00C21E05">
        <w:rPr>
          <w:rFonts w:ascii="Times New Roman" w:eastAsia="Times New Roman" w:hAnsi="Times New Roman" w:cs="Times New Roman"/>
          <w:bCs/>
          <w:sz w:val="20"/>
          <w:szCs w:val="20"/>
        </w:rPr>
        <w:t xml:space="preserve"> is the only case to show major disagreement with the ordering of the parameters with a non-negligible magnitude of relative significance (0.09) between the top two parameters estimated by the DGSM method.</w:t>
      </w:r>
      <w:r w:rsidR="005D251E" w:rsidRPr="00C21E05">
        <w:rPr>
          <w:rFonts w:ascii="Times New Roman" w:eastAsia="Times New Roman" w:hAnsi="Times New Roman" w:cs="Times New Roman"/>
          <w:bCs/>
          <w:sz w:val="20"/>
          <w:szCs w:val="20"/>
        </w:rPr>
        <w:t xml:space="preserve"> </w:t>
      </w:r>
    </w:p>
    <w:p w14:paraId="02301BCD" w14:textId="0AA7370E" w:rsidR="0026270D" w:rsidRPr="00C21E05" w:rsidRDefault="0026270D">
      <w:pPr>
        <w:spacing w:after="0"/>
        <w:rPr>
          <w:rFonts w:ascii="Times New Roman" w:eastAsia="Times New Roman" w:hAnsi="Times New Roman" w:cs="Times New Roman"/>
          <w:bCs/>
          <w:sz w:val="20"/>
          <w:szCs w:val="20"/>
        </w:rPr>
      </w:pPr>
    </w:p>
    <w:p w14:paraId="4BF7D4AD" w14:textId="1E9B2EEA" w:rsidR="0026270D" w:rsidRPr="0026270D" w:rsidRDefault="0026270D">
      <w:pPr>
        <w:spacing w:after="0"/>
        <w:rPr>
          <w:rFonts w:ascii="Times New Roman" w:eastAsia="Times New Roman" w:hAnsi="Times New Roman" w:cs="Times New Roman"/>
          <w:bCs/>
          <w:color w:val="FF0000"/>
          <w:sz w:val="24"/>
          <w:szCs w:val="24"/>
        </w:rPr>
      </w:pPr>
      <w:r w:rsidRPr="00C21E05">
        <w:rPr>
          <w:rFonts w:ascii="Times New Roman" w:eastAsia="Times New Roman" w:hAnsi="Times New Roman" w:cs="Times New Roman"/>
          <w:bCs/>
          <w:sz w:val="20"/>
          <w:szCs w:val="20"/>
        </w:rPr>
        <w:t xml:space="preserve">For all cases all quantitative methods demonstrated a fair agreement on the ordering and the estimated GSA sensitivity measure for each of the top parameters. The non-quantitative methods (Morris and DGSM) were able to identify the top parameters </w:t>
      </w:r>
      <w:r w:rsidR="00D42E1D" w:rsidRPr="00C21E05">
        <w:rPr>
          <w:rFonts w:ascii="Times New Roman" w:eastAsia="Times New Roman" w:hAnsi="Times New Roman" w:cs="Times New Roman"/>
          <w:bCs/>
          <w:sz w:val="20"/>
          <w:szCs w:val="20"/>
        </w:rPr>
        <w:t xml:space="preserve">at a low CoC </w:t>
      </w:r>
      <w:r w:rsidRPr="00C21E05">
        <w:rPr>
          <w:rFonts w:ascii="Times New Roman" w:eastAsia="Times New Roman" w:hAnsi="Times New Roman" w:cs="Times New Roman"/>
          <w:bCs/>
          <w:sz w:val="20"/>
          <w:szCs w:val="20"/>
        </w:rPr>
        <w:t xml:space="preserve">with little discrepancies on the ordering but generally different GSA sensitivity measures when compared to the truly quantitative methods. This disagreement between the quantitative and non-quantitative GSA values is inherent to the methods themselves </w:t>
      </w:r>
      <w:r w:rsidR="00D42E1D" w:rsidRPr="00C21E05">
        <w:rPr>
          <w:rFonts w:ascii="Times New Roman" w:eastAsia="Times New Roman" w:hAnsi="Times New Roman" w:cs="Times New Roman"/>
          <w:bCs/>
          <w:sz w:val="20"/>
          <w:szCs w:val="20"/>
        </w:rPr>
        <w:t xml:space="preserve">and </w:t>
      </w:r>
      <w:proofErr w:type="gramStart"/>
      <w:r w:rsidR="00D42E1D" w:rsidRPr="00C21E05">
        <w:rPr>
          <w:rFonts w:ascii="Times New Roman" w:eastAsia="Times New Roman" w:hAnsi="Times New Roman" w:cs="Times New Roman"/>
          <w:bCs/>
          <w:sz w:val="20"/>
          <w:szCs w:val="20"/>
        </w:rPr>
        <w:t>was considered to be</w:t>
      </w:r>
      <w:proofErr w:type="gramEnd"/>
      <w:r w:rsidR="00D42E1D" w:rsidRPr="00C21E05">
        <w:rPr>
          <w:rFonts w:ascii="Times New Roman" w:eastAsia="Times New Roman" w:hAnsi="Times New Roman" w:cs="Times New Roman"/>
          <w:bCs/>
          <w:sz w:val="20"/>
          <w:szCs w:val="20"/>
        </w:rPr>
        <w:t xml:space="preserve"> an accurate demonstration of the non-quantitative methods.</w:t>
      </w:r>
      <w:r w:rsidR="00D42E1D" w:rsidRPr="0017359A">
        <w:rPr>
          <w:rFonts w:ascii="Times New Roman" w:eastAsia="Times New Roman" w:hAnsi="Times New Roman" w:cs="Times New Roman"/>
          <w:bCs/>
          <w:sz w:val="24"/>
          <w:szCs w:val="24"/>
        </w:rPr>
        <w:t xml:space="preserve"> </w:t>
      </w:r>
    </w:p>
    <w:p w14:paraId="3903DE21" w14:textId="2371F1CB" w:rsidR="00823709" w:rsidRPr="00342AAA" w:rsidRDefault="00342AAA" w:rsidP="00342AAA">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823709">
        <w:rPr>
          <w:rFonts w:ascii="Times New Roman" w:eastAsia="Times New Roman" w:hAnsi="Times New Roman" w:cs="Times New Roman"/>
          <w:bCs/>
          <w:sz w:val="24"/>
          <w:szCs w:val="24"/>
        </w:rPr>
        <w:t xml:space="preserve"> </w:t>
      </w:r>
    </w:p>
    <w:p w14:paraId="667B0DDF" w14:textId="217567C7" w:rsidR="001F373E" w:rsidRDefault="001F373E">
      <w:pPr>
        <w:spacing w:after="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5.3 </w:t>
      </w:r>
      <w:r w:rsidR="00B75450">
        <w:rPr>
          <w:rFonts w:ascii="Times New Roman" w:eastAsia="Times New Roman" w:hAnsi="Times New Roman" w:cs="Times New Roman"/>
          <w:b/>
          <w:color w:val="002060"/>
          <w:sz w:val="24"/>
          <w:szCs w:val="24"/>
        </w:rPr>
        <w:t>Method Selection</w:t>
      </w:r>
    </w:p>
    <w:p w14:paraId="7B93A6CC" w14:textId="60DD30EB" w:rsidR="0015507C" w:rsidRPr="00C21E05" w:rsidRDefault="0017359A">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All</w:t>
      </w:r>
      <w:r w:rsidR="008577A0" w:rsidRPr="00C21E05">
        <w:rPr>
          <w:rFonts w:ascii="Times New Roman" w:eastAsia="Times New Roman" w:hAnsi="Times New Roman" w:cs="Times New Roman"/>
          <w:bCs/>
          <w:sz w:val="20"/>
          <w:szCs w:val="20"/>
        </w:rPr>
        <w:t xml:space="preserve"> </w:t>
      </w:r>
      <w:r w:rsidR="005F7702" w:rsidRPr="00C21E05">
        <w:rPr>
          <w:rFonts w:ascii="Times New Roman" w:eastAsia="Times New Roman" w:hAnsi="Times New Roman" w:cs="Times New Roman"/>
          <w:bCs/>
          <w:sz w:val="20"/>
          <w:szCs w:val="20"/>
        </w:rPr>
        <w:t xml:space="preserve">the methods </w:t>
      </w:r>
      <w:r w:rsidR="005C7EE6" w:rsidRPr="00C21E05">
        <w:rPr>
          <w:rFonts w:ascii="Times New Roman" w:eastAsia="Times New Roman" w:hAnsi="Times New Roman" w:cs="Times New Roman"/>
          <w:bCs/>
          <w:sz w:val="20"/>
          <w:szCs w:val="20"/>
        </w:rPr>
        <w:t>predicted</w:t>
      </w:r>
      <w:r w:rsidR="006B15C8" w:rsidRPr="00C21E05">
        <w:rPr>
          <w:rFonts w:ascii="Times New Roman" w:eastAsia="Times New Roman" w:hAnsi="Times New Roman" w:cs="Times New Roman"/>
          <w:bCs/>
          <w:sz w:val="20"/>
          <w:szCs w:val="20"/>
        </w:rPr>
        <w:t xml:space="preserve"> similar results </w:t>
      </w:r>
      <w:r w:rsidR="00094B32" w:rsidRPr="00C21E05">
        <w:rPr>
          <w:rFonts w:ascii="Times New Roman" w:eastAsia="Times New Roman" w:hAnsi="Times New Roman" w:cs="Times New Roman"/>
          <w:bCs/>
          <w:sz w:val="20"/>
          <w:szCs w:val="20"/>
        </w:rPr>
        <w:t>when identifying the</w:t>
      </w:r>
      <w:r w:rsidR="006B15C8" w:rsidRPr="00C21E05">
        <w:rPr>
          <w:rFonts w:ascii="Times New Roman" w:eastAsia="Times New Roman" w:hAnsi="Times New Roman" w:cs="Times New Roman"/>
          <w:bCs/>
          <w:sz w:val="20"/>
          <w:szCs w:val="20"/>
        </w:rPr>
        <w:t xml:space="preserve"> </w:t>
      </w:r>
      <w:r w:rsidR="0015507C" w:rsidRPr="00C21E05">
        <w:rPr>
          <w:rFonts w:ascii="Times New Roman" w:eastAsia="Times New Roman" w:hAnsi="Times New Roman" w:cs="Times New Roman"/>
          <w:bCs/>
          <w:sz w:val="20"/>
          <w:szCs w:val="20"/>
        </w:rPr>
        <w:t xml:space="preserve">most </w:t>
      </w:r>
      <w:r w:rsidR="006B15C8" w:rsidRPr="00C21E05">
        <w:rPr>
          <w:rFonts w:ascii="Times New Roman" w:eastAsia="Times New Roman" w:hAnsi="Times New Roman" w:cs="Times New Roman"/>
          <w:bCs/>
          <w:sz w:val="20"/>
          <w:szCs w:val="20"/>
        </w:rPr>
        <w:t>dominant parameter</w:t>
      </w:r>
      <w:r w:rsidR="008577A0" w:rsidRPr="00C21E05">
        <w:rPr>
          <w:rFonts w:ascii="Times New Roman" w:eastAsia="Times New Roman" w:hAnsi="Times New Roman" w:cs="Times New Roman"/>
          <w:bCs/>
          <w:sz w:val="20"/>
          <w:szCs w:val="20"/>
        </w:rPr>
        <w:t>s</w:t>
      </w:r>
      <w:r w:rsidR="006B15C8" w:rsidRPr="00C21E05">
        <w:rPr>
          <w:rFonts w:ascii="Times New Roman" w:eastAsia="Times New Roman" w:hAnsi="Times New Roman" w:cs="Times New Roman"/>
          <w:bCs/>
          <w:sz w:val="20"/>
          <w:szCs w:val="20"/>
        </w:rPr>
        <w:t xml:space="preserve"> for</w:t>
      </w:r>
      <w:r w:rsidR="005F7702" w:rsidRPr="00C21E05">
        <w:rPr>
          <w:rFonts w:ascii="Times New Roman" w:eastAsia="Times New Roman" w:hAnsi="Times New Roman" w:cs="Times New Roman"/>
          <w:bCs/>
          <w:sz w:val="20"/>
          <w:szCs w:val="20"/>
        </w:rPr>
        <w:t xml:space="preserve"> each of the cases</w:t>
      </w:r>
      <w:r w:rsidR="006B15C8" w:rsidRPr="00C21E05">
        <w:rPr>
          <w:rFonts w:ascii="Times New Roman" w:eastAsia="Times New Roman" w:hAnsi="Times New Roman" w:cs="Times New Roman"/>
          <w:bCs/>
          <w:sz w:val="20"/>
          <w:szCs w:val="20"/>
        </w:rPr>
        <w:t xml:space="preserve">. </w:t>
      </w:r>
      <w:r w:rsidR="005F7702" w:rsidRPr="00C21E05">
        <w:rPr>
          <w:rFonts w:ascii="Times New Roman" w:eastAsia="Times New Roman" w:hAnsi="Times New Roman" w:cs="Times New Roman"/>
          <w:bCs/>
          <w:sz w:val="20"/>
          <w:szCs w:val="20"/>
        </w:rPr>
        <w:t xml:space="preserve"> </w:t>
      </w:r>
      <w:r w:rsidR="0015507C" w:rsidRPr="00C21E05">
        <w:rPr>
          <w:rFonts w:ascii="Times New Roman" w:eastAsia="Times New Roman" w:hAnsi="Times New Roman" w:cs="Times New Roman"/>
          <w:bCs/>
          <w:sz w:val="20"/>
          <w:szCs w:val="20"/>
        </w:rPr>
        <w:t xml:space="preserve">Therefore, method selection is based on the information required from the GSA and available computational resources. This method was found to be robust for all three of the test </w:t>
      </w:r>
      <w:r w:rsidRPr="00C21E05">
        <w:rPr>
          <w:rFonts w:ascii="Times New Roman" w:eastAsia="Times New Roman" w:hAnsi="Times New Roman" w:cs="Times New Roman"/>
          <w:bCs/>
          <w:sz w:val="20"/>
          <w:szCs w:val="20"/>
        </w:rPr>
        <w:t>cases but</w:t>
      </w:r>
      <w:r w:rsidR="0015507C" w:rsidRPr="00C21E05">
        <w:rPr>
          <w:rFonts w:ascii="Times New Roman" w:eastAsia="Times New Roman" w:hAnsi="Times New Roman" w:cs="Times New Roman"/>
          <w:bCs/>
          <w:sz w:val="20"/>
          <w:szCs w:val="20"/>
        </w:rPr>
        <w:t xml:space="preserve"> required the most computational resources and highest convergence cost. One option to effectively utilizing the Sobol’ method while significantly reducing computational resources is to use another method to </w:t>
      </w:r>
      <w:r w:rsidR="00C67D66" w:rsidRPr="00C21E05">
        <w:rPr>
          <w:rFonts w:ascii="Times New Roman" w:eastAsia="Times New Roman" w:hAnsi="Times New Roman" w:cs="Times New Roman"/>
          <w:bCs/>
          <w:sz w:val="20"/>
          <w:szCs w:val="20"/>
        </w:rPr>
        <w:t xml:space="preserve">first </w:t>
      </w:r>
      <w:r w:rsidR="0015507C" w:rsidRPr="00C21E05">
        <w:rPr>
          <w:rFonts w:ascii="Times New Roman" w:eastAsia="Times New Roman" w:hAnsi="Times New Roman" w:cs="Times New Roman"/>
          <w:bCs/>
          <w:sz w:val="20"/>
          <w:szCs w:val="20"/>
        </w:rPr>
        <w:t xml:space="preserve">eliminate parameters </w:t>
      </w:r>
      <w:r w:rsidR="003773D9" w:rsidRPr="00C21E05">
        <w:rPr>
          <w:rFonts w:ascii="Times New Roman" w:eastAsia="Times New Roman" w:hAnsi="Times New Roman" w:cs="Times New Roman"/>
          <w:bCs/>
          <w:sz w:val="20"/>
          <w:szCs w:val="20"/>
        </w:rPr>
        <w:t>with little influence on the output. Once the parameter space is reduced, the Sobol’ method can be applied to obtain more detailed</w:t>
      </w:r>
      <w:r w:rsidR="00800197" w:rsidRPr="00C21E05">
        <w:rPr>
          <w:rFonts w:ascii="Times New Roman" w:eastAsia="Times New Roman" w:hAnsi="Times New Roman" w:cs="Times New Roman"/>
          <w:bCs/>
          <w:sz w:val="20"/>
          <w:szCs w:val="20"/>
        </w:rPr>
        <w:t>, higher order information</w:t>
      </w:r>
      <w:r w:rsidR="003773D9" w:rsidRPr="00C21E05">
        <w:rPr>
          <w:rFonts w:ascii="Times New Roman" w:eastAsia="Times New Roman" w:hAnsi="Times New Roman" w:cs="Times New Roman"/>
          <w:bCs/>
          <w:sz w:val="20"/>
          <w:szCs w:val="20"/>
        </w:rPr>
        <w:t xml:space="preserve"> on the influential parameters.</w:t>
      </w:r>
    </w:p>
    <w:p w14:paraId="55254299" w14:textId="77777777" w:rsidR="0015507C" w:rsidRPr="00C21E05" w:rsidRDefault="0015507C">
      <w:pPr>
        <w:spacing w:after="0"/>
        <w:rPr>
          <w:rFonts w:ascii="Times New Roman" w:eastAsia="Times New Roman" w:hAnsi="Times New Roman" w:cs="Times New Roman"/>
          <w:bCs/>
          <w:sz w:val="20"/>
          <w:szCs w:val="20"/>
        </w:rPr>
      </w:pPr>
    </w:p>
    <w:p w14:paraId="32E8AE95" w14:textId="0804D007" w:rsidR="00C67D66" w:rsidRPr="00C21E05" w:rsidRDefault="00C67D66">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To minimize computational resources</w:t>
      </w:r>
      <w:r w:rsidR="005F7702" w:rsidRPr="00C21E05">
        <w:rPr>
          <w:rFonts w:ascii="Times New Roman" w:eastAsia="Times New Roman" w:hAnsi="Times New Roman" w:cs="Times New Roman"/>
          <w:bCs/>
          <w:sz w:val="20"/>
          <w:szCs w:val="20"/>
        </w:rPr>
        <w:t xml:space="preserve"> or </w:t>
      </w:r>
      <w:r w:rsidRPr="00C21E05">
        <w:rPr>
          <w:rFonts w:ascii="Times New Roman" w:eastAsia="Times New Roman" w:hAnsi="Times New Roman" w:cs="Times New Roman"/>
          <w:bCs/>
          <w:sz w:val="20"/>
          <w:szCs w:val="20"/>
        </w:rPr>
        <w:t xml:space="preserve">to provide information for a </w:t>
      </w:r>
      <w:r w:rsidR="00D22E4F" w:rsidRPr="00C21E05">
        <w:rPr>
          <w:rFonts w:ascii="Times New Roman" w:eastAsia="Times New Roman" w:hAnsi="Times New Roman" w:cs="Times New Roman"/>
          <w:bCs/>
          <w:sz w:val="20"/>
          <w:szCs w:val="20"/>
        </w:rPr>
        <w:t>reduction in model dimensionality</w:t>
      </w:r>
      <w:r w:rsidRPr="00C21E05">
        <w:rPr>
          <w:rFonts w:ascii="Times New Roman" w:eastAsia="Times New Roman" w:hAnsi="Times New Roman" w:cs="Times New Roman"/>
          <w:bCs/>
          <w:sz w:val="20"/>
          <w:szCs w:val="20"/>
        </w:rPr>
        <w:t>,</w:t>
      </w:r>
      <w:r w:rsidR="005F7702" w:rsidRPr="00C21E05">
        <w:rPr>
          <w:rFonts w:ascii="Times New Roman" w:eastAsia="Times New Roman" w:hAnsi="Times New Roman" w:cs="Times New Roman"/>
          <w:bCs/>
          <w:sz w:val="20"/>
          <w:szCs w:val="20"/>
        </w:rPr>
        <w:t xml:space="preserve"> the Morris method is</w:t>
      </w:r>
      <w:r w:rsidR="00D22E4F" w:rsidRPr="00C21E05">
        <w:rPr>
          <w:rFonts w:ascii="Times New Roman" w:eastAsia="Times New Roman" w:hAnsi="Times New Roman" w:cs="Times New Roman"/>
          <w:bCs/>
          <w:sz w:val="20"/>
          <w:szCs w:val="20"/>
        </w:rPr>
        <w:t xml:space="preserve"> </w:t>
      </w:r>
      <w:r w:rsidR="005F7702" w:rsidRPr="00C21E05">
        <w:rPr>
          <w:rFonts w:ascii="Times New Roman" w:eastAsia="Times New Roman" w:hAnsi="Times New Roman" w:cs="Times New Roman"/>
          <w:bCs/>
          <w:sz w:val="20"/>
          <w:szCs w:val="20"/>
        </w:rPr>
        <w:t>ideal, given the rapid rate of convergence</w:t>
      </w:r>
      <w:r w:rsidRPr="00C21E05">
        <w:rPr>
          <w:rFonts w:ascii="Times New Roman" w:eastAsia="Times New Roman" w:hAnsi="Times New Roman" w:cs="Times New Roman"/>
          <w:bCs/>
          <w:sz w:val="20"/>
          <w:szCs w:val="20"/>
        </w:rPr>
        <w:t xml:space="preserve"> at a significantly smaller number of samples</w:t>
      </w:r>
      <w:r w:rsidR="005F7702" w:rsidRPr="00C21E05">
        <w:rPr>
          <w:rFonts w:ascii="Times New Roman" w:eastAsia="Times New Roman" w:hAnsi="Times New Roman" w:cs="Times New Roman"/>
          <w:bCs/>
          <w:sz w:val="20"/>
          <w:szCs w:val="20"/>
        </w:rPr>
        <w:t xml:space="preserve"> for each test case. </w:t>
      </w:r>
      <w:r w:rsidRPr="00C21E05">
        <w:rPr>
          <w:rFonts w:ascii="Times New Roman" w:eastAsia="Times New Roman" w:hAnsi="Times New Roman" w:cs="Times New Roman"/>
          <w:bCs/>
          <w:sz w:val="20"/>
          <w:szCs w:val="20"/>
        </w:rPr>
        <w:t>As the Morris method was shown to identify the dominant parameters with only a small number of samples, this method is particularly efficient when long-running, high fidelity models are used to generate the output</w:t>
      </w:r>
      <w:r w:rsidR="00B03285" w:rsidRPr="00C21E05">
        <w:rPr>
          <w:rFonts w:ascii="Times New Roman" w:eastAsia="Times New Roman" w:hAnsi="Times New Roman" w:cs="Times New Roman"/>
          <w:bCs/>
          <w:sz w:val="20"/>
          <w:szCs w:val="20"/>
        </w:rPr>
        <w:t xml:space="preserve">, as a </w:t>
      </w:r>
      <w:r w:rsidR="00B03285" w:rsidRPr="00C21E05">
        <w:rPr>
          <w:rFonts w:ascii="Times New Roman" w:eastAsia="Times New Roman" w:hAnsi="Times New Roman" w:cs="Times New Roman"/>
          <w:bCs/>
          <w:sz w:val="20"/>
          <w:szCs w:val="20"/>
        </w:rPr>
        <w:lastRenderedPageBreak/>
        <w:t>minimal number of data is needed</w:t>
      </w:r>
      <w:r w:rsidRPr="00C21E05">
        <w:rPr>
          <w:rFonts w:ascii="Times New Roman" w:eastAsia="Times New Roman" w:hAnsi="Times New Roman" w:cs="Times New Roman"/>
          <w:bCs/>
          <w:sz w:val="20"/>
          <w:szCs w:val="20"/>
        </w:rPr>
        <w:t xml:space="preserve">. Once the most dominant parameters are identified, additional output data can be generated by varying only the </w:t>
      </w:r>
      <w:r w:rsidR="00F07163" w:rsidRPr="00C21E05">
        <w:rPr>
          <w:rFonts w:ascii="Times New Roman" w:eastAsia="Times New Roman" w:hAnsi="Times New Roman" w:cs="Times New Roman"/>
          <w:bCs/>
          <w:sz w:val="20"/>
          <w:szCs w:val="20"/>
        </w:rPr>
        <w:t>significant parameters for focused surrogate model</w:t>
      </w:r>
      <w:r w:rsidR="00E3202E" w:rsidRPr="00C21E05">
        <w:rPr>
          <w:rFonts w:ascii="Times New Roman" w:eastAsia="Times New Roman" w:hAnsi="Times New Roman" w:cs="Times New Roman"/>
          <w:bCs/>
          <w:sz w:val="20"/>
          <w:szCs w:val="20"/>
        </w:rPr>
        <w:t>l</w:t>
      </w:r>
      <w:r w:rsidR="00F07163" w:rsidRPr="00C21E05">
        <w:rPr>
          <w:rFonts w:ascii="Times New Roman" w:eastAsia="Times New Roman" w:hAnsi="Times New Roman" w:cs="Times New Roman"/>
          <w:bCs/>
          <w:sz w:val="20"/>
          <w:szCs w:val="20"/>
        </w:rPr>
        <w:t xml:space="preserve">ing and Sobol’ analysis. Alternatively, identification of the significant parameters also informs focused design, analysis, optimization, and uncertainty quantification. </w:t>
      </w:r>
    </w:p>
    <w:p w14:paraId="40A32BBA" w14:textId="77777777" w:rsidR="00C67D66" w:rsidRPr="00C21E05" w:rsidRDefault="00C67D66">
      <w:pPr>
        <w:spacing w:after="0"/>
        <w:rPr>
          <w:rFonts w:ascii="Times New Roman" w:eastAsia="Times New Roman" w:hAnsi="Times New Roman" w:cs="Times New Roman"/>
          <w:bCs/>
          <w:sz w:val="20"/>
          <w:szCs w:val="20"/>
        </w:rPr>
      </w:pPr>
    </w:p>
    <w:p w14:paraId="2719D131" w14:textId="4D3C2BF6" w:rsidR="005F7702" w:rsidRPr="00C21E05" w:rsidRDefault="005F7702">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Both the Morris method and the Sobol’ method require a specific sampling method to be optimally efficient</w:t>
      </w:r>
      <w:r w:rsidR="00E3202E" w:rsidRPr="00C21E05">
        <w:rPr>
          <w:rFonts w:ascii="Times New Roman" w:eastAsia="Times New Roman" w:hAnsi="Times New Roman" w:cs="Times New Roman"/>
          <w:bCs/>
          <w:sz w:val="20"/>
          <w:szCs w:val="20"/>
        </w:rPr>
        <w:t xml:space="preserve">. Therefore, method selection must be determined prior to data generation directly from the </w:t>
      </w:r>
      <w:r w:rsidR="0017359A" w:rsidRPr="00C21E05">
        <w:rPr>
          <w:rFonts w:ascii="Times New Roman" w:eastAsia="Times New Roman" w:hAnsi="Times New Roman" w:cs="Times New Roman"/>
          <w:bCs/>
          <w:sz w:val="20"/>
          <w:szCs w:val="20"/>
        </w:rPr>
        <w:t>high-fidelity</w:t>
      </w:r>
      <w:r w:rsidR="00E3202E" w:rsidRPr="00C21E05">
        <w:rPr>
          <w:rFonts w:ascii="Times New Roman" w:eastAsia="Times New Roman" w:hAnsi="Times New Roman" w:cs="Times New Roman"/>
          <w:bCs/>
          <w:sz w:val="20"/>
          <w:szCs w:val="20"/>
        </w:rPr>
        <w:t xml:space="preserve"> models or </w:t>
      </w:r>
      <w:r w:rsidR="00DD7B4A" w:rsidRPr="00C21E05">
        <w:rPr>
          <w:rFonts w:ascii="Times New Roman" w:eastAsia="Times New Roman" w:hAnsi="Times New Roman" w:cs="Times New Roman"/>
          <w:bCs/>
          <w:sz w:val="20"/>
          <w:szCs w:val="20"/>
        </w:rPr>
        <w:t xml:space="preserve">the sample data determined </w:t>
      </w:r>
      <w:r w:rsidR="00E3202E" w:rsidRPr="00C21E05">
        <w:rPr>
          <w:rFonts w:ascii="Times New Roman" w:eastAsia="Times New Roman" w:hAnsi="Times New Roman" w:cs="Times New Roman"/>
          <w:bCs/>
          <w:sz w:val="20"/>
          <w:szCs w:val="20"/>
        </w:rPr>
        <w:t>from a surrogate model</w:t>
      </w:r>
      <w:r w:rsidR="00DD7B4A" w:rsidRPr="00C21E05">
        <w:rPr>
          <w:rFonts w:ascii="Times New Roman" w:eastAsia="Times New Roman" w:hAnsi="Times New Roman" w:cs="Times New Roman"/>
          <w:bCs/>
          <w:sz w:val="20"/>
          <w:szCs w:val="20"/>
        </w:rPr>
        <w:t xml:space="preserve"> following the sample scheme</w:t>
      </w:r>
      <w:r w:rsidRPr="00C21E05">
        <w:rPr>
          <w:rFonts w:ascii="Times New Roman" w:eastAsia="Times New Roman" w:hAnsi="Times New Roman" w:cs="Times New Roman"/>
          <w:bCs/>
          <w:sz w:val="20"/>
          <w:szCs w:val="20"/>
        </w:rPr>
        <w:t xml:space="preserve">. </w:t>
      </w:r>
      <w:r w:rsidR="00DD7B4A" w:rsidRPr="00C21E05">
        <w:rPr>
          <w:rFonts w:ascii="Times New Roman" w:eastAsia="Times New Roman" w:hAnsi="Times New Roman" w:cs="Times New Roman"/>
          <w:bCs/>
          <w:sz w:val="20"/>
          <w:szCs w:val="20"/>
        </w:rPr>
        <w:t xml:space="preserve">For existing data sets, </w:t>
      </w:r>
      <w:r w:rsidR="00E3202E" w:rsidRPr="00C21E05">
        <w:rPr>
          <w:rFonts w:ascii="Times New Roman" w:eastAsia="Times New Roman" w:hAnsi="Times New Roman" w:cs="Times New Roman"/>
          <w:bCs/>
          <w:sz w:val="20"/>
          <w:szCs w:val="20"/>
        </w:rPr>
        <w:t xml:space="preserve">the HDMR method </w:t>
      </w:r>
      <w:r w:rsidRPr="00C21E05">
        <w:rPr>
          <w:rFonts w:ascii="Times New Roman" w:eastAsia="Times New Roman" w:hAnsi="Times New Roman" w:cs="Times New Roman"/>
          <w:bCs/>
          <w:sz w:val="20"/>
          <w:szCs w:val="20"/>
        </w:rPr>
        <w:t xml:space="preserve">uses any random or quasi-random sampling </w:t>
      </w:r>
      <w:r w:rsidR="000321F2" w:rsidRPr="00C21E05">
        <w:rPr>
          <w:rFonts w:ascii="Times New Roman" w:eastAsia="Times New Roman" w:hAnsi="Times New Roman" w:cs="Times New Roman"/>
          <w:bCs/>
          <w:sz w:val="20"/>
          <w:szCs w:val="20"/>
        </w:rPr>
        <w:t>method and</w:t>
      </w:r>
      <w:r w:rsidRPr="00C21E05">
        <w:rPr>
          <w:rFonts w:ascii="Times New Roman" w:eastAsia="Times New Roman" w:hAnsi="Times New Roman" w:cs="Times New Roman"/>
          <w:bCs/>
          <w:sz w:val="20"/>
          <w:szCs w:val="20"/>
        </w:rPr>
        <w:t xml:space="preserve"> converges relatively quickly compared to the other quantitative methods</w:t>
      </w:r>
      <w:r w:rsidR="00DD7B4A" w:rsidRPr="00C21E05">
        <w:rPr>
          <w:rFonts w:ascii="Times New Roman" w:eastAsia="Times New Roman" w:hAnsi="Times New Roman" w:cs="Times New Roman"/>
          <w:bCs/>
          <w:sz w:val="20"/>
          <w:szCs w:val="20"/>
        </w:rPr>
        <w:t>. This approach</w:t>
      </w:r>
      <w:r w:rsidRPr="00C21E05">
        <w:rPr>
          <w:rFonts w:ascii="Times New Roman" w:eastAsia="Times New Roman" w:hAnsi="Times New Roman" w:cs="Times New Roman"/>
          <w:bCs/>
          <w:sz w:val="20"/>
          <w:szCs w:val="20"/>
        </w:rPr>
        <w:t xml:space="preserve"> allow</w:t>
      </w:r>
      <w:r w:rsidR="00DD7B4A" w:rsidRPr="00C21E05">
        <w:rPr>
          <w:rFonts w:ascii="Times New Roman" w:eastAsia="Times New Roman" w:hAnsi="Times New Roman" w:cs="Times New Roman"/>
          <w:bCs/>
          <w:sz w:val="20"/>
          <w:szCs w:val="20"/>
        </w:rPr>
        <w:t>s</w:t>
      </w:r>
      <w:r w:rsidRPr="00C21E05">
        <w:rPr>
          <w:rFonts w:ascii="Times New Roman" w:eastAsia="Times New Roman" w:hAnsi="Times New Roman" w:cs="Times New Roman"/>
          <w:bCs/>
          <w:sz w:val="20"/>
          <w:szCs w:val="20"/>
        </w:rPr>
        <w:t xml:space="preserve"> for</w:t>
      </w:r>
      <w:r w:rsidR="00DD7B4A" w:rsidRPr="00C21E05">
        <w:rPr>
          <w:rFonts w:ascii="Times New Roman" w:eastAsia="Times New Roman" w:hAnsi="Times New Roman" w:cs="Times New Roman"/>
          <w:bCs/>
          <w:sz w:val="20"/>
          <w:szCs w:val="20"/>
        </w:rPr>
        <w:t xml:space="preserve"> the HDMR method</w:t>
      </w:r>
      <w:r w:rsidRPr="00C21E05">
        <w:rPr>
          <w:rFonts w:ascii="Times New Roman" w:eastAsia="Times New Roman" w:hAnsi="Times New Roman" w:cs="Times New Roman"/>
          <w:bCs/>
          <w:sz w:val="20"/>
          <w:szCs w:val="20"/>
        </w:rPr>
        <w:t xml:space="preserve"> to be applied to experimental test</w:t>
      </w:r>
      <w:r w:rsidR="00DD7B4A" w:rsidRPr="00C21E05">
        <w:rPr>
          <w:rFonts w:ascii="Times New Roman" w:eastAsia="Times New Roman" w:hAnsi="Times New Roman" w:cs="Times New Roman"/>
          <w:bCs/>
          <w:sz w:val="20"/>
          <w:szCs w:val="20"/>
        </w:rPr>
        <w:t xml:space="preserve"> data</w:t>
      </w:r>
      <w:r w:rsidRPr="00C21E05">
        <w:rPr>
          <w:rFonts w:ascii="Times New Roman" w:eastAsia="Times New Roman" w:hAnsi="Times New Roman" w:cs="Times New Roman"/>
          <w:bCs/>
          <w:sz w:val="20"/>
          <w:szCs w:val="20"/>
        </w:rPr>
        <w:t xml:space="preserve"> or other cases where the </w:t>
      </w:r>
      <w:r w:rsidR="00DD7B4A" w:rsidRPr="00C21E05">
        <w:rPr>
          <w:rFonts w:ascii="Times New Roman" w:eastAsia="Times New Roman" w:hAnsi="Times New Roman" w:cs="Times New Roman"/>
          <w:bCs/>
          <w:sz w:val="20"/>
          <w:szCs w:val="20"/>
        </w:rPr>
        <w:t xml:space="preserve">data </w:t>
      </w:r>
      <w:r w:rsidRPr="00C21E05">
        <w:rPr>
          <w:rFonts w:ascii="Times New Roman" w:eastAsia="Times New Roman" w:hAnsi="Times New Roman" w:cs="Times New Roman"/>
          <w:bCs/>
          <w:sz w:val="20"/>
          <w:szCs w:val="20"/>
        </w:rPr>
        <w:t xml:space="preserve">sampling is not as easy to </w:t>
      </w:r>
      <w:r w:rsidR="000321F2" w:rsidRPr="00C21E05">
        <w:rPr>
          <w:rFonts w:ascii="Times New Roman" w:eastAsia="Times New Roman" w:hAnsi="Times New Roman" w:cs="Times New Roman"/>
          <w:bCs/>
          <w:sz w:val="20"/>
          <w:szCs w:val="20"/>
        </w:rPr>
        <w:t>control</w:t>
      </w:r>
      <w:r w:rsidRPr="00C21E05">
        <w:rPr>
          <w:rFonts w:ascii="Times New Roman" w:eastAsia="Times New Roman" w:hAnsi="Times New Roman" w:cs="Times New Roman"/>
          <w:bCs/>
          <w:sz w:val="20"/>
          <w:szCs w:val="20"/>
        </w:rPr>
        <w:t xml:space="preserve">. </w:t>
      </w:r>
      <w:r w:rsidR="000321F2" w:rsidRPr="00C21E05">
        <w:rPr>
          <w:rFonts w:ascii="Times New Roman" w:eastAsia="Times New Roman" w:hAnsi="Times New Roman" w:cs="Times New Roman"/>
          <w:bCs/>
          <w:sz w:val="20"/>
          <w:szCs w:val="20"/>
        </w:rPr>
        <w:t>Despite the unique ability t</w:t>
      </w:r>
      <w:r w:rsidR="00D22E4F" w:rsidRPr="00C21E05">
        <w:rPr>
          <w:rFonts w:ascii="Times New Roman" w:eastAsia="Times New Roman" w:hAnsi="Times New Roman" w:cs="Times New Roman"/>
          <w:bCs/>
          <w:sz w:val="20"/>
          <w:szCs w:val="20"/>
        </w:rPr>
        <w:t>o</w:t>
      </w:r>
      <w:r w:rsidR="000321F2" w:rsidRPr="00C21E05">
        <w:rPr>
          <w:rFonts w:ascii="Times New Roman" w:eastAsia="Times New Roman" w:hAnsi="Times New Roman" w:cs="Times New Roman"/>
          <w:bCs/>
          <w:sz w:val="20"/>
          <w:szCs w:val="20"/>
        </w:rPr>
        <w:t xml:space="preserve"> use any sampling method</w:t>
      </w:r>
      <w:r w:rsidR="000C7DBF" w:rsidRPr="00C21E05">
        <w:rPr>
          <w:rFonts w:ascii="Times New Roman" w:eastAsia="Times New Roman" w:hAnsi="Times New Roman" w:cs="Times New Roman"/>
          <w:bCs/>
          <w:sz w:val="20"/>
          <w:szCs w:val="20"/>
        </w:rPr>
        <w:t>,</w:t>
      </w:r>
      <w:r w:rsidR="000321F2" w:rsidRPr="00C21E05">
        <w:rPr>
          <w:rFonts w:ascii="Times New Roman" w:eastAsia="Times New Roman" w:hAnsi="Times New Roman" w:cs="Times New Roman"/>
          <w:bCs/>
          <w:sz w:val="20"/>
          <w:szCs w:val="20"/>
        </w:rPr>
        <w:t xml:space="preserve"> the HDMR method is limited by RAM capacity, requiring a great deal of RAM to evaluate large sample sizes. Both the DGSM and the EFAST method performed</w:t>
      </w:r>
      <w:r w:rsidR="009F5070" w:rsidRPr="00C21E05">
        <w:rPr>
          <w:rFonts w:ascii="Times New Roman" w:eastAsia="Times New Roman" w:hAnsi="Times New Roman" w:cs="Times New Roman"/>
          <w:bCs/>
          <w:sz w:val="20"/>
          <w:szCs w:val="20"/>
        </w:rPr>
        <w:t xml:space="preserve"> adequately but with no clear advantage or being limited by sample sizes, respectively. </w:t>
      </w:r>
    </w:p>
    <w:p w14:paraId="0B11E667" w14:textId="01BAA9E6" w:rsidR="006F7713" w:rsidRPr="00C21E05" w:rsidRDefault="005F7702" w:rsidP="009F5070">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 xml:space="preserve"> </w:t>
      </w:r>
      <w:r w:rsidR="006F7713" w:rsidRPr="00C21E05">
        <w:rPr>
          <w:rFonts w:ascii="Times New Roman" w:eastAsia="Times New Roman" w:hAnsi="Times New Roman" w:cs="Times New Roman"/>
          <w:bCs/>
          <w:sz w:val="20"/>
          <w:szCs w:val="20"/>
        </w:rPr>
        <w:t xml:space="preserve"> </w:t>
      </w:r>
    </w:p>
    <w:p w14:paraId="0A25811D" w14:textId="523E97F5" w:rsidR="001F373E" w:rsidRDefault="001F373E">
      <w:pPr>
        <w:spacing w:after="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5.4 Limitations</w:t>
      </w:r>
    </w:p>
    <w:p w14:paraId="6AD4CDF2" w14:textId="1622530F" w:rsidR="00A71D0E" w:rsidRPr="00C21E05" w:rsidRDefault="00A71D0E">
      <w:pPr>
        <w:spacing w:after="0"/>
        <w:rPr>
          <w:rFonts w:ascii="Times New Roman" w:eastAsia="Times New Roman" w:hAnsi="Times New Roman" w:cs="Times New Roman"/>
          <w:bCs/>
          <w:sz w:val="20"/>
          <w:szCs w:val="20"/>
        </w:rPr>
      </w:pPr>
      <w:r w:rsidRPr="00C21E05">
        <w:rPr>
          <w:rFonts w:ascii="Times New Roman" w:eastAsia="Times New Roman" w:hAnsi="Times New Roman" w:cs="Times New Roman"/>
          <w:bCs/>
          <w:sz w:val="20"/>
          <w:szCs w:val="20"/>
        </w:rPr>
        <w:t xml:space="preserve">The present study is limited </w:t>
      </w:r>
      <w:r w:rsidR="00F66721" w:rsidRPr="00C21E05">
        <w:rPr>
          <w:rFonts w:ascii="Times New Roman" w:eastAsia="Times New Roman" w:hAnsi="Times New Roman" w:cs="Times New Roman"/>
          <w:bCs/>
          <w:sz w:val="20"/>
          <w:szCs w:val="20"/>
        </w:rPr>
        <w:t>to three test cases</w:t>
      </w:r>
      <w:r w:rsidRPr="00C21E05">
        <w:rPr>
          <w:rFonts w:ascii="Times New Roman" w:eastAsia="Times New Roman" w:hAnsi="Times New Roman" w:cs="Times New Roman"/>
          <w:bCs/>
          <w:sz w:val="20"/>
          <w:szCs w:val="20"/>
        </w:rPr>
        <w:t xml:space="preserve"> </w:t>
      </w:r>
      <w:r w:rsidR="00F66721" w:rsidRPr="00C21E05">
        <w:rPr>
          <w:rFonts w:ascii="Times New Roman" w:eastAsia="Times New Roman" w:hAnsi="Times New Roman" w:cs="Times New Roman"/>
          <w:bCs/>
          <w:sz w:val="20"/>
          <w:szCs w:val="20"/>
        </w:rPr>
        <w:t>that do not encompass</w:t>
      </w:r>
      <w:r w:rsidRPr="00C21E05">
        <w:rPr>
          <w:rFonts w:ascii="Times New Roman" w:eastAsia="Times New Roman" w:hAnsi="Times New Roman" w:cs="Times New Roman"/>
          <w:bCs/>
          <w:sz w:val="20"/>
          <w:szCs w:val="20"/>
        </w:rPr>
        <w:t xml:space="preserve"> all potential model characteristics or dimensionalit</w:t>
      </w:r>
      <w:r w:rsidR="005A6B3A" w:rsidRPr="00C21E05">
        <w:rPr>
          <w:rFonts w:ascii="Times New Roman" w:eastAsia="Times New Roman" w:hAnsi="Times New Roman" w:cs="Times New Roman"/>
          <w:bCs/>
          <w:sz w:val="20"/>
          <w:szCs w:val="20"/>
        </w:rPr>
        <w:t>ies</w:t>
      </w:r>
      <w:r w:rsidRPr="00C21E05">
        <w:rPr>
          <w:rFonts w:ascii="Times New Roman" w:eastAsia="Times New Roman" w:hAnsi="Times New Roman" w:cs="Times New Roman"/>
          <w:bCs/>
          <w:sz w:val="20"/>
          <w:szCs w:val="20"/>
        </w:rPr>
        <w:t xml:space="preserve"> that could be encountered when performing GSA. An open-source code was utilized </w:t>
      </w:r>
      <w:r w:rsidR="00F66721" w:rsidRPr="00C21E05">
        <w:rPr>
          <w:rFonts w:ascii="Times New Roman" w:eastAsia="Times New Roman" w:hAnsi="Times New Roman" w:cs="Times New Roman"/>
          <w:bCs/>
          <w:sz w:val="20"/>
          <w:szCs w:val="20"/>
        </w:rPr>
        <w:t>due to its</w:t>
      </w:r>
      <w:r w:rsidRPr="00C21E05">
        <w:rPr>
          <w:rFonts w:ascii="Times New Roman" w:eastAsia="Times New Roman" w:hAnsi="Times New Roman" w:cs="Times New Roman"/>
          <w:bCs/>
          <w:sz w:val="20"/>
          <w:szCs w:val="20"/>
        </w:rPr>
        <w:t xml:space="preserve"> availability to any person or organization but acts a</w:t>
      </w:r>
      <w:r w:rsidR="00F66721" w:rsidRPr="00C21E05">
        <w:rPr>
          <w:rFonts w:ascii="Times New Roman" w:eastAsia="Times New Roman" w:hAnsi="Times New Roman" w:cs="Times New Roman"/>
          <w:bCs/>
          <w:sz w:val="20"/>
          <w:szCs w:val="20"/>
        </w:rPr>
        <w:t>s a</w:t>
      </w:r>
      <w:r w:rsidRPr="00C21E05">
        <w:rPr>
          <w:rFonts w:ascii="Times New Roman" w:eastAsia="Times New Roman" w:hAnsi="Times New Roman" w:cs="Times New Roman"/>
          <w:bCs/>
          <w:sz w:val="20"/>
          <w:szCs w:val="20"/>
        </w:rPr>
        <w:t xml:space="preserve"> limitation by not comparing </w:t>
      </w:r>
      <w:r w:rsidR="005A6B3A" w:rsidRPr="00C21E05">
        <w:rPr>
          <w:rFonts w:ascii="Times New Roman" w:eastAsia="Times New Roman" w:hAnsi="Times New Roman" w:cs="Times New Roman"/>
          <w:bCs/>
          <w:sz w:val="20"/>
          <w:szCs w:val="20"/>
        </w:rPr>
        <w:t>several packages</w:t>
      </w:r>
      <w:r w:rsidRPr="00C21E05">
        <w:rPr>
          <w:rFonts w:ascii="Times New Roman" w:eastAsia="Times New Roman" w:hAnsi="Times New Roman" w:cs="Times New Roman"/>
          <w:bCs/>
          <w:sz w:val="20"/>
          <w:szCs w:val="20"/>
        </w:rPr>
        <w:t xml:space="preserve"> available to perform GSA</w:t>
      </w:r>
      <w:r w:rsidR="00F66721" w:rsidRPr="00C21E05">
        <w:rPr>
          <w:rFonts w:ascii="Times New Roman" w:eastAsia="Times New Roman" w:hAnsi="Times New Roman" w:cs="Times New Roman"/>
          <w:bCs/>
          <w:sz w:val="20"/>
          <w:szCs w:val="20"/>
        </w:rPr>
        <w:t xml:space="preserve">, </w:t>
      </w:r>
      <w:r w:rsidRPr="00C21E05">
        <w:rPr>
          <w:rFonts w:ascii="Times New Roman" w:eastAsia="Times New Roman" w:hAnsi="Times New Roman" w:cs="Times New Roman"/>
          <w:bCs/>
          <w:sz w:val="20"/>
          <w:szCs w:val="20"/>
        </w:rPr>
        <w:t xml:space="preserve">instead using only a single Python library for the comparisons. Hardware limitations are noted when examining the HDMR method, where limited RAM capacity prevented a more exhaustive convergence study from being performed. </w:t>
      </w:r>
    </w:p>
    <w:p w14:paraId="46587FD9" w14:textId="07B5F716" w:rsidR="00933BB2" w:rsidRPr="00933BB2" w:rsidRDefault="00A71D0E">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1CFD8018" w14:textId="0392302E" w:rsidR="00243003" w:rsidRPr="00C238A6" w:rsidRDefault="00082627" w:rsidP="00C238A6">
      <w:pPr>
        <w:rPr>
          <w:rFonts w:ascii="Times New Roman" w:eastAsia="Times New Roman" w:hAnsi="Times New Roman" w:cs="Times New Roman"/>
          <w:b/>
          <w:color w:val="002060"/>
          <w:sz w:val="24"/>
          <w:szCs w:val="24"/>
        </w:rPr>
      </w:pPr>
      <w:bookmarkStart w:id="1" w:name="_heading=h.gjdgxs" w:colFirst="0" w:colLast="0"/>
      <w:bookmarkEnd w:id="1"/>
      <w:r w:rsidRPr="001E3E54">
        <w:rPr>
          <w:rFonts w:ascii="Times New Roman" w:eastAsia="Times New Roman" w:hAnsi="Times New Roman" w:cs="Times New Roman"/>
          <w:b/>
          <w:color w:val="002060"/>
          <w:sz w:val="24"/>
          <w:szCs w:val="24"/>
        </w:rPr>
        <w:t>6. Conclusions</w:t>
      </w:r>
    </w:p>
    <w:p w14:paraId="000003F0" w14:textId="4DE9290E" w:rsidR="00F87ED1" w:rsidRPr="00C21E05" w:rsidRDefault="00F66721" w:rsidP="00D14CC4">
      <w:pPr>
        <w:rPr>
          <w:rFonts w:ascii="Times New Roman" w:eastAsia="Times New Roman" w:hAnsi="Times New Roman" w:cs="Times New Roman"/>
          <w:sz w:val="20"/>
          <w:szCs w:val="20"/>
        </w:rPr>
      </w:pPr>
      <w:r w:rsidRPr="00C21E05">
        <w:rPr>
          <w:rFonts w:ascii="Times New Roman" w:eastAsia="Times New Roman" w:hAnsi="Times New Roman" w:cs="Times New Roman"/>
          <w:sz w:val="20"/>
          <w:szCs w:val="20"/>
        </w:rPr>
        <w:t xml:space="preserve">It is concluded that method selection is dependent on computational resources, information required from the GSA, and available data. </w:t>
      </w:r>
      <w:r w:rsidR="00082627" w:rsidRPr="00C21E05">
        <w:rPr>
          <w:rFonts w:ascii="Times New Roman" w:eastAsia="Times New Roman" w:hAnsi="Times New Roman" w:cs="Times New Roman"/>
          <w:sz w:val="20"/>
          <w:szCs w:val="20"/>
        </w:rPr>
        <w:t xml:space="preserve">The method of Morris is found to be the optimal method for estimating the total order </w:t>
      </w:r>
      <w:r w:rsidR="00D14CC4" w:rsidRPr="00C21E05">
        <w:rPr>
          <w:rFonts w:ascii="Times New Roman" w:eastAsia="Times New Roman" w:hAnsi="Times New Roman" w:cs="Times New Roman"/>
          <w:sz w:val="20"/>
          <w:szCs w:val="20"/>
        </w:rPr>
        <w:t>G</w:t>
      </w:r>
      <w:r w:rsidR="00082627" w:rsidRPr="00C21E05">
        <w:rPr>
          <w:rFonts w:ascii="Times New Roman" w:eastAsia="Times New Roman" w:hAnsi="Times New Roman" w:cs="Times New Roman"/>
          <w:sz w:val="20"/>
          <w:szCs w:val="20"/>
        </w:rPr>
        <w:t xml:space="preserve">SA measure given </w:t>
      </w:r>
      <w:r w:rsidR="0017359A" w:rsidRPr="00C21E05">
        <w:rPr>
          <w:rFonts w:ascii="Times New Roman" w:eastAsia="Times New Roman" w:hAnsi="Times New Roman" w:cs="Times New Roman"/>
          <w:sz w:val="20"/>
          <w:szCs w:val="20"/>
        </w:rPr>
        <w:t xml:space="preserve">a </w:t>
      </w:r>
      <w:r w:rsidR="00082627" w:rsidRPr="00C21E05">
        <w:rPr>
          <w:rFonts w:ascii="Times New Roman" w:eastAsia="Times New Roman" w:hAnsi="Times New Roman" w:cs="Times New Roman"/>
          <w:sz w:val="20"/>
          <w:szCs w:val="20"/>
        </w:rPr>
        <w:t>small dataset</w:t>
      </w:r>
      <w:r w:rsidR="00800197" w:rsidRPr="00C21E05">
        <w:rPr>
          <w:rFonts w:ascii="Times New Roman" w:eastAsia="Times New Roman" w:hAnsi="Times New Roman" w:cs="Times New Roman"/>
          <w:sz w:val="20"/>
          <w:szCs w:val="20"/>
        </w:rPr>
        <w:t xml:space="preserve"> (an approximate average of 5000 for this study)</w:t>
      </w:r>
      <w:r w:rsidR="00082627" w:rsidRPr="00C21E05">
        <w:rPr>
          <w:rFonts w:ascii="Times New Roman" w:eastAsia="Times New Roman" w:hAnsi="Times New Roman" w:cs="Times New Roman"/>
          <w:sz w:val="20"/>
          <w:szCs w:val="20"/>
        </w:rPr>
        <w:t>. The method of Sobol’ is found to be the most robust for first and total order SA measures, but also the most computationally expensive given the size of the dataset required for the method to converge</w:t>
      </w:r>
      <w:r w:rsidR="00800197" w:rsidRPr="00C21E05">
        <w:rPr>
          <w:rFonts w:ascii="Times New Roman" w:eastAsia="Times New Roman" w:hAnsi="Times New Roman" w:cs="Times New Roman"/>
          <w:sz w:val="20"/>
          <w:szCs w:val="20"/>
        </w:rPr>
        <w:t xml:space="preserve"> (an approximate average of 130,000 for this study)</w:t>
      </w:r>
      <w:r w:rsidR="00082627" w:rsidRPr="00C21E05">
        <w:rPr>
          <w:rFonts w:ascii="Times New Roman" w:eastAsia="Times New Roman" w:hAnsi="Times New Roman" w:cs="Times New Roman"/>
          <w:sz w:val="20"/>
          <w:szCs w:val="20"/>
        </w:rPr>
        <w:t xml:space="preserve">. The HDMR method performed well at predicting first order SA measures given </w:t>
      </w:r>
      <w:r w:rsidR="00800197" w:rsidRPr="00C21E05">
        <w:rPr>
          <w:rFonts w:ascii="Times New Roman" w:eastAsia="Times New Roman" w:hAnsi="Times New Roman" w:cs="Times New Roman"/>
          <w:sz w:val="20"/>
          <w:szCs w:val="20"/>
        </w:rPr>
        <w:t xml:space="preserve">medium </w:t>
      </w:r>
      <w:r w:rsidR="00082627" w:rsidRPr="00C21E05">
        <w:rPr>
          <w:rFonts w:ascii="Times New Roman" w:eastAsia="Times New Roman" w:hAnsi="Times New Roman" w:cs="Times New Roman"/>
          <w:sz w:val="20"/>
          <w:szCs w:val="20"/>
        </w:rPr>
        <w:t>dataset sizes</w:t>
      </w:r>
      <w:r w:rsidR="00800197" w:rsidRPr="00C21E05">
        <w:rPr>
          <w:rFonts w:ascii="Times New Roman" w:eastAsia="Times New Roman" w:hAnsi="Times New Roman" w:cs="Times New Roman"/>
          <w:sz w:val="20"/>
          <w:szCs w:val="20"/>
        </w:rPr>
        <w:t xml:space="preserve"> (</w:t>
      </w:r>
      <w:r w:rsidR="00D8385B" w:rsidRPr="00C21E05">
        <w:rPr>
          <w:rFonts w:ascii="Times New Roman" w:eastAsia="Times New Roman" w:hAnsi="Times New Roman" w:cs="Times New Roman"/>
          <w:sz w:val="20"/>
          <w:szCs w:val="20"/>
        </w:rPr>
        <w:t>an approximate average of 10,000 for this study</w:t>
      </w:r>
      <w:r w:rsidR="00800197" w:rsidRPr="00C21E05">
        <w:rPr>
          <w:rFonts w:ascii="Times New Roman" w:eastAsia="Times New Roman" w:hAnsi="Times New Roman" w:cs="Times New Roman"/>
          <w:sz w:val="20"/>
          <w:szCs w:val="20"/>
        </w:rPr>
        <w:t>)</w:t>
      </w:r>
      <w:r w:rsidR="00082627" w:rsidRPr="00C21E05">
        <w:rPr>
          <w:rFonts w:ascii="Times New Roman" w:eastAsia="Times New Roman" w:hAnsi="Times New Roman" w:cs="Times New Roman"/>
          <w:sz w:val="20"/>
          <w:szCs w:val="20"/>
        </w:rPr>
        <w:t xml:space="preserve"> and offering omission of specific sampling techniques.</w:t>
      </w:r>
      <w:r w:rsidR="00F70F37" w:rsidRPr="00C21E05">
        <w:rPr>
          <w:rFonts w:ascii="Times New Roman" w:eastAsia="Times New Roman" w:hAnsi="Times New Roman" w:cs="Times New Roman"/>
          <w:sz w:val="20"/>
          <w:szCs w:val="20"/>
        </w:rPr>
        <w:t xml:space="preserve"> </w:t>
      </w:r>
      <w:r w:rsidR="00800197" w:rsidRPr="00C21E05">
        <w:rPr>
          <w:rFonts w:ascii="Times New Roman" w:eastAsia="Times New Roman" w:hAnsi="Times New Roman" w:cs="Times New Roman"/>
          <w:sz w:val="20"/>
          <w:szCs w:val="20"/>
        </w:rPr>
        <w:t xml:space="preserve">The EFAST method and the DGSM method performed relatively average compared to the other methods for the particular models investigated making them less noteworthy for this </w:t>
      </w:r>
      <w:r w:rsidR="0017359A" w:rsidRPr="00C21E05">
        <w:rPr>
          <w:rFonts w:ascii="Times New Roman" w:eastAsia="Times New Roman" w:hAnsi="Times New Roman" w:cs="Times New Roman"/>
          <w:sz w:val="20"/>
          <w:szCs w:val="20"/>
        </w:rPr>
        <w:t>individual</w:t>
      </w:r>
      <w:r w:rsidR="00800197" w:rsidRPr="00C21E05">
        <w:rPr>
          <w:rFonts w:ascii="Times New Roman" w:eastAsia="Times New Roman" w:hAnsi="Times New Roman" w:cs="Times New Roman"/>
          <w:sz w:val="20"/>
          <w:szCs w:val="20"/>
        </w:rPr>
        <w:t xml:space="preserve"> study. </w:t>
      </w:r>
    </w:p>
    <w:p w14:paraId="000003F1" w14:textId="77777777" w:rsidR="00F87ED1" w:rsidRDefault="00F87ED1">
      <w:pPr>
        <w:rPr>
          <w:rFonts w:ascii="Times New Roman" w:eastAsia="Times New Roman" w:hAnsi="Times New Roman" w:cs="Times New Roman"/>
          <w:color w:val="000000"/>
          <w:sz w:val="16"/>
          <w:szCs w:val="16"/>
        </w:rPr>
      </w:pPr>
    </w:p>
    <w:p w14:paraId="000003F3" w14:textId="5C6C1A52" w:rsidR="00F87ED1" w:rsidRDefault="00082627">
      <w:pPr>
        <w:rPr>
          <w:rFonts w:ascii="Times New Roman" w:eastAsia="Times New Roman" w:hAnsi="Times New Roman" w:cs="Times New Roman"/>
          <w:color w:val="000000"/>
          <w:sz w:val="16"/>
          <w:szCs w:val="16"/>
        </w:rPr>
      </w:pPr>
      <w:r>
        <w:rPr>
          <w:rFonts w:ascii="Times New Roman" w:eastAsia="Times New Roman" w:hAnsi="Times New Roman" w:cs="Times New Roman"/>
          <w:color w:val="000052"/>
          <w:sz w:val="16"/>
          <w:szCs w:val="16"/>
        </w:rPr>
        <w:t xml:space="preserve">Funding statement. </w:t>
      </w:r>
      <w:r>
        <w:rPr>
          <w:rFonts w:ascii="Times New Roman" w:eastAsia="Times New Roman" w:hAnsi="Times New Roman" w:cs="Times New Roman"/>
          <w:color w:val="000000"/>
          <w:sz w:val="16"/>
          <w:szCs w:val="16"/>
        </w:rPr>
        <w:t>This research was supported by</w:t>
      </w:r>
      <w:r w:rsidR="005B5FEE">
        <w:rPr>
          <w:rFonts w:ascii="Times New Roman" w:eastAsia="Times New Roman" w:hAnsi="Times New Roman" w:cs="Times New Roman"/>
          <w:color w:val="000000"/>
          <w:sz w:val="16"/>
          <w:szCs w:val="16"/>
        </w:rPr>
        <w:t xml:space="preserve"> </w:t>
      </w:r>
      <w:r w:rsidR="005B5FEE" w:rsidRPr="005B5FEE">
        <w:rPr>
          <w:rFonts w:ascii="Times New Roman" w:eastAsia="Times New Roman" w:hAnsi="Times New Roman" w:cs="Times New Roman"/>
          <w:color w:val="000000"/>
          <w:sz w:val="16"/>
          <w:szCs w:val="16"/>
        </w:rPr>
        <w:t>United States</w:t>
      </w:r>
      <w:r w:rsidR="001C44B9" w:rsidRPr="005B5FEE">
        <w:rPr>
          <w:rFonts w:ascii="Times New Roman" w:eastAsia="Times New Roman" w:hAnsi="Times New Roman" w:cs="Times New Roman"/>
          <w:color w:val="000000"/>
          <w:sz w:val="16"/>
          <w:szCs w:val="16"/>
        </w:rPr>
        <w:t xml:space="preserve"> Office of Naval Research (ONR) </w:t>
      </w:r>
      <w:r w:rsidRPr="005B5FEE">
        <w:rPr>
          <w:rFonts w:ascii="Times New Roman" w:eastAsia="Times New Roman" w:hAnsi="Times New Roman" w:cs="Times New Roman"/>
          <w:color w:val="000000"/>
          <w:sz w:val="16"/>
          <w:szCs w:val="16"/>
        </w:rPr>
        <w:t>grant</w:t>
      </w:r>
      <w:r w:rsidR="005B5FEE" w:rsidRPr="005B5FEE">
        <w:rPr>
          <w:rFonts w:ascii="Times New Roman" w:eastAsia="Times New Roman" w:hAnsi="Times New Roman" w:cs="Times New Roman"/>
          <w:color w:val="000000"/>
          <w:sz w:val="16"/>
          <w:szCs w:val="16"/>
        </w:rPr>
        <w:t xml:space="preserve"> </w:t>
      </w:r>
      <w:r w:rsidR="005B5FEE" w:rsidRPr="005B5FEE">
        <w:rPr>
          <w:rFonts w:ascii="Times New Roman" w:hAnsi="Times New Roman" w:cs="Times New Roman"/>
          <w:sz w:val="16"/>
          <w:szCs w:val="16"/>
          <w:lang w:val="en-US"/>
        </w:rPr>
        <w:t>N00014-21-1-2041 under the direction of Dr. Paul Hess.</w:t>
      </w:r>
      <w:r w:rsidR="005766E2">
        <w:rPr>
          <w:rFonts w:ascii="Times New Roman" w:hAnsi="Times New Roman" w:cs="Times New Roman"/>
          <w:sz w:val="16"/>
          <w:szCs w:val="16"/>
          <w:lang w:val="en-US"/>
        </w:rPr>
        <w:t xml:space="preserve"> It was also supported by the Lloyd’s Register Foundation. </w:t>
      </w:r>
      <w:r w:rsidRPr="005B5FEE">
        <w:rPr>
          <w:rFonts w:ascii="Times New Roman" w:eastAsia="Times New Roman" w:hAnsi="Times New Roman" w:cs="Times New Roman"/>
          <w:color w:val="000000"/>
          <w:sz w:val="16"/>
          <w:szCs w:val="16"/>
        </w:rPr>
        <w:br/>
      </w:r>
      <w:r>
        <w:rPr>
          <w:rFonts w:ascii="Times New Roman" w:eastAsia="Times New Roman" w:hAnsi="Times New Roman" w:cs="Times New Roman"/>
          <w:color w:val="000052"/>
          <w:sz w:val="16"/>
          <w:szCs w:val="16"/>
        </w:rPr>
        <w:t xml:space="preserve">Competing interests. </w:t>
      </w:r>
      <w:r>
        <w:rPr>
          <w:rFonts w:ascii="Times New Roman" w:eastAsia="Times New Roman" w:hAnsi="Times New Roman" w:cs="Times New Roman"/>
          <w:color w:val="000000"/>
          <w:sz w:val="16"/>
          <w:szCs w:val="16"/>
        </w:rPr>
        <w:t>None</w:t>
      </w:r>
      <w:r>
        <w:rPr>
          <w:rFonts w:ascii="Times New Roman" w:eastAsia="Times New Roman" w:hAnsi="Times New Roman" w:cs="Times New Roman"/>
          <w:color w:val="000000"/>
          <w:sz w:val="16"/>
          <w:szCs w:val="16"/>
        </w:rPr>
        <w:br/>
      </w:r>
      <w:r>
        <w:rPr>
          <w:rFonts w:ascii="Times New Roman" w:eastAsia="Times New Roman" w:hAnsi="Times New Roman" w:cs="Times New Roman"/>
          <w:color w:val="000052"/>
          <w:sz w:val="16"/>
          <w:szCs w:val="16"/>
        </w:rPr>
        <w:t xml:space="preserve">Data availability statement. </w:t>
      </w:r>
      <w:r>
        <w:rPr>
          <w:rFonts w:ascii="Times New Roman" w:eastAsia="Times New Roman" w:hAnsi="Times New Roman" w:cs="Times New Roman"/>
          <w:color w:val="000000"/>
          <w:sz w:val="16"/>
          <w:szCs w:val="16"/>
        </w:rPr>
        <w:t xml:space="preserve">Data generated from the finite element and </w:t>
      </w:r>
      <w:proofErr w:type="spellStart"/>
      <w:r>
        <w:rPr>
          <w:rFonts w:ascii="Times New Roman" w:eastAsia="Times New Roman" w:hAnsi="Times New Roman" w:cs="Times New Roman"/>
          <w:color w:val="000000"/>
          <w:sz w:val="16"/>
          <w:szCs w:val="16"/>
        </w:rPr>
        <w:t>peridynamic</w:t>
      </w:r>
      <w:proofErr w:type="spellEnd"/>
      <w:r>
        <w:rPr>
          <w:rFonts w:ascii="Times New Roman" w:eastAsia="Times New Roman" w:hAnsi="Times New Roman" w:cs="Times New Roman"/>
          <w:color w:val="000000"/>
          <w:sz w:val="16"/>
          <w:szCs w:val="16"/>
        </w:rPr>
        <w:t xml:space="preserve"> models can be found in Harvard Dataverse: </w:t>
      </w:r>
      <w:hyperlink r:id="rId15">
        <w:r>
          <w:rPr>
            <w:rFonts w:ascii="Times New Roman" w:eastAsia="Times New Roman" w:hAnsi="Times New Roman" w:cs="Times New Roman"/>
            <w:color w:val="0563C1"/>
            <w:sz w:val="16"/>
            <w:szCs w:val="16"/>
            <w:u w:val="single"/>
          </w:rPr>
          <w:t>https://doi.org/link</w:t>
        </w:r>
      </w:hyperlink>
      <w:r>
        <w:rPr>
          <w:rFonts w:ascii="Times New Roman" w:eastAsia="Times New Roman" w:hAnsi="Times New Roman" w:cs="Times New Roman"/>
          <w:color w:val="218A6C"/>
          <w:sz w:val="16"/>
          <w:szCs w:val="16"/>
        </w:rPr>
        <w:br/>
      </w:r>
      <w:r>
        <w:rPr>
          <w:rFonts w:ascii="Times New Roman" w:eastAsia="Times New Roman" w:hAnsi="Times New Roman" w:cs="Times New Roman"/>
          <w:color w:val="000052"/>
          <w:sz w:val="16"/>
          <w:szCs w:val="16"/>
        </w:rPr>
        <w:t xml:space="preserve">Ethical standards. </w:t>
      </w:r>
      <w:r>
        <w:rPr>
          <w:rFonts w:ascii="Times New Roman" w:eastAsia="Times New Roman" w:hAnsi="Times New Roman" w:cs="Times New Roman"/>
          <w:color w:val="000000"/>
          <w:sz w:val="16"/>
          <w:szCs w:val="16"/>
        </w:rPr>
        <w:t>The research meets all ethical guidelines, including adherence to the legal requirements of the study country.</w:t>
      </w:r>
      <w:r>
        <w:rPr>
          <w:rFonts w:ascii="Times New Roman" w:eastAsia="Times New Roman" w:hAnsi="Times New Roman" w:cs="Times New Roman"/>
          <w:color w:val="000000"/>
          <w:sz w:val="16"/>
          <w:szCs w:val="16"/>
        </w:rPr>
        <w:br/>
      </w:r>
      <w:r>
        <w:rPr>
          <w:rFonts w:ascii="Times New Roman" w:eastAsia="Times New Roman" w:hAnsi="Times New Roman" w:cs="Times New Roman"/>
          <w:color w:val="000052"/>
          <w:sz w:val="16"/>
          <w:szCs w:val="16"/>
        </w:rPr>
        <w:t xml:space="preserve">Author contributions. </w:t>
      </w:r>
      <w:r>
        <w:rPr>
          <w:rFonts w:ascii="Times New Roman" w:eastAsia="Times New Roman" w:hAnsi="Times New Roman" w:cs="Times New Roman"/>
          <w:color w:val="000000"/>
          <w:sz w:val="16"/>
          <w:szCs w:val="16"/>
        </w:rPr>
        <w:t>Conceptualization: C.C. Methodology: C.C; S.T. Data curation: C.C; S.T. Data visualisation: C.C; S.T. Writing original draft: C.C; S.T; A.S. All authors approved the final submitted draft.</w:t>
      </w:r>
    </w:p>
    <w:p w14:paraId="000003F4" w14:textId="77777777" w:rsidR="00F87ED1" w:rsidRDefault="00082627">
      <w:pPr>
        <w:rPr>
          <w:rFonts w:ascii="Times New Roman" w:eastAsia="Times New Roman" w:hAnsi="Times New Roman" w:cs="Times New Roman"/>
          <w:color w:val="000000"/>
          <w:sz w:val="16"/>
          <w:szCs w:val="16"/>
        </w:rPr>
      </w:pPr>
      <w:r>
        <w:rPr>
          <w:rFonts w:ascii="Times New Roman" w:eastAsia="Times New Roman" w:hAnsi="Times New Roman" w:cs="Times New Roman"/>
          <w:color w:val="000052"/>
          <w:sz w:val="16"/>
          <w:szCs w:val="16"/>
        </w:rPr>
        <w:t xml:space="preserve">Supplementary material. </w:t>
      </w:r>
      <w:r>
        <w:rPr>
          <w:rFonts w:ascii="Times New Roman" w:eastAsia="Times New Roman" w:hAnsi="Times New Roman" w:cs="Times New Roman"/>
          <w:color w:val="000000"/>
          <w:sz w:val="16"/>
          <w:szCs w:val="16"/>
        </w:rPr>
        <w:t>None.</w:t>
      </w:r>
    </w:p>
    <w:p w14:paraId="000003F5" w14:textId="77777777" w:rsidR="00F87ED1" w:rsidRDefault="00F87ED1">
      <w:pPr>
        <w:spacing w:after="0" w:line="240" w:lineRule="auto"/>
        <w:rPr>
          <w:rFonts w:ascii="Times New Roman" w:eastAsia="Times New Roman" w:hAnsi="Times New Roman" w:cs="Times New Roman"/>
          <w:color w:val="000052"/>
          <w:sz w:val="20"/>
          <w:szCs w:val="20"/>
        </w:rPr>
      </w:pPr>
    </w:p>
    <w:p w14:paraId="000003F6" w14:textId="77777777" w:rsidR="00F87ED1" w:rsidRDefault="00082627">
      <w:pPr>
        <w:spacing w:after="0" w:line="240" w:lineRule="auto"/>
        <w:rPr>
          <w:rFonts w:ascii="Times New Roman" w:eastAsia="Times New Roman" w:hAnsi="Times New Roman" w:cs="Times New Roman"/>
          <w:color w:val="000052"/>
          <w:sz w:val="20"/>
          <w:szCs w:val="20"/>
        </w:rPr>
      </w:pPr>
      <w:r>
        <w:rPr>
          <w:rFonts w:ascii="Times New Roman" w:eastAsia="Times New Roman" w:hAnsi="Times New Roman" w:cs="Times New Roman"/>
          <w:color w:val="000052"/>
          <w:sz w:val="20"/>
          <w:szCs w:val="20"/>
        </w:rPr>
        <w:t>References</w:t>
      </w:r>
    </w:p>
    <w:p w14:paraId="000003F7"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Abadi, M., Agarwal, A., Barham, P., </w:t>
      </w:r>
      <w:proofErr w:type="spellStart"/>
      <w:r>
        <w:rPr>
          <w:rFonts w:ascii="Times New Roman" w:eastAsia="Times New Roman" w:hAnsi="Times New Roman" w:cs="Times New Roman"/>
          <w:color w:val="000000"/>
          <w:sz w:val="20"/>
          <w:szCs w:val="20"/>
        </w:rPr>
        <w:t>Brevdo</w:t>
      </w:r>
      <w:proofErr w:type="spellEnd"/>
      <w:r>
        <w:rPr>
          <w:rFonts w:ascii="Times New Roman" w:eastAsia="Times New Roman" w:hAnsi="Times New Roman" w:cs="Times New Roman"/>
          <w:color w:val="000000"/>
          <w:sz w:val="20"/>
          <w:szCs w:val="20"/>
        </w:rPr>
        <w:t xml:space="preserve">, E., Chen, Z., </w:t>
      </w:r>
      <w:proofErr w:type="spellStart"/>
      <w:r>
        <w:rPr>
          <w:rFonts w:ascii="Times New Roman" w:eastAsia="Times New Roman" w:hAnsi="Times New Roman" w:cs="Times New Roman"/>
          <w:color w:val="000000"/>
          <w:sz w:val="20"/>
          <w:szCs w:val="20"/>
        </w:rPr>
        <w:t>Citro</w:t>
      </w:r>
      <w:proofErr w:type="spellEnd"/>
      <w:r>
        <w:rPr>
          <w:rFonts w:ascii="Times New Roman" w:eastAsia="Times New Roman" w:hAnsi="Times New Roman" w:cs="Times New Roman"/>
          <w:color w:val="000000"/>
          <w:sz w:val="20"/>
          <w:szCs w:val="20"/>
        </w:rPr>
        <w:t xml:space="preserve">, C., . . . Devin, M. (2016). </w:t>
      </w:r>
      <w:proofErr w:type="spellStart"/>
      <w:r>
        <w:rPr>
          <w:rFonts w:ascii="Times New Roman" w:eastAsia="Times New Roman" w:hAnsi="Times New Roman" w:cs="Times New Roman"/>
          <w:color w:val="000000"/>
          <w:sz w:val="20"/>
          <w:szCs w:val="20"/>
        </w:rPr>
        <w:t>Tensorflow</w:t>
      </w:r>
      <w:proofErr w:type="spellEnd"/>
      <w:r>
        <w:rPr>
          <w:rFonts w:ascii="Times New Roman" w:eastAsia="Times New Roman" w:hAnsi="Times New Roman" w:cs="Times New Roman"/>
          <w:color w:val="000000"/>
          <w:sz w:val="20"/>
          <w:szCs w:val="20"/>
        </w:rPr>
        <w:t xml:space="preserve">: Large-scale machine learning on heterogeneous distributed systems. </w:t>
      </w:r>
      <w:proofErr w:type="spellStart"/>
      <w:r>
        <w:rPr>
          <w:rFonts w:ascii="Times New Roman" w:eastAsia="Times New Roman" w:hAnsi="Times New Roman" w:cs="Times New Roman"/>
          <w:i/>
          <w:color w:val="000000"/>
          <w:sz w:val="20"/>
          <w:szCs w:val="20"/>
        </w:rPr>
        <w:t>arXiv</w:t>
      </w:r>
      <w:proofErr w:type="spellEnd"/>
      <w:r>
        <w:rPr>
          <w:rFonts w:ascii="Times New Roman" w:eastAsia="Times New Roman" w:hAnsi="Times New Roman" w:cs="Times New Roman"/>
          <w:i/>
          <w:color w:val="000000"/>
          <w:sz w:val="20"/>
          <w:szCs w:val="20"/>
        </w:rPr>
        <w:t xml:space="preserve"> preprint arXiv:1603.04467</w:t>
      </w:r>
      <w:r>
        <w:rPr>
          <w:rFonts w:ascii="Times New Roman" w:eastAsia="Times New Roman" w:hAnsi="Times New Roman" w:cs="Times New Roman"/>
          <w:color w:val="000000"/>
          <w:sz w:val="20"/>
          <w:szCs w:val="20"/>
        </w:rPr>
        <w:t xml:space="preserve">. </w:t>
      </w:r>
    </w:p>
    <w:p w14:paraId="000003F8"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Arndt, C., Heng, B., Butler, R., and TerMaath, S. (2022). Nondeterministic Parameter Space Characterization of the Damage Tolerance of a Composite/Metal Structure. </w:t>
      </w:r>
      <w:r>
        <w:rPr>
          <w:rFonts w:ascii="Times New Roman" w:eastAsia="Times New Roman" w:hAnsi="Times New Roman" w:cs="Times New Roman"/>
          <w:i/>
          <w:color w:val="000000"/>
          <w:sz w:val="20"/>
          <w:szCs w:val="20"/>
        </w:rPr>
        <w:t xml:space="preserve">Preprint </w:t>
      </w:r>
      <w:proofErr w:type="spellStart"/>
      <w:r>
        <w:rPr>
          <w:rFonts w:ascii="Times New Roman" w:eastAsia="Times New Roman" w:hAnsi="Times New Roman" w:cs="Times New Roman"/>
          <w:i/>
          <w:color w:val="000000"/>
          <w:sz w:val="20"/>
          <w:szCs w:val="20"/>
        </w:rPr>
        <w:t>arXiv</w:t>
      </w:r>
      <w:proofErr w:type="spellEnd"/>
      <w:r>
        <w:rPr>
          <w:rFonts w:ascii="Times New Roman" w:eastAsia="Times New Roman" w:hAnsi="Times New Roman" w:cs="Times New Roman"/>
          <w:i/>
          <w:color w:val="000000"/>
          <w:sz w:val="20"/>
          <w:szCs w:val="20"/>
        </w:rPr>
        <w:t>: 2210.14054</w:t>
      </w:r>
      <w:r>
        <w:rPr>
          <w:rFonts w:ascii="Times New Roman" w:eastAsia="Times New Roman" w:hAnsi="Times New Roman" w:cs="Times New Roman"/>
          <w:color w:val="000000"/>
          <w:sz w:val="20"/>
          <w:szCs w:val="20"/>
        </w:rPr>
        <w:t xml:space="preserve">. </w:t>
      </w:r>
    </w:p>
    <w:p w14:paraId="000003F9"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Campolongo</w:t>
      </w:r>
      <w:proofErr w:type="spellEnd"/>
      <w:r>
        <w:rPr>
          <w:rFonts w:ascii="Times New Roman" w:eastAsia="Times New Roman" w:hAnsi="Times New Roman" w:cs="Times New Roman"/>
          <w:color w:val="000000"/>
          <w:sz w:val="20"/>
          <w:szCs w:val="20"/>
        </w:rPr>
        <w:t xml:space="preserve">, F., </w:t>
      </w:r>
      <w:proofErr w:type="spellStart"/>
      <w:r>
        <w:rPr>
          <w:rFonts w:ascii="Times New Roman" w:eastAsia="Times New Roman" w:hAnsi="Times New Roman" w:cs="Times New Roman"/>
          <w:color w:val="000000"/>
          <w:sz w:val="20"/>
          <w:szCs w:val="20"/>
        </w:rPr>
        <w:t>Cariboni</w:t>
      </w:r>
      <w:proofErr w:type="spellEnd"/>
      <w:r>
        <w:rPr>
          <w:rFonts w:ascii="Times New Roman" w:eastAsia="Times New Roman" w:hAnsi="Times New Roman" w:cs="Times New Roman"/>
          <w:color w:val="000000"/>
          <w:sz w:val="20"/>
          <w:szCs w:val="20"/>
        </w:rPr>
        <w:t xml:space="preserve">, J., &amp; </w:t>
      </w: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(2007). An effective screening design for sensitivity analysis of large models. </w:t>
      </w:r>
      <w:r>
        <w:rPr>
          <w:rFonts w:ascii="Times New Roman" w:eastAsia="Times New Roman" w:hAnsi="Times New Roman" w:cs="Times New Roman"/>
          <w:i/>
          <w:color w:val="000000"/>
          <w:sz w:val="20"/>
          <w:szCs w:val="20"/>
        </w:rPr>
        <w:t>Environmental modelling &amp; software, 22</w:t>
      </w:r>
      <w:r>
        <w:rPr>
          <w:rFonts w:ascii="Times New Roman" w:eastAsia="Times New Roman" w:hAnsi="Times New Roman" w:cs="Times New Roman"/>
          <w:color w:val="000000"/>
          <w:sz w:val="20"/>
          <w:szCs w:val="20"/>
        </w:rPr>
        <w:t xml:space="preserve">(10), 1509-1518. </w:t>
      </w:r>
    </w:p>
    <w:p w14:paraId="000003FA"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Campolongo</w:t>
      </w:r>
      <w:proofErr w:type="spellEnd"/>
      <w:r>
        <w:rPr>
          <w:rFonts w:ascii="Times New Roman" w:eastAsia="Times New Roman" w:hAnsi="Times New Roman" w:cs="Times New Roman"/>
          <w:color w:val="000000"/>
          <w:sz w:val="20"/>
          <w:szCs w:val="20"/>
        </w:rPr>
        <w:t xml:space="preserve">, F., &amp; </w:t>
      </w: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(1997). Sensitivity analysis of an environmental model: an application of different analysis methods. </w:t>
      </w:r>
      <w:r>
        <w:rPr>
          <w:rFonts w:ascii="Times New Roman" w:eastAsia="Times New Roman" w:hAnsi="Times New Roman" w:cs="Times New Roman"/>
          <w:i/>
          <w:color w:val="000000"/>
          <w:sz w:val="20"/>
          <w:szCs w:val="20"/>
        </w:rPr>
        <w:t>Reliability Engineering &amp; System Safety, 57</w:t>
      </w:r>
      <w:r>
        <w:rPr>
          <w:rFonts w:ascii="Times New Roman" w:eastAsia="Times New Roman" w:hAnsi="Times New Roman" w:cs="Times New Roman"/>
          <w:color w:val="000000"/>
          <w:sz w:val="20"/>
          <w:szCs w:val="20"/>
        </w:rPr>
        <w:t xml:space="preserve">(1), 49-69. </w:t>
      </w:r>
    </w:p>
    <w:p w14:paraId="000003FB"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Cukier</w:t>
      </w:r>
      <w:proofErr w:type="spellEnd"/>
      <w:r>
        <w:rPr>
          <w:rFonts w:ascii="Times New Roman" w:eastAsia="Times New Roman" w:hAnsi="Times New Roman" w:cs="Times New Roman"/>
          <w:color w:val="000000"/>
          <w:sz w:val="20"/>
          <w:szCs w:val="20"/>
        </w:rPr>
        <w:t xml:space="preserve">, R., Levine, H., &amp; Shuler, K. (1978). Nonlinear sensitivity analysis of multiparameter model systems. </w:t>
      </w:r>
      <w:r>
        <w:rPr>
          <w:rFonts w:ascii="Times New Roman" w:eastAsia="Times New Roman" w:hAnsi="Times New Roman" w:cs="Times New Roman"/>
          <w:i/>
          <w:color w:val="000000"/>
          <w:sz w:val="20"/>
          <w:szCs w:val="20"/>
        </w:rPr>
        <w:t>Journal of computational physics, 26</w:t>
      </w:r>
      <w:r>
        <w:rPr>
          <w:rFonts w:ascii="Times New Roman" w:eastAsia="Times New Roman" w:hAnsi="Times New Roman" w:cs="Times New Roman"/>
          <w:color w:val="000000"/>
          <w:sz w:val="20"/>
          <w:szCs w:val="20"/>
        </w:rPr>
        <w:t xml:space="preserve">(1), 1-42. </w:t>
      </w:r>
    </w:p>
    <w:p w14:paraId="000003FC"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Guo, S., Kagawa, Y., Nishimura, T., &amp; Tanaka, H. (2008). Elastic properties of spark plasma sintered (</w:t>
      </w:r>
      <w:proofErr w:type="spellStart"/>
      <w:r>
        <w:rPr>
          <w:rFonts w:ascii="Times New Roman" w:eastAsia="Times New Roman" w:hAnsi="Times New Roman" w:cs="Times New Roman"/>
          <w:color w:val="000000"/>
          <w:sz w:val="20"/>
          <w:szCs w:val="20"/>
        </w:rPr>
        <w:t>SPSed</w:t>
      </w:r>
      <w:proofErr w:type="spellEnd"/>
      <w:r>
        <w:rPr>
          <w:rFonts w:ascii="Times New Roman" w:eastAsia="Times New Roman" w:hAnsi="Times New Roman" w:cs="Times New Roman"/>
          <w:color w:val="000000"/>
          <w:sz w:val="20"/>
          <w:szCs w:val="20"/>
        </w:rPr>
        <w:t>) ZrB2–</w:t>
      </w:r>
      <w:proofErr w:type="spellStart"/>
      <w:r>
        <w:rPr>
          <w:rFonts w:ascii="Times New Roman" w:eastAsia="Times New Roman" w:hAnsi="Times New Roman" w:cs="Times New Roman"/>
          <w:color w:val="000000"/>
          <w:sz w:val="20"/>
          <w:szCs w:val="20"/>
        </w:rPr>
        <w:t>ZrC</w:t>
      </w:r>
      <w:proofErr w:type="spellEnd"/>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SiC</w:t>
      </w:r>
      <w:proofErr w:type="spellEnd"/>
      <w:r>
        <w:rPr>
          <w:rFonts w:ascii="Times New Roman" w:eastAsia="Times New Roman" w:hAnsi="Times New Roman" w:cs="Times New Roman"/>
          <w:color w:val="000000"/>
          <w:sz w:val="20"/>
          <w:szCs w:val="20"/>
        </w:rPr>
        <w:t xml:space="preserve"> composites. </w:t>
      </w:r>
      <w:r>
        <w:rPr>
          <w:rFonts w:ascii="Times New Roman" w:eastAsia="Times New Roman" w:hAnsi="Times New Roman" w:cs="Times New Roman"/>
          <w:i/>
          <w:color w:val="000000"/>
          <w:sz w:val="20"/>
          <w:szCs w:val="20"/>
        </w:rPr>
        <w:t>Ceramics international, 34</w:t>
      </w:r>
      <w:r>
        <w:rPr>
          <w:rFonts w:ascii="Times New Roman" w:eastAsia="Times New Roman" w:hAnsi="Times New Roman" w:cs="Times New Roman"/>
          <w:color w:val="000000"/>
          <w:sz w:val="20"/>
          <w:szCs w:val="20"/>
        </w:rPr>
        <w:t xml:space="preserve">(8), 1811-1817. </w:t>
      </w:r>
    </w:p>
    <w:p w14:paraId="000003FD"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Homma, T., &amp; </w:t>
      </w: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(1996). Importance measures in global sensitivity analysis of nonlinear models. </w:t>
      </w:r>
      <w:r>
        <w:rPr>
          <w:rFonts w:ascii="Times New Roman" w:eastAsia="Times New Roman" w:hAnsi="Times New Roman" w:cs="Times New Roman"/>
          <w:i/>
          <w:color w:val="000000"/>
          <w:sz w:val="20"/>
          <w:szCs w:val="20"/>
        </w:rPr>
        <w:t>Reliability Engineering &amp; System Safety, 52</w:t>
      </w:r>
      <w:r>
        <w:rPr>
          <w:rFonts w:ascii="Times New Roman" w:eastAsia="Times New Roman" w:hAnsi="Times New Roman" w:cs="Times New Roman"/>
          <w:color w:val="000000"/>
          <w:sz w:val="20"/>
          <w:szCs w:val="20"/>
        </w:rPr>
        <w:t xml:space="preserve">(1), 1-17. </w:t>
      </w:r>
    </w:p>
    <w:p w14:paraId="000003FE"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Jansen, M. J. (1999). Analysis of variance designs for model output. </w:t>
      </w:r>
      <w:r>
        <w:rPr>
          <w:rFonts w:ascii="Times New Roman" w:eastAsia="Times New Roman" w:hAnsi="Times New Roman" w:cs="Times New Roman"/>
          <w:i/>
          <w:color w:val="000000"/>
          <w:sz w:val="20"/>
          <w:szCs w:val="20"/>
        </w:rPr>
        <w:t>Computer Physics Communications, 117</w:t>
      </w:r>
      <w:r>
        <w:rPr>
          <w:rFonts w:ascii="Times New Roman" w:eastAsia="Times New Roman" w:hAnsi="Times New Roman" w:cs="Times New Roman"/>
          <w:color w:val="000000"/>
          <w:sz w:val="20"/>
          <w:szCs w:val="20"/>
        </w:rPr>
        <w:t xml:space="preserve">(1-2), 35-43. </w:t>
      </w:r>
    </w:p>
    <w:p w14:paraId="000003FF"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Jansen, M. J., </w:t>
      </w:r>
      <w:proofErr w:type="spellStart"/>
      <w:r>
        <w:rPr>
          <w:rFonts w:ascii="Times New Roman" w:eastAsia="Times New Roman" w:hAnsi="Times New Roman" w:cs="Times New Roman"/>
          <w:color w:val="000000"/>
          <w:sz w:val="20"/>
          <w:szCs w:val="20"/>
        </w:rPr>
        <w:t>Rossing</w:t>
      </w:r>
      <w:proofErr w:type="spellEnd"/>
      <w:r>
        <w:rPr>
          <w:rFonts w:ascii="Times New Roman" w:eastAsia="Times New Roman" w:hAnsi="Times New Roman" w:cs="Times New Roman"/>
          <w:color w:val="000000"/>
          <w:sz w:val="20"/>
          <w:szCs w:val="20"/>
        </w:rPr>
        <w:t xml:space="preserve">, W. A., &amp; </w:t>
      </w:r>
      <w:proofErr w:type="spellStart"/>
      <w:r>
        <w:rPr>
          <w:rFonts w:ascii="Times New Roman" w:eastAsia="Times New Roman" w:hAnsi="Times New Roman" w:cs="Times New Roman"/>
          <w:color w:val="000000"/>
          <w:sz w:val="20"/>
          <w:szCs w:val="20"/>
        </w:rPr>
        <w:t>Daamen</w:t>
      </w:r>
      <w:proofErr w:type="spellEnd"/>
      <w:r>
        <w:rPr>
          <w:rFonts w:ascii="Times New Roman" w:eastAsia="Times New Roman" w:hAnsi="Times New Roman" w:cs="Times New Roman"/>
          <w:color w:val="000000"/>
          <w:sz w:val="20"/>
          <w:szCs w:val="20"/>
        </w:rPr>
        <w:t xml:space="preserve">, R. A. (1994). Monte Carlo estimation of uncertainty contributions from several independent multivariate sources. In </w:t>
      </w:r>
      <w:r>
        <w:rPr>
          <w:rFonts w:ascii="Times New Roman" w:eastAsia="Times New Roman" w:hAnsi="Times New Roman" w:cs="Times New Roman"/>
          <w:i/>
          <w:color w:val="000000"/>
          <w:sz w:val="20"/>
          <w:szCs w:val="20"/>
        </w:rPr>
        <w:t>Predictability and nonlinear modelling in natural sciences and economics</w:t>
      </w:r>
      <w:r>
        <w:rPr>
          <w:rFonts w:ascii="Times New Roman" w:eastAsia="Times New Roman" w:hAnsi="Times New Roman" w:cs="Times New Roman"/>
          <w:color w:val="000000"/>
          <w:sz w:val="20"/>
          <w:szCs w:val="20"/>
        </w:rPr>
        <w:t xml:space="preserve"> (pp. 334-343): Springer.</w:t>
      </w:r>
    </w:p>
    <w:p w14:paraId="00000400"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Jon Herman, W. U. (2017). SALib: An open-source Python library for sensitivity analysis: Journal of </w:t>
      </w:r>
      <w:proofErr w:type="gramStart"/>
      <w:r>
        <w:rPr>
          <w:rFonts w:ascii="Times New Roman" w:eastAsia="Times New Roman" w:hAnsi="Times New Roman" w:cs="Times New Roman"/>
          <w:color w:val="000000"/>
          <w:sz w:val="20"/>
          <w:szCs w:val="20"/>
        </w:rPr>
        <w:t>Open Source</w:t>
      </w:r>
      <w:proofErr w:type="gramEnd"/>
      <w:r>
        <w:rPr>
          <w:rFonts w:ascii="Times New Roman" w:eastAsia="Times New Roman" w:hAnsi="Times New Roman" w:cs="Times New Roman"/>
          <w:color w:val="000000"/>
          <w:sz w:val="20"/>
          <w:szCs w:val="20"/>
        </w:rPr>
        <w:t xml:space="preserve"> Software, 2(9). </w:t>
      </w:r>
    </w:p>
    <w:p w14:paraId="00000401"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 G., </w:t>
      </w:r>
      <w:proofErr w:type="spellStart"/>
      <w:r>
        <w:rPr>
          <w:rFonts w:ascii="Times New Roman" w:eastAsia="Times New Roman" w:hAnsi="Times New Roman" w:cs="Times New Roman"/>
          <w:color w:val="000000"/>
          <w:sz w:val="20"/>
          <w:szCs w:val="20"/>
        </w:rPr>
        <w:t>Rabitz</w:t>
      </w:r>
      <w:proofErr w:type="spellEnd"/>
      <w:r>
        <w:rPr>
          <w:rFonts w:ascii="Times New Roman" w:eastAsia="Times New Roman" w:hAnsi="Times New Roman" w:cs="Times New Roman"/>
          <w:color w:val="000000"/>
          <w:sz w:val="20"/>
          <w:szCs w:val="20"/>
        </w:rPr>
        <w:t xml:space="preserve">, H., </w:t>
      </w:r>
      <w:proofErr w:type="spellStart"/>
      <w:r>
        <w:rPr>
          <w:rFonts w:ascii="Times New Roman" w:eastAsia="Times New Roman" w:hAnsi="Times New Roman" w:cs="Times New Roman"/>
          <w:color w:val="000000"/>
          <w:sz w:val="20"/>
          <w:szCs w:val="20"/>
        </w:rPr>
        <w:t>Yelvington</w:t>
      </w:r>
      <w:proofErr w:type="spellEnd"/>
      <w:r>
        <w:rPr>
          <w:rFonts w:ascii="Times New Roman" w:eastAsia="Times New Roman" w:hAnsi="Times New Roman" w:cs="Times New Roman"/>
          <w:color w:val="000000"/>
          <w:sz w:val="20"/>
          <w:szCs w:val="20"/>
        </w:rPr>
        <w:t xml:space="preserve">, P. E., Oluwole, O. O., Bacon, F., Kolb, C. E., &amp; </w:t>
      </w:r>
      <w:proofErr w:type="spellStart"/>
      <w:r>
        <w:rPr>
          <w:rFonts w:ascii="Times New Roman" w:eastAsia="Times New Roman" w:hAnsi="Times New Roman" w:cs="Times New Roman"/>
          <w:color w:val="000000"/>
          <w:sz w:val="20"/>
          <w:szCs w:val="20"/>
        </w:rPr>
        <w:t>Schoendorf</w:t>
      </w:r>
      <w:proofErr w:type="spellEnd"/>
      <w:r>
        <w:rPr>
          <w:rFonts w:ascii="Times New Roman" w:eastAsia="Times New Roman" w:hAnsi="Times New Roman" w:cs="Times New Roman"/>
          <w:color w:val="000000"/>
          <w:sz w:val="20"/>
          <w:szCs w:val="20"/>
        </w:rPr>
        <w:t xml:space="preserve">, J. (2010). Global sensitivity analysis for systems with independent and/or correlated inputs. </w:t>
      </w:r>
      <w:r>
        <w:rPr>
          <w:rFonts w:ascii="Times New Roman" w:eastAsia="Times New Roman" w:hAnsi="Times New Roman" w:cs="Times New Roman"/>
          <w:i/>
          <w:color w:val="000000"/>
          <w:sz w:val="20"/>
          <w:szCs w:val="20"/>
        </w:rPr>
        <w:t>The journal of physical chemistry A, 114</w:t>
      </w:r>
      <w:r>
        <w:rPr>
          <w:rFonts w:ascii="Times New Roman" w:eastAsia="Times New Roman" w:hAnsi="Times New Roman" w:cs="Times New Roman"/>
          <w:color w:val="000000"/>
          <w:sz w:val="20"/>
          <w:szCs w:val="20"/>
        </w:rPr>
        <w:t xml:space="preserve">(19), 6022-6032. </w:t>
      </w:r>
    </w:p>
    <w:p w14:paraId="00000402"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M.L. Parks, D. J. L., J.A. Mitchell, and S.A. Silling. (2012). Peridigm Users' Guide. Sandia National Laboratories: Tech. Report SAND2012-7800. </w:t>
      </w:r>
    </w:p>
    <w:p w14:paraId="00000403"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Mead, R., Gilmour, S. G., &amp; Mead, A. (2012). </w:t>
      </w:r>
      <w:r>
        <w:rPr>
          <w:rFonts w:ascii="Times New Roman" w:eastAsia="Times New Roman" w:hAnsi="Times New Roman" w:cs="Times New Roman"/>
          <w:i/>
          <w:color w:val="000000"/>
          <w:sz w:val="20"/>
          <w:szCs w:val="20"/>
        </w:rPr>
        <w:t xml:space="preserve">Statistical principles for the design of </w:t>
      </w:r>
      <w:proofErr w:type="gramStart"/>
      <w:r>
        <w:rPr>
          <w:rFonts w:ascii="Times New Roman" w:eastAsia="Times New Roman" w:hAnsi="Times New Roman" w:cs="Times New Roman"/>
          <w:i/>
          <w:color w:val="000000"/>
          <w:sz w:val="20"/>
          <w:szCs w:val="20"/>
        </w:rPr>
        <w:t>experiments :</w:t>
      </w:r>
      <w:proofErr w:type="gramEnd"/>
      <w:r>
        <w:rPr>
          <w:rFonts w:ascii="Times New Roman" w:eastAsia="Times New Roman" w:hAnsi="Times New Roman" w:cs="Times New Roman"/>
          <w:i/>
          <w:color w:val="000000"/>
          <w:sz w:val="20"/>
          <w:szCs w:val="20"/>
        </w:rPr>
        <w:t xml:space="preserve"> [applications to real experiments]</w:t>
      </w:r>
      <w:r>
        <w:rPr>
          <w:rFonts w:ascii="Times New Roman" w:eastAsia="Times New Roman" w:hAnsi="Times New Roman" w:cs="Times New Roman"/>
          <w:color w:val="000000"/>
          <w:sz w:val="20"/>
          <w:szCs w:val="20"/>
        </w:rPr>
        <w:t xml:space="preserve">. Cambridge, </w:t>
      </w:r>
      <w:proofErr w:type="gramStart"/>
      <w:r>
        <w:rPr>
          <w:rFonts w:ascii="Times New Roman" w:eastAsia="Times New Roman" w:hAnsi="Times New Roman" w:cs="Times New Roman"/>
          <w:color w:val="000000"/>
          <w:sz w:val="20"/>
          <w:szCs w:val="20"/>
        </w:rPr>
        <w:t>UK ;</w:t>
      </w:r>
      <w:proofErr w:type="gramEnd"/>
      <w:r>
        <w:rPr>
          <w:rFonts w:ascii="Times New Roman" w:eastAsia="Times New Roman" w:hAnsi="Times New Roman" w:cs="Times New Roman"/>
          <w:color w:val="000000"/>
          <w:sz w:val="20"/>
          <w:szCs w:val="20"/>
        </w:rPr>
        <w:t>: Cambridge University Press.</w:t>
      </w:r>
    </w:p>
    <w:p w14:paraId="00000404"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Morris, M. D. (1991). Factorial sampling plans for preliminary computational experiments. </w:t>
      </w:r>
      <w:proofErr w:type="spellStart"/>
      <w:r>
        <w:rPr>
          <w:rFonts w:ascii="Times New Roman" w:eastAsia="Times New Roman" w:hAnsi="Times New Roman" w:cs="Times New Roman"/>
          <w:i/>
          <w:color w:val="000000"/>
          <w:sz w:val="20"/>
          <w:szCs w:val="20"/>
        </w:rPr>
        <w:t>Technometrics</w:t>
      </w:r>
      <w:proofErr w:type="spellEnd"/>
      <w:r>
        <w:rPr>
          <w:rFonts w:ascii="Times New Roman" w:eastAsia="Times New Roman" w:hAnsi="Times New Roman" w:cs="Times New Roman"/>
          <w:i/>
          <w:color w:val="000000"/>
          <w:sz w:val="20"/>
          <w:szCs w:val="20"/>
        </w:rPr>
        <w:t>, 33</w:t>
      </w:r>
      <w:r>
        <w:rPr>
          <w:rFonts w:ascii="Times New Roman" w:eastAsia="Times New Roman" w:hAnsi="Times New Roman" w:cs="Times New Roman"/>
          <w:color w:val="000000"/>
          <w:sz w:val="20"/>
          <w:szCs w:val="20"/>
        </w:rPr>
        <w:t xml:space="preserve">(2), 161-174. </w:t>
      </w:r>
    </w:p>
    <w:p w14:paraId="00000405"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Nahshon, K., &amp; Reynolds, N. (2016). </w:t>
      </w:r>
      <w:r>
        <w:rPr>
          <w:rFonts w:ascii="Times New Roman" w:eastAsia="Times New Roman" w:hAnsi="Times New Roman" w:cs="Times New Roman"/>
          <w:i/>
          <w:color w:val="000000"/>
          <w:sz w:val="20"/>
          <w:szCs w:val="20"/>
        </w:rPr>
        <w:t>DICE: Distribution-based Input for Computational Evaluations, Version 0.3</w:t>
      </w:r>
      <w:r>
        <w:rPr>
          <w:rFonts w:ascii="Times New Roman" w:eastAsia="Times New Roman" w:hAnsi="Times New Roman" w:cs="Times New Roman"/>
          <w:color w:val="000000"/>
          <w:sz w:val="20"/>
          <w:szCs w:val="20"/>
        </w:rPr>
        <w:t xml:space="preserve">. Retrieved from West Bethesda, MD: </w:t>
      </w:r>
    </w:p>
    <w:p w14:paraId="00000406"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Puy, A., Becker, W., Piano, S. L., &amp; </w:t>
      </w: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(2022). A comprehensive comparison of total-order estimators for global sensitivity analysis. </w:t>
      </w:r>
      <w:r>
        <w:rPr>
          <w:rFonts w:ascii="Times New Roman" w:eastAsia="Times New Roman" w:hAnsi="Times New Roman" w:cs="Times New Roman"/>
          <w:i/>
          <w:color w:val="000000"/>
          <w:sz w:val="20"/>
          <w:szCs w:val="20"/>
        </w:rPr>
        <w:t>International Journal for Uncertainty Quantification, 12</w:t>
      </w:r>
      <w:r>
        <w:rPr>
          <w:rFonts w:ascii="Times New Roman" w:eastAsia="Times New Roman" w:hAnsi="Times New Roman" w:cs="Times New Roman"/>
          <w:color w:val="000000"/>
          <w:sz w:val="20"/>
          <w:szCs w:val="20"/>
        </w:rPr>
        <w:t xml:space="preserve">(2). </w:t>
      </w:r>
    </w:p>
    <w:p w14:paraId="00000407"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Aleksankina</w:t>
      </w:r>
      <w:proofErr w:type="spellEnd"/>
      <w:r>
        <w:rPr>
          <w:rFonts w:ascii="Times New Roman" w:eastAsia="Times New Roman" w:hAnsi="Times New Roman" w:cs="Times New Roman"/>
          <w:color w:val="000000"/>
          <w:sz w:val="20"/>
          <w:szCs w:val="20"/>
        </w:rPr>
        <w:t xml:space="preserve">, K., Becker, W., Fennell, P., Ferretti, F., Holst, N., . . . Wu, Q. (2019). Why so many published sensitivity analyses are false: A systematic review of sensitivity analysis practices. </w:t>
      </w:r>
      <w:r>
        <w:rPr>
          <w:rFonts w:ascii="Times New Roman" w:eastAsia="Times New Roman" w:hAnsi="Times New Roman" w:cs="Times New Roman"/>
          <w:i/>
          <w:color w:val="000000"/>
          <w:sz w:val="20"/>
          <w:szCs w:val="20"/>
        </w:rPr>
        <w:t>Environmental modelling &amp; software, 114</w:t>
      </w:r>
      <w:r>
        <w:rPr>
          <w:rFonts w:ascii="Times New Roman" w:eastAsia="Times New Roman" w:hAnsi="Times New Roman" w:cs="Times New Roman"/>
          <w:color w:val="000000"/>
          <w:sz w:val="20"/>
          <w:szCs w:val="20"/>
        </w:rPr>
        <w:t xml:space="preserve">, 29-39. </w:t>
      </w:r>
    </w:p>
    <w:p w14:paraId="00000408"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&amp; </w:t>
      </w:r>
      <w:proofErr w:type="spellStart"/>
      <w:r>
        <w:rPr>
          <w:rFonts w:ascii="Times New Roman" w:eastAsia="Times New Roman" w:hAnsi="Times New Roman" w:cs="Times New Roman"/>
          <w:color w:val="000000"/>
          <w:sz w:val="20"/>
          <w:szCs w:val="20"/>
        </w:rPr>
        <w:t>Annoni</w:t>
      </w:r>
      <w:proofErr w:type="spellEnd"/>
      <w:r>
        <w:rPr>
          <w:rFonts w:ascii="Times New Roman" w:eastAsia="Times New Roman" w:hAnsi="Times New Roman" w:cs="Times New Roman"/>
          <w:color w:val="000000"/>
          <w:sz w:val="20"/>
          <w:szCs w:val="20"/>
        </w:rPr>
        <w:t xml:space="preserve">, P. (2010). How to avoid a perfunctory sensitivity analysis. </w:t>
      </w:r>
      <w:r>
        <w:rPr>
          <w:rFonts w:ascii="Times New Roman" w:eastAsia="Times New Roman" w:hAnsi="Times New Roman" w:cs="Times New Roman"/>
          <w:i/>
          <w:color w:val="000000"/>
          <w:sz w:val="20"/>
          <w:szCs w:val="20"/>
        </w:rPr>
        <w:t>Environmental Modelling &amp; Software, 25</w:t>
      </w:r>
      <w:r>
        <w:rPr>
          <w:rFonts w:ascii="Times New Roman" w:eastAsia="Times New Roman" w:hAnsi="Times New Roman" w:cs="Times New Roman"/>
          <w:color w:val="000000"/>
          <w:sz w:val="20"/>
          <w:szCs w:val="20"/>
        </w:rPr>
        <w:t xml:space="preserve">(12), 1508-1517. </w:t>
      </w:r>
    </w:p>
    <w:p w14:paraId="00000409"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Annoni</w:t>
      </w:r>
      <w:proofErr w:type="spellEnd"/>
      <w:r>
        <w:rPr>
          <w:rFonts w:ascii="Times New Roman" w:eastAsia="Times New Roman" w:hAnsi="Times New Roman" w:cs="Times New Roman"/>
          <w:color w:val="000000"/>
          <w:sz w:val="20"/>
          <w:szCs w:val="20"/>
        </w:rPr>
        <w:t xml:space="preserve">, P., </w:t>
      </w:r>
      <w:proofErr w:type="spellStart"/>
      <w:r>
        <w:rPr>
          <w:rFonts w:ascii="Times New Roman" w:eastAsia="Times New Roman" w:hAnsi="Times New Roman" w:cs="Times New Roman"/>
          <w:color w:val="000000"/>
          <w:sz w:val="20"/>
          <w:szCs w:val="20"/>
        </w:rPr>
        <w:t>Azzini</w:t>
      </w:r>
      <w:proofErr w:type="spellEnd"/>
      <w:r>
        <w:rPr>
          <w:rFonts w:ascii="Times New Roman" w:eastAsia="Times New Roman" w:hAnsi="Times New Roman" w:cs="Times New Roman"/>
          <w:color w:val="000000"/>
          <w:sz w:val="20"/>
          <w:szCs w:val="20"/>
        </w:rPr>
        <w:t xml:space="preserve">, I., </w:t>
      </w:r>
      <w:proofErr w:type="spellStart"/>
      <w:r>
        <w:rPr>
          <w:rFonts w:ascii="Times New Roman" w:eastAsia="Times New Roman" w:hAnsi="Times New Roman" w:cs="Times New Roman"/>
          <w:color w:val="000000"/>
          <w:sz w:val="20"/>
          <w:szCs w:val="20"/>
        </w:rPr>
        <w:t>Campolongo</w:t>
      </w:r>
      <w:proofErr w:type="spellEnd"/>
      <w:r>
        <w:rPr>
          <w:rFonts w:ascii="Times New Roman" w:eastAsia="Times New Roman" w:hAnsi="Times New Roman" w:cs="Times New Roman"/>
          <w:color w:val="000000"/>
          <w:sz w:val="20"/>
          <w:szCs w:val="20"/>
        </w:rPr>
        <w:t xml:space="preserve">, F., </w:t>
      </w:r>
      <w:proofErr w:type="spellStart"/>
      <w:r>
        <w:rPr>
          <w:rFonts w:ascii="Times New Roman" w:eastAsia="Times New Roman" w:hAnsi="Times New Roman" w:cs="Times New Roman"/>
          <w:color w:val="000000"/>
          <w:sz w:val="20"/>
          <w:szCs w:val="20"/>
        </w:rPr>
        <w:t>Ratto</w:t>
      </w:r>
      <w:proofErr w:type="spellEnd"/>
      <w:r>
        <w:rPr>
          <w:rFonts w:ascii="Times New Roman" w:eastAsia="Times New Roman" w:hAnsi="Times New Roman" w:cs="Times New Roman"/>
          <w:color w:val="000000"/>
          <w:sz w:val="20"/>
          <w:szCs w:val="20"/>
        </w:rPr>
        <w:t xml:space="preserve">, M., &amp; </w:t>
      </w:r>
      <w:proofErr w:type="spellStart"/>
      <w:r>
        <w:rPr>
          <w:rFonts w:ascii="Times New Roman" w:eastAsia="Times New Roman" w:hAnsi="Times New Roman" w:cs="Times New Roman"/>
          <w:color w:val="000000"/>
          <w:sz w:val="20"/>
          <w:szCs w:val="20"/>
        </w:rPr>
        <w:t>Tarantola</w:t>
      </w:r>
      <w:proofErr w:type="spellEnd"/>
      <w:r>
        <w:rPr>
          <w:rFonts w:ascii="Times New Roman" w:eastAsia="Times New Roman" w:hAnsi="Times New Roman" w:cs="Times New Roman"/>
          <w:color w:val="000000"/>
          <w:sz w:val="20"/>
          <w:szCs w:val="20"/>
        </w:rPr>
        <w:t xml:space="preserve">, S. (2010). Variance based sensitivity analysis of model output. Design and estimator for the total sensitivity index. </w:t>
      </w:r>
      <w:r>
        <w:rPr>
          <w:rFonts w:ascii="Times New Roman" w:eastAsia="Times New Roman" w:hAnsi="Times New Roman" w:cs="Times New Roman"/>
          <w:i/>
          <w:color w:val="000000"/>
          <w:sz w:val="20"/>
          <w:szCs w:val="20"/>
        </w:rPr>
        <w:t>Computer physics communications, 181</w:t>
      </w:r>
      <w:r>
        <w:rPr>
          <w:rFonts w:ascii="Times New Roman" w:eastAsia="Times New Roman" w:hAnsi="Times New Roman" w:cs="Times New Roman"/>
          <w:color w:val="000000"/>
          <w:sz w:val="20"/>
          <w:szCs w:val="20"/>
        </w:rPr>
        <w:t xml:space="preserve">(2), 259-270. </w:t>
      </w:r>
    </w:p>
    <w:p w14:paraId="0000040A"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&amp; </w:t>
      </w:r>
      <w:proofErr w:type="spellStart"/>
      <w:r>
        <w:rPr>
          <w:rFonts w:ascii="Times New Roman" w:eastAsia="Times New Roman" w:hAnsi="Times New Roman" w:cs="Times New Roman"/>
          <w:color w:val="000000"/>
          <w:sz w:val="20"/>
          <w:szCs w:val="20"/>
        </w:rPr>
        <w:t>Bolado</w:t>
      </w:r>
      <w:proofErr w:type="spellEnd"/>
      <w:r>
        <w:rPr>
          <w:rFonts w:ascii="Times New Roman" w:eastAsia="Times New Roman" w:hAnsi="Times New Roman" w:cs="Times New Roman"/>
          <w:color w:val="000000"/>
          <w:sz w:val="20"/>
          <w:szCs w:val="20"/>
        </w:rPr>
        <w:t xml:space="preserve">, R. (1998). An alternative way to compute Fourier amplitude sensitivity test (FAST). </w:t>
      </w:r>
      <w:r>
        <w:rPr>
          <w:rFonts w:ascii="Times New Roman" w:eastAsia="Times New Roman" w:hAnsi="Times New Roman" w:cs="Times New Roman"/>
          <w:i/>
          <w:color w:val="000000"/>
          <w:sz w:val="20"/>
          <w:szCs w:val="20"/>
        </w:rPr>
        <w:t>Computational Statistics &amp; Data Analysis, 26</w:t>
      </w:r>
      <w:r>
        <w:rPr>
          <w:rFonts w:ascii="Times New Roman" w:eastAsia="Times New Roman" w:hAnsi="Times New Roman" w:cs="Times New Roman"/>
          <w:color w:val="000000"/>
          <w:sz w:val="20"/>
          <w:szCs w:val="20"/>
        </w:rPr>
        <w:t xml:space="preserve">(4), 445-460. </w:t>
      </w:r>
    </w:p>
    <w:p w14:paraId="0000040B"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Ratto</w:t>
      </w:r>
      <w:proofErr w:type="spellEnd"/>
      <w:r>
        <w:rPr>
          <w:rFonts w:ascii="Times New Roman" w:eastAsia="Times New Roman" w:hAnsi="Times New Roman" w:cs="Times New Roman"/>
          <w:color w:val="000000"/>
          <w:sz w:val="20"/>
          <w:szCs w:val="20"/>
        </w:rPr>
        <w:t xml:space="preserve">, M., Andres, T., </w:t>
      </w:r>
      <w:proofErr w:type="spellStart"/>
      <w:r>
        <w:rPr>
          <w:rFonts w:ascii="Times New Roman" w:eastAsia="Times New Roman" w:hAnsi="Times New Roman" w:cs="Times New Roman"/>
          <w:color w:val="000000"/>
          <w:sz w:val="20"/>
          <w:szCs w:val="20"/>
        </w:rPr>
        <w:t>Campolongo</w:t>
      </w:r>
      <w:proofErr w:type="spellEnd"/>
      <w:r>
        <w:rPr>
          <w:rFonts w:ascii="Times New Roman" w:eastAsia="Times New Roman" w:hAnsi="Times New Roman" w:cs="Times New Roman"/>
          <w:color w:val="000000"/>
          <w:sz w:val="20"/>
          <w:szCs w:val="20"/>
        </w:rPr>
        <w:t xml:space="preserve">, F., </w:t>
      </w:r>
      <w:proofErr w:type="spellStart"/>
      <w:r>
        <w:rPr>
          <w:rFonts w:ascii="Times New Roman" w:eastAsia="Times New Roman" w:hAnsi="Times New Roman" w:cs="Times New Roman"/>
          <w:color w:val="000000"/>
          <w:sz w:val="20"/>
          <w:szCs w:val="20"/>
        </w:rPr>
        <w:t>Cariboni</w:t>
      </w:r>
      <w:proofErr w:type="spellEnd"/>
      <w:r>
        <w:rPr>
          <w:rFonts w:ascii="Times New Roman" w:eastAsia="Times New Roman" w:hAnsi="Times New Roman" w:cs="Times New Roman"/>
          <w:color w:val="000000"/>
          <w:sz w:val="20"/>
          <w:szCs w:val="20"/>
        </w:rPr>
        <w:t xml:space="preserve">, J., </w:t>
      </w:r>
      <w:proofErr w:type="spellStart"/>
      <w:r>
        <w:rPr>
          <w:rFonts w:ascii="Times New Roman" w:eastAsia="Times New Roman" w:hAnsi="Times New Roman" w:cs="Times New Roman"/>
          <w:color w:val="000000"/>
          <w:sz w:val="20"/>
          <w:szCs w:val="20"/>
        </w:rPr>
        <w:t>Gatelli</w:t>
      </w:r>
      <w:proofErr w:type="spellEnd"/>
      <w:r>
        <w:rPr>
          <w:rFonts w:ascii="Times New Roman" w:eastAsia="Times New Roman" w:hAnsi="Times New Roman" w:cs="Times New Roman"/>
          <w:color w:val="000000"/>
          <w:sz w:val="20"/>
          <w:szCs w:val="20"/>
        </w:rPr>
        <w:t xml:space="preserve">, D., . . . </w:t>
      </w:r>
      <w:proofErr w:type="spellStart"/>
      <w:r>
        <w:rPr>
          <w:rFonts w:ascii="Times New Roman" w:eastAsia="Times New Roman" w:hAnsi="Times New Roman" w:cs="Times New Roman"/>
          <w:color w:val="000000"/>
          <w:sz w:val="20"/>
          <w:szCs w:val="20"/>
        </w:rPr>
        <w:t>Tarantola</w:t>
      </w:r>
      <w:proofErr w:type="spellEnd"/>
      <w:r>
        <w:rPr>
          <w:rFonts w:ascii="Times New Roman" w:eastAsia="Times New Roman" w:hAnsi="Times New Roman" w:cs="Times New Roman"/>
          <w:color w:val="000000"/>
          <w:sz w:val="20"/>
          <w:szCs w:val="20"/>
        </w:rPr>
        <w:t xml:space="preserve">, S. (2008). </w:t>
      </w:r>
      <w:r>
        <w:rPr>
          <w:rFonts w:ascii="Times New Roman" w:eastAsia="Times New Roman" w:hAnsi="Times New Roman" w:cs="Times New Roman"/>
          <w:i/>
          <w:color w:val="000000"/>
          <w:sz w:val="20"/>
          <w:szCs w:val="20"/>
        </w:rPr>
        <w:t>Global sensitivity analysis: the primer</w:t>
      </w:r>
      <w:r>
        <w:rPr>
          <w:rFonts w:ascii="Times New Roman" w:eastAsia="Times New Roman" w:hAnsi="Times New Roman" w:cs="Times New Roman"/>
          <w:color w:val="000000"/>
          <w:sz w:val="20"/>
          <w:szCs w:val="20"/>
        </w:rPr>
        <w:t>: John Wiley &amp; Sons.</w:t>
      </w:r>
    </w:p>
    <w:p w14:paraId="0000040C"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Ratto</w:t>
      </w:r>
      <w:proofErr w:type="spellEnd"/>
      <w:r>
        <w:rPr>
          <w:rFonts w:ascii="Times New Roman" w:eastAsia="Times New Roman" w:hAnsi="Times New Roman" w:cs="Times New Roman"/>
          <w:color w:val="000000"/>
          <w:sz w:val="20"/>
          <w:szCs w:val="20"/>
        </w:rPr>
        <w:t xml:space="preserve">, M., </w:t>
      </w:r>
      <w:proofErr w:type="spellStart"/>
      <w:r>
        <w:rPr>
          <w:rFonts w:ascii="Times New Roman" w:eastAsia="Times New Roman" w:hAnsi="Times New Roman" w:cs="Times New Roman"/>
          <w:color w:val="000000"/>
          <w:sz w:val="20"/>
          <w:szCs w:val="20"/>
        </w:rPr>
        <w:t>Tarantola</w:t>
      </w:r>
      <w:proofErr w:type="spellEnd"/>
      <w:r>
        <w:rPr>
          <w:rFonts w:ascii="Times New Roman" w:eastAsia="Times New Roman" w:hAnsi="Times New Roman" w:cs="Times New Roman"/>
          <w:color w:val="000000"/>
          <w:sz w:val="20"/>
          <w:szCs w:val="20"/>
        </w:rPr>
        <w:t xml:space="preserve">, S., &amp; </w:t>
      </w:r>
      <w:proofErr w:type="spellStart"/>
      <w:r>
        <w:rPr>
          <w:rFonts w:ascii="Times New Roman" w:eastAsia="Times New Roman" w:hAnsi="Times New Roman" w:cs="Times New Roman"/>
          <w:color w:val="000000"/>
          <w:sz w:val="20"/>
          <w:szCs w:val="20"/>
        </w:rPr>
        <w:t>Campolongo</w:t>
      </w:r>
      <w:proofErr w:type="spellEnd"/>
      <w:r>
        <w:rPr>
          <w:rFonts w:ascii="Times New Roman" w:eastAsia="Times New Roman" w:hAnsi="Times New Roman" w:cs="Times New Roman"/>
          <w:color w:val="000000"/>
          <w:sz w:val="20"/>
          <w:szCs w:val="20"/>
        </w:rPr>
        <w:t xml:space="preserve">, F. (2005). Sensitivity analysis for chemical models. </w:t>
      </w:r>
      <w:r>
        <w:rPr>
          <w:rFonts w:ascii="Times New Roman" w:eastAsia="Times New Roman" w:hAnsi="Times New Roman" w:cs="Times New Roman"/>
          <w:i/>
          <w:color w:val="000000"/>
          <w:sz w:val="20"/>
          <w:szCs w:val="20"/>
        </w:rPr>
        <w:t>Chemical reviews, 105</w:t>
      </w:r>
      <w:r>
        <w:rPr>
          <w:rFonts w:ascii="Times New Roman" w:eastAsia="Times New Roman" w:hAnsi="Times New Roman" w:cs="Times New Roman"/>
          <w:color w:val="000000"/>
          <w:sz w:val="20"/>
          <w:szCs w:val="20"/>
        </w:rPr>
        <w:t xml:space="preserve">(7), 2811-2828. </w:t>
      </w:r>
    </w:p>
    <w:p w14:paraId="0000040D"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Ratto</w:t>
      </w:r>
      <w:proofErr w:type="spellEnd"/>
      <w:r>
        <w:rPr>
          <w:rFonts w:ascii="Times New Roman" w:eastAsia="Times New Roman" w:hAnsi="Times New Roman" w:cs="Times New Roman"/>
          <w:color w:val="000000"/>
          <w:sz w:val="20"/>
          <w:szCs w:val="20"/>
        </w:rPr>
        <w:t xml:space="preserve">, M., </w:t>
      </w:r>
      <w:proofErr w:type="spellStart"/>
      <w:r>
        <w:rPr>
          <w:rFonts w:ascii="Times New Roman" w:eastAsia="Times New Roman" w:hAnsi="Times New Roman" w:cs="Times New Roman"/>
          <w:color w:val="000000"/>
          <w:sz w:val="20"/>
          <w:szCs w:val="20"/>
        </w:rPr>
        <w:t>Tarantola</w:t>
      </w:r>
      <w:proofErr w:type="spellEnd"/>
      <w:r>
        <w:rPr>
          <w:rFonts w:ascii="Times New Roman" w:eastAsia="Times New Roman" w:hAnsi="Times New Roman" w:cs="Times New Roman"/>
          <w:color w:val="000000"/>
          <w:sz w:val="20"/>
          <w:szCs w:val="20"/>
        </w:rPr>
        <w:t xml:space="preserve">, S., </w:t>
      </w:r>
      <w:proofErr w:type="spellStart"/>
      <w:r>
        <w:rPr>
          <w:rFonts w:ascii="Times New Roman" w:eastAsia="Times New Roman" w:hAnsi="Times New Roman" w:cs="Times New Roman"/>
          <w:color w:val="000000"/>
          <w:sz w:val="20"/>
          <w:szCs w:val="20"/>
        </w:rPr>
        <w:t>Campolongo</w:t>
      </w:r>
      <w:proofErr w:type="spellEnd"/>
      <w:r>
        <w:rPr>
          <w:rFonts w:ascii="Times New Roman" w:eastAsia="Times New Roman" w:hAnsi="Times New Roman" w:cs="Times New Roman"/>
          <w:color w:val="000000"/>
          <w:sz w:val="20"/>
          <w:szCs w:val="20"/>
        </w:rPr>
        <w:t xml:space="preserve">, F., &amp; Commission, E. (2006). Sensitivity analysis practices: Strategies for model-based inference. </w:t>
      </w:r>
      <w:r>
        <w:rPr>
          <w:rFonts w:ascii="Times New Roman" w:eastAsia="Times New Roman" w:hAnsi="Times New Roman" w:cs="Times New Roman"/>
          <w:i/>
          <w:color w:val="000000"/>
          <w:sz w:val="20"/>
          <w:szCs w:val="20"/>
        </w:rPr>
        <w:t>Reliability Engineering &amp; System Safety, 91</w:t>
      </w:r>
      <w:r>
        <w:rPr>
          <w:rFonts w:ascii="Times New Roman" w:eastAsia="Times New Roman" w:hAnsi="Times New Roman" w:cs="Times New Roman"/>
          <w:color w:val="000000"/>
          <w:sz w:val="20"/>
          <w:szCs w:val="20"/>
        </w:rPr>
        <w:t xml:space="preserve">(10-11), 1109-1125. </w:t>
      </w:r>
    </w:p>
    <w:p w14:paraId="0000040E"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Saltelli</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Tarantola</w:t>
      </w:r>
      <w:proofErr w:type="spellEnd"/>
      <w:r>
        <w:rPr>
          <w:rFonts w:ascii="Times New Roman" w:eastAsia="Times New Roman" w:hAnsi="Times New Roman" w:cs="Times New Roman"/>
          <w:color w:val="000000"/>
          <w:sz w:val="20"/>
          <w:szCs w:val="20"/>
        </w:rPr>
        <w:t xml:space="preserve">, S., &amp; Chan, K.-S. (1999). A quantitative model-independent method for global sensitivity analysis of model output. </w:t>
      </w:r>
      <w:proofErr w:type="spellStart"/>
      <w:r>
        <w:rPr>
          <w:rFonts w:ascii="Times New Roman" w:eastAsia="Times New Roman" w:hAnsi="Times New Roman" w:cs="Times New Roman"/>
          <w:i/>
          <w:color w:val="000000"/>
          <w:sz w:val="20"/>
          <w:szCs w:val="20"/>
        </w:rPr>
        <w:t>Technometrics</w:t>
      </w:r>
      <w:proofErr w:type="spellEnd"/>
      <w:r>
        <w:rPr>
          <w:rFonts w:ascii="Times New Roman" w:eastAsia="Times New Roman" w:hAnsi="Times New Roman" w:cs="Times New Roman"/>
          <w:i/>
          <w:color w:val="000000"/>
          <w:sz w:val="20"/>
          <w:szCs w:val="20"/>
        </w:rPr>
        <w:t>, 41</w:t>
      </w:r>
      <w:r>
        <w:rPr>
          <w:rFonts w:ascii="Times New Roman" w:eastAsia="Times New Roman" w:hAnsi="Times New Roman" w:cs="Times New Roman"/>
          <w:color w:val="000000"/>
          <w:sz w:val="20"/>
          <w:szCs w:val="20"/>
        </w:rPr>
        <w:t xml:space="preserve">(1), 39-56. </w:t>
      </w:r>
    </w:p>
    <w:p w14:paraId="0000040F"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Shields, M. D., </w:t>
      </w:r>
      <w:proofErr w:type="spellStart"/>
      <w:r>
        <w:rPr>
          <w:rFonts w:ascii="Times New Roman" w:eastAsia="Times New Roman" w:hAnsi="Times New Roman" w:cs="Times New Roman"/>
          <w:color w:val="000000"/>
          <w:sz w:val="20"/>
          <w:szCs w:val="20"/>
        </w:rPr>
        <w:t>Teferra</w:t>
      </w:r>
      <w:proofErr w:type="spellEnd"/>
      <w:r>
        <w:rPr>
          <w:rFonts w:ascii="Times New Roman" w:eastAsia="Times New Roman" w:hAnsi="Times New Roman" w:cs="Times New Roman"/>
          <w:color w:val="000000"/>
          <w:sz w:val="20"/>
          <w:szCs w:val="20"/>
        </w:rPr>
        <w:t xml:space="preserve">, K., </w:t>
      </w:r>
      <w:proofErr w:type="spellStart"/>
      <w:r>
        <w:rPr>
          <w:rFonts w:ascii="Times New Roman" w:eastAsia="Times New Roman" w:hAnsi="Times New Roman" w:cs="Times New Roman"/>
          <w:color w:val="000000"/>
          <w:sz w:val="20"/>
          <w:szCs w:val="20"/>
        </w:rPr>
        <w:t>Hapij</w:t>
      </w:r>
      <w:proofErr w:type="spellEnd"/>
      <w:r>
        <w:rPr>
          <w:rFonts w:ascii="Times New Roman" w:eastAsia="Times New Roman" w:hAnsi="Times New Roman" w:cs="Times New Roman"/>
          <w:color w:val="000000"/>
          <w:sz w:val="20"/>
          <w:szCs w:val="20"/>
        </w:rPr>
        <w:t xml:space="preserve">, A., &amp; </w:t>
      </w:r>
      <w:proofErr w:type="spellStart"/>
      <w:r>
        <w:rPr>
          <w:rFonts w:ascii="Times New Roman" w:eastAsia="Times New Roman" w:hAnsi="Times New Roman" w:cs="Times New Roman"/>
          <w:color w:val="000000"/>
          <w:sz w:val="20"/>
          <w:szCs w:val="20"/>
        </w:rPr>
        <w:t>Daddazio</w:t>
      </w:r>
      <w:proofErr w:type="spellEnd"/>
      <w:r>
        <w:rPr>
          <w:rFonts w:ascii="Times New Roman" w:eastAsia="Times New Roman" w:hAnsi="Times New Roman" w:cs="Times New Roman"/>
          <w:color w:val="000000"/>
          <w:sz w:val="20"/>
          <w:szCs w:val="20"/>
        </w:rPr>
        <w:t xml:space="preserve">, R. P. (2015). Refined stratified sampling for efficient Monte Carlo based uncertainty quantification. </w:t>
      </w:r>
      <w:r>
        <w:rPr>
          <w:rFonts w:ascii="Times New Roman" w:eastAsia="Times New Roman" w:hAnsi="Times New Roman" w:cs="Times New Roman"/>
          <w:i/>
          <w:color w:val="000000"/>
          <w:sz w:val="20"/>
          <w:szCs w:val="20"/>
        </w:rPr>
        <w:t>Reliability Engineering &amp; System Safety, 142</w:t>
      </w:r>
      <w:r>
        <w:rPr>
          <w:rFonts w:ascii="Times New Roman" w:eastAsia="Times New Roman" w:hAnsi="Times New Roman" w:cs="Times New Roman"/>
          <w:color w:val="000000"/>
          <w:sz w:val="20"/>
          <w:szCs w:val="20"/>
        </w:rPr>
        <w:t xml:space="preserve">, 310-325. </w:t>
      </w:r>
    </w:p>
    <w:p w14:paraId="00000410"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Shields, M. D., &amp; Zhang, J. (2016). The generalization of Latin hypercube sampling. </w:t>
      </w:r>
      <w:r>
        <w:rPr>
          <w:rFonts w:ascii="Times New Roman" w:eastAsia="Times New Roman" w:hAnsi="Times New Roman" w:cs="Times New Roman"/>
          <w:i/>
          <w:color w:val="000000"/>
          <w:sz w:val="20"/>
          <w:szCs w:val="20"/>
        </w:rPr>
        <w:t>Reliability Engineering &amp; System Safety, 148</w:t>
      </w:r>
      <w:r>
        <w:rPr>
          <w:rFonts w:ascii="Times New Roman" w:eastAsia="Times New Roman" w:hAnsi="Times New Roman" w:cs="Times New Roman"/>
          <w:color w:val="000000"/>
          <w:sz w:val="20"/>
          <w:szCs w:val="20"/>
        </w:rPr>
        <w:t xml:space="preserve">, 96-108. </w:t>
      </w:r>
    </w:p>
    <w:p w14:paraId="00000411" w14:textId="4ED14C21"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Silling, S. and R. </w:t>
      </w:r>
      <w:proofErr w:type="spellStart"/>
      <w:r>
        <w:rPr>
          <w:rFonts w:ascii="Times New Roman" w:eastAsia="Times New Roman" w:hAnsi="Times New Roman" w:cs="Times New Roman"/>
          <w:sz w:val="20"/>
          <w:szCs w:val="20"/>
        </w:rPr>
        <w:t>Lehoucq</w:t>
      </w:r>
      <w:proofErr w:type="spellEnd"/>
      <w:r>
        <w:rPr>
          <w:rFonts w:ascii="Times New Roman" w:eastAsia="Times New Roman" w:hAnsi="Times New Roman" w:cs="Times New Roman"/>
          <w:sz w:val="20"/>
          <w:szCs w:val="20"/>
        </w:rPr>
        <w:t xml:space="preserve">. (2010) </w:t>
      </w:r>
      <w:proofErr w:type="spellStart"/>
      <w:r>
        <w:rPr>
          <w:rFonts w:ascii="Times New Roman" w:eastAsia="Times New Roman" w:hAnsi="Times New Roman" w:cs="Times New Roman"/>
          <w:sz w:val="20"/>
          <w:szCs w:val="20"/>
        </w:rPr>
        <w:t>Peridynamic</w:t>
      </w:r>
      <w:proofErr w:type="spellEnd"/>
      <w:r>
        <w:rPr>
          <w:rFonts w:ascii="Times New Roman" w:eastAsia="Times New Roman" w:hAnsi="Times New Roman" w:cs="Times New Roman"/>
          <w:sz w:val="20"/>
          <w:szCs w:val="20"/>
        </w:rPr>
        <w:t xml:space="preserve"> theory of solid mechanics</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Advances in applied mechanics</w:t>
      </w:r>
      <w:r>
        <w:rPr>
          <w:rFonts w:ascii="Times New Roman" w:eastAsia="Times New Roman" w:hAnsi="Times New Roman" w:cs="Times New Roman"/>
          <w:sz w:val="20"/>
          <w:szCs w:val="20"/>
        </w:rPr>
        <w:t>, 44, 73-168.</w:t>
      </w:r>
    </w:p>
    <w:p w14:paraId="4E627743" w14:textId="181D93C4" w:rsidR="0042268C" w:rsidRDefault="0042268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Smith, K. (202</w:t>
      </w:r>
      <w:r w:rsidR="00DE6FF5">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w:t>
      </w:r>
      <w:r w:rsidR="00DE6FF5">
        <w:rPr>
          <w:rFonts w:ascii="Times New Roman" w:eastAsia="Times New Roman" w:hAnsi="Times New Roman" w:cs="Times New Roman"/>
          <w:color w:val="000000"/>
          <w:sz w:val="20"/>
          <w:szCs w:val="20"/>
        </w:rPr>
        <w:t>Correlating fracture toughness and surface roughness for a ductile epoxy adhered to aluminium substrates. University of Tennessee, Knoxville, MS thesis.</w:t>
      </w:r>
    </w:p>
    <w:p w14:paraId="00000412"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Sobol', I. M. (2001). Global sensitivity indices for nonlinear mathematical models and their Monte Carlo estimates. </w:t>
      </w:r>
      <w:r>
        <w:rPr>
          <w:rFonts w:ascii="Times New Roman" w:eastAsia="Times New Roman" w:hAnsi="Times New Roman" w:cs="Times New Roman"/>
          <w:i/>
          <w:color w:val="000000"/>
          <w:sz w:val="20"/>
          <w:szCs w:val="20"/>
        </w:rPr>
        <w:t>Mathematics and computers in simulation, 55</w:t>
      </w:r>
      <w:r>
        <w:rPr>
          <w:rFonts w:ascii="Times New Roman" w:eastAsia="Times New Roman" w:hAnsi="Times New Roman" w:cs="Times New Roman"/>
          <w:color w:val="000000"/>
          <w:sz w:val="20"/>
          <w:szCs w:val="20"/>
        </w:rPr>
        <w:t xml:space="preserve">(1-3), 271-280. </w:t>
      </w:r>
    </w:p>
    <w:p w14:paraId="00000413"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Sobol', I. M., &amp; </w:t>
      </w:r>
      <w:proofErr w:type="spellStart"/>
      <w:r>
        <w:rPr>
          <w:rFonts w:ascii="Times New Roman" w:eastAsia="Times New Roman" w:hAnsi="Times New Roman" w:cs="Times New Roman"/>
          <w:color w:val="000000"/>
          <w:sz w:val="20"/>
          <w:szCs w:val="20"/>
        </w:rPr>
        <w:t>Kucherenkob</w:t>
      </w:r>
      <w:proofErr w:type="spellEnd"/>
      <w:r>
        <w:rPr>
          <w:rFonts w:ascii="Times New Roman" w:eastAsia="Times New Roman" w:hAnsi="Times New Roman" w:cs="Times New Roman"/>
          <w:color w:val="000000"/>
          <w:sz w:val="20"/>
          <w:szCs w:val="20"/>
        </w:rPr>
        <w:t xml:space="preserve">, S. (2009). Derivative based global sensitivity measures and their link with global sensitivity indices. </w:t>
      </w:r>
    </w:p>
    <w:p w14:paraId="00000414"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Sobol', I. y. M. (1990). On sensitivity estimation for nonlinear mathematical models. </w:t>
      </w:r>
      <w:proofErr w:type="spellStart"/>
      <w:r>
        <w:rPr>
          <w:rFonts w:ascii="Times New Roman" w:eastAsia="Times New Roman" w:hAnsi="Times New Roman" w:cs="Times New Roman"/>
          <w:i/>
          <w:color w:val="000000"/>
          <w:sz w:val="20"/>
          <w:szCs w:val="20"/>
        </w:rPr>
        <w:t>Matematicheskoe</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modelirovanie</w:t>
      </w:r>
      <w:proofErr w:type="spellEnd"/>
      <w:r>
        <w:rPr>
          <w:rFonts w:ascii="Times New Roman" w:eastAsia="Times New Roman" w:hAnsi="Times New Roman" w:cs="Times New Roman"/>
          <w:i/>
          <w:color w:val="000000"/>
          <w:sz w:val="20"/>
          <w:szCs w:val="20"/>
        </w:rPr>
        <w:t>, 2</w:t>
      </w:r>
      <w:r>
        <w:rPr>
          <w:rFonts w:ascii="Times New Roman" w:eastAsia="Times New Roman" w:hAnsi="Times New Roman" w:cs="Times New Roman"/>
          <w:color w:val="000000"/>
          <w:sz w:val="20"/>
          <w:szCs w:val="20"/>
        </w:rPr>
        <w:t xml:space="preserve">(1), 112-118. </w:t>
      </w:r>
    </w:p>
    <w:p w14:paraId="00000415"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Sobol', I. y. M. (2005). Global sensitivity indices for the investigation of nonlinear mathematical models. </w:t>
      </w:r>
      <w:proofErr w:type="spellStart"/>
      <w:r>
        <w:rPr>
          <w:rFonts w:ascii="Times New Roman" w:eastAsia="Times New Roman" w:hAnsi="Times New Roman" w:cs="Times New Roman"/>
          <w:i/>
          <w:color w:val="000000"/>
          <w:sz w:val="20"/>
          <w:szCs w:val="20"/>
        </w:rPr>
        <w:t>Matematicheskoe</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modelirovanie</w:t>
      </w:r>
      <w:proofErr w:type="spellEnd"/>
      <w:r>
        <w:rPr>
          <w:rFonts w:ascii="Times New Roman" w:eastAsia="Times New Roman" w:hAnsi="Times New Roman" w:cs="Times New Roman"/>
          <w:i/>
          <w:color w:val="000000"/>
          <w:sz w:val="20"/>
          <w:szCs w:val="20"/>
        </w:rPr>
        <w:t>, 17</w:t>
      </w:r>
      <w:r>
        <w:rPr>
          <w:rFonts w:ascii="Times New Roman" w:eastAsia="Times New Roman" w:hAnsi="Times New Roman" w:cs="Times New Roman"/>
          <w:color w:val="000000"/>
          <w:sz w:val="20"/>
          <w:szCs w:val="20"/>
        </w:rPr>
        <w:t xml:space="preserve">(9), 43-52. </w:t>
      </w:r>
    </w:p>
    <w:p w14:paraId="00000416" w14:textId="77777777" w:rsidR="00F87ED1" w:rsidRDefault="0008262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Sobol’, I. M., &amp; </w:t>
      </w:r>
      <w:proofErr w:type="spellStart"/>
      <w:r>
        <w:rPr>
          <w:rFonts w:ascii="Times New Roman" w:eastAsia="Times New Roman" w:hAnsi="Times New Roman" w:cs="Times New Roman"/>
          <w:color w:val="000000"/>
          <w:sz w:val="20"/>
          <w:szCs w:val="20"/>
        </w:rPr>
        <w:t>Shukhman</w:t>
      </w:r>
      <w:proofErr w:type="spellEnd"/>
      <w:r>
        <w:rPr>
          <w:rFonts w:ascii="Times New Roman" w:eastAsia="Times New Roman" w:hAnsi="Times New Roman" w:cs="Times New Roman"/>
          <w:color w:val="000000"/>
          <w:sz w:val="20"/>
          <w:szCs w:val="20"/>
        </w:rPr>
        <w:t xml:space="preserve">, B. V. (1995). Integration with </w:t>
      </w:r>
      <w:proofErr w:type="spellStart"/>
      <w:r>
        <w:rPr>
          <w:rFonts w:ascii="Times New Roman" w:eastAsia="Times New Roman" w:hAnsi="Times New Roman" w:cs="Times New Roman"/>
          <w:color w:val="000000"/>
          <w:sz w:val="20"/>
          <w:szCs w:val="20"/>
        </w:rPr>
        <w:t>quasirandom</w:t>
      </w:r>
      <w:proofErr w:type="spellEnd"/>
      <w:r>
        <w:rPr>
          <w:rFonts w:ascii="Times New Roman" w:eastAsia="Times New Roman" w:hAnsi="Times New Roman" w:cs="Times New Roman"/>
          <w:color w:val="000000"/>
          <w:sz w:val="20"/>
          <w:szCs w:val="20"/>
        </w:rPr>
        <w:t xml:space="preserve"> sequences: numerical experience. </w:t>
      </w:r>
      <w:r>
        <w:rPr>
          <w:rFonts w:ascii="Times New Roman" w:eastAsia="Times New Roman" w:hAnsi="Times New Roman" w:cs="Times New Roman"/>
          <w:i/>
          <w:color w:val="000000"/>
          <w:sz w:val="20"/>
          <w:szCs w:val="20"/>
        </w:rPr>
        <w:t>International Journal of Modern Physics C, 6</w:t>
      </w:r>
      <w:r>
        <w:rPr>
          <w:rFonts w:ascii="Times New Roman" w:eastAsia="Times New Roman" w:hAnsi="Times New Roman" w:cs="Times New Roman"/>
          <w:color w:val="000000"/>
          <w:sz w:val="20"/>
          <w:szCs w:val="20"/>
        </w:rPr>
        <w:t xml:space="preserve">(02), 263-275. </w:t>
      </w:r>
    </w:p>
    <w:p w14:paraId="00000417" w14:textId="77777777" w:rsidR="00F87ED1" w:rsidRDefault="00F87ED1">
      <w:pPr>
        <w:pBdr>
          <w:top w:val="nil"/>
          <w:left w:val="nil"/>
          <w:bottom w:val="nil"/>
          <w:right w:val="nil"/>
          <w:between w:val="nil"/>
        </w:pBdr>
        <w:spacing w:after="0" w:line="240" w:lineRule="auto"/>
        <w:rPr>
          <w:color w:val="000000"/>
        </w:rPr>
      </w:pPr>
    </w:p>
    <w:p w14:paraId="00000418" w14:textId="77777777" w:rsidR="00F87ED1" w:rsidRDefault="00F87ED1">
      <w:pPr>
        <w:pBdr>
          <w:top w:val="nil"/>
          <w:left w:val="nil"/>
          <w:bottom w:val="nil"/>
          <w:right w:val="nil"/>
          <w:between w:val="nil"/>
        </w:pBdr>
        <w:spacing w:after="0" w:line="240" w:lineRule="auto"/>
        <w:rPr>
          <w:color w:val="000000"/>
        </w:rPr>
      </w:pPr>
    </w:p>
    <w:p w14:paraId="0000041B" w14:textId="77777777" w:rsidR="00F87ED1" w:rsidRDefault="00F87ED1"/>
    <w:sectPr w:rsidR="00F87E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ource Sans Pro SemiBold">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3D2F"/>
    <w:multiLevelType w:val="hybridMultilevel"/>
    <w:tmpl w:val="75A83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066FFA"/>
    <w:multiLevelType w:val="hybridMultilevel"/>
    <w:tmpl w:val="5002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427339"/>
    <w:multiLevelType w:val="hybridMultilevel"/>
    <w:tmpl w:val="35B4B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AE69DC"/>
    <w:multiLevelType w:val="hybridMultilevel"/>
    <w:tmpl w:val="C30C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983511">
    <w:abstractNumId w:val="1"/>
  </w:num>
  <w:num w:numId="2" w16cid:durableId="575357330">
    <w:abstractNumId w:val="2"/>
  </w:num>
  <w:num w:numId="3" w16cid:durableId="378166378">
    <w:abstractNumId w:val="3"/>
  </w:num>
  <w:num w:numId="4" w16cid:durableId="1129979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ED1"/>
    <w:rsid w:val="0000259F"/>
    <w:rsid w:val="00003EE9"/>
    <w:rsid w:val="0000548F"/>
    <w:rsid w:val="00006ED4"/>
    <w:rsid w:val="000075E5"/>
    <w:rsid w:val="000113AC"/>
    <w:rsid w:val="0001184C"/>
    <w:rsid w:val="00015764"/>
    <w:rsid w:val="00023026"/>
    <w:rsid w:val="000321F2"/>
    <w:rsid w:val="00035B59"/>
    <w:rsid w:val="00036129"/>
    <w:rsid w:val="00040138"/>
    <w:rsid w:val="000404D8"/>
    <w:rsid w:val="0004268B"/>
    <w:rsid w:val="00067F77"/>
    <w:rsid w:val="00071DB2"/>
    <w:rsid w:val="00082627"/>
    <w:rsid w:val="00083793"/>
    <w:rsid w:val="000912E0"/>
    <w:rsid w:val="0009133D"/>
    <w:rsid w:val="00094B32"/>
    <w:rsid w:val="000972E2"/>
    <w:rsid w:val="000A098E"/>
    <w:rsid w:val="000A2EE1"/>
    <w:rsid w:val="000B23ED"/>
    <w:rsid w:val="000B2D3A"/>
    <w:rsid w:val="000B46F4"/>
    <w:rsid w:val="000B5644"/>
    <w:rsid w:val="000C0C37"/>
    <w:rsid w:val="000C42C2"/>
    <w:rsid w:val="000C7DBF"/>
    <w:rsid w:val="000D116F"/>
    <w:rsid w:val="000D74BE"/>
    <w:rsid w:val="000E2CDE"/>
    <w:rsid w:val="0010067D"/>
    <w:rsid w:val="00103AB8"/>
    <w:rsid w:val="00105F59"/>
    <w:rsid w:val="0011333F"/>
    <w:rsid w:val="00123704"/>
    <w:rsid w:val="00131375"/>
    <w:rsid w:val="001359D7"/>
    <w:rsid w:val="00137EC2"/>
    <w:rsid w:val="001419FE"/>
    <w:rsid w:val="0014363A"/>
    <w:rsid w:val="0015507C"/>
    <w:rsid w:val="001649DD"/>
    <w:rsid w:val="00166C50"/>
    <w:rsid w:val="00166D77"/>
    <w:rsid w:val="00167EDA"/>
    <w:rsid w:val="0017359A"/>
    <w:rsid w:val="001746BC"/>
    <w:rsid w:val="00175F89"/>
    <w:rsid w:val="00191ADB"/>
    <w:rsid w:val="001A178F"/>
    <w:rsid w:val="001A628E"/>
    <w:rsid w:val="001A7A7F"/>
    <w:rsid w:val="001B5BBC"/>
    <w:rsid w:val="001B7734"/>
    <w:rsid w:val="001C0407"/>
    <w:rsid w:val="001C2B39"/>
    <w:rsid w:val="001C44B9"/>
    <w:rsid w:val="001C4E83"/>
    <w:rsid w:val="001C5C19"/>
    <w:rsid w:val="001C75C4"/>
    <w:rsid w:val="001D192B"/>
    <w:rsid w:val="001D2791"/>
    <w:rsid w:val="001D6FD9"/>
    <w:rsid w:val="001E06F6"/>
    <w:rsid w:val="001E1F1E"/>
    <w:rsid w:val="001E3E54"/>
    <w:rsid w:val="001F373E"/>
    <w:rsid w:val="00203226"/>
    <w:rsid w:val="002036D5"/>
    <w:rsid w:val="002037E4"/>
    <w:rsid w:val="00205171"/>
    <w:rsid w:val="00206AF6"/>
    <w:rsid w:val="002122F1"/>
    <w:rsid w:val="00212F58"/>
    <w:rsid w:val="002155C3"/>
    <w:rsid w:val="00230F7C"/>
    <w:rsid w:val="00236D14"/>
    <w:rsid w:val="002427A7"/>
    <w:rsid w:val="00243003"/>
    <w:rsid w:val="002475A9"/>
    <w:rsid w:val="00262090"/>
    <w:rsid w:val="0026270D"/>
    <w:rsid w:val="00263781"/>
    <w:rsid w:val="00273753"/>
    <w:rsid w:val="00273917"/>
    <w:rsid w:val="00277C69"/>
    <w:rsid w:val="00282E46"/>
    <w:rsid w:val="00283386"/>
    <w:rsid w:val="00285ED1"/>
    <w:rsid w:val="00297775"/>
    <w:rsid w:val="002A3B3B"/>
    <w:rsid w:val="002A663F"/>
    <w:rsid w:val="002B1464"/>
    <w:rsid w:val="002B5DE5"/>
    <w:rsid w:val="002C1170"/>
    <w:rsid w:val="002D56C6"/>
    <w:rsid w:val="002F3BEF"/>
    <w:rsid w:val="002F5367"/>
    <w:rsid w:val="00306514"/>
    <w:rsid w:val="003101D7"/>
    <w:rsid w:val="00310584"/>
    <w:rsid w:val="0031606C"/>
    <w:rsid w:val="00317D32"/>
    <w:rsid w:val="00326ABD"/>
    <w:rsid w:val="00331F42"/>
    <w:rsid w:val="00335D19"/>
    <w:rsid w:val="0034043A"/>
    <w:rsid w:val="00340A62"/>
    <w:rsid w:val="00342AAA"/>
    <w:rsid w:val="003449DC"/>
    <w:rsid w:val="003518D0"/>
    <w:rsid w:val="00362E14"/>
    <w:rsid w:val="00364D92"/>
    <w:rsid w:val="00367636"/>
    <w:rsid w:val="003731AC"/>
    <w:rsid w:val="0037720B"/>
    <w:rsid w:val="003773D9"/>
    <w:rsid w:val="00391E8C"/>
    <w:rsid w:val="00396B82"/>
    <w:rsid w:val="003B2C1D"/>
    <w:rsid w:val="003B56A8"/>
    <w:rsid w:val="003C0944"/>
    <w:rsid w:val="003C6C55"/>
    <w:rsid w:val="003D4924"/>
    <w:rsid w:val="003D5296"/>
    <w:rsid w:val="003D76FC"/>
    <w:rsid w:val="003E1974"/>
    <w:rsid w:val="003E6F6D"/>
    <w:rsid w:val="003F1623"/>
    <w:rsid w:val="00403525"/>
    <w:rsid w:val="00404BE8"/>
    <w:rsid w:val="00404C47"/>
    <w:rsid w:val="004057DE"/>
    <w:rsid w:val="0041505A"/>
    <w:rsid w:val="0042268C"/>
    <w:rsid w:val="0043552B"/>
    <w:rsid w:val="004370F4"/>
    <w:rsid w:val="0043780B"/>
    <w:rsid w:val="004404E1"/>
    <w:rsid w:val="004551AA"/>
    <w:rsid w:val="00457763"/>
    <w:rsid w:val="00463ECC"/>
    <w:rsid w:val="0046677C"/>
    <w:rsid w:val="0047026E"/>
    <w:rsid w:val="00471CB1"/>
    <w:rsid w:val="00490A67"/>
    <w:rsid w:val="004A029D"/>
    <w:rsid w:val="004A2083"/>
    <w:rsid w:val="004A50A6"/>
    <w:rsid w:val="004A544E"/>
    <w:rsid w:val="004A5B13"/>
    <w:rsid w:val="004A78FD"/>
    <w:rsid w:val="004B0CD9"/>
    <w:rsid w:val="004B3561"/>
    <w:rsid w:val="004B62AE"/>
    <w:rsid w:val="004C6014"/>
    <w:rsid w:val="004D5CDB"/>
    <w:rsid w:val="004E7A7A"/>
    <w:rsid w:val="004F3A93"/>
    <w:rsid w:val="004F3CAB"/>
    <w:rsid w:val="004F7A6E"/>
    <w:rsid w:val="00503FA4"/>
    <w:rsid w:val="005046BD"/>
    <w:rsid w:val="00507813"/>
    <w:rsid w:val="00517BC8"/>
    <w:rsid w:val="0053384A"/>
    <w:rsid w:val="00535894"/>
    <w:rsid w:val="00547AE5"/>
    <w:rsid w:val="00554537"/>
    <w:rsid w:val="00554EB2"/>
    <w:rsid w:val="005766E2"/>
    <w:rsid w:val="00577D34"/>
    <w:rsid w:val="00583EF6"/>
    <w:rsid w:val="00584A1A"/>
    <w:rsid w:val="005874F6"/>
    <w:rsid w:val="00593B8C"/>
    <w:rsid w:val="00594BE1"/>
    <w:rsid w:val="00595489"/>
    <w:rsid w:val="005967FA"/>
    <w:rsid w:val="005A4601"/>
    <w:rsid w:val="005A6B3A"/>
    <w:rsid w:val="005A6B8A"/>
    <w:rsid w:val="005B495C"/>
    <w:rsid w:val="005B5FEE"/>
    <w:rsid w:val="005C7AFE"/>
    <w:rsid w:val="005C7EE6"/>
    <w:rsid w:val="005D0A6E"/>
    <w:rsid w:val="005D251E"/>
    <w:rsid w:val="005D293C"/>
    <w:rsid w:val="005D37CB"/>
    <w:rsid w:val="005D67A3"/>
    <w:rsid w:val="005E1FFF"/>
    <w:rsid w:val="005E21AC"/>
    <w:rsid w:val="005E2D20"/>
    <w:rsid w:val="005E585C"/>
    <w:rsid w:val="005F324D"/>
    <w:rsid w:val="005F3859"/>
    <w:rsid w:val="005F7702"/>
    <w:rsid w:val="00601B06"/>
    <w:rsid w:val="006056CE"/>
    <w:rsid w:val="00611E61"/>
    <w:rsid w:val="00612B88"/>
    <w:rsid w:val="00613BA4"/>
    <w:rsid w:val="0061567B"/>
    <w:rsid w:val="0062060F"/>
    <w:rsid w:val="00621E27"/>
    <w:rsid w:val="00621E81"/>
    <w:rsid w:val="00633621"/>
    <w:rsid w:val="0066313B"/>
    <w:rsid w:val="00664E81"/>
    <w:rsid w:val="00675048"/>
    <w:rsid w:val="00684413"/>
    <w:rsid w:val="00685BC3"/>
    <w:rsid w:val="00686B8B"/>
    <w:rsid w:val="00693D0B"/>
    <w:rsid w:val="006A324E"/>
    <w:rsid w:val="006A5E4B"/>
    <w:rsid w:val="006B15C8"/>
    <w:rsid w:val="006C3304"/>
    <w:rsid w:val="006D26B7"/>
    <w:rsid w:val="006D295F"/>
    <w:rsid w:val="006E4BA6"/>
    <w:rsid w:val="006E79BE"/>
    <w:rsid w:val="006F7713"/>
    <w:rsid w:val="006F7A3F"/>
    <w:rsid w:val="007058C3"/>
    <w:rsid w:val="00706EB9"/>
    <w:rsid w:val="00724666"/>
    <w:rsid w:val="00731D4E"/>
    <w:rsid w:val="007346EE"/>
    <w:rsid w:val="00743613"/>
    <w:rsid w:val="00751D28"/>
    <w:rsid w:val="00765FD3"/>
    <w:rsid w:val="0078250D"/>
    <w:rsid w:val="007838EE"/>
    <w:rsid w:val="00785763"/>
    <w:rsid w:val="00786118"/>
    <w:rsid w:val="00786FCC"/>
    <w:rsid w:val="007A02B1"/>
    <w:rsid w:val="007A25BD"/>
    <w:rsid w:val="007A3DDD"/>
    <w:rsid w:val="007A5B31"/>
    <w:rsid w:val="007A62C3"/>
    <w:rsid w:val="007B0D75"/>
    <w:rsid w:val="007B288D"/>
    <w:rsid w:val="007B59C6"/>
    <w:rsid w:val="007B63B7"/>
    <w:rsid w:val="007B7D28"/>
    <w:rsid w:val="007C37C3"/>
    <w:rsid w:val="007D0B9B"/>
    <w:rsid w:val="007D1CD5"/>
    <w:rsid w:val="007D4906"/>
    <w:rsid w:val="007D69CF"/>
    <w:rsid w:val="007D7EE1"/>
    <w:rsid w:val="007F7772"/>
    <w:rsid w:val="00800197"/>
    <w:rsid w:val="008232E4"/>
    <w:rsid w:val="00823709"/>
    <w:rsid w:val="008400B6"/>
    <w:rsid w:val="00853867"/>
    <w:rsid w:val="00856B11"/>
    <w:rsid w:val="008577A0"/>
    <w:rsid w:val="008625B4"/>
    <w:rsid w:val="0086425D"/>
    <w:rsid w:val="0086669C"/>
    <w:rsid w:val="008712D4"/>
    <w:rsid w:val="00871C5B"/>
    <w:rsid w:val="00881594"/>
    <w:rsid w:val="008A229E"/>
    <w:rsid w:val="008A542B"/>
    <w:rsid w:val="008A5CC1"/>
    <w:rsid w:val="008B0479"/>
    <w:rsid w:val="008B3FE3"/>
    <w:rsid w:val="008B4A30"/>
    <w:rsid w:val="008B4B51"/>
    <w:rsid w:val="008C33C6"/>
    <w:rsid w:val="008C682F"/>
    <w:rsid w:val="008D1E7C"/>
    <w:rsid w:val="008E0109"/>
    <w:rsid w:val="008E0BED"/>
    <w:rsid w:val="008F297C"/>
    <w:rsid w:val="00901A91"/>
    <w:rsid w:val="00902451"/>
    <w:rsid w:val="00905B1C"/>
    <w:rsid w:val="00912257"/>
    <w:rsid w:val="00914144"/>
    <w:rsid w:val="009152E7"/>
    <w:rsid w:val="00916DA8"/>
    <w:rsid w:val="00917146"/>
    <w:rsid w:val="00923BB6"/>
    <w:rsid w:val="00924608"/>
    <w:rsid w:val="00933BB2"/>
    <w:rsid w:val="00944291"/>
    <w:rsid w:val="00946FE9"/>
    <w:rsid w:val="009517B8"/>
    <w:rsid w:val="009621D7"/>
    <w:rsid w:val="0096328D"/>
    <w:rsid w:val="00964158"/>
    <w:rsid w:val="0097786C"/>
    <w:rsid w:val="0098067E"/>
    <w:rsid w:val="00983142"/>
    <w:rsid w:val="0099436B"/>
    <w:rsid w:val="00994667"/>
    <w:rsid w:val="009964D4"/>
    <w:rsid w:val="009A2210"/>
    <w:rsid w:val="009A58EF"/>
    <w:rsid w:val="009B4B5F"/>
    <w:rsid w:val="009B557F"/>
    <w:rsid w:val="009C103A"/>
    <w:rsid w:val="009C384A"/>
    <w:rsid w:val="009D47C8"/>
    <w:rsid w:val="009D6FF8"/>
    <w:rsid w:val="009E32DF"/>
    <w:rsid w:val="009F086B"/>
    <w:rsid w:val="009F5070"/>
    <w:rsid w:val="00A00262"/>
    <w:rsid w:val="00A01C2C"/>
    <w:rsid w:val="00A154A5"/>
    <w:rsid w:val="00A171B1"/>
    <w:rsid w:val="00A2167A"/>
    <w:rsid w:val="00A253DD"/>
    <w:rsid w:val="00A31204"/>
    <w:rsid w:val="00A35D03"/>
    <w:rsid w:val="00A46A11"/>
    <w:rsid w:val="00A51C2B"/>
    <w:rsid w:val="00A55587"/>
    <w:rsid w:val="00A607F8"/>
    <w:rsid w:val="00A62A5A"/>
    <w:rsid w:val="00A71D0E"/>
    <w:rsid w:val="00A760F8"/>
    <w:rsid w:val="00A81C31"/>
    <w:rsid w:val="00A97B6C"/>
    <w:rsid w:val="00AA1880"/>
    <w:rsid w:val="00AA2348"/>
    <w:rsid w:val="00AA324F"/>
    <w:rsid w:val="00AC35EE"/>
    <w:rsid w:val="00AC4017"/>
    <w:rsid w:val="00AC7F36"/>
    <w:rsid w:val="00AD30AF"/>
    <w:rsid w:val="00AD7AA6"/>
    <w:rsid w:val="00AF046B"/>
    <w:rsid w:val="00AF076C"/>
    <w:rsid w:val="00AF13F4"/>
    <w:rsid w:val="00AF5E11"/>
    <w:rsid w:val="00AF6B0E"/>
    <w:rsid w:val="00B02077"/>
    <w:rsid w:val="00B02338"/>
    <w:rsid w:val="00B02380"/>
    <w:rsid w:val="00B03285"/>
    <w:rsid w:val="00B03BEB"/>
    <w:rsid w:val="00B0706F"/>
    <w:rsid w:val="00B12B2C"/>
    <w:rsid w:val="00B17306"/>
    <w:rsid w:val="00B2024A"/>
    <w:rsid w:val="00B26E02"/>
    <w:rsid w:val="00B27654"/>
    <w:rsid w:val="00B35180"/>
    <w:rsid w:val="00B406D1"/>
    <w:rsid w:val="00B56392"/>
    <w:rsid w:val="00B57C69"/>
    <w:rsid w:val="00B615DC"/>
    <w:rsid w:val="00B66056"/>
    <w:rsid w:val="00B66198"/>
    <w:rsid w:val="00B7410C"/>
    <w:rsid w:val="00B75450"/>
    <w:rsid w:val="00B92F05"/>
    <w:rsid w:val="00B93054"/>
    <w:rsid w:val="00B948D3"/>
    <w:rsid w:val="00B95D17"/>
    <w:rsid w:val="00BA78DD"/>
    <w:rsid w:val="00BB19AC"/>
    <w:rsid w:val="00BB2387"/>
    <w:rsid w:val="00BB4BBF"/>
    <w:rsid w:val="00BC2285"/>
    <w:rsid w:val="00BC50FA"/>
    <w:rsid w:val="00BD2B7E"/>
    <w:rsid w:val="00BD39B2"/>
    <w:rsid w:val="00BD3E53"/>
    <w:rsid w:val="00BE21EE"/>
    <w:rsid w:val="00BF4460"/>
    <w:rsid w:val="00C0269B"/>
    <w:rsid w:val="00C1542B"/>
    <w:rsid w:val="00C16EC2"/>
    <w:rsid w:val="00C206E5"/>
    <w:rsid w:val="00C21E05"/>
    <w:rsid w:val="00C238A6"/>
    <w:rsid w:val="00C2467F"/>
    <w:rsid w:val="00C46D5F"/>
    <w:rsid w:val="00C524F7"/>
    <w:rsid w:val="00C55CCE"/>
    <w:rsid w:val="00C67D66"/>
    <w:rsid w:val="00C76130"/>
    <w:rsid w:val="00C84562"/>
    <w:rsid w:val="00C847D3"/>
    <w:rsid w:val="00C950D9"/>
    <w:rsid w:val="00CA5CF8"/>
    <w:rsid w:val="00CA6F6E"/>
    <w:rsid w:val="00CC0500"/>
    <w:rsid w:val="00CD1F91"/>
    <w:rsid w:val="00CD7A6A"/>
    <w:rsid w:val="00CE3F21"/>
    <w:rsid w:val="00CE6E6A"/>
    <w:rsid w:val="00CE70D9"/>
    <w:rsid w:val="00CE766B"/>
    <w:rsid w:val="00D03FF2"/>
    <w:rsid w:val="00D05ABE"/>
    <w:rsid w:val="00D06224"/>
    <w:rsid w:val="00D12CB2"/>
    <w:rsid w:val="00D14CC4"/>
    <w:rsid w:val="00D17F9E"/>
    <w:rsid w:val="00D22E4F"/>
    <w:rsid w:val="00D31AA1"/>
    <w:rsid w:val="00D3415B"/>
    <w:rsid w:val="00D367F6"/>
    <w:rsid w:val="00D36D1F"/>
    <w:rsid w:val="00D37895"/>
    <w:rsid w:val="00D42E1D"/>
    <w:rsid w:val="00D44DC1"/>
    <w:rsid w:val="00D475E9"/>
    <w:rsid w:val="00D57400"/>
    <w:rsid w:val="00D57BFC"/>
    <w:rsid w:val="00D6187B"/>
    <w:rsid w:val="00D6572E"/>
    <w:rsid w:val="00D765EF"/>
    <w:rsid w:val="00D8066E"/>
    <w:rsid w:val="00D8385B"/>
    <w:rsid w:val="00D863DD"/>
    <w:rsid w:val="00D9123C"/>
    <w:rsid w:val="00D918B0"/>
    <w:rsid w:val="00DA6857"/>
    <w:rsid w:val="00DB512F"/>
    <w:rsid w:val="00DB7C42"/>
    <w:rsid w:val="00DC0B85"/>
    <w:rsid w:val="00DC3C98"/>
    <w:rsid w:val="00DD042E"/>
    <w:rsid w:val="00DD0654"/>
    <w:rsid w:val="00DD0BE8"/>
    <w:rsid w:val="00DD6F3C"/>
    <w:rsid w:val="00DD7B4A"/>
    <w:rsid w:val="00DE0BA0"/>
    <w:rsid w:val="00DE1764"/>
    <w:rsid w:val="00DE27BB"/>
    <w:rsid w:val="00DE3C1B"/>
    <w:rsid w:val="00DE4CB7"/>
    <w:rsid w:val="00DE6A6A"/>
    <w:rsid w:val="00DE6FF5"/>
    <w:rsid w:val="00DF0BF3"/>
    <w:rsid w:val="00E03CE4"/>
    <w:rsid w:val="00E03D55"/>
    <w:rsid w:val="00E05BF9"/>
    <w:rsid w:val="00E1167A"/>
    <w:rsid w:val="00E11C97"/>
    <w:rsid w:val="00E22AA3"/>
    <w:rsid w:val="00E3202E"/>
    <w:rsid w:val="00E3238C"/>
    <w:rsid w:val="00E45766"/>
    <w:rsid w:val="00E5020E"/>
    <w:rsid w:val="00E51B7B"/>
    <w:rsid w:val="00E5256A"/>
    <w:rsid w:val="00E65D01"/>
    <w:rsid w:val="00E70F8F"/>
    <w:rsid w:val="00E879CA"/>
    <w:rsid w:val="00E96223"/>
    <w:rsid w:val="00EA23C8"/>
    <w:rsid w:val="00EA275E"/>
    <w:rsid w:val="00EC10BF"/>
    <w:rsid w:val="00EC13A8"/>
    <w:rsid w:val="00EC2399"/>
    <w:rsid w:val="00ED0E9C"/>
    <w:rsid w:val="00EE23FC"/>
    <w:rsid w:val="00EE477B"/>
    <w:rsid w:val="00EE72D2"/>
    <w:rsid w:val="00EF4ED1"/>
    <w:rsid w:val="00EF50A3"/>
    <w:rsid w:val="00F051CA"/>
    <w:rsid w:val="00F07163"/>
    <w:rsid w:val="00F105BD"/>
    <w:rsid w:val="00F13816"/>
    <w:rsid w:val="00F1618E"/>
    <w:rsid w:val="00F25489"/>
    <w:rsid w:val="00F44EFB"/>
    <w:rsid w:val="00F467BF"/>
    <w:rsid w:val="00F53EE7"/>
    <w:rsid w:val="00F66721"/>
    <w:rsid w:val="00F67FF4"/>
    <w:rsid w:val="00F70F37"/>
    <w:rsid w:val="00F737EC"/>
    <w:rsid w:val="00F75D13"/>
    <w:rsid w:val="00F8172A"/>
    <w:rsid w:val="00F8267A"/>
    <w:rsid w:val="00F858EC"/>
    <w:rsid w:val="00F87ED1"/>
    <w:rsid w:val="00F9391B"/>
    <w:rsid w:val="00F95DFA"/>
    <w:rsid w:val="00FA3BFF"/>
    <w:rsid w:val="00FA4C91"/>
    <w:rsid w:val="00FA6C3F"/>
    <w:rsid w:val="00FB1989"/>
    <w:rsid w:val="00FB1C68"/>
    <w:rsid w:val="00FB53E6"/>
    <w:rsid w:val="00FC128A"/>
    <w:rsid w:val="00FC2599"/>
    <w:rsid w:val="00FC5262"/>
    <w:rsid w:val="00FE2CE5"/>
    <w:rsid w:val="00FE3B63"/>
    <w:rsid w:val="00FF00C2"/>
    <w:rsid w:val="00FF0D97"/>
    <w:rsid w:val="00FF0E70"/>
    <w:rsid w:val="00FF243E"/>
    <w:rsid w:val="00FF3EF7"/>
    <w:rsid w:val="00FF3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BB8B"/>
  <w15:docId w15:val="{9CEAC546-B75C-484F-8E7A-850CDA7F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99D"/>
  </w:style>
  <w:style w:type="paragraph" w:styleId="Heading1">
    <w:name w:val="heading 1"/>
    <w:basedOn w:val="Normal"/>
    <w:next w:val="Normal"/>
    <w:link w:val="Heading1Char"/>
    <w:uiPriority w:val="9"/>
    <w:qFormat/>
    <w:rsid w:val="00A8399D"/>
    <w:pPr>
      <w:keepNext/>
      <w:keepLines/>
      <w:spacing w:before="480" w:after="0" w:line="276" w:lineRule="auto"/>
      <w:outlineLvl w:val="0"/>
    </w:pPr>
    <w:rPr>
      <w:rFonts w:ascii="Cambria" w:hAnsi="Cambria" w:cs="Times New Roman"/>
      <w:b/>
      <w:bCs/>
      <w:color w:val="21798E"/>
      <w:sz w:val="28"/>
      <w:szCs w:val="28"/>
      <w:lang w:val="en-US"/>
    </w:rPr>
  </w:style>
  <w:style w:type="paragraph" w:styleId="Heading2">
    <w:name w:val="heading 2"/>
    <w:basedOn w:val="Normal"/>
    <w:next w:val="Normal"/>
    <w:link w:val="Heading2Char"/>
    <w:uiPriority w:val="9"/>
    <w:semiHidden/>
    <w:unhideWhenUsed/>
    <w:qFormat/>
    <w:rsid w:val="00A8399D"/>
    <w:pPr>
      <w:keepNext/>
      <w:keepLines/>
      <w:spacing w:before="200" w:after="0" w:line="276" w:lineRule="auto"/>
      <w:outlineLvl w:val="1"/>
    </w:pPr>
    <w:rPr>
      <w:rFonts w:ascii="Cambria" w:hAnsi="Cambria" w:cs="Times New Roman"/>
      <w:b/>
      <w:bCs/>
      <w:color w:val="2DA2BF"/>
      <w:sz w:val="26"/>
      <w:szCs w:val="26"/>
      <w:lang w:val="en-US"/>
    </w:rPr>
  </w:style>
  <w:style w:type="paragraph" w:styleId="Heading3">
    <w:name w:val="heading 3"/>
    <w:basedOn w:val="Normal"/>
    <w:next w:val="Normal"/>
    <w:link w:val="Heading3Char"/>
    <w:uiPriority w:val="9"/>
    <w:semiHidden/>
    <w:unhideWhenUsed/>
    <w:qFormat/>
    <w:rsid w:val="00A839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8399D"/>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A8399D"/>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A8399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99D"/>
    <w:pPr>
      <w:keepNext/>
      <w:keepLines/>
      <w:spacing w:before="480" w:after="120"/>
    </w:pPr>
    <w:rPr>
      <w:b/>
      <w:sz w:val="72"/>
      <w:szCs w:val="72"/>
    </w:rPr>
  </w:style>
  <w:style w:type="character" w:customStyle="1" w:styleId="Heading1Char">
    <w:name w:val="Heading 1 Char"/>
    <w:basedOn w:val="DefaultParagraphFont"/>
    <w:link w:val="Heading1"/>
    <w:uiPriority w:val="9"/>
    <w:rsid w:val="00A8399D"/>
    <w:rPr>
      <w:rFonts w:ascii="Cambria" w:eastAsia="Calibri" w:hAnsi="Cambria" w:cs="Times New Roman"/>
      <w:b/>
      <w:bCs/>
      <w:color w:val="21798E"/>
      <w:sz w:val="28"/>
      <w:szCs w:val="28"/>
    </w:rPr>
  </w:style>
  <w:style w:type="character" w:customStyle="1" w:styleId="Heading2Char">
    <w:name w:val="Heading 2 Char"/>
    <w:basedOn w:val="DefaultParagraphFont"/>
    <w:link w:val="Heading2"/>
    <w:uiPriority w:val="9"/>
    <w:rsid w:val="00A8399D"/>
    <w:rPr>
      <w:rFonts w:ascii="Cambria" w:eastAsia="Calibri" w:hAnsi="Cambria" w:cs="Times New Roman"/>
      <w:b/>
      <w:bCs/>
      <w:color w:val="2DA2BF"/>
      <w:sz w:val="26"/>
      <w:szCs w:val="26"/>
    </w:rPr>
  </w:style>
  <w:style w:type="character" w:customStyle="1" w:styleId="Heading3Char">
    <w:name w:val="Heading 3 Char"/>
    <w:basedOn w:val="DefaultParagraphFont"/>
    <w:link w:val="Heading3"/>
    <w:uiPriority w:val="9"/>
    <w:semiHidden/>
    <w:rsid w:val="00A8399D"/>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A8399D"/>
    <w:rPr>
      <w:rFonts w:ascii="Calibri" w:eastAsia="Calibri" w:hAnsi="Calibri" w:cs="Calibri"/>
      <w:b/>
      <w:sz w:val="24"/>
      <w:szCs w:val="24"/>
      <w:lang w:val="en-GB"/>
    </w:rPr>
  </w:style>
  <w:style w:type="character" w:customStyle="1" w:styleId="Heading5Char">
    <w:name w:val="Heading 5 Char"/>
    <w:basedOn w:val="DefaultParagraphFont"/>
    <w:link w:val="Heading5"/>
    <w:uiPriority w:val="9"/>
    <w:semiHidden/>
    <w:rsid w:val="00A8399D"/>
    <w:rPr>
      <w:rFonts w:ascii="Calibri" w:eastAsia="Calibri" w:hAnsi="Calibri" w:cs="Calibri"/>
      <w:b/>
      <w:lang w:val="en-GB"/>
    </w:rPr>
  </w:style>
  <w:style w:type="character" w:customStyle="1" w:styleId="Heading6Char">
    <w:name w:val="Heading 6 Char"/>
    <w:basedOn w:val="DefaultParagraphFont"/>
    <w:link w:val="Heading6"/>
    <w:uiPriority w:val="9"/>
    <w:semiHidden/>
    <w:rsid w:val="00A8399D"/>
    <w:rPr>
      <w:rFonts w:ascii="Calibri" w:eastAsia="Calibri" w:hAnsi="Calibri" w:cs="Calibri"/>
      <w:b/>
      <w:sz w:val="20"/>
      <w:szCs w:val="20"/>
      <w:lang w:val="en-GB"/>
    </w:rPr>
  </w:style>
  <w:style w:type="character" w:customStyle="1" w:styleId="TitleChar">
    <w:name w:val="Title Char"/>
    <w:basedOn w:val="DefaultParagraphFont"/>
    <w:link w:val="Title"/>
    <w:uiPriority w:val="10"/>
    <w:rsid w:val="00A8399D"/>
    <w:rPr>
      <w:rFonts w:ascii="Calibri" w:eastAsia="Calibri" w:hAnsi="Calibri" w:cs="Calibri"/>
      <w:b/>
      <w:sz w:val="72"/>
      <w:szCs w:val="72"/>
      <w:lang w:val="en-GB"/>
    </w:rPr>
  </w:style>
  <w:style w:type="character" w:customStyle="1" w:styleId="accessDate">
    <w:name w:val="accessDate"/>
    <w:basedOn w:val="DefaultParagraphFont"/>
    <w:uiPriority w:val="1"/>
    <w:qFormat/>
    <w:rsid w:val="00A8399D"/>
    <w:rPr>
      <w:bdr w:val="none" w:sz="0" w:space="0" w:color="auto"/>
      <w:shd w:val="clear" w:color="auto" w:fill="FF0000"/>
    </w:rPr>
  </w:style>
  <w:style w:type="paragraph" w:customStyle="1" w:styleId="Authors">
    <w:name w:val="Authors"/>
    <w:rsid w:val="00A8399D"/>
    <w:pPr>
      <w:spacing w:before="360" w:after="360" w:line="276" w:lineRule="auto"/>
      <w:jc w:val="both"/>
    </w:pPr>
    <w:rPr>
      <w:rFonts w:eastAsia="Times New Roman" w:cs="Latha"/>
      <w:sz w:val="28"/>
    </w:rPr>
  </w:style>
  <w:style w:type="paragraph" w:customStyle="1" w:styleId="ManuscriptTitle">
    <w:name w:val="ManuscriptTitle"/>
    <w:rsid w:val="00A8399D"/>
    <w:pPr>
      <w:spacing w:after="240" w:line="276" w:lineRule="auto"/>
    </w:pPr>
    <w:rPr>
      <w:rFonts w:eastAsia="Times New Roman" w:cs="Latha"/>
      <w:sz w:val="44"/>
    </w:rPr>
  </w:style>
  <w:style w:type="paragraph" w:customStyle="1" w:styleId="AuthorAffiliation">
    <w:name w:val="AuthorAffiliation"/>
    <w:autoRedefine/>
    <w:rsid w:val="00A8399D"/>
    <w:pPr>
      <w:spacing w:after="200" w:line="276" w:lineRule="auto"/>
      <w:jc w:val="both"/>
    </w:pPr>
    <w:rPr>
      <w:rFonts w:eastAsia="Times New Roman" w:cs="Latha"/>
    </w:rPr>
  </w:style>
  <w:style w:type="character" w:styleId="FootnoteReference">
    <w:name w:val="footnote reference"/>
    <w:rsid w:val="00A8399D"/>
    <w:rPr>
      <w:rFonts w:cs="Times New Roman"/>
      <w:vertAlign w:val="superscript"/>
    </w:rPr>
  </w:style>
  <w:style w:type="paragraph" w:customStyle="1" w:styleId="AuthorNote">
    <w:name w:val="AuthorNote"/>
    <w:rsid w:val="00A8399D"/>
    <w:pPr>
      <w:spacing w:after="200" w:line="276" w:lineRule="auto"/>
    </w:pPr>
    <w:rPr>
      <w:rFonts w:eastAsia="Times New Roman" w:cs="Latha"/>
      <w:sz w:val="24"/>
      <w:szCs w:val="24"/>
    </w:rPr>
  </w:style>
  <w:style w:type="paragraph" w:customStyle="1" w:styleId="Correspondence">
    <w:name w:val="Correspondence"/>
    <w:basedOn w:val="Normal"/>
    <w:rsid w:val="00A8399D"/>
    <w:pPr>
      <w:spacing w:after="200" w:line="276" w:lineRule="auto"/>
    </w:pPr>
    <w:rPr>
      <w:sz w:val="24"/>
      <w:lang w:val="en-US"/>
    </w:rPr>
  </w:style>
  <w:style w:type="paragraph" w:customStyle="1" w:styleId="Recto">
    <w:name w:val="Recto"/>
    <w:qFormat/>
    <w:rsid w:val="00A8399D"/>
    <w:pPr>
      <w:shd w:val="clear" w:color="auto" w:fill="CCC0D9"/>
      <w:spacing w:after="0" w:line="240" w:lineRule="auto"/>
    </w:pPr>
    <w:rPr>
      <w:rFonts w:eastAsia="Times New Roman" w:cs="Latha"/>
      <w:sz w:val="24"/>
      <w:szCs w:val="24"/>
    </w:rPr>
  </w:style>
  <w:style w:type="character" w:customStyle="1" w:styleId="email">
    <w:name w:val="email"/>
    <w:rsid w:val="00A8399D"/>
    <w:rPr>
      <w:bdr w:val="none" w:sz="0" w:space="0" w:color="auto"/>
      <w:shd w:val="clear" w:color="auto" w:fill="C0C0C0"/>
    </w:rPr>
  </w:style>
  <w:style w:type="paragraph" w:customStyle="1" w:styleId="Verso">
    <w:name w:val="Verso"/>
    <w:basedOn w:val="Normal"/>
    <w:qFormat/>
    <w:rsid w:val="00A8399D"/>
    <w:pPr>
      <w:shd w:val="clear" w:color="auto" w:fill="D6E3BC"/>
      <w:spacing w:after="200" w:line="276" w:lineRule="auto"/>
    </w:pPr>
    <w:rPr>
      <w:sz w:val="24"/>
      <w:szCs w:val="24"/>
      <w:lang w:val="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2DA2BF"/>
      <w:sz w:val="24"/>
      <w:szCs w:val="24"/>
    </w:rPr>
  </w:style>
  <w:style w:type="character" w:customStyle="1" w:styleId="SubtitleChar">
    <w:name w:val="Subtitle Char"/>
    <w:basedOn w:val="DefaultParagraphFont"/>
    <w:link w:val="Subtitle"/>
    <w:uiPriority w:val="11"/>
    <w:rsid w:val="00A8399D"/>
    <w:rPr>
      <w:rFonts w:ascii="Cambria" w:eastAsia="Cambria" w:hAnsi="Cambria" w:cs="Cambria"/>
      <w:i/>
      <w:color w:val="2DA2BF"/>
      <w:sz w:val="24"/>
      <w:szCs w:val="24"/>
      <w:lang w:val="en-GB"/>
    </w:rPr>
  </w:style>
  <w:style w:type="character" w:customStyle="1" w:styleId="footCite">
    <w:name w:val="footCite"/>
    <w:uiPriority w:val="1"/>
    <w:qFormat/>
    <w:rsid w:val="00A8399D"/>
    <w:rPr>
      <w:color w:val="auto"/>
      <w:bdr w:val="none" w:sz="0" w:space="0" w:color="auto"/>
      <w:shd w:val="clear" w:color="auto" w:fill="7030A0"/>
      <w:vertAlign w:val="superscript"/>
    </w:rPr>
  </w:style>
  <w:style w:type="paragraph" w:customStyle="1" w:styleId="History">
    <w:name w:val="History"/>
    <w:basedOn w:val="Normal"/>
    <w:qFormat/>
    <w:rsid w:val="00A8399D"/>
    <w:pPr>
      <w:spacing w:after="200" w:line="276" w:lineRule="auto"/>
    </w:pPr>
    <w:rPr>
      <w:lang w:val="en-US"/>
    </w:rPr>
  </w:style>
  <w:style w:type="paragraph" w:customStyle="1" w:styleId="AbstractText">
    <w:name w:val="AbstractText"/>
    <w:rsid w:val="00A8399D"/>
    <w:pPr>
      <w:spacing w:after="120" w:line="360" w:lineRule="auto"/>
      <w:ind w:left="544" w:right="544" w:firstLine="357"/>
      <w:jc w:val="both"/>
    </w:pPr>
    <w:rPr>
      <w:rFonts w:eastAsia="Times New Roman" w:cs="Latha"/>
      <w:sz w:val="24"/>
    </w:rPr>
  </w:style>
  <w:style w:type="paragraph" w:customStyle="1" w:styleId="AbstractTitle">
    <w:name w:val="AbstractTitle"/>
    <w:rsid w:val="00A8399D"/>
    <w:pPr>
      <w:spacing w:after="200" w:line="276" w:lineRule="auto"/>
      <w:jc w:val="center"/>
    </w:pPr>
    <w:rPr>
      <w:rFonts w:eastAsia="Times New Roman" w:cs="Tahoma"/>
      <w:bCs/>
      <w:iCs/>
      <w:szCs w:val="16"/>
    </w:rPr>
  </w:style>
  <w:style w:type="paragraph" w:customStyle="1" w:styleId="AbstractAHead">
    <w:name w:val="AbstractAHead"/>
    <w:basedOn w:val="AbstractText"/>
    <w:qFormat/>
    <w:rsid w:val="00A8399D"/>
    <w:rPr>
      <w:b/>
      <w:i/>
      <w:iCs/>
    </w:rPr>
  </w:style>
  <w:style w:type="paragraph" w:customStyle="1" w:styleId="AbstractBHead">
    <w:name w:val="AbstractBHead"/>
    <w:basedOn w:val="AbstractText"/>
    <w:qFormat/>
    <w:rsid w:val="00A8399D"/>
    <w:rPr>
      <w:b/>
      <w:i/>
      <w:iCs/>
    </w:rPr>
  </w:style>
  <w:style w:type="paragraph" w:styleId="BodyText">
    <w:name w:val="Body Text"/>
    <w:link w:val="BodyTextChar1"/>
    <w:rsid w:val="00A8399D"/>
    <w:pPr>
      <w:spacing w:after="120" w:line="360" w:lineRule="auto"/>
      <w:ind w:firstLine="357"/>
      <w:jc w:val="both"/>
    </w:pPr>
    <w:rPr>
      <w:rFonts w:eastAsia="Times New Roman" w:cs="Latha"/>
      <w:sz w:val="24"/>
      <w:szCs w:val="20"/>
    </w:rPr>
  </w:style>
  <w:style w:type="character" w:customStyle="1" w:styleId="BodyTextChar">
    <w:name w:val="Body Text Char"/>
    <w:basedOn w:val="DefaultParagraphFont"/>
    <w:uiPriority w:val="99"/>
    <w:semiHidden/>
    <w:rsid w:val="00A8399D"/>
  </w:style>
  <w:style w:type="character" w:customStyle="1" w:styleId="BodyTextChar1">
    <w:name w:val="Body Text Char1"/>
    <w:link w:val="BodyText"/>
    <w:locked/>
    <w:rsid w:val="00A8399D"/>
    <w:rPr>
      <w:rFonts w:ascii="Calibri" w:eastAsia="Times New Roman" w:hAnsi="Calibri" w:cs="Latha"/>
      <w:sz w:val="24"/>
      <w:szCs w:val="20"/>
    </w:rPr>
  </w:style>
  <w:style w:type="paragraph" w:styleId="NormalWeb">
    <w:name w:val="Normal (Web)"/>
    <w:basedOn w:val="Normal"/>
    <w:uiPriority w:val="99"/>
    <w:unhideWhenUsed/>
    <w:rsid w:val="00A839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8399D"/>
    <w:rPr>
      <w:i/>
      <w:iCs/>
    </w:rPr>
  </w:style>
  <w:style w:type="paragraph" w:customStyle="1" w:styleId="FigureCaption">
    <w:name w:val="FigureCaption"/>
    <w:link w:val="FigureCaptionCharChar"/>
    <w:rsid w:val="00A8399D"/>
    <w:pPr>
      <w:spacing w:before="60" w:after="300" w:line="276" w:lineRule="auto"/>
      <w:jc w:val="both"/>
    </w:pPr>
    <w:rPr>
      <w:rFonts w:eastAsia="Times New Roman" w:cs="Latha"/>
      <w:szCs w:val="20"/>
    </w:rPr>
  </w:style>
  <w:style w:type="character" w:customStyle="1" w:styleId="FigureCaptionCharChar">
    <w:name w:val="FigureCaption Char Char"/>
    <w:link w:val="FigureCaption"/>
    <w:locked/>
    <w:rsid w:val="00A8399D"/>
    <w:rPr>
      <w:rFonts w:ascii="Calibri" w:eastAsia="Times New Roman" w:hAnsi="Calibri" w:cs="Latha"/>
      <w:szCs w:val="20"/>
    </w:rPr>
  </w:style>
  <w:style w:type="paragraph" w:customStyle="1" w:styleId="Equations">
    <w:name w:val="Equations"/>
    <w:rsid w:val="00A8399D"/>
    <w:pPr>
      <w:tabs>
        <w:tab w:val="center" w:pos="4507"/>
        <w:tab w:val="right" w:pos="9000"/>
      </w:tabs>
      <w:spacing w:before="60" w:after="120" w:line="276" w:lineRule="auto"/>
      <w:jc w:val="center"/>
    </w:pPr>
    <w:rPr>
      <w:rFonts w:eastAsia="Times New Roman" w:cs="Latha"/>
      <w:sz w:val="24"/>
    </w:rPr>
  </w:style>
  <w:style w:type="paragraph" w:customStyle="1" w:styleId="TableTitle">
    <w:name w:val="TableTitle"/>
    <w:basedOn w:val="Caption"/>
    <w:rsid w:val="00A8399D"/>
    <w:pPr>
      <w:spacing w:before="120" w:after="120" w:line="360" w:lineRule="auto"/>
      <w:jc w:val="both"/>
    </w:pPr>
    <w:rPr>
      <w:rFonts w:eastAsia="SimSun"/>
      <w:bCs/>
      <w:i w:val="0"/>
      <w:iCs w:val="0"/>
      <w:color w:val="2DA2BF"/>
      <w:sz w:val="22"/>
    </w:rPr>
  </w:style>
  <w:style w:type="paragraph" w:styleId="Caption">
    <w:name w:val="caption"/>
    <w:basedOn w:val="Normal"/>
    <w:next w:val="Normal"/>
    <w:uiPriority w:val="35"/>
    <w:unhideWhenUsed/>
    <w:qFormat/>
    <w:rsid w:val="00A8399D"/>
    <w:pPr>
      <w:spacing w:after="200" w:line="240" w:lineRule="auto"/>
    </w:pPr>
    <w:rPr>
      <w:i/>
      <w:iCs/>
      <w:color w:val="44546A" w:themeColor="text2"/>
      <w:sz w:val="18"/>
      <w:szCs w:val="18"/>
    </w:rPr>
  </w:style>
  <w:style w:type="paragraph" w:customStyle="1" w:styleId="Extract">
    <w:name w:val="Extract"/>
    <w:rsid w:val="00A8399D"/>
    <w:pPr>
      <w:spacing w:after="200" w:line="276" w:lineRule="auto"/>
      <w:ind w:left="720" w:right="720"/>
    </w:pPr>
    <w:rPr>
      <w:rFonts w:eastAsia="Times New Roman" w:cs="Latha"/>
      <w:sz w:val="24"/>
      <w:szCs w:val="24"/>
    </w:rPr>
  </w:style>
  <w:style w:type="paragraph" w:customStyle="1" w:styleId="TableFootnote">
    <w:name w:val="TableFootnote"/>
    <w:rsid w:val="00A8399D"/>
    <w:pPr>
      <w:spacing w:after="200" w:line="276" w:lineRule="auto"/>
      <w:ind w:left="720"/>
    </w:pPr>
    <w:rPr>
      <w:rFonts w:eastAsia="Times New Roman" w:cs="Latha"/>
      <w:sz w:val="24"/>
      <w:szCs w:val="24"/>
    </w:rPr>
  </w:style>
  <w:style w:type="paragraph" w:customStyle="1" w:styleId="Lemma">
    <w:name w:val="Lemma"/>
    <w:rsid w:val="00A8399D"/>
    <w:pPr>
      <w:spacing w:after="200" w:line="276" w:lineRule="auto"/>
    </w:pPr>
    <w:rPr>
      <w:rFonts w:eastAsia="Times New Roman" w:cs="Latha"/>
      <w:sz w:val="24"/>
      <w:szCs w:val="24"/>
    </w:rPr>
  </w:style>
  <w:style w:type="paragraph" w:customStyle="1" w:styleId="Theorem">
    <w:name w:val="Theorem"/>
    <w:rsid w:val="00A8399D"/>
    <w:pPr>
      <w:spacing w:after="200" w:line="276" w:lineRule="auto"/>
    </w:pPr>
    <w:rPr>
      <w:rFonts w:eastAsia="Times New Roman" w:cs="Latha"/>
      <w:sz w:val="24"/>
      <w:szCs w:val="24"/>
    </w:rPr>
  </w:style>
  <w:style w:type="paragraph" w:customStyle="1" w:styleId="Proof">
    <w:name w:val="Proof"/>
    <w:rsid w:val="00A8399D"/>
    <w:pPr>
      <w:spacing w:after="200" w:line="276" w:lineRule="auto"/>
    </w:pPr>
    <w:rPr>
      <w:rFonts w:eastAsia="Times New Roman" w:cs="Latha"/>
      <w:sz w:val="24"/>
      <w:szCs w:val="24"/>
    </w:rPr>
  </w:style>
  <w:style w:type="paragraph" w:customStyle="1" w:styleId="Algorithm">
    <w:name w:val="Algorithm"/>
    <w:rsid w:val="00A8399D"/>
    <w:pPr>
      <w:spacing w:after="200" w:line="276" w:lineRule="auto"/>
    </w:pPr>
    <w:rPr>
      <w:rFonts w:eastAsia="Times New Roman" w:cs="Latha"/>
      <w:sz w:val="24"/>
      <w:szCs w:val="24"/>
    </w:rPr>
  </w:style>
  <w:style w:type="paragraph" w:customStyle="1" w:styleId="Corollary">
    <w:name w:val="Corollary"/>
    <w:rsid w:val="00A8399D"/>
    <w:pPr>
      <w:spacing w:after="200" w:line="276" w:lineRule="auto"/>
    </w:pPr>
    <w:rPr>
      <w:rFonts w:eastAsia="Times New Roman" w:cs="Latha"/>
      <w:sz w:val="24"/>
      <w:szCs w:val="24"/>
    </w:rPr>
  </w:style>
  <w:style w:type="paragraph" w:customStyle="1" w:styleId="Case">
    <w:name w:val="Case"/>
    <w:rsid w:val="00A8399D"/>
    <w:pPr>
      <w:spacing w:after="200" w:line="276" w:lineRule="auto"/>
    </w:pPr>
    <w:rPr>
      <w:rFonts w:eastAsia="Times New Roman" w:cs="Latha"/>
      <w:sz w:val="24"/>
      <w:szCs w:val="24"/>
    </w:rPr>
  </w:style>
  <w:style w:type="paragraph" w:customStyle="1" w:styleId="Example">
    <w:name w:val="Example"/>
    <w:rsid w:val="00A8399D"/>
    <w:pPr>
      <w:spacing w:after="200" w:line="276" w:lineRule="auto"/>
    </w:pPr>
    <w:rPr>
      <w:rFonts w:eastAsia="Times New Roman" w:cs="Latha"/>
      <w:sz w:val="24"/>
      <w:szCs w:val="24"/>
    </w:rPr>
  </w:style>
  <w:style w:type="paragraph" w:customStyle="1" w:styleId="Hypothesis">
    <w:name w:val="Hypothesis"/>
    <w:rsid w:val="00A8399D"/>
    <w:pPr>
      <w:spacing w:after="200" w:line="276" w:lineRule="auto"/>
    </w:pPr>
    <w:rPr>
      <w:rFonts w:eastAsia="Times New Roman" w:cs="Latha"/>
      <w:sz w:val="24"/>
      <w:szCs w:val="24"/>
    </w:rPr>
  </w:style>
  <w:style w:type="paragraph" w:customStyle="1" w:styleId="ListLevel1">
    <w:name w:val="List Level 1"/>
    <w:rsid w:val="00A8399D"/>
    <w:pPr>
      <w:spacing w:after="200" w:line="276" w:lineRule="auto"/>
      <w:ind w:left="432"/>
    </w:pPr>
    <w:rPr>
      <w:rFonts w:eastAsia="Times New Roman" w:cs="Latha"/>
      <w:noProof/>
      <w:sz w:val="24"/>
      <w:szCs w:val="24"/>
    </w:rPr>
  </w:style>
  <w:style w:type="character" w:customStyle="1" w:styleId="label">
    <w:name w:val="label"/>
    <w:rsid w:val="00A8399D"/>
    <w:rPr>
      <w:bdr w:val="none" w:sz="0" w:space="0" w:color="auto"/>
      <w:shd w:val="clear" w:color="auto" w:fill="DBDBDB" w:themeFill="accent3" w:themeFillTint="66"/>
    </w:rPr>
  </w:style>
  <w:style w:type="paragraph" w:customStyle="1" w:styleId="AlgorithmTitle">
    <w:name w:val="AlgorithmTitle"/>
    <w:basedOn w:val="Normal"/>
    <w:qFormat/>
    <w:rsid w:val="00A8399D"/>
    <w:pPr>
      <w:spacing w:after="200" w:line="276" w:lineRule="auto"/>
    </w:pPr>
    <w:rPr>
      <w:noProof/>
      <w:lang w:val="en-US"/>
    </w:rPr>
  </w:style>
  <w:style w:type="character" w:customStyle="1" w:styleId="othCite">
    <w:name w:val="othCite"/>
    <w:uiPriority w:val="1"/>
    <w:qFormat/>
    <w:rsid w:val="00A8399D"/>
    <w:rPr>
      <w:noProof/>
      <w:color w:val="FFC000"/>
    </w:rPr>
  </w:style>
  <w:style w:type="paragraph" w:customStyle="1" w:styleId="FundingStatement">
    <w:name w:val="FundingStatement"/>
    <w:basedOn w:val="Normal"/>
    <w:rsid w:val="00A8399D"/>
    <w:pPr>
      <w:spacing w:after="200" w:line="276" w:lineRule="auto"/>
    </w:pPr>
    <w:rPr>
      <w:lang w:val="en-US"/>
    </w:rPr>
  </w:style>
  <w:style w:type="character" w:styleId="Hyperlink">
    <w:name w:val="Hyperlink"/>
    <w:basedOn w:val="DefaultParagraphFont"/>
    <w:uiPriority w:val="99"/>
    <w:unhideWhenUsed/>
    <w:rsid w:val="00A8399D"/>
    <w:rPr>
      <w:color w:val="0563C1" w:themeColor="hyperlink"/>
      <w:u w:val="single"/>
    </w:rPr>
  </w:style>
  <w:style w:type="paragraph" w:customStyle="1" w:styleId="AppendixTitle">
    <w:name w:val="AppendixTitle"/>
    <w:rsid w:val="00A8399D"/>
    <w:pPr>
      <w:spacing w:after="200" w:line="276" w:lineRule="auto"/>
    </w:pPr>
    <w:rPr>
      <w:rFonts w:eastAsia="Times New Roman" w:cs="Latha"/>
      <w:sz w:val="24"/>
      <w:szCs w:val="24"/>
    </w:rPr>
  </w:style>
  <w:style w:type="paragraph" w:customStyle="1" w:styleId="AppendixText">
    <w:name w:val="AppendixText"/>
    <w:rsid w:val="00A8399D"/>
    <w:pPr>
      <w:spacing w:afterLines="120" w:after="0" w:line="360" w:lineRule="auto"/>
    </w:pPr>
    <w:rPr>
      <w:rFonts w:eastAsia="Times New Roman" w:cs="Latha"/>
      <w:bCs/>
      <w:sz w:val="24"/>
    </w:rPr>
  </w:style>
  <w:style w:type="paragraph" w:customStyle="1" w:styleId="RefJournal">
    <w:name w:val="RefJournal"/>
    <w:rsid w:val="00A8399D"/>
    <w:pPr>
      <w:spacing w:before="120" w:after="120" w:line="360" w:lineRule="auto"/>
    </w:pPr>
    <w:rPr>
      <w:rFonts w:eastAsia="Times New Roman" w:cs="Latha"/>
      <w:sz w:val="24"/>
      <w:szCs w:val="24"/>
    </w:rPr>
  </w:style>
  <w:style w:type="paragraph" w:customStyle="1" w:styleId="Bio">
    <w:name w:val="Bio"/>
    <w:rsid w:val="00A8399D"/>
    <w:pPr>
      <w:spacing w:after="200" w:line="276" w:lineRule="auto"/>
    </w:pPr>
    <w:rPr>
      <w:rFonts w:eastAsia="Times New Roman" w:cs="Latha"/>
      <w:sz w:val="24"/>
    </w:rPr>
  </w:style>
  <w:style w:type="paragraph" w:customStyle="1" w:styleId="BioImage">
    <w:name w:val="BioImage"/>
    <w:basedOn w:val="Normal"/>
    <w:qFormat/>
    <w:rsid w:val="00A8399D"/>
    <w:pPr>
      <w:spacing w:after="200" w:line="276" w:lineRule="auto"/>
    </w:pPr>
    <w:rPr>
      <w:lang w:val="en-US"/>
    </w:rPr>
  </w:style>
  <w:style w:type="paragraph" w:customStyle="1" w:styleId="Refbook">
    <w:name w:val="Refbook"/>
    <w:rsid w:val="00A8399D"/>
    <w:pPr>
      <w:spacing w:before="120" w:after="120" w:line="360" w:lineRule="auto"/>
    </w:pPr>
    <w:rPr>
      <w:rFonts w:eastAsia="Times New Roman" w:cs="Latha"/>
      <w:sz w:val="24"/>
      <w:szCs w:val="24"/>
    </w:rPr>
  </w:style>
  <w:style w:type="paragraph" w:customStyle="1" w:styleId="Refthesis">
    <w:name w:val="Refthesis"/>
    <w:rsid w:val="00A8399D"/>
    <w:pPr>
      <w:spacing w:before="120" w:after="120" w:line="360" w:lineRule="auto"/>
    </w:pPr>
    <w:rPr>
      <w:rFonts w:eastAsia="Times New Roman" w:cs="Latha"/>
      <w:sz w:val="24"/>
      <w:szCs w:val="24"/>
    </w:rPr>
  </w:style>
  <w:style w:type="paragraph" w:customStyle="1" w:styleId="Refconference">
    <w:name w:val="Refconference"/>
    <w:rsid w:val="00A8399D"/>
    <w:pPr>
      <w:spacing w:before="120" w:after="120" w:line="360" w:lineRule="auto"/>
    </w:pPr>
    <w:rPr>
      <w:rFonts w:eastAsia="Times New Roman" w:cs="Latha"/>
      <w:sz w:val="24"/>
      <w:szCs w:val="24"/>
    </w:rPr>
  </w:style>
  <w:style w:type="paragraph" w:customStyle="1" w:styleId="Refweb">
    <w:name w:val="Refweb"/>
    <w:rsid w:val="00A8399D"/>
    <w:pPr>
      <w:spacing w:before="120" w:after="120" w:line="360" w:lineRule="auto"/>
    </w:pPr>
    <w:rPr>
      <w:rFonts w:eastAsia="Times New Roman" w:cs="Latha"/>
      <w:sz w:val="24"/>
      <w:szCs w:val="24"/>
    </w:rPr>
  </w:style>
  <w:style w:type="paragraph" w:styleId="BalloonText">
    <w:name w:val="Balloon Text"/>
    <w:basedOn w:val="Normal"/>
    <w:link w:val="BalloonTextChar"/>
    <w:uiPriority w:val="99"/>
    <w:semiHidden/>
    <w:unhideWhenUsed/>
    <w:rsid w:val="00A83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99D"/>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A8399D"/>
    <w:rPr>
      <w:sz w:val="16"/>
      <w:szCs w:val="16"/>
    </w:rPr>
  </w:style>
  <w:style w:type="paragraph" w:styleId="CommentText">
    <w:name w:val="annotation text"/>
    <w:basedOn w:val="Normal"/>
    <w:link w:val="CommentTextChar"/>
    <w:uiPriority w:val="99"/>
    <w:unhideWhenUsed/>
    <w:rsid w:val="00A8399D"/>
    <w:pPr>
      <w:spacing w:line="240" w:lineRule="auto"/>
    </w:pPr>
    <w:rPr>
      <w:sz w:val="20"/>
      <w:szCs w:val="20"/>
    </w:rPr>
  </w:style>
  <w:style w:type="character" w:customStyle="1" w:styleId="CommentTextChar">
    <w:name w:val="Comment Text Char"/>
    <w:basedOn w:val="DefaultParagraphFont"/>
    <w:link w:val="CommentText"/>
    <w:uiPriority w:val="99"/>
    <w:rsid w:val="00A8399D"/>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A8399D"/>
    <w:rPr>
      <w:b/>
      <w:bCs/>
    </w:rPr>
  </w:style>
  <w:style w:type="character" w:customStyle="1" w:styleId="CommentSubjectChar">
    <w:name w:val="Comment Subject Char"/>
    <w:basedOn w:val="CommentTextChar"/>
    <w:link w:val="CommentSubject"/>
    <w:uiPriority w:val="99"/>
    <w:semiHidden/>
    <w:rsid w:val="00A8399D"/>
    <w:rPr>
      <w:rFonts w:ascii="Calibri" w:eastAsia="Calibri" w:hAnsi="Calibri" w:cs="Calibri"/>
      <w:b/>
      <w:bCs/>
      <w:sz w:val="20"/>
      <w:szCs w:val="20"/>
      <w:lang w:val="en-GB"/>
    </w:rPr>
  </w:style>
  <w:style w:type="paragraph" w:styleId="ListParagraph">
    <w:name w:val="List Paragraph"/>
    <w:basedOn w:val="Normal"/>
    <w:uiPriority w:val="34"/>
    <w:qFormat/>
    <w:rsid w:val="00A8399D"/>
    <w:pPr>
      <w:ind w:left="720"/>
      <w:contextualSpacing/>
    </w:pPr>
    <w:rPr>
      <w:lang w:val="en-US"/>
    </w:rPr>
  </w:style>
  <w:style w:type="paragraph" w:customStyle="1" w:styleId="EndNoteBibliographyTitle">
    <w:name w:val="EndNote Bibliography Title"/>
    <w:basedOn w:val="Normal"/>
    <w:link w:val="EndNoteBibliographyTitleChar"/>
    <w:rsid w:val="00A8399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8399D"/>
    <w:rPr>
      <w:rFonts w:ascii="Calibri" w:eastAsia="Calibri" w:hAnsi="Calibri" w:cs="Calibri"/>
      <w:noProof/>
    </w:rPr>
  </w:style>
  <w:style w:type="paragraph" w:customStyle="1" w:styleId="EndNoteBibliography">
    <w:name w:val="EndNote Bibliography"/>
    <w:basedOn w:val="Normal"/>
    <w:link w:val="EndNoteBibliographyChar"/>
    <w:rsid w:val="00A8399D"/>
    <w:pPr>
      <w:spacing w:line="240" w:lineRule="auto"/>
    </w:pPr>
    <w:rPr>
      <w:noProof/>
      <w:lang w:val="en-US"/>
    </w:rPr>
  </w:style>
  <w:style w:type="character" w:customStyle="1" w:styleId="EndNoteBibliographyChar">
    <w:name w:val="EndNote Bibliography Char"/>
    <w:basedOn w:val="DefaultParagraphFont"/>
    <w:link w:val="EndNoteBibliography"/>
    <w:rsid w:val="00A8399D"/>
    <w:rPr>
      <w:rFonts w:ascii="Calibri" w:eastAsia="Calibri" w:hAnsi="Calibri" w:cs="Calibri"/>
      <w:noProof/>
    </w:rPr>
  </w:style>
  <w:style w:type="paragraph" w:styleId="Header">
    <w:name w:val="header"/>
    <w:basedOn w:val="Normal"/>
    <w:link w:val="HeaderChar"/>
    <w:uiPriority w:val="99"/>
    <w:unhideWhenUsed/>
    <w:rsid w:val="00A8399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8399D"/>
    <w:rPr>
      <w:rFonts w:ascii="Calibri" w:eastAsia="Calibri" w:hAnsi="Calibri" w:cs="Calibri"/>
    </w:rPr>
  </w:style>
  <w:style w:type="paragraph" w:styleId="Footer">
    <w:name w:val="footer"/>
    <w:basedOn w:val="Normal"/>
    <w:link w:val="FooterChar"/>
    <w:uiPriority w:val="99"/>
    <w:unhideWhenUsed/>
    <w:rsid w:val="00A8399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8399D"/>
    <w:rPr>
      <w:rFonts w:ascii="Calibri" w:eastAsia="Calibri" w:hAnsi="Calibri" w:cs="Calibri"/>
    </w:rPr>
  </w:style>
  <w:style w:type="character" w:styleId="PlaceholderText">
    <w:name w:val="Placeholder Text"/>
    <w:basedOn w:val="DefaultParagraphFont"/>
    <w:uiPriority w:val="99"/>
    <w:semiHidden/>
    <w:rsid w:val="00A8399D"/>
    <w:rPr>
      <w:color w:val="808080"/>
    </w:rPr>
  </w:style>
  <w:style w:type="table" w:styleId="TableGrid">
    <w:name w:val="Table Grid"/>
    <w:basedOn w:val="TableNormal"/>
    <w:uiPriority w:val="39"/>
    <w:rsid w:val="00A8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Revision">
    <w:name w:val="Revision"/>
    <w:hidden/>
    <w:uiPriority w:val="99"/>
    <w:semiHidden/>
    <w:rsid w:val="002A66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lin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MhpzkK+fr/QKj844y6NWo/EZxg==">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10000</Words>
  <Characters>57006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TerMaath, Stephanie Carmella</dc:creator>
  <cp:lastModifiedBy>Adam Sobey</cp:lastModifiedBy>
  <cp:revision>2</cp:revision>
  <dcterms:created xsi:type="dcterms:W3CDTF">2023-10-09T07:24:00Z</dcterms:created>
  <dcterms:modified xsi:type="dcterms:W3CDTF">2023-10-09T07:24:00Z</dcterms:modified>
</cp:coreProperties>
</file>