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3F6C" w14:textId="456782F9" w:rsidR="000C579D" w:rsidRPr="003258F9" w:rsidRDefault="004B4428" w:rsidP="003258F9">
      <w:pPr>
        <w:pStyle w:val="Title"/>
        <w:rPr>
          <w:rFonts w:asciiTheme="minorHAnsi" w:hAnsiTheme="minorHAnsi" w:cstheme="minorHAnsi"/>
        </w:rPr>
      </w:pPr>
      <w:bookmarkStart w:id="0" w:name="_Hlk121223544"/>
      <w:bookmarkStart w:id="1" w:name="_Hlk149561748"/>
      <w:r w:rsidRPr="003258F9">
        <w:rPr>
          <w:rFonts w:asciiTheme="minorHAnsi" w:hAnsiTheme="minorHAnsi" w:cstheme="minorHAnsi"/>
        </w:rPr>
        <w:t xml:space="preserve">Social Ties, Trust and </w:t>
      </w:r>
      <w:r w:rsidR="000B0C29" w:rsidRPr="003258F9">
        <w:rPr>
          <w:rFonts w:asciiTheme="minorHAnsi" w:hAnsiTheme="minorHAnsi" w:cstheme="minorHAnsi"/>
        </w:rPr>
        <w:t xml:space="preserve">the </w:t>
      </w:r>
      <w:r w:rsidRPr="003258F9">
        <w:rPr>
          <w:rFonts w:asciiTheme="minorHAnsi" w:hAnsiTheme="minorHAnsi" w:cstheme="minorHAnsi"/>
        </w:rPr>
        <w:t>Geography of Discontent</w:t>
      </w:r>
    </w:p>
    <w:bookmarkEnd w:id="0"/>
    <w:p w14:paraId="2254F87F" w14:textId="77777777" w:rsidR="003258F9" w:rsidRPr="003258F9" w:rsidRDefault="003258F9" w:rsidP="003258F9">
      <w:pPr>
        <w:pStyle w:val="ListParagraph"/>
        <w:spacing w:line="256" w:lineRule="auto"/>
        <w:rPr>
          <w:rFonts w:cstheme="minorHAnsi"/>
          <w:sz w:val="24"/>
          <w:szCs w:val="24"/>
        </w:rPr>
      </w:pPr>
    </w:p>
    <w:p w14:paraId="65EE9459" w14:textId="6D8BAC11" w:rsidR="003258F9" w:rsidRPr="003258F9" w:rsidRDefault="003258F9" w:rsidP="003258F9">
      <w:pPr>
        <w:pStyle w:val="ListParagraph"/>
        <w:numPr>
          <w:ilvl w:val="0"/>
          <w:numId w:val="15"/>
        </w:numPr>
        <w:spacing w:line="256" w:lineRule="auto"/>
        <w:rPr>
          <w:rFonts w:cstheme="minorHAnsi"/>
          <w:sz w:val="24"/>
          <w:szCs w:val="24"/>
        </w:rPr>
      </w:pPr>
      <w:r w:rsidRPr="003258F9">
        <w:rPr>
          <w:rFonts w:cstheme="minorHAnsi"/>
          <w:i/>
          <w:iCs/>
          <w:sz w:val="24"/>
          <w:szCs w:val="24"/>
        </w:rPr>
        <w:t>Running Title</w:t>
      </w:r>
      <w:r w:rsidRPr="003258F9">
        <w:rPr>
          <w:rFonts w:cstheme="minorHAnsi"/>
          <w:sz w:val="24"/>
          <w:szCs w:val="24"/>
        </w:rPr>
        <w:t>: Social Ties, Trust and the Geography of Discontent (50 characters)</w:t>
      </w:r>
    </w:p>
    <w:p w14:paraId="0CBE1717" w14:textId="77777777" w:rsidR="003258F9" w:rsidRPr="003258F9" w:rsidRDefault="003258F9" w:rsidP="003258F9">
      <w:pPr>
        <w:pStyle w:val="ListParagraph"/>
        <w:numPr>
          <w:ilvl w:val="0"/>
          <w:numId w:val="15"/>
        </w:numPr>
        <w:spacing w:line="256" w:lineRule="auto"/>
        <w:rPr>
          <w:rFonts w:cstheme="minorHAnsi"/>
          <w:sz w:val="24"/>
          <w:szCs w:val="24"/>
        </w:rPr>
      </w:pPr>
      <w:r w:rsidRPr="003258F9">
        <w:rPr>
          <w:rFonts w:cstheme="minorHAnsi"/>
          <w:i/>
          <w:iCs/>
          <w:sz w:val="24"/>
          <w:szCs w:val="24"/>
        </w:rPr>
        <w:t xml:space="preserve">Authors and affiliations: </w:t>
      </w:r>
    </w:p>
    <w:p w14:paraId="73889163" w14:textId="77777777" w:rsidR="003258F9" w:rsidRPr="003258F9" w:rsidRDefault="003258F9" w:rsidP="003258F9">
      <w:pPr>
        <w:rPr>
          <w:rFonts w:cstheme="minorHAnsi"/>
          <w:sz w:val="24"/>
          <w:szCs w:val="24"/>
        </w:rPr>
      </w:pPr>
      <w:r w:rsidRPr="003258F9">
        <w:rPr>
          <w:rFonts w:cstheme="minorHAnsi"/>
          <w:sz w:val="24"/>
          <w:szCs w:val="24"/>
        </w:rPr>
        <w:t>Lawrence McKay (corresponding author)</w:t>
      </w:r>
    </w:p>
    <w:p w14:paraId="593E8078" w14:textId="77777777" w:rsidR="003258F9" w:rsidRPr="003258F9" w:rsidRDefault="003258F9" w:rsidP="003258F9">
      <w:pPr>
        <w:rPr>
          <w:rFonts w:cstheme="minorHAnsi"/>
          <w:sz w:val="24"/>
          <w:szCs w:val="24"/>
        </w:rPr>
      </w:pPr>
      <w:r w:rsidRPr="003258F9">
        <w:rPr>
          <w:rFonts w:cstheme="minorHAnsi"/>
          <w:sz w:val="24"/>
          <w:szCs w:val="24"/>
        </w:rPr>
        <w:t>Affiliation: Department of Politics and International Relations, University of Southampton, Southampton, SO17 1BJ United Kingdom.</w:t>
      </w:r>
    </w:p>
    <w:p w14:paraId="4DD35F06" w14:textId="77777777" w:rsidR="003258F9" w:rsidRPr="003258F9" w:rsidRDefault="003258F9" w:rsidP="003258F9">
      <w:pPr>
        <w:rPr>
          <w:rFonts w:cstheme="minorHAnsi"/>
          <w:sz w:val="24"/>
          <w:szCs w:val="24"/>
        </w:rPr>
      </w:pPr>
      <w:r w:rsidRPr="003258F9">
        <w:rPr>
          <w:rFonts w:cstheme="minorHAnsi"/>
          <w:sz w:val="24"/>
          <w:szCs w:val="24"/>
        </w:rPr>
        <w:t xml:space="preserve">Email: </w:t>
      </w:r>
      <w:bookmarkStart w:id="2" w:name="_Hlk149561855"/>
      <w:r>
        <w:fldChar w:fldCharType="begin"/>
      </w:r>
      <w:r>
        <w:instrText>HYPERLINK "mailto:L.A.McKay@soton.ac.uk"</w:instrText>
      </w:r>
      <w:r>
        <w:fldChar w:fldCharType="separate"/>
      </w:r>
      <w:r w:rsidRPr="003258F9">
        <w:rPr>
          <w:rStyle w:val="Hyperlink"/>
          <w:rFonts w:cstheme="minorHAnsi"/>
          <w:color w:val="auto"/>
          <w:sz w:val="24"/>
          <w:szCs w:val="24"/>
        </w:rPr>
        <w:t>L.A.McKay@soton.ac.uk</w:t>
      </w:r>
      <w:r>
        <w:rPr>
          <w:rStyle w:val="Hyperlink"/>
          <w:rFonts w:cstheme="minorHAnsi"/>
          <w:color w:val="auto"/>
          <w:sz w:val="24"/>
          <w:szCs w:val="24"/>
        </w:rPr>
        <w:fldChar w:fldCharType="end"/>
      </w:r>
      <w:r w:rsidRPr="003258F9">
        <w:rPr>
          <w:rFonts w:cstheme="minorHAnsi"/>
          <w:sz w:val="24"/>
          <w:szCs w:val="24"/>
        </w:rPr>
        <w:t xml:space="preserve"> </w:t>
      </w:r>
      <w:bookmarkEnd w:id="2"/>
    </w:p>
    <w:p w14:paraId="40F14471" w14:textId="77777777" w:rsidR="003258F9" w:rsidRPr="003258F9" w:rsidRDefault="003258F9" w:rsidP="003258F9">
      <w:pPr>
        <w:rPr>
          <w:rFonts w:cstheme="minorHAnsi"/>
          <w:sz w:val="24"/>
          <w:szCs w:val="24"/>
        </w:rPr>
      </w:pPr>
    </w:p>
    <w:p w14:paraId="02DB8609" w14:textId="77777777" w:rsidR="003258F9" w:rsidRPr="003258F9" w:rsidRDefault="003258F9" w:rsidP="003258F9">
      <w:pPr>
        <w:rPr>
          <w:rFonts w:cstheme="minorHAnsi"/>
          <w:sz w:val="24"/>
          <w:szCs w:val="24"/>
        </w:rPr>
      </w:pPr>
      <w:r w:rsidRPr="003258F9">
        <w:rPr>
          <w:rFonts w:cstheme="minorHAnsi"/>
          <w:sz w:val="24"/>
          <w:szCs w:val="24"/>
        </w:rPr>
        <w:t xml:space="preserve">Will Jennings </w:t>
      </w:r>
    </w:p>
    <w:p w14:paraId="3AB1B8B9" w14:textId="77777777" w:rsidR="003258F9" w:rsidRPr="003258F9" w:rsidRDefault="003258F9" w:rsidP="003258F9">
      <w:pPr>
        <w:rPr>
          <w:rFonts w:cstheme="minorHAnsi"/>
          <w:sz w:val="24"/>
          <w:szCs w:val="24"/>
        </w:rPr>
      </w:pPr>
      <w:r w:rsidRPr="003258F9">
        <w:rPr>
          <w:rFonts w:cstheme="minorHAnsi"/>
          <w:sz w:val="24"/>
          <w:szCs w:val="24"/>
        </w:rPr>
        <w:t>Affiliation: Department of Politics and International Relations, University of Southampton, Southampton, SO17 1BJ United Kingdom.</w:t>
      </w:r>
    </w:p>
    <w:p w14:paraId="4F08668D" w14:textId="77777777" w:rsidR="003258F9" w:rsidRPr="003258F9" w:rsidRDefault="003258F9" w:rsidP="003258F9">
      <w:pPr>
        <w:rPr>
          <w:rFonts w:cstheme="minorHAnsi"/>
          <w:sz w:val="24"/>
          <w:szCs w:val="24"/>
        </w:rPr>
      </w:pPr>
      <w:r w:rsidRPr="003258F9">
        <w:rPr>
          <w:rFonts w:cstheme="minorHAnsi"/>
          <w:sz w:val="24"/>
          <w:szCs w:val="24"/>
        </w:rPr>
        <w:t xml:space="preserve">Email: </w:t>
      </w:r>
      <w:bookmarkStart w:id="3" w:name="_Hlk149561829"/>
      <w:r>
        <w:fldChar w:fldCharType="begin"/>
      </w:r>
      <w:r>
        <w:instrText>HYPERLINK "mailto:W.J.Jennings@soton.ac.uk"</w:instrText>
      </w:r>
      <w:r>
        <w:fldChar w:fldCharType="separate"/>
      </w:r>
      <w:r w:rsidRPr="003258F9">
        <w:rPr>
          <w:rStyle w:val="Hyperlink"/>
          <w:rFonts w:cstheme="minorHAnsi"/>
          <w:color w:val="auto"/>
          <w:sz w:val="24"/>
          <w:szCs w:val="24"/>
        </w:rPr>
        <w:t>W.J.Jennings@soton.ac.uk</w:t>
      </w:r>
      <w:r>
        <w:rPr>
          <w:rStyle w:val="Hyperlink"/>
          <w:rFonts w:cstheme="minorHAnsi"/>
          <w:color w:val="auto"/>
          <w:sz w:val="24"/>
          <w:szCs w:val="24"/>
        </w:rPr>
        <w:fldChar w:fldCharType="end"/>
      </w:r>
      <w:bookmarkEnd w:id="3"/>
    </w:p>
    <w:p w14:paraId="10531BCC" w14:textId="77777777" w:rsidR="003258F9" w:rsidRPr="003258F9" w:rsidRDefault="003258F9" w:rsidP="003258F9">
      <w:pPr>
        <w:rPr>
          <w:rFonts w:cstheme="minorHAnsi"/>
          <w:sz w:val="24"/>
          <w:szCs w:val="24"/>
        </w:rPr>
      </w:pPr>
    </w:p>
    <w:p w14:paraId="5F5E1C27" w14:textId="77777777" w:rsidR="003258F9" w:rsidRPr="003258F9" w:rsidRDefault="003258F9" w:rsidP="003258F9">
      <w:pPr>
        <w:rPr>
          <w:rFonts w:cstheme="minorHAnsi"/>
          <w:sz w:val="24"/>
          <w:szCs w:val="24"/>
        </w:rPr>
      </w:pPr>
      <w:r w:rsidRPr="003258F9">
        <w:rPr>
          <w:rFonts w:cstheme="minorHAnsi"/>
          <w:sz w:val="24"/>
          <w:szCs w:val="24"/>
        </w:rPr>
        <w:t>Gerry Stoker</w:t>
      </w:r>
    </w:p>
    <w:p w14:paraId="386AE31A" w14:textId="77777777" w:rsidR="003258F9" w:rsidRPr="003258F9" w:rsidRDefault="003258F9" w:rsidP="003258F9">
      <w:pPr>
        <w:rPr>
          <w:rFonts w:cstheme="minorHAnsi"/>
          <w:sz w:val="24"/>
          <w:szCs w:val="24"/>
        </w:rPr>
      </w:pPr>
      <w:r w:rsidRPr="003258F9">
        <w:rPr>
          <w:rFonts w:cstheme="minorHAnsi"/>
          <w:sz w:val="24"/>
          <w:szCs w:val="24"/>
        </w:rPr>
        <w:t>Affiliation: Department of Politics and International Relations, University of Southampton, Southampton, SO17 1BJ United Kingdom.</w:t>
      </w:r>
    </w:p>
    <w:p w14:paraId="77973B9A" w14:textId="77777777" w:rsidR="003258F9" w:rsidRPr="003258F9" w:rsidRDefault="003258F9" w:rsidP="003258F9">
      <w:pPr>
        <w:rPr>
          <w:rFonts w:cstheme="minorHAnsi"/>
          <w:sz w:val="24"/>
          <w:szCs w:val="24"/>
        </w:rPr>
      </w:pPr>
      <w:r w:rsidRPr="003258F9">
        <w:rPr>
          <w:rFonts w:cstheme="minorHAnsi"/>
          <w:sz w:val="24"/>
          <w:szCs w:val="24"/>
        </w:rPr>
        <w:t xml:space="preserve">Email: </w:t>
      </w:r>
      <w:hyperlink r:id="rId8" w:history="1">
        <w:r w:rsidRPr="003258F9">
          <w:rPr>
            <w:rStyle w:val="Hyperlink"/>
            <w:rFonts w:cstheme="minorHAnsi"/>
            <w:color w:val="auto"/>
            <w:sz w:val="24"/>
            <w:szCs w:val="24"/>
          </w:rPr>
          <w:t>G.Stoker@soton.ac.uk</w:t>
        </w:r>
      </w:hyperlink>
    </w:p>
    <w:bookmarkEnd w:id="1"/>
    <w:p w14:paraId="1EDCB747" w14:textId="77777777" w:rsidR="003258F9" w:rsidRPr="003258F9" w:rsidRDefault="003258F9" w:rsidP="00266E93">
      <w:pPr>
        <w:pStyle w:val="Heading1"/>
        <w:rPr>
          <w:rFonts w:cstheme="minorHAnsi"/>
        </w:rPr>
      </w:pPr>
    </w:p>
    <w:p w14:paraId="584AACB7" w14:textId="7278C9A5" w:rsidR="004B4428" w:rsidRPr="003258F9" w:rsidRDefault="004B4428" w:rsidP="00266E93">
      <w:pPr>
        <w:pStyle w:val="Heading1"/>
        <w:rPr>
          <w:rFonts w:cstheme="minorHAnsi"/>
        </w:rPr>
      </w:pPr>
      <w:r w:rsidRPr="003258F9">
        <w:rPr>
          <w:rFonts w:cstheme="minorHAnsi"/>
        </w:rPr>
        <w:t xml:space="preserve">Abstract </w:t>
      </w:r>
    </w:p>
    <w:p w14:paraId="5B4B1684" w14:textId="5DA1424A" w:rsidR="006005B0" w:rsidRPr="003258F9" w:rsidRDefault="00D046F7" w:rsidP="006005B0">
      <w:pPr>
        <w:spacing w:line="480" w:lineRule="auto"/>
        <w:rPr>
          <w:rFonts w:cstheme="minorHAnsi"/>
          <w:sz w:val="24"/>
          <w:szCs w:val="24"/>
        </w:rPr>
      </w:pPr>
      <w:r w:rsidRPr="003258F9">
        <w:rPr>
          <w:rFonts w:cstheme="minorHAnsi"/>
          <w:sz w:val="24"/>
          <w:szCs w:val="24"/>
        </w:rPr>
        <w:t xml:space="preserve">Alongside economic factors, regional variation in </w:t>
      </w:r>
      <w:r w:rsidR="00C62753" w:rsidRPr="003258F9">
        <w:rPr>
          <w:rFonts w:cstheme="minorHAnsi"/>
          <w:sz w:val="24"/>
          <w:szCs w:val="24"/>
        </w:rPr>
        <w:t>trust reflects the structure of social ties available to different regions.</w:t>
      </w:r>
      <w:r w:rsidRPr="003258F9">
        <w:rPr>
          <w:rFonts w:cstheme="minorHAnsi"/>
          <w:sz w:val="24"/>
          <w:szCs w:val="24"/>
        </w:rPr>
        <w:t xml:space="preserve"> </w:t>
      </w:r>
      <w:r w:rsidR="00B5594E" w:rsidRPr="003258F9">
        <w:rPr>
          <w:rFonts w:cstheme="minorHAnsi"/>
          <w:sz w:val="24"/>
          <w:szCs w:val="24"/>
        </w:rPr>
        <w:t xml:space="preserve">We </w:t>
      </w:r>
      <w:r w:rsidR="00E22FB1" w:rsidRPr="003258F9">
        <w:rPr>
          <w:rFonts w:cstheme="minorHAnsi"/>
          <w:sz w:val="24"/>
          <w:szCs w:val="24"/>
        </w:rPr>
        <w:t xml:space="preserve">support this claim </w:t>
      </w:r>
      <w:r w:rsidR="004B4428" w:rsidRPr="003258F9">
        <w:rPr>
          <w:rFonts w:cstheme="minorHAnsi"/>
          <w:sz w:val="24"/>
          <w:szCs w:val="24"/>
        </w:rPr>
        <w:t xml:space="preserve">by </w:t>
      </w:r>
      <w:r w:rsidR="002875BA" w:rsidRPr="003258F9">
        <w:rPr>
          <w:rFonts w:cstheme="minorHAnsi"/>
          <w:sz w:val="24"/>
          <w:szCs w:val="24"/>
        </w:rPr>
        <w:t>linking</w:t>
      </w:r>
      <w:r w:rsidR="00183DF4" w:rsidRPr="003258F9">
        <w:rPr>
          <w:rFonts w:cstheme="minorHAnsi"/>
          <w:sz w:val="24"/>
          <w:szCs w:val="24"/>
        </w:rPr>
        <w:t xml:space="preserve"> </w:t>
      </w:r>
      <w:r w:rsidR="002875BA" w:rsidRPr="003258F9">
        <w:rPr>
          <w:rFonts w:cstheme="minorHAnsi"/>
          <w:sz w:val="24"/>
          <w:szCs w:val="24"/>
        </w:rPr>
        <w:t xml:space="preserve">cross-national </w:t>
      </w:r>
      <w:r w:rsidR="00183DF4" w:rsidRPr="003258F9">
        <w:rPr>
          <w:rFonts w:cstheme="minorHAnsi"/>
          <w:sz w:val="24"/>
          <w:szCs w:val="24"/>
        </w:rPr>
        <w:t>survey data</w:t>
      </w:r>
      <w:r w:rsidR="002875BA" w:rsidRPr="003258F9">
        <w:rPr>
          <w:rFonts w:cstheme="minorHAnsi"/>
          <w:sz w:val="24"/>
          <w:szCs w:val="24"/>
        </w:rPr>
        <w:t xml:space="preserve"> from 22 countries in the European Social Survey</w:t>
      </w:r>
      <w:r w:rsidR="00B06CCD" w:rsidRPr="003258F9">
        <w:rPr>
          <w:rFonts w:cstheme="minorHAnsi"/>
          <w:sz w:val="24"/>
          <w:szCs w:val="24"/>
        </w:rPr>
        <w:t xml:space="preserve"> </w:t>
      </w:r>
      <w:r w:rsidR="00183DF4" w:rsidRPr="003258F9">
        <w:rPr>
          <w:rFonts w:cstheme="minorHAnsi"/>
          <w:sz w:val="24"/>
          <w:szCs w:val="24"/>
        </w:rPr>
        <w:t>with data on Facebook friendships</w:t>
      </w:r>
      <w:r w:rsidR="001F748B" w:rsidRPr="003258F9">
        <w:rPr>
          <w:rFonts w:cstheme="minorHAnsi"/>
          <w:sz w:val="24"/>
          <w:szCs w:val="24"/>
        </w:rPr>
        <w:t xml:space="preserve">. </w:t>
      </w:r>
      <w:bookmarkStart w:id="4" w:name="_Hlk121139025"/>
      <w:r w:rsidR="001F748B" w:rsidRPr="003258F9">
        <w:rPr>
          <w:rFonts w:cstheme="minorHAnsi"/>
          <w:sz w:val="24"/>
          <w:szCs w:val="24"/>
        </w:rPr>
        <w:t>R</w:t>
      </w:r>
      <w:r w:rsidR="006005B0" w:rsidRPr="003258F9">
        <w:rPr>
          <w:rFonts w:cstheme="minorHAnsi"/>
          <w:sz w:val="24"/>
          <w:szCs w:val="24"/>
        </w:rPr>
        <w:t>egions with more local</w:t>
      </w:r>
      <w:r w:rsidR="002875BA" w:rsidRPr="003258F9">
        <w:rPr>
          <w:rFonts w:cstheme="minorHAnsi"/>
          <w:sz w:val="24"/>
          <w:szCs w:val="24"/>
        </w:rPr>
        <w:t xml:space="preserve"> (within-region)</w:t>
      </w:r>
      <w:r w:rsidR="006005B0" w:rsidRPr="003258F9">
        <w:rPr>
          <w:rFonts w:cstheme="minorHAnsi"/>
          <w:sz w:val="24"/>
          <w:szCs w:val="24"/>
        </w:rPr>
        <w:t xml:space="preserve"> connections</w:t>
      </w:r>
      <w:r w:rsidR="000B0C29" w:rsidRPr="003258F9">
        <w:rPr>
          <w:rFonts w:cstheme="minorHAnsi"/>
          <w:sz w:val="24"/>
          <w:szCs w:val="24"/>
        </w:rPr>
        <w:t xml:space="preserve"> </w:t>
      </w:r>
      <w:r w:rsidR="002875BA" w:rsidRPr="003258F9">
        <w:rPr>
          <w:rFonts w:cstheme="minorHAnsi"/>
          <w:sz w:val="24"/>
          <w:szCs w:val="24"/>
        </w:rPr>
        <w:t>exhibit</w:t>
      </w:r>
      <w:r w:rsidR="006005B0" w:rsidRPr="003258F9">
        <w:rPr>
          <w:rFonts w:cstheme="minorHAnsi"/>
          <w:sz w:val="24"/>
          <w:szCs w:val="24"/>
        </w:rPr>
        <w:t xml:space="preserve"> lower political trust, but higher</w:t>
      </w:r>
      <w:r w:rsidR="002875BA" w:rsidRPr="003258F9">
        <w:rPr>
          <w:rFonts w:cstheme="minorHAnsi"/>
          <w:sz w:val="24"/>
          <w:szCs w:val="24"/>
        </w:rPr>
        <w:t xml:space="preserve"> levels of</w:t>
      </w:r>
      <w:r w:rsidR="006005B0" w:rsidRPr="003258F9">
        <w:rPr>
          <w:rFonts w:cstheme="minorHAnsi"/>
          <w:sz w:val="24"/>
          <w:szCs w:val="24"/>
        </w:rPr>
        <w:t xml:space="preserve"> </w:t>
      </w:r>
      <w:r w:rsidR="009809D1" w:rsidRPr="003258F9">
        <w:rPr>
          <w:rFonts w:cstheme="minorHAnsi"/>
          <w:sz w:val="24"/>
          <w:szCs w:val="24"/>
        </w:rPr>
        <w:t xml:space="preserve">(particular) </w:t>
      </w:r>
      <w:r w:rsidR="00E22FB1" w:rsidRPr="003258F9">
        <w:rPr>
          <w:rFonts w:cstheme="minorHAnsi"/>
          <w:sz w:val="24"/>
          <w:szCs w:val="24"/>
        </w:rPr>
        <w:t xml:space="preserve">social </w:t>
      </w:r>
      <w:r w:rsidR="006005B0" w:rsidRPr="003258F9">
        <w:rPr>
          <w:rFonts w:cstheme="minorHAnsi"/>
          <w:sz w:val="24"/>
          <w:szCs w:val="24"/>
        </w:rPr>
        <w:t xml:space="preserve">trust. </w:t>
      </w:r>
      <w:r w:rsidR="001F748B" w:rsidRPr="003258F9">
        <w:rPr>
          <w:rFonts w:cstheme="minorHAnsi"/>
          <w:sz w:val="24"/>
          <w:szCs w:val="24"/>
        </w:rPr>
        <w:t>T</w:t>
      </w:r>
      <w:r w:rsidR="00E22FB1" w:rsidRPr="003258F9">
        <w:rPr>
          <w:rFonts w:cstheme="minorHAnsi"/>
          <w:sz w:val="24"/>
          <w:szCs w:val="24"/>
        </w:rPr>
        <w:t>hose regions with more social ties to national capitals and urban centres exhibit higher levels of political trust</w:t>
      </w:r>
      <w:r w:rsidR="001F748B" w:rsidRPr="003258F9">
        <w:rPr>
          <w:rFonts w:cstheme="minorHAnsi"/>
          <w:sz w:val="24"/>
          <w:szCs w:val="24"/>
        </w:rPr>
        <w:t xml:space="preserve"> but lower </w:t>
      </w:r>
      <w:r w:rsidR="009809D1" w:rsidRPr="003258F9">
        <w:rPr>
          <w:rFonts w:cstheme="minorHAnsi"/>
          <w:sz w:val="24"/>
          <w:szCs w:val="24"/>
        </w:rPr>
        <w:t xml:space="preserve">(particular) </w:t>
      </w:r>
      <w:r w:rsidR="001F748B" w:rsidRPr="003258F9">
        <w:rPr>
          <w:rFonts w:cstheme="minorHAnsi"/>
          <w:sz w:val="24"/>
          <w:szCs w:val="24"/>
        </w:rPr>
        <w:t>social trust</w:t>
      </w:r>
      <w:r w:rsidR="00E22FB1" w:rsidRPr="003258F9">
        <w:rPr>
          <w:rFonts w:cstheme="minorHAnsi"/>
          <w:sz w:val="24"/>
          <w:szCs w:val="24"/>
        </w:rPr>
        <w:t xml:space="preserve">. </w:t>
      </w:r>
      <w:bookmarkEnd w:id="4"/>
      <w:r w:rsidR="00130580" w:rsidRPr="003258F9">
        <w:rPr>
          <w:rFonts w:cstheme="minorHAnsi"/>
          <w:sz w:val="24"/>
          <w:szCs w:val="24"/>
        </w:rPr>
        <w:t>S</w:t>
      </w:r>
      <w:r w:rsidR="006005B0" w:rsidRPr="003258F9">
        <w:rPr>
          <w:rFonts w:cstheme="minorHAnsi"/>
          <w:sz w:val="24"/>
          <w:szCs w:val="24"/>
        </w:rPr>
        <w:t>ocial ties</w:t>
      </w:r>
      <w:r w:rsidR="001F748B" w:rsidRPr="003258F9">
        <w:rPr>
          <w:rFonts w:cstheme="minorHAnsi"/>
          <w:sz w:val="24"/>
          <w:szCs w:val="24"/>
        </w:rPr>
        <w:t xml:space="preserve"> to power centres support the creation of political trust and their absence limits it. </w:t>
      </w:r>
    </w:p>
    <w:p w14:paraId="7B06007D" w14:textId="46B9BE1E" w:rsidR="00530903" w:rsidRPr="003258F9" w:rsidRDefault="00530903">
      <w:pPr>
        <w:rPr>
          <w:rFonts w:cstheme="minorHAnsi"/>
          <w:sz w:val="24"/>
          <w:szCs w:val="24"/>
        </w:rPr>
      </w:pPr>
    </w:p>
    <w:p w14:paraId="5EBF6CF9" w14:textId="70C471C2" w:rsidR="00530903" w:rsidRPr="003258F9" w:rsidRDefault="00530903">
      <w:pPr>
        <w:rPr>
          <w:rFonts w:cstheme="minorHAnsi"/>
          <w:sz w:val="24"/>
          <w:szCs w:val="24"/>
        </w:rPr>
      </w:pPr>
    </w:p>
    <w:p w14:paraId="4CCDE4B2" w14:textId="77777777" w:rsidR="003258F9" w:rsidRPr="003258F9" w:rsidRDefault="00530903">
      <w:pPr>
        <w:rPr>
          <w:rFonts w:cstheme="minorHAnsi"/>
          <w:sz w:val="24"/>
          <w:szCs w:val="24"/>
        </w:rPr>
      </w:pPr>
      <w:r w:rsidRPr="003258F9">
        <w:rPr>
          <w:rFonts w:cstheme="minorHAnsi"/>
          <w:b/>
          <w:bCs/>
          <w:sz w:val="24"/>
          <w:szCs w:val="24"/>
        </w:rPr>
        <w:t xml:space="preserve">Keywords: </w:t>
      </w:r>
      <w:r w:rsidRPr="003258F9">
        <w:rPr>
          <w:rFonts w:cstheme="minorHAnsi"/>
          <w:sz w:val="24"/>
          <w:szCs w:val="24"/>
        </w:rPr>
        <w:t xml:space="preserve">geography of discontent, trust, </w:t>
      </w:r>
      <w:r w:rsidR="00EC50E3" w:rsidRPr="003258F9">
        <w:rPr>
          <w:rFonts w:cstheme="minorHAnsi"/>
          <w:sz w:val="24"/>
          <w:szCs w:val="24"/>
        </w:rPr>
        <w:t xml:space="preserve">political trust, social trust, </w:t>
      </w:r>
      <w:r w:rsidRPr="003258F9">
        <w:rPr>
          <w:rFonts w:cstheme="minorHAnsi"/>
          <w:sz w:val="24"/>
          <w:szCs w:val="24"/>
        </w:rPr>
        <w:t xml:space="preserve">social ties, </w:t>
      </w:r>
      <w:r w:rsidR="00EC50E3" w:rsidRPr="003258F9">
        <w:rPr>
          <w:rFonts w:cstheme="minorHAnsi"/>
          <w:sz w:val="24"/>
          <w:szCs w:val="24"/>
        </w:rPr>
        <w:t>big data</w:t>
      </w:r>
      <w:r w:rsidRPr="003258F9">
        <w:rPr>
          <w:rFonts w:cstheme="minorHAnsi"/>
          <w:sz w:val="24"/>
          <w:szCs w:val="24"/>
        </w:rPr>
        <w:t xml:space="preserve">  </w:t>
      </w:r>
    </w:p>
    <w:p w14:paraId="07DD61CB" w14:textId="19EA8B8C" w:rsidR="00EB4350" w:rsidRPr="003258F9" w:rsidRDefault="003258F9">
      <w:pPr>
        <w:rPr>
          <w:rFonts w:cstheme="minorHAnsi"/>
          <w:sz w:val="24"/>
          <w:szCs w:val="24"/>
        </w:rPr>
      </w:pPr>
      <w:r w:rsidRPr="003258F9">
        <w:rPr>
          <w:rFonts w:cstheme="minorHAnsi"/>
          <w:b/>
          <w:bCs/>
          <w:sz w:val="24"/>
          <w:szCs w:val="24"/>
        </w:rPr>
        <w:t>JEL classifications</w:t>
      </w:r>
      <w:r w:rsidRPr="003258F9">
        <w:rPr>
          <w:rFonts w:cstheme="minorHAnsi"/>
          <w:sz w:val="24"/>
          <w:szCs w:val="24"/>
        </w:rPr>
        <w:t>: Z00</w:t>
      </w:r>
    </w:p>
    <w:p w14:paraId="2D5D4900" w14:textId="77777777" w:rsidR="003258F9" w:rsidRPr="003258F9" w:rsidRDefault="003258F9">
      <w:pPr>
        <w:rPr>
          <w:rFonts w:cstheme="minorHAnsi"/>
          <w:sz w:val="24"/>
          <w:szCs w:val="24"/>
        </w:rPr>
      </w:pPr>
    </w:p>
    <w:p w14:paraId="014E6B63" w14:textId="323F32C0" w:rsidR="009D4BAE" w:rsidRPr="003258F9" w:rsidRDefault="009D4BAE" w:rsidP="00803772">
      <w:pPr>
        <w:pStyle w:val="Heading1"/>
      </w:pPr>
      <w:r w:rsidRPr="006C576E">
        <w:t>Introduction</w:t>
      </w:r>
    </w:p>
    <w:p w14:paraId="3CFFE10F" w14:textId="38228B40" w:rsidR="00C62753" w:rsidRPr="003258F9" w:rsidRDefault="77A12534" w:rsidP="002875BA">
      <w:pPr>
        <w:spacing w:after="120" w:line="480" w:lineRule="auto"/>
        <w:rPr>
          <w:rFonts w:cstheme="minorHAnsi"/>
          <w:sz w:val="24"/>
          <w:szCs w:val="24"/>
        </w:rPr>
      </w:pPr>
      <w:r w:rsidRPr="003258F9">
        <w:rPr>
          <w:rFonts w:cstheme="minorHAnsi"/>
          <w:sz w:val="24"/>
          <w:szCs w:val="24"/>
        </w:rPr>
        <w:t>‘</w:t>
      </w:r>
      <w:r w:rsidR="006E06D6" w:rsidRPr="003258F9">
        <w:rPr>
          <w:rFonts w:cstheme="minorHAnsi"/>
          <w:sz w:val="24"/>
          <w:szCs w:val="24"/>
        </w:rPr>
        <w:t>L</w:t>
      </w:r>
      <w:r w:rsidRPr="003258F9">
        <w:rPr>
          <w:rFonts w:cstheme="minorHAnsi"/>
          <w:sz w:val="24"/>
          <w:szCs w:val="24"/>
        </w:rPr>
        <w:t xml:space="preserve">eft behind’ </w:t>
      </w:r>
      <w:r w:rsidR="009C5DD5" w:rsidRPr="003258F9">
        <w:rPr>
          <w:rFonts w:cstheme="minorHAnsi"/>
          <w:sz w:val="24"/>
          <w:szCs w:val="24"/>
        </w:rPr>
        <w:t>places</w:t>
      </w:r>
      <w:r w:rsidR="008A06E2" w:rsidRPr="003258F9">
        <w:rPr>
          <w:rFonts w:cstheme="minorHAnsi"/>
          <w:sz w:val="24"/>
          <w:szCs w:val="24"/>
        </w:rPr>
        <w:t xml:space="preserve">, </w:t>
      </w:r>
      <w:r w:rsidR="006E06D6" w:rsidRPr="003258F9">
        <w:rPr>
          <w:rFonts w:cstheme="minorHAnsi"/>
          <w:sz w:val="24"/>
          <w:szCs w:val="24"/>
        </w:rPr>
        <w:t xml:space="preserve">which encompass a diverse mix </w:t>
      </w:r>
      <w:r w:rsidR="009C5DD5" w:rsidRPr="003258F9">
        <w:rPr>
          <w:rFonts w:cstheme="minorHAnsi"/>
          <w:sz w:val="24"/>
          <w:szCs w:val="24"/>
        </w:rPr>
        <w:t xml:space="preserve">of less </w:t>
      </w:r>
      <w:r w:rsidR="006E06D6" w:rsidRPr="003258F9">
        <w:rPr>
          <w:rFonts w:cstheme="minorHAnsi"/>
          <w:sz w:val="24"/>
          <w:szCs w:val="24"/>
        </w:rPr>
        <w:t>dense, rural, peripheral, physically isolated, or economically lagging areas</w:t>
      </w:r>
      <w:r w:rsidR="00365DC3" w:rsidRPr="003258F9">
        <w:rPr>
          <w:rFonts w:cstheme="minorHAnsi"/>
          <w:sz w:val="24"/>
          <w:szCs w:val="24"/>
        </w:rPr>
        <w:t xml:space="preserve"> (Pike et al. 2023)</w:t>
      </w:r>
      <w:r w:rsidR="006E06D6" w:rsidRPr="003258F9">
        <w:rPr>
          <w:rFonts w:cstheme="minorHAnsi"/>
          <w:sz w:val="24"/>
          <w:szCs w:val="24"/>
        </w:rPr>
        <w:t xml:space="preserve">, </w:t>
      </w:r>
      <w:r w:rsidR="00333347" w:rsidRPr="003258F9">
        <w:rPr>
          <w:rFonts w:cstheme="minorHAnsi"/>
          <w:sz w:val="24"/>
          <w:szCs w:val="24"/>
        </w:rPr>
        <w:t>are the focus of the</w:t>
      </w:r>
      <w:r w:rsidR="008A06E2" w:rsidRPr="003258F9">
        <w:rPr>
          <w:rFonts w:cstheme="minorHAnsi"/>
          <w:sz w:val="24"/>
          <w:szCs w:val="24"/>
        </w:rPr>
        <w:t xml:space="preserve"> ‘geography of discontent’ </w:t>
      </w:r>
      <w:r w:rsidR="00333347" w:rsidRPr="003258F9">
        <w:rPr>
          <w:rFonts w:cstheme="minorHAnsi"/>
          <w:sz w:val="24"/>
          <w:szCs w:val="24"/>
        </w:rPr>
        <w:t xml:space="preserve">with contemporary politics and society </w:t>
      </w:r>
      <w:r w:rsidR="008A06E2" w:rsidRPr="003258F9">
        <w:rPr>
          <w:rFonts w:cstheme="minorHAnsi"/>
          <w:sz w:val="24"/>
          <w:szCs w:val="24"/>
        </w:rPr>
        <w:t>(Los et al. 2017</w:t>
      </w:r>
      <w:r w:rsidR="00365DC3" w:rsidRPr="003258F9">
        <w:rPr>
          <w:rFonts w:cstheme="minorHAnsi"/>
          <w:sz w:val="24"/>
          <w:szCs w:val="24"/>
        </w:rPr>
        <w:t>; MacKinnon et al. 2022</w:t>
      </w:r>
      <w:r w:rsidR="008A06E2" w:rsidRPr="003258F9">
        <w:rPr>
          <w:rFonts w:cstheme="minorHAnsi"/>
          <w:sz w:val="24"/>
          <w:szCs w:val="24"/>
        </w:rPr>
        <w:t>)</w:t>
      </w:r>
      <w:r w:rsidRPr="003258F9">
        <w:rPr>
          <w:rFonts w:cstheme="minorHAnsi"/>
          <w:sz w:val="24"/>
          <w:szCs w:val="24"/>
        </w:rPr>
        <w:t>.</w:t>
      </w:r>
      <w:r w:rsidR="009C5DD5" w:rsidRPr="003258F9">
        <w:rPr>
          <w:rStyle w:val="EndnoteReference"/>
          <w:rFonts w:cstheme="minorHAnsi"/>
          <w:sz w:val="24"/>
          <w:szCs w:val="24"/>
        </w:rPr>
        <w:endnoteReference w:id="2"/>
      </w:r>
      <w:r w:rsidRPr="003258F9">
        <w:rPr>
          <w:rFonts w:cstheme="minorHAnsi"/>
          <w:sz w:val="24"/>
          <w:szCs w:val="24"/>
        </w:rPr>
        <w:t xml:space="preserve"> </w:t>
      </w:r>
      <w:r w:rsidR="00C62753" w:rsidRPr="003258F9">
        <w:rPr>
          <w:rFonts w:cstheme="minorHAnsi"/>
          <w:sz w:val="24"/>
          <w:szCs w:val="24"/>
        </w:rPr>
        <w:t>Low trust in central political institutions and actors is a key component of this discontent</w:t>
      </w:r>
      <w:r w:rsidR="0035662A" w:rsidRPr="003258F9">
        <w:rPr>
          <w:rFonts w:cstheme="minorHAnsi"/>
          <w:sz w:val="24"/>
          <w:szCs w:val="24"/>
        </w:rPr>
        <w:t xml:space="preserve"> and has important implications for societies. Trust encourages good governance and effective public policy (</w:t>
      </w:r>
      <w:r w:rsidR="00B7502C" w:rsidRPr="003258F9">
        <w:rPr>
          <w:rFonts w:cstheme="minorHAnsi"/>
          <w:sz w:val="24"/>
          <w:szCs w:val="24"/>
        </w:rPr>
        <w:t>Braithwaite and Levi</w:t>
      </w:r>
      <w:r w:rsidR="0035662A" w:rsidRPr="003258F9">
        <w:rPr>
          <w:rFonts w:cstheme="minorHAnsi"/>
          <w:sz w:val="24"/>
          <w:szCs w:val="24"/>
        </w:rPr>
        <w:t xml:space="preserve"> </w:t>
      </w:r>
      <w:r w:rsidR="00B7502C" w:rsidRPr="003258F9">
        <w:rPr>
          <w:rFonts w:cstheme="minorHAnsi"/>
          <w:sz w:val="24"/>
          <w:szCs w:val="24"/>
        </w:rPr>
        <w:t>1998</w:t>
      </w:r>
      <w:r w:rsidR="0035662A" w:rsidRPr="003258F9">
        <w:rPr>
          <w:rFonts w:cstheme="minorHAnsi"/>
          <w:sz w:val="24"/>
          <w:szCs w:val="24"/>
        </w:rPr>
        <w:t>), enables a co-ordinated societal response to crises such as Covid-19 (</w:t>
      </w:r>
      <w:r w:rsidR="001560E8" w:rsidRPr="003258F9">
        <w:rPr>
          <w:rFonts w:cstheme="minorHAnsi"/>
          <w:sz w:val="24"/>
          <w:szCs w:val="24"/>
        </w:rPr>
        <w:t>Devine et al</w:t>
      </w:r>
      <w:r w:rsidR="00A02D47">
        <w:rPr>
          <w:rFonts w:cstheme="minorHAnsi"/>
          <w:sz w:val="24"/>
          <w:szCs w:val="24"/>
        </w:rPr>
        <w:t>.</w:t>
      </w:r>
      <w:r w:rsidR="001560E8" w:rsidRPr="003258F9">
        <w:rPr>
          <w:rFonts w:cstheme="minorHAnsi"/>
          <w:sz w:val="24"/>
          <w:szCs w:val="24"/>
        </w:rPr>
        <w:t xml:space="preserve"> 2023</w:t>
      </w:r>
      <w:r w:rsidR="0035662A" w:rsidRPr="003258F9">
        <w:rPr>
          <w:rFonts w:cstheme="minorHAnsi"/>
          <w:sz w:val="24"/>
          <w:szCs w:val="24"/>
        </w:rPr>
        <w:t xml:space="preserve">), and enables co-operation to confront long-term </w:t>
      </w:r>
      <w:r w:rsidR="00450644" w:rsidRPr="003258F9">
        <w:rPr>
          <w:rFonts w:cstheme="minorHAnsi"/>
          <w:sz w:val="24"/>
          <w:szCs w:val="24"/>
        </w:rPr>
        <w:t xml:space="preserve">policy </w:t>
      </w:r>
      <w:r w:rsidR="0035662A" w:rsidRPr="003258F9">
        <w:rPr>
          <w:rFonts w:cstheme="minorHAnsi"/>
          <w:sz w:val="24"/>
          <w:szCs w:val="24"/>
        </w:rPr>
        <w:t>challenges. Absence of trust can lead to populist voting (</w:t>
      </w:r>
      <w:proofErr w:type="spellStart"/>
      <w:r w:rsidR="0035662A" w:rsidRPr="003258F9">
        <w:rPr>
          <w:rFonts w:cstheme="minorHAnsi"/>
          <w:sz w:val="24"/>
          <w:szCs w:val="24"/>
        </w:rPr>
        <w:t>Roodui</w:t>
      </w:r>
      <w:r w:rsidR="001560E8" w:rsidRPr="003258F9">
        <w:rPr>
          <w:rFonts w:cstheme="minorHAnsi"/>
          <w:sz w:val="24"/>
          <w:szCs w:val="24"/>
        </w:rPr>
        <w:t>j</w:t>
      </w:r>
      <w:r w:rsidR="0035662A" w:rsidRPr="003258F9">
        <w:rPr>
          <w:rFonts w:cstheme="minorHAnsi"/>
          <w:sz w:val="24"/>
          <w:szCs w:val="24"/>
        </w:rPr>
        <w:t>n</w:t>
      </w:r>
      <w:proofErr w:type="spellEnd"/>
      <w:r w:rsidR="0035662A" w:rsidRPr="003258F9">
        <w:rPr>
          <w:rFonts w:cstheme="minorHAnsi"/>
          <w:sz w:val="24"/>
          <w:szCs w:val="24"/>
        </w:rPr>
        <w:t xml:space="preserve"> </w:t>
      </w:r>
      <w:r w:rsidR="005A5642" w:rsidRPr="003258F9">
        <w:rPr>
          <w:rFonts w:cstheme="minorHAnsi"/>
          <w:sz w:val="24"/>
          <w:szCs w:val="24"/>
        </w:rPr>
        <w:t>2018</w:t>
      </w:r>
      <w:r w:rsidR="001560E8" w:rsidRPr="003258F9">
        <w:rPr>
          <w:rFonts w:cstheme="minorHAnsi"/>
          <w:sz w:val="24"/>
          <w:szCs w:val="24"/>
        </w:rPr>
        <w:t xml:space="preserve">) or </w:t>
      </w:r>
      <w:r w:rsidR="00365DC3" w:rsidRPr="003258F9">
        <w:rPr>
          <w:rFonts w:cstheme="minorHAnsi"/>
          <w:sz w:val="24"/>
          <w:szCs w:val="24"/>
        </w:rPr>
        <w:t>disengagement</w:t>
      </w:r>
      <w:r w:rsidR="001560E8" w:rsidRPr="003258F9">
        <w:rPr>
          <w:rFonts w:cstheme="minorHAnsi"/>
          <w:sz w:val="24"/>
          <w:szCs w:val="24"/>
        </w:rPr>
        <w:t xml:space="preserve"> from the democratic process (</w:t>
      </w:r>
      <w:proofErr w:type="spellStart"/>
      <w:r w:rsidR="001560E8" w:rsidRPr="003258F9">
        <w:rPr>
          <w:rFonts w:cstheme="minorHAnsi"/>
          <w:sz w:val="24"/>
          <w:szCs w:val="24"/>
        </w:rPr>
        <w:t>B</w:t>
      </w:r>
      <w:r w:rsidR="005A5642" w:rsidRPr="003258F9">
        <w:rPr>
          <w:rFonts w:cstheme="minorHAnsi"/>
          <w:sz w:val="24"/>
          <w:szCs w:val="24"/>
        </w:rPr>
        <w:t>é</w:t>
      </w:r>
      <w:r w:rsidR="001560E8" w:rsidRPr="003258F9">
        <w:rPr>
          <w:rFonts w:cstheme="minorHAnsi"/>
          <w:sz w:val="24"/>
          <w:szCs w:val="24"/>
        </w:rPr>
        <w:t>langer</w:t>
      </w:r>
      <w:proofErr w:type="spellEnd"/>
      <w:r w:rsidR="001560E8" w:rsidRPr="003258F9">
        <w:rPr>
          <w:rFonts w:cstheme="minorHAnsi"/>
          <w:sz w:val="24"/>
          <w:szCs w:val="24"/>
        </w:rPr>
        <w:t xml:space="preserve"> and Nadeau 2005).</w:t>
      </w:r>
      <w:r w:rsidR="0035662A" w:rsidRPr="003258F9">
        <w:rPr>
          <w:rFonts w:cstheme="minorHAnsi"/>
          <w:sz w:val="24"/>
          <w:szCs w:val="24"/>
        </w:rPr>
        <w:t xml:space="preserve"> Alongside compositional factors (such as age and education), trust gaps between regions are one plausible explanation of geographic patterns in </w:t>
      </w:r>
      <w:r w:rsidR="00365DC3" w:rsidRPr="003258F9">
        <w:rPr>
          <w:rFonts w:cstheme="minorHAnsi"/>
          <w:sz w:val="24"/>
          <w:szCs w:val="24"/>
        </w:rPr>
        <w:t>electoral</w:t>
      </w:r>
      <w:r w:rsidR="0035662A" w:rsidRPr="003258F9">
        <w:rPr>
          <w:rFonts w:cstheme="minorHAnsi"/>
          <w:sz w:val="24"/>
          <w:szCs w:val="24"/>
        </w:rPr>
        <w:t xml:space="preserve"> successes for France’s National Rally, </w:t>
      </w:r>
      <w:r w:rsidR="005C2920" w:rsidRPr="003258F9">
        <w:rPr>
          <w:rFonts w:cstheme="minorHAnsi"/>
          <w:sz w:val="24"/>
          <w:szCs w:val="24"/>
        </w:rPr>
        <w:t>the Alternative for Germany</w:t>
      </w:r>
      <w:r w:rsidR="0035662A" w:rsidRPr="003258F9">
        <w:rPr>
          <w:rFonts w:cstheme="minorHAnsi"/>
          <w:sz w:val="24"/>
          <w:szCs w:val="24"/>
        </w:rPr>
        <w:t xml:space="preserve"> and the Freedom Party of Austria</w:t>
      </w:r>
      <w:r w:rsidR="00A02D47">
        <w:rPr>
          <w:rFonts w:cstheme="minorHAnsi"/>
          <w:sz w:val="24"/>
          <w:szCs w:val="24"/>
        </w:rPr>
        <w:t>,</w:t>
      </w:r>
      <w:r w:rsidR="0035662A" w:rsidRPr="003258F9">
        <w:rPr>
          <w:rFonts w:cstheme="minorHAnsi"/>
          <w:sz w:val="24"/>
          <w:szCs w:val="24"/>
        </w:rPr>
        <w:t xml:space="preserve"> among many other</w:t>
      </w:r>
      <w:r w:rsidR="00365DC3" w:rsidRPr="003258F9">
        <w:rPr>
          <w:rFonts w:cstheme="minorHAnsi"/>
          <w:sz w:val="24"/>
          <w:szCs w:val="24"/>
        </w:rPr>
        <w:t xml:space="preserve"> populist parties</w:t>
      </w:r>
      <w:r w:rsidR="0035662A" w:rsidRPr="003258F9">
        <w:rPr>
          <w:rFonts w:cstheme="minorHAnsi"/>
          <w:sz w:val="24"/>
          <w:szCs w:val="24"/>
        </w:rPr>
        <w:t xml:space="preserve">. </w:t>
      </w:r>
    </w:p>
    <w:p w14:paraId="418DE157" w14:textId="6F7318AA" w:rsidR="00C50650" w:rsidRPr="003258F9" w:rsidRDefault="00775401" w:rsidP="002875BA">
      <w:pPr>
        <w:spacing w:after="120" w:line="480" w:lineRule="auto"/>
        <w:rPr>
          <w:rFonts w:cstheme="minorHAnsi"/>
          <w:sz w:val="24"/>
          <w:szCs w:val="24"/>
        </w:rPr>
      </w:pPr>
      <w:r w:rsidRPr="003258F9">
        <w:rPr>
          <w:rFonts w:cstheme="minorHAnsi"/>
          <w:sz w:val="24"/>
          <w:szCs w:val="24"/>
        </w:rPr>
        <w:t xml:space="preserve">Two narratives have developed to explain this discontent, and its demographic and spatial patterns. </w:t>
      </w:r>
      <w:r w:rsidR="77A12534" w:rsidRPr="003258F9">
        <w:rPr>
          <w:rFonts w:cstheme="minorHAnsi"/>
          <w:sz w:val="24"/>
          <w:szCs w:val="24"/>
        </w:rPr>
        <w:t>One focuses on broadly on economic grievances intensified by global competition which has seen semi-skilled workers, concentrated especially in peripheral regions, lose their foothold in the economy (Iversen and Soskice 2019). For many, discontent is driven by economic loss through individuals’ relative losses of prosperity and job security (</w:t>
      </w:r>
      <w:proofErr w:type="gramStart"/>
      <w:r w:rsidR="77A12534" w:rsidRPr="003258F9">
        <w:rPr>
          <w:rFonts w:cstheme="minorHAnsi"/>
          <w:sz w:val="24"/>
          <w:szCs w:val="24"/>
        </w:rPr>
        <w:t>e.g.</w:t>
      </w:r>
      <w:proofErr w:type="gramEnd"/>
      <w:r w:rsidR="009727DB" w:rsidRPr="003258F9">
        <w:rPr>
          <w:rFonts w:cstheme="minorHAnsi"/>
          <w:sz w:val="24"/>
          <w:szCs w:val="24"/>
        </w:rPr>
        <w:t xml:space="preserve"> </w:t>
      </w:r>
      <w:proofErr w:type="spellStart"/>
      <w:r w:rsidR="77A12534" w:rsidRPr="003258F9">
        <w:rPr>
          <w:rFonts w:cstheme="minorHAnsi"/>
          <w:sz w:val="24"/>
          <w:szCs w:val="24"/>
        </w:rPr>
        <w:lastRenderedPageBreak/>
        <w:t>Colantone</w:t>
      </w:r>
      <w:proofErr w:type="spellEnd"/>
      <w:r w:rsidR="77A12534" w:rsidRPr="003258F9">
        <w:rPr>
          <w:rFonts w:cstheme="minorHAnsi"/>
          <w:sz w:val="24"/>
          <w:szCs w:val="24"/>
        </w:rPr>
        <w:t xml:space="preserve"> and </w:t>
      </w:r>
      <w:proofErr w:type="spellStart"/>
      <w:r w:rsidR="77A12534" w:rsidRPr="003258F9">
        <w:rPr>
          <w:rFonts w:cstheme="minorHAnsi"/>
          <w:sz w:val="24"/>
          <w:szCs w:val="24"/>
        </w:rPr>
        <w:t>Stanig</w:t>
      </w:r>
      <w:proofErr w:type="spellEnd"/>
      <w:r w:rsidR="77A12534" w:rsidRPr="003258F9">
        <w:rPr>
          <w:rFonts w:cstheme="minorHAnsi"/>
          <w:sz w:val="24"/>
          <w:szCs w:val="24"/>
        </w:rPr>
        <w:t xml:space="preserve"> 2018a; 2018b; Lee et al. 2018; Baccini and Weymouth 2021; Broz et al. 2021). </w:t>
      </w:r>
      <w:r w:rsidR="00EA6211" w:rsidRPr="003258F9">
        <w:rPr>
          <w:rFonts w:cstheme="minorHAnsi"/>
          <w:sz w:val="24"/>
          <w:szCs w:val="24"/>
        </w:rPr>
        <w:t>A version of this narrative, contrasted to a more egocentric appro</w:t>
      </w:r>
      <w:r w:rsidR="00450644" w:rsidRPr="003258F9">
        <w:rPr>
          <w:rFonts w:cstheme="minorHAnsi"/>
          <w:sz w:val="24"/>
          <w:szCs w:val="24"/>
        </w:rPr>
        <w:t>a</w:t>
      </w:r>
      <w:r w:rsidR="00EA6211" w:rsidRPr="003258F9">
        <w:rPr>
          <w:rFonts w:cstheme="minorHAnsi"/>
          <w:sz w:val="24"/>
          <w:szCs w:val="24"/>
        </w:rPr>
        <w:t>ch,</w:t>
      </w:r>
      <w:r w:rsidR="77A12534" w:rsidRPr="003258F9">
        <w:rPr>
          <w:rFonts w:cstheme="minorHAnsi"/>
          <w:sz w:val="24"/>
          <w:szCs w:val="24"/>
        </w:rPr>
        <w:t xml:space="preserve"> </w:t>
      </w:r>
      <w:r w:rsidR="00450644" w:rsidRPr="003258F9">
        <w:rPr>
          <w:rFonts w:cstheme="minorHAnsi"/>
          <w:sz w:val="24"/>
          <w:szCs w:val="24"/>
        </w:rPr>
        <w:t>focuses</w:t>
      </w:r>
      <w:r w:rsidR="77A12534" w:rsidRPr="003258F9">
        <w:rPr>
          <w:rFonts w:cstheme="minorHAnsi"/>
          <w:sz w:val="24"/>
          <w:szCs w:val="24"/>
        </w:rPr>
        <w:t xml:space="preserve"> on individuals’ perceptions that their local area has declined over time (</w:t>
      </w:r>
      <w:proofErr w:type="gramStart"/>
      <w:r w:rsidR="77A12534" w:rsidRPr="003258F9">
        <w:rPr>
          <w:rFonts w:cstheme="minorHAnsi"/>
          <w:sz w:val="24"/>
          <w:szCs w:val="24"/>
        </w:rPr>
        <w:t>e.g.</w:t>
      </w:r>
      <w:proofErr w:type="gramEnd"/>
      <w:r w:rsidR="77A12534" w:rsidRPr="003258F9">
        <w:rPr>
          <w:rFonts w:cstheme="minorHAnsi"/>
          <w:sz w:val="24"/>
          <w:szCs w:val="24"/>
        </w:rPr>
        <w:t xml:space="preserve"> Carreras et al. 2019; Carreras 2019; </w:t>
      </w:r>
      <w:proofErr w:type="spellStart"/>
      <w:r w:rsidR="77A12534" w:rsidRPr="003258F9">
        <w:rPr>
          <w:rFonts w:cstheme="minorHAnsi"/>
          <w:sz w:val="24"/>
          <w:szCs w:val="24"/>
        </w:rPr>
        <w:t>Bolet</w:t>
      </w:r>
      <w:proofErr w:type="spellEnd"/>
      <w:r w:rsidR="77A12534" w:rsidRPr="003258F9">
        <w:rPr>
          <w:rFonts w:cstheme="minorHAnsi"/>
          <w:sz w:val="24"/>
          <w:szCs w:val="24"/>
        </w:rPr>
        <w:t xml:space="preserve"> 2021) or </w:t>
      </w:r>
      <w:r w:rsidR="00A02D47">
        <w:rPr>
          <w:rFonts w:cstheme="minorHAnsi"/>
          <w:sz w:val="24"/>
          <w:szCs w:val="24"/>
        </w:rPr>
        <w:t xml:space="preserve">has </w:t>
      </w:r>
      <w:r w:rsidR="77A12534" w:rsidRPr="003258F9">
        <w:rPr>
          <w:rFonts w:cstheme="minorHAnsi"/>
          <w:sz w:val="24"/>
          <w:szCs w:val="24"/>
        </w:rPr>
        <w:t>been exposed to reductions in public spending (e.g. Fetzer 2019) or variations in wealth (e.g. Adler and Ansell 2020). The second narrative focuses more on the idea of resentments being driven by cultural factors. At its most general, Norris and Inglehart (2019) argue that populations in left behind areas with more conservative values (</w:t>
      </w:r>
      <w:proofErr w:type="gramStart"/>
      <w:r w:rsidR="77A12534" w:rsidRPr="003258F9">
        <w:rPr>
          <w:rFonts w:cstheme="minorHAnsi"/>
          <w:sz w:val="24"/>
          <w:szCs w:val="24"/>
        </w:rPr>
        <w:t>e.g.</w:t>
      </w:r>
      <w:proofErr w:type="gramEnd"/>
      <w:r w:rsidR="77A12534" w:rsidRPr="003258F9">
        <w:rPr>
          <w:rFonts w:cstheme="minorHAnsi"/>
          <w:sz w:val="24"/>
          <w:szCs w:val="24"/>
        </w:rPr>
        <w:t xml:space="preserve"> on immigration </w:t>
      </w:r>
      <w:r w:rsidR="006F63F0" w:rsidRPr="003258F9">
        <w:rPr>
          <w:rFonts w:cstheme="minorHAnsi"/>
          <w:sz w:val="24"/>
          <w:szCs w:val="24"/>
        </w:rPr>
        <w:t>–</w:t>
      </w:r>
      <w:r w:rsidR="77A12534" w:rsidRPr="003258F9">
        <w:rPr>
          <w:rFonts w:cstheme="minorHAnsi"/>
          <w:sz w:val="24"/>
          <w:szCs w:val="24"/>
        </w:rPr>
        <w:t xml:space="preserve"> see</w:t>
      </w:r>
      <w:r w:rsidR="006F63F0" w:rsidRPr="003258F9">
        <w:rPr>
          <w:rFonts w:cstheme="minorHAnsi"/>
          <w:sz w:val="24"/>
          <w:szCs w:val="24"/>
        </w:rPr>
        <w:t xml:space="preserve"> </w:t>
      </w:r>
      <w:r w:rsidR="77A12534" w:rsidRPr="003258F9">
        <w:rPr>
          <w:rFonts w:cstheme="minorHAnsi"/>
          <w:sz w:val="24"/>
          <w:szCs w:val="24"/>
        </w:rPr>
        <w:t>Maxwell 2019) feel threatened by the increasing dominance of left-liberal values in society and among national elites in politics and the media. Others focus more on the loss of social status of those groups (</w:t>
      </w:r>
      <w:proofErr w:type="gramStart"/>
      <w:r w:rsidR="77A12534" w:rsidRPr="003258F9">
        <w:rPr>
          <w:rFonts w:cstheme="minorHAnsi"/>
          <w:sz w:val="24"/>
          <w:szCs w:val="24"/>
        </w:rPr>
        <w:t>e.g.</w:t>
      </w:r>
      <w:proofErr w:type="gramEnd"/>
      <w:r w:rsidR="77A12534" w:rsidRPr="003258F9">
        <w:rPr>
          <w:rFonts w:cstheme="minorHAnsi"/>
          <w:sz w:val="24"/>
          <w:szCs w:val="24"/>
        </w:rPr>
        <w:t xml:space="preserve"> Gidron and Hall 2017; 2020; Gest et al. 2018) </w:t>
      </w:r>
      <w:r w:rsidR="00EA6211" w:rsidRPr="003258F9">
        <w:rPr>
          <w:rFonts w:cstheme="minorHAnsi"/>
          <w:sz w:val="24"/>
          <w:szCs w:val="24"/>
        </w:rPr>
        <w:t>or on</w:t>
      </w:r>
      <w:r w:rsidR="77A12534" w:rsidRPr="003258F9">
        <w:rPr>
          <w:rFonts w:cstheme="minorHAnsi"/>
          <w:sz w:val="24"/>
          <w:szCs w:val="24"/>
        </w:rPr>
        <w:t xml:space="preserve"> resentment towards more prosperous and diverse places (Cramer 2016), cities and social groups (Green et al. 2021</w:t>
      </w:r>
      <w:r w:rsidR="009727DB" w:rsidRPr="003258F9">
        <w:rPr>
          <w:rFonts w:cstheme="minorHAnsi"/>
          <w:sz w:val="24"/>
          <w:szCs w:val="24"/>
        </w:rPr>
        <w:t>).</w:t>
      </w:r>
      <w:r w:rsidR="006E06D6" w:rsidRPr="003258F9">
        <w:rPr>
          <w:rFonts w:cstheme="minorHAnsi"/>
          <w:sz w:val="24"/>
          <w:szCs w:val="24"/>
        </w:rPr>
        <w:t xml:space="preserve"> </w:t>
      </w:r>
    </w:p>
    <w:p w14:paraId="61180CD9" w14:textId="2044E59A" w:rsidR="000D3F34" w:rsidRPr="003258F9" w:rsidRDefault="00985C55" w:rsidP="002875BA">
      <w:pPr>
        <w:spacing w:after="120" w:line="480" w:lineRule="auto"/>
        <w:rPr>
          <w:rFonts w:cstheme="minorHAnsi"/>
          <w:sz w:val="24"/>
          <w:szCs w:val="24"/>
        </w:rPr>
      </w:pPr>
      <w:r w:rsidRPr="003258F9">
        <w:rPr>
          <w:rFonts w:cstheme="minorHAnsi"/>
          <w:sz w:val="24"/>
          <w:szCs w:val="24"/>
        </w:rPr>
        <w:t>There is a third route to discontent in left-behind places that is rarely discussed</w:t>
      </w:r>
      <w:r w:rsidR="00380F3E" w:rsidRPr="003258F9">
        <w:rPr>
          <w:rFonts w:cstheme="minorHAnsi"/>
          <w:sz w:val="24"/>
          <w:szCs w:val="24"/>
        </w:rPr>
        <w:t>:</w:t>
      </w:r>
      <w:r w:rsidRPr="003258F9">
        <w:rPr>
          <w:rFonts w:cstheme="minorHAnsi"/>
          <w:sz w:val="24"/>
          <w:szCs w:val="24"/>
        </w:rPr>
        <w:t xml:space="preserve"> the role of social </w:t>
      </w:r>
      <w:r w:rsidR="00F564E7" w:rsidRPr="003258F9">
        <w:rPr>
          <w:rFonts w:cstheme="minorHAnsi"/>
          <w:sz w:val="24"/>
          <w:szCs w:val="24"/>
        </w:rPr>
        <w:t xml:space="preserve">relations </w:t>
      </w:r>
      <w:r w:rsidRPr="003258F9">
        <w:rPr>
          <w:rFonts w:cstheme="minorHAnsi"/>
          <w:sz w:val="24"/>
          <w:szCs w:val="24"/>
        </w:rPr>
        <w:t>(communities, social networks</w:t>
      </w:r>
      <w:r w:rsidR="00A704A5" w:rsidRPr="003258F9">
        <w:rPr>
          <w:rFonts w:cstheme="minorHAnsi"/>
          <w:sz w:val="24"/>
          <w:szCs w:val="24"/>
        </w:rPr>
        <w:t xml:space="preserve"> and social capital</w:t>
      </w:r>
      <w:r w:rsidRPr="003258F9">
        <w:rPr>
          <w:rFonts w:cstheme="minorHAnsi"/>
          <w:sz w:val="24"/>
          <w:szCs w:val="24"/>
        </w:rPr>
        <w:t>) in generating conditions that are more or less prone to</w:t>
      </w:r>
      <w:r w:rsidR="77A12534" w:rsidRPr="003258F9">
        <w:rPr>
          <w:rFonts w:cstheme="minorHAnsi"/>
          <w:sz w:val="24"/>
          <w:szCs w:val="24"/>
        </w:rPr>
        <w:t xml:space="preserve"> lack of trust in mainstream politics.</w:t>
      </w:r>
      <w:r w:rsidR="00382369" w:rsidRPr="003258F9">
        <w:rPr>
          <w:rFonts w:cstheme="minorHAnsi"/>
          <w:sz w:val="24"/>
          <w:szCs w:val="24"/>
        </w:rPr>
        <w:t xml:space="preserve"> </w:t>
      </w:r>
      <w:r w:rsidR="00380F3E" w:rsidRPr="003258F9">
        <w:rPr>
          <w:rFonts w:cstheme="minorHAnsi"/>
          <w:sz w:val="24"/>
          <w:szCs w:val="24"/>
        </w:rPr>
        <w:t>It has been suggested that there may be an ‘underlying social capital phenomena driving the geography of discontent’ (McCann and Ortega-</w:t>
      </w:r>
      <w:proofErr w:type="spellStart"/>
      <w:r w:rsidR="00380F3E" w:rsidRPr="003258F9">
        <w:rPr>
          <w:rFonts w:cstheme="minorHAnsi"/>
          <w:sz w:val="24"/>
          <w:szCs w:val="24"/>
        </w:rPr>
        <w:t>Argilés</w:t>
      </w:r>
      <w:proofErr w:type="spellEnd"/>
      <w:r w:rsidR="00380F3E" w:rsidRPr="003258F9">
        <w:rPr>
          <w:rFonts w:cstheme="minorHAnsi"/>
          <w:sz w:val="24"/>
          <w:szCs w:val="24"/>
        </w:rPr>
        <w:t xml:space="preserve"> 2021</w:t>
      </w:r>
      <w:r w:rsidR="00A02D47">
        <w:rPr>
          <w:rFonts w:cstheme="minorHAnsi"/>
          <w:sz w:val="24"/>
          <w:szCs w:val="24"/>
        </w:rPr>
        <w:t>: 546</w:t>
      </w:r>
      <w:r w:rsidR="00380F3E" w:rsidRPr="003258F9">
        <w:rPr>
          <w:rFonts w:cstheme="minorHAnsi"/>
          <w:sz w:val="24"/>
          <w:szCs w:val="24"/>
        </w:rPr>
        <w:t xml:space="preserve">), and </w:t>
      </w:r>
      <w:r w:rsidR="005F56AB" w:rsidRPr="003258F9">
        <w:rPr>
          <w:rFonts w:cstheme="minorHAnsi"/>
          <w:sz w:val="24"/>
          <w:szCs w:val="24"/>
        </w:rPr>
        <w:t>Rodríguez</w:t>
      </w:r>
      <w:r w:rsidR="00380F3E" w:rsidRPr="003258F9">
        <w:rPr>
          <w:rFonts w:cstheme="minorHAnsi"/>
          <w:sz w:val="24"/>
          <w:szCs w:val="24"/>
        </w:rPr>
        <w:t>-Pose et al</w:t>
      </w:r>
      <w:r w:rsidR="00E93A77" w:rsidRPr="003258F9">
        <w:rPr>
          <w:rFonts w:cstheme="minorHAnsi"/>
          <w:sz w:val="24"/>
          <w:szCs w:val="24"/>
        </w:rPr>
        <w:t>.</w:t>
      </w:r>
      <w:r w:rsidR="00380F3E" w:rsidRPr="003258F9">
        <w:rPr>
          <w:rFonts w:cstheme="minorHAnsi"/>
          <w:sz w:val="24"/>
          <w:szCs w:val="24"/>
        </w:rPr>
        <w:t xml:space="preserve"> (2021) find connections between social capital, decline</w:t>
      </w:r>
      <w:r w:rsidR="00E93A77" w:rsidRPr="003258F9">
        <w:rPr>
          <w:rFonts w:cstheme="minorHAnsi"/>
          <w:sz w:val="24"/>
          <w:szCs w:val="24"/>
        </w:rPr>
        <w:t xml:space="preserve"> in employment and population</w:t>
      </w:r>
      <w:r w:rsidR="00380F3E" w:rsidRPr="003258F9">
        <w:rPr>
          <w:rFonts w:cstheme="minorHAnsi"/>
          <w:sz w:val="24"/>
          <w:szCs w:val="24"/>
        </w:rPr>
        <w:t xml:space="preserve"> and</w:t>
      </w:r>
      <w:r w:rsidR="00E93A77" w:rsidRPr="003258F9">
        <w:rPr>
          <w:rFonts w:cstheme="minorHAnsi"/>
          <w:sz w:val="24"/>
          <w:szCs w:val="24"/>
        </w:rPr>
        <w:t xml:space="preserve"> patterns of voting for Donald</w:t>
      </w:r>
      <w:r w:rsidR="00380F3E" w:rsidRPr="003258F9">
        <w:rPr>
          <w:rFonts w:cstheme="minorHAnsi"/>
          <w:sz w:val="24"/>
          <w:szCs w:val="24"/>
        </w:rPr>
        <w:t xml:space="preserve"> Trump</w:t>
      </w:r>
      <w:r w:rsidR="00E93A77" w:rsidRPr="003258F9">
        <w:rPr>
          <w:rFonts w:cstheme="minorHAnsi"/>
          <w:sz w:val="24"/>
          <w:szCs w:val="24"/>
        </w:rPr>
        <w:t xml:space="preserve"> in the</w:t>
      </w:r>
      <w:r w:rsidR="00380F3E" w:rsidRPr="003258F9">
        <w:rPr>
          <w:rFonts w:cstheme="minorHAnsi"/>
          <w:sz w:val="24"/>
          <w:szCs w:val="24"/>
        </w:rPr>
        <w:t xml:space="preserve"> 2016</w:t>
      </w:r>
      <w:r w:rsidR="00E93A77" w:rsidRPr="003258F9">
        <w:rPr>
          <w:rFonts w:cstheme="minorHAnsi"/>
          <w:sz w:val="24"/>
          <w:szCs w:val="24"/>
        </w:rPr>
        <w:t xml:space="preserve"> US presidential election</w:t>
      </w:r>
      <w:r w:rsidR="004F696B" w:rsidRPr="003258F9">
        <w:rPr>
          <w:rFonts w:cstheme="minorHAnsi"/>
          <w:sz w:val="24"/>
          <w:szCs w:val="24"/>
        </w:rPr>
        <w:t>, but b</w:t>
      </w:r>
      <w:r w:rsidR="00380F3E" w:rsidRPr="003258F9">
        <w:rPr>
          <w:rFonts w:cstheme="minorHAnsi"/>
          <w:sz w:val="24"/>
          <w:szCs w:val="24"/>
        </w:rPr>
        <w:t>eyond this</w:t>
      </w:r>
      <w:r w:rsidR="002307C0" w:rsidRPr="003258F9">
        <w:rPr>
          <w:rFonts w:cstheme="minorHAnsi"/>
          <w:sz w:val="24"/>
          <w:szCs w:val="24"/>
        </w:rPr>
        <w:t xml:space="preserve"> empirical</w:t>
      </w:r>
      <w:r w:rsidR="00380F3E" w:rsidRPr="003258F9">
        <w:rPr>
          <w:rFonts w:cstheme="minorHAnsi"/>
          <w:sz w:val="24"/>
          <w:szCs w:val="24"/>
        </w:rPr>
        <w:t xml:space="preserve"> </w:t>
      </w:r>
      <w:r w:rsidR="002307C0" w:rsidRPr="003258F9">
        <w:rPr>
          <w:rFonts w:cstheme="minorHAnsi"/>
          <w:sz w:val="24"/>
          <w:szCs w:val="24"/>
        </w:rPr>
        <w:t xml:space="preserve">investigation </w:t>
      </w:r>
      <w:r w:rsidR="00380F3E" w:rsidRPr="003258F9">
        <w:rPr>
          <w:rFonts w:cstheme="minorHAnsi"/>
          <w:sz w:val="24"/>
          <w:szCs w:val="24"/>
        </w:rPr>
        <w:t>is lacking. Crucially, t</w:t>
      </w:r>
      <w:r w:rsidRPr="003258F9">
        <w:rPr>
          <w:rFonts w:cstheme="minorHAnsi"/>
          <w:sz w:val="24"/>
          <w:szCs w:val="24"/>
        </w:rPr>
        <w:t>he group consciousness that underpins place-based resentments (Cramer 2016) is forged in social relations in specific locales and communities.</w:t>
      </w:r>
      <w:r w:rsidR="007204C0" w:rsidRPr="003258F9">
        <w:rPr>
          <w:rFonts w:cstheme="minorHAnsi"/>
          <w:sz w:val="24"/>
          <w:szCs w:val="24"/>
        </w:rPr>
        <w:t xml:space="preserve"> Cramer</w:t>
      </w:r>
      <w:r w:rsidR="00FD7C51" w:rsidRPr="003258F9">
        <w:rPr>
          <w:rFonts w:cstheme="minorHAnsi"/>
          <w:sz w:val="24"/>
          <w:szCs w:val="24"/>
        </w:rPr>
        <w:t xml:space="preserve"> (2012: 518)</w:t>
      </w:r>
      <w:r w:rsidR="007204C0" w:rsidRPr="003258F9">
        <w:rPr>
          <w:rFonts w:cstheme="minorHAnsi"/>
          <w:sz w:val="24"/>
          <w:szCs w:val="24"/>
        </w:rPr>
        <w:t xml:space="preserve"> argues that resentments and distrust are formulated in the midst of interpersonal interactions</w:t>
      </w:r>
      <w:r w:rsidR="00FD7C51" w:rsidRPr="003258F9">
        <w:rPr>
          <w:rFonts w:cstheme="minorHAnsi"/>
          <w:sz w:val="24"/>
          <w:szCs w:val="24"/>
        </w:rPr>
        <w:t xml:space="preserve">: </w:t>
      </w:r>
      <w:r w:rsidR="00CA75B9" w:rsidRPr="003258F9">
        <w:rPr>
          <w:rFonts w:cstheme="minorHAnsi"/>
          <w:sz w:val="24"/>
          <w:szCs w:val="24"/>
        </w:rPr>
        <w:t>‘</w:t>
      </w:r>
      <w:r w:rsidR="00FD7C51" w:rsidRPr="003258F9">
        <w:rPr>
          <w:rFonts w:cstheme="minorHAnsi"/>
          <w:sz w:val="24"/>
          <w:szCs w:val="24"/>
        </w:rPr>
        <w:t>how people make sense of the political world in the course of everyday life while interacting with members of their social networks</w:t>
      </w:r>
      <w:r w:rsidR="00CA75B9" w:rsidRPr="003258F9">
        <w:rPr>
          <w:rFonts w:cstheme="minorHAnsi"/>
          <w:sz w:val="24"/>
          <w:szCs w:val="24"/>
        </w:rPr>
        <w:t>’</w:t>
      </w:r>
      <w:r w:rsidR="007204C0" w:rsidRPr="003258F9">
        <w:rPr>
          <w:rFonts w:cstheme="minorHAnsi"/>
          <w:sz w:val="24"/>
          <w:szCs w:val="24"/>
        </w:rPr>
        <w:t>.</w:t>
      </w:r>
      <w:r w:rsidRPr="003258F9">
        <w:rPr>
          <w:rFonts w:cstheme="minorHAnsi"/>
          <w:sz w:val="24"/>
          <w:szCs w:val="24"/>
        </w:rPr>
        <w:t xml:space="preserve"> Yet we know little </w:t>
      </w:r>
      <w:r w:rsidRPr="003258F9">
        <w:rPr>
          <w:rFonts w:cstheme="minorHAnsi"/>
          <w:sz w:val="24"/>
          <w:szCs w:val="24"/>
        </w:rPr>
        <w:lastRenderedPageBreak/>
        <w:t xml:space="preserve">about how social </w:t>
      </w:r>
      <w:r w:rsidR="006F63F0" w:rsidRPr="003258F9">
        <w:rPr>
          <w:rFonts w:cstheme="minorHAnsi"/>
          <w:sz w:val="24"/>
          <w:szCs w:val="24"/>
        </w:rPr>
        <w:t>ties</w:t>
      </w:r>
      <w:r w:rsidRPr="003258F9">
        <w:rPr>
          <w:rFonts w:cstheme="minorHAnsi"/>
          <w:sz w:val="24"/>
          <w:szCs w:val="24"/>
        </w:rPr>
        <w:t xml:space="preserve"> (rather than social status, cultural threat</w:t>
      </w:r>
      <w:r w:rsidR="00A704A5" w:rsidRPr="003258F9">
        <w:rPr>
          <w:rFonts w:cstheme="minorHAnsi"/>
          <w:sz w:val="24"/>
          <w:szCs w:val="24"/>
        </w:rPr>
        <w:t xml:space="preserve"> or</w:t>
      </w:r>
      <w:r w:rsidRPr="003258F9">
        <w:rPr>
          <w:rFonts w:cstheme="minorHAnsi"/>
          <w:sz w:val="24"/>
          <w:szCs w:val="24"/>
        </w:rPr>
        <w:t xml:space="preserve"> values of those groups) impacts</w:t>
      </w:r>
      <w:r w:rsidR="005C64E0" w:rsidRPr="003258F9">
        <w:rPr>
          <w:rFonts w:cstheme="minorHAnsi"/>
          <w:sz w:val="24"/>
          <w:szCs w:val="24"/>
        </w:rPr>
        <w:t xml:space="preserve"> political trust – </w:t>
      </w:r>
      <w:r w:rsidR="00A704A5" w:rsidRPr="003258F9">
        <w:rPr>
          <w:rFonts w:cstheme="minorHAnsi"/>
          <w:sz w:val="24"/>
          <w:szCs w:val="24"/>
        </w:rPr>
        <w:t>generating</w:t>
      </w:r>
      <w:r w:rsidRPr="003258F9">
        <w:rPr>
          <w:rFonts w:cstheme="minorHAnsi"/>
          <w:sz w:val="24"/>
          <w:szCs w:val="24"/>
        </w:rPr>
        <w:t xml:space="preserve"> a geography of discontent. </w:t>
      </w:r>
      <w:r w:rsidR="007E6036" w:rsidRPr="003258F9">
        <w:rPr>
          <w:rFonts w:cstheme="minorHAnsi"/>
          <w:sz w:val="24"/>
          <w:szCs w:val="24"/>
        </w:rPr>
        <w:t xml:space="preserve">To what extent do </w:t>
      </w:r>
      <w:r w:rsidR="77A12534" w:rsidRPr="003258F9">
        <w:rPr>
          <w:rFonts w:cstheme="minorHAnsi"/>
          <w:sz w:val="24"/>
          <w:szCs w:val="24"/>
        </w:rPr>
        <w:t>the grievances felt by left behind regions</w:t>
      </w:r>
      <w:r w:rsidR="007E6036" w:rsidRPr="003258F9">
        <w:rPr>
          <w:rFonts w:cstheme="minorHAnsi"/>
          <w:sz w:val="24"/>
          <w:szCs w:val="24"/>
        </w:rPr>
        <w:t xml:space="preserve"> reflect the underlying structure of social networks in those places</w:t>
      </w:r>
      <w:r w:rsidR="77A12534" w:rsidRPr="003258F9">
        <w:rPr>
          <w:rFonts w:cstheme="minorHAnsi"/>
          <w:sz w:val="24"/>
          <w:szCs w:val="24"/>
        </w:rPr>
        <w:t>, leading to a lack of political trust, growing political alienation and in some cases flirtation with populism?</w:t>
      </w:r>
      <w:r w:rsidR="009366CE" w:rsidRPr="003258F9">
        <w:rPr>
          <w:rFonts w:cstheme="minorHAnsi"/>
          <w:sz w:val="24"/>
          <w:szCs w:val="24"/>
        </w:rPr>
        <w:t xml:space="preserve"> </w:t>
      </w:r>
      <w:r w:rsidR="77A12534" w:rsidRPr="003258F9">
        <w:rPr>
          <w:rFonts w:cstheme="minorHAnsi"/>
          <w:sz w:val="24"/>
          <w:szCs w:val="24"/>
        </w:rPr>
        <w:t xml:space="preserve">  </w:t>
      </w:r>
      <w:r w:rsidR="009251D5" w:rsidRPr="003258F9">
        <w:rPr>
          <w:rFonts w:cstheme="minorHAnsi"/>
          <w:sz w:val="24"/>
          <w:szCs w:val="24"/>
        </w:rPr>
        <w:t xml:space="preserve">  </w:t>
      </w:r>
    </w:p>
    <w:p w14:paraId="7D734D33" w14:textId="113D5A32" w:rsidR="00AF15F3" w:rsidRPr="003258F9" w:rsidRDefault="77A12534" w:rsidP="002875BA">
      <w:pPr>
        <w:spacing w:after="120" w:line="480" w:lineRule="auto"/>
        <w:rPr>
          <w:rFonts w:cstheme="minorHAnsi"/>
          <w:sz w:val="24"/>
          <w:szCs w:val="24"/>
        </w:rPr>
      </w:pPr>
      <w:bookmarkStart w:id="5" w:name="_Hlk118816597"/>
      <w:r w:rsidRPr="003258F9">
        <w:rPr>
          <w:rFonts w:cstheme="minorHAnsi"/>
          <w:sz w:val="24"/>
          <w:szCs w:val="24"/>
        </w:rPr>
        <w:t xml:space="preserve">We argue that individuals in so-called ‘left behind’ regions may lack political trust because their areas collectively lack social ties </w:t>
      </w:r>
      <w:r w:rsidR="000D3F34" w:rsidRPr="003258F9">
        <w:rPr>
          <w:rFonts w:cstheme="minorHAnsi"/>
          <w:sz w:val="24"/>
          <w:szCs w:val="24"/>
        </w:rPr>
        <w:t xml:space="preserve">to the places where </w:t>
      </w:r>
      <w:r w:rsidR="00D80961" w:rsidRPr="003258F9">
        <w:rPr>
          <w:rFonts w:cstheme="minorHAnsi"/>
          <w:sz w:val="24"/>
          <w:szCs w:val="24"/>
        </w:rPr>
        <w:t>key organs of government, and other politically influential institutions, are based</w:t>
      </w:r>
      <w:r w:rsidRPr="003258F9">
        <w:rPr>
          <w:rFonts w:cstheme="minorHAnsi"/>
          <w:sz w:val="24"/>
          <w:szCs w:val="24"/>
        </w:rPr>
        <w:t>.</w:t>
      </w:r>
      <w:r w:rsidR="005C6F40" w:rsidRPr="003258F9">
        <w:rPr>
          <w:rFonts w:cstheme="minorHAnsi"/>
          <w:sz w:val="24"/>
          <w:szCs w:val="24"/>
        </w:rPr>
        <w:t xml:space="preserve"> This may influence political trust through multiple mechanisms. On the one hand, </w:t>
      </w:r>
      <w:r w:rsidR="00AF15F3" w:rsidRPr="003258F9">
        <w:rPr>
          <w:rFonts w:cstheme="minorHAnsi"/>
          <w:sz w:val="24"/>
          <w:szCs w:val="24"/>
        </w:rPr>
        <w:t>the probability of people’s networks</w:t>
      </w:r>
      <w:r w:rsidR="005C6F40" w:rsidRPr="003258F9">
        <w:rPr>
          <w:rFonts w:cstheme="minorHAnsi"/>
          <w:sz w:val="24"/>
          <w:szCs w:val="24"/>
        </w:rPr>
        <w:t xml:space="preserve"> including </w:t>
      </w:r>
      <w:r w:rsidR="00D80961" w:rsidRPr="003258F9">
        <w:rPr>
          <w:rFonts w:cstheme="minorHAnsi"/>
          <w:sz w:val="24"/>
          <w:szCs w:val="24"/>
        </w:rPr>
        <w:t>one or more people</w:t>
      </w:r>
      <w:r w:rsidR="005C6F40" w:rsidRPr="003258F9">
        <w:rPr>
          <w:rFonts w:cstheme="minorHAnsi"/>
          <w:sz w:val="24"/>
          <w:szCs w:val="24"/>
        </w:rPr>
        <w:t xml:space="preserve"> </w:t>
      </w:r>
      <w:r w:rsidR="002507D8" w:rsidRPr="003258F9">
        <w:rPr>
          <w:rFonts w:cstheme="minorHAnsi"/>
          <w:sz w:val="24"/>
          <w:szCs w:val="24"/>
        </w:rPr>
        <w:t>in a position of social, economic or political power</w:t>
      </w:r>
      <w:r w:rsidR="005C6F40" w:rsidRPr="003258F9">
        <w:rPr>
          <w:rFonts w:cstheme="minorHAnsi"/>
          <w:sz w:val="24"/>
          <w:szCs w:val="24"/>
        </w:rPr>
        <w:t xml:space="preserve"> is far lower in left-behind regions.</w:t>
      </w:r>
      <w:r w:rsidR="00E12F07" w:rsidRPr="003258F9">
        <w:rPr>
          <w:rFonts w:cstheme="minorHAnsi"/>
          <w:sz w:val="24"/>
          <w:szCs w:val="24"/>
        </w:rPr>
        <w:t xml:space="preserve"> Indeed, the term ‘left behind’ has come to stand for the sense that </w:t>
      </w:r>
      <w:r w:rsidR="00365DC3" w:rsidRPr="003258F9">
        <w:rPr>
          <w:rFonts w:cstheme="minorHAnsi"/>
          <w:sz w:val="24"/>
          <w:szCs w:val="24"/>
        </w:rPr>
        <w:t>people and places</w:t>
      </w:r>
      <w:r w:rsidR="00E12F07" w:rsidRPr="003258F9">
        <w:rPr>
          <w:rFonts w:cstheme="minorHAnsi"/>
          <w:sz w:val="24"/>
          <w:szCs w:val="24"/>
        </w:rPr>
        <w:t xml:space="preserve"> lack trust in ruling metropolitan elites because they are disconnected and distant (MacKinnon et al. 2022; Pike et al. 2023).</w:t>
      </w:r>
      <w:r w:rsidR="005C6F40" w:rsidRPr="003258F9">
        <w:rPr>
          <w:rFonts w:cstheme="minorHAnsi"/>
          <w:sz w:val="24"/>
          <w:szCs w:val="24"/>
        </w:rPr>
        <w:t xml:space="preserve"> </w:t>
      </w:r>
      <w:r w:rsidR="00355C38" w:rsidRPr="003258F9">
        <w:rPr>
          <w:rFonts w:cstheme="minorHAnsi"/>
          <w:sz w:val="24"/>
          <w:szCs w:val="24"/>
        </w:rPr>
        <w:t xml:space="preserve">Although no direct connection may exist, we argue that </w:t>
      </w:r>
      <w:r w:rsidR="001D1048" w:rsidRPr="003258F9">
        <w:rPr>
          <w:rFonts w:cstheme="minorHAnsi"/>
          <w:sz w:val="24"/>
          <w:szCs w:val="24"/>
        </w:rPr>
        <w:t>connections to these elites</w:t>
      </w:r>
      <w:r w:rsidR="00355C38" w:rsidRPr="003258F9">
        <w:rPr>
          <w:rFonts w:cstheme="minorHAnsi"/>
          <w:sz w:val="24"/>
          <w:szCs w:val="24"/>
        </w:rPr>
        <w:t xml:space="preserve"> can facilitate trust via Granovetter’s (1973) ‘strength of weak ties’, which (as Granovetter argued, in somewhat neglected parts of his classic text) </w:t>
      </w:r>
      <w:r w:rsidR="00AF15F3" w:rsidRPr="003258F9">
        <w:rPr>
          <w:rFonts w:cstheme="minorHAnsi"/>
          <w:sz w:val="24"/>
          <w:szCs w:val="24"/>
        </w:rPr>
        <w:t xml:space="preserve">sustain political influence and encourage ‘benevolent’ trustworthy behaviour towards the communities in question. On the other hand, ties (strong or weak) to even ordinary people in power centres may form a bulwark against developing place-based resentments that can undermine trust. </w:t>
      </w:r>
      <w:r w:rsidR="00AA0918" w:rsidRPr="003258F9">
        <w:rPr>
          <w:rFonts w:cstheme="minorHAnsi"/>
          <w:sz w:val="24"/>
          <w:szCs w:val="24"/>
        </w:rPr>
        <w:t xml:space="preserve">We develop both arguments </w:t>
      </w:r>
      <w:r w:rsidR="001560E8" w:rsidRPr="003258F9">
        <w:rPr>
          <w:rFonts w:cstheme="minorHAnsi"/>
          <w:sz w:val="24"/>
          <w:szCs w:val="24"/>
        </w:rPr>
        <w:t>in the next section</w:t>
      </w:r>
      <w:r w:rsidR="00AA0918" w:rsidRPr="003258F9">
        <w:rPr>
          <w:rFonts w:cstheme="minorHAnsi"/>
          <w:sz w:val="24"/>
          <w:szCs w:val="24"/>
        </w:rPr>
        <w:t xml:space="preserve">. </w:t>
      </w:r>
    </w:p>
    <w:p w14:paraId="21865EB2" w14:textId="0E290623" w:rsidR="00FD256A" w:rsidRPr="003258F9" w:rsidRDefault="00FD256A" w:rsidP="002875BA">
      <w:pPr>
        <w:spacing w:after="120" w:line="480" w:lineRule="auto"/>
        <w:rPr>
          <w:rFonts w:cstheme="minorHAnsi"/>
          <w:sz w:val="24"/>
          <w:szCs w:val="24"/>
        </w:rPr>
      </w:pPr>
      <w:r w:rsidRPr="003258F9">
        <w:rPr>
          <w:rFonts w:cstheme="minorHAnsi"/>
          <w:sz w:val="24"/>
          <w:szCs w:val="24"/>
        </w:rPr>
        <w:t xml:space="preserve">We also expect that left-behind regions will suffer from a lack of general social trust. As </w:t>
      </w:r>
      <w:r w:rsidR="00426908" w:rsidRPr="003258F9">
        <w:rPr>
          <w:rFonts w:cstheme="minorHAnsi"/>
          <w:sz w:val="24"/>
          <w:szCs w:val="24"/>
        </w:rPr>
        <w:t>Welch et al</w:t>
      </w:r>
      <w:r w:rsidR="00B17A0F">
        <w:rPr>
          <w:rFonts w:cstheme="minorHAnsi"/>
          <w:sz w:val="24"/>
          <w:szCs w:val="24"/>
        </w:rPr>
        <w:t>.</w:t>
      </w:r>
      <w:r w:rsidR="00426908" w:rsidRPr="003258F9">
        <w:rPr>
          <w:rFonts w:cstheme="minorHAnsi"/>
          <w:sz w:val="24"/>
          <w:szCs w:val="24"/>
        </w:rPr>
        <w:t xml:space="preserve"> (2005</w:t>
      </w:r>
      <w:r w:rsidR="001D1048" w:rsidRPr="003258F9">
        <w:rPr>
          <w:rFonts w:cstheme="minorHAnsi"/>
          <w:sz w:val="24"/>
          <w:szCs w:val="24"/>
        </w:rPr>
        <w:t>: 462</w:t>
      </w:r>
      <w:r w:rsidR="00426908" w:rsidRPr="003258F9">
        <w:rPr>
          <w:rFonts w:cstheme="minorHAnsi"/>
          <w:sz w:val="24"/>
          <w:szCs w:val="24"/>
        </w:rPr>
        <w:t xml:space="preserve">) note in their review, ‘virtually all research suggests that social trust has beneficial effects on individuals, communities, the workplace, institutions and indeed, nations’, including better health outcomes, higher self-rated well-being and greater </w:t>
      </w:r>
      <w:r w:rsidR="00426908" w:rsidRPr="003258F9">
        <w:rPr>
          <w:rFonts w:cstheme="minorHAnsi"/>
          <w:sz w:val="24"/>
          <w:szCs w:val="24"/>
        </w:rPr>
        <w:lastRenderedPageBreak/>
        <w:t xml:space="preserve">egalitarianism. </w:t>
      </w:r>
      <w:r w:rsidR="00426908" w:rsidRPr="003258F9">
        <w:rPr>
          <w:rFonts w:cstheme="minorHAnsi"/>
          <w:i/>
          <w:iCs/>
          <w:sz w:val="24"/>
          <w:szCs w:val="24"/>
        </w:rPr>
        <w:t>Low</w:t>
      </w:r>
      <w:r w:rsidR="00426908" w:rsidRPr="003258F9">
        <w:rPr>
          <w:rFonts w:cstheme="minorHAnsi"/>
          <w:sz w:val="24"/>
          <w:szCs w:val="24"/>
        </w:rPr>
        <w:t xml:space="preserve"> social trust has </w:t>
      </w:r>
      <w:r w:rsidR="001560E8" w:rsidRPr="003258F9">
        <w:rPr>
          <w:rFonts w:cstheme="minorHAnsi"/>
          <w:sz w:val="24"/>
          <w:szCs w:val="24"/>
        </w:rPr>
        <w:t xml:space="preserve">also </w:t>
      </w:r>
      <w:r w:rsidR="00426908" w:rsidRPr="003258F9">
        <w:rPr>
          <w:rFonts w:cstheme="minorHAnsi"/>
          <w:sz w:val="24"/>
          <w:szCs w:val="24"/>
        </w:rPr>
        <w:t>been connected to voting for populist radical right parties (</w:t>
      </w:r>
      <w:proofErr w:type="spellStart"/>
      <w:r w:rsidR="00426908" w:rsidRPr="003258F9">
        <w:rPr>
          <w:rFonts w:cstheme="minorHAnsi"/>
          <w:sz w:val="24"/>
          <w:szCs w:val="24"/>
        </w:rPr>
        <w:t>Berning</w:t>
      </w:r>
      <w:proofErr w:type="spellEnd"/>
      <w:r w:rsidR="00426908" w:rsidRPr="003258F9">
        <w:rPr>
          <w:rFonts w:cstheme="minorHAnsi"/>
          <w:sz w:val="24"/>
          <w:szCs w:val="24"/>
        </w:rPr>
        <w:t xml:space="preserve"> and </w:t>
      </w:r>
      <w:proofErr w:type="spellStart"/>
      <w:r w:rsidR="00426908" w:rsidRPr="003258F9">
        <w:rPr>
          <w:rFonts w:cstheme="minorHAnsi"/>
          <w:sz w:val="24"/>
          <w:szCs w:val="24"/>
        </w:rPr>
        <w:t>Ziller</w:t>
      </w:r>
      <w:proofErr w:type="spellEnd"/>
      <w:r w:rsidR="00426908" w:rsidRPr="003258F9">
        <w:rPr>
          <w:rFonts w:cstheme="minorHAnsi"/>
          <w:sz w:val="24"/>
          <w:szCs w:val="24"/>
        </w:rPr>
        <w:t xml:space="preserve"> 2017), potentially giving it an explanatory role in the geography of discontent. Left-behind regions, we argue, exhibit locally-concentrated social ties which may not extend the ‘radius of trust’ beyond those one knows personally. </w:t>
      </w:r>
      <w:r w:rsidR="00365DC3" w:rsidRPr="003258F9">
        <w:rPr>
          <w:rFonts w:cstheme="minorHAnsi"/>
          <w:sz w:val="24"/>
          <w:szCs w:val="24"/>
        </w:rPr>
        <w:t>One</w:t>
      </w:r>
      <w:r w:rsidR="00426908" w:rsidRPr="003258F9">
        <w:rPr>
          <w:rFonts w:cstheme="minorHAnsi"/>
          <w:sz w:val="24"/>
          <w:szCs w:val="24"/>
        </w:rPr>
        <w:t xml:space="preserve"> </w:t>
      </w:r>
      <w:r w:rsidR="00365DC3" w:rsidRPr="003258F9">
        <w:rPr>
          <w:rFonts w:cstheme="minorHAnsi"/>
          <w:sz w:val="24"/>
          <w:szCs w:val="24"/>
        </w:rPr>
        <w:t xml:space="preserve">possible </w:t>
      </w:r>
      <w:r w:rsidR="00426908" w:rsidRPr="003258F9">
        <w:rPr>
          <w:rFonts w:cstheme="minorHAnsi"/>
          <w:sz w:val="24"/>
          <w:szCs w:val="24"/>
        </w:rPr>
        <w:t xml:space="preserve">consolation may be that – when dealing with others in their community – their dense local networks may </w:t>
      </w:r>
      <w:r w:rsidR="005E3C7A" w:rsidRPr="003258F9">
        <w:rPr>
          <w:rFonts w:cstheme="minorHAnsi"/>
          <w:sz w:val="24"/>
          <w:szCs w:val="24"/>
        </w:rPr>
        <w:t>more successfully facilitate</w:t>
      </w:r>
      <w:r w:rsidR="00426908" w:rsidRPr="003258F9">
        <w:rPr>
          <w:rFonts w:cstheme="minorHAnsi"/>
          <w:sz w:val="24"/>
          <w:szCs w:val="24"/>
        </w:rPr>
        <w:t xml:space="preserve"> greater </w:t>
      </w:r>
      <w:r w:rsidR="00426908" w:rsidRPr="003258F9">
        <w:rPr>
          <w:rFonts w:cstheme="minorHAnsi"/>
          <w:i/>
          <w:iCs/>
          <w:sz w:val="24"/>
          <w:szCs w:val="24"/>
        </w:rPr>
        <w:t xml:space="preserve">particular </w:t>
      </w:r>
      <w:r w:rsidR="00426908" w:rsidRPr="003258F9">
        <w:rPr>
          <w:rFonts w:cstheme="minorHAnsi"/>
          <w:sz w:val="24"/>
          <w:szCs w:val="24"/>
        </w:rPr>
        <w:t xml:space="preserve">trust in others within </w:t>
      </w:r>
      <w:r w:rsidR="00365DC3" w:rsidRPr="003258F9">
        <w:rPr>
          <w:rFonts w:cstheme="minorHAnsi"/>
          <w:sz w:val="24"/>
          <w:szCs w:val="24"/>
        </w:rPr>
        <w:t>left-behind</w:t>
      </w:r>
      <w:r w:rsidR="00426908" w:rsidRPr="003258F9">
        <w:rPr>
          <w:rFonts w:cstheme="minorHAnsi"/>
          <w:sz w:val="24"/>
          <w:szCs w:val="24"/>
        </w:rPr>
        <w:t xml:space="preserve"> communit</w:t>
      </w:r>
      <w:r w:rsidR="00365DC3" w:rsidRPr="003258F9">
        <w:rPr>
          <w:rFonts w:cstheme="minorHAnsi"/>
          <w:sz w:val="24"/>
          <w:szCs w:val="24"/>
        </w:rPr>
        <w:t>ies</w:t>
      </w:r>
      <w:r w:rsidR="00AA0918" w:rsidRPr="003258F9">
        <w:rPr>
          <w:rFonts w:cstheme="minorHAnsi"/>
          <w:sz w:val="24"/>
          <w:szCs w:val="24"/>
        </w:rPr>
        <w:t xml:space="preserve"> than </w:t>
      </w:r>
      <w:r w:rsidR="005E3C7A" w:rsidRPr="003258F9">
        <w:rPr>
          <w:rFonts w:cstheme="minorHAnsi"/>
          <w:sz w:val="24"/>
          <w:szCs w:val="24"/>
        </w:rPr>
        <w:t xml:space="preserve">do </w:t>
      </w:r>
      <w:r w:rsidR="00AA0918" w:rsidRPr="003258F9">
        <w:rPr>
          <w:rFonts w:cstheme="minorHAnsi"/>
          <w:sz w:val="24"/>
          <w:szCs w:val="24"/>
        </w:rPr>
        <w:t xml:space="preserve">the diffuse networks of </w:t>
      </w:r>
      <w:r w:rsidR="00365DC3" w:rsidRPr="003258F9">
        <w:rPr>
          <w:rFonts w:cstheme="minorHAnsi"/>
          <w:sz w:val="24"/>
          <w:szCs w:val="24"/>
        </w:rPr>
        <w:t>people</w:t>
      </w:r>
      <w:r w:rsidR="00AA0918" w:rsidRPr="003258F9">
        <w:rPr>
          <w:rFonts w:cstheme="minorHAnsi"/>
          <w:sz w:val="24"/>
          <w:szCs w:val="24"/>
        </w:rPr>
        <w:t xml:space="preserve"> in core areas</w:t>
      </w:r>
      <w:r w:rsidR="00426908" w:rsidRPr="003258F9">
        <w:rPr>
          <w:rFonts w:cstheme="minorHAnsi"/>
          <w:sz w:val="24"/>
          <w:szCs w:val="24"/>
        </w:rPr>
        <w:t>. This may be</w:t>
      </w:r>
      <w:r w:rsidR="005E3C7A" w:rsidRPr="003258F9">
        <w:rPr>
          <w:rFonts w:cstheme="minorHAnsi"/>
          <w:sz w:val="24"/>
          <w:szCs w:val="24"/>
        </w:rPr>
        <w:t xml:space="preserve"> welcome in certain contexts</w:t>
      </w:r>
      <w:r w:rsidR="00426908" w:rsidRPr="003258F9">
        <w:rPr>
          <w:rFonts w:cstheme="minorHAnsi"/>
          <w:sz w:val="24"/>
          <w:szCs w:val="24"/>
        </w:rPr>
        <w:t>, although ‘particular’ social trust is not considered to be as socially beneficial</w:t>
      </w:r>
      <w:r w:rsidR="00AA0918" w:rsidRPr="003258F9">
        <w:rPr>
          <w:rFonts w:cstheme="minorHAnsi"/>
          <w:sz w:val="24"/>
          <w:szCs w:val="24"/>
        </w:rPr>
        <w:t xml:space="preserve"> as generalised social trust</w:t>
      </w:r>
      <w:r w:rsidR="00426908" w:rsidRPr="003258F9">
        <w:rPr>
          <w:rFonts w:cstheme="minorHAnsi"/>
          <w:sz w:val="24"/>
          <w:szCs w:val="24"/>
        </w:rPr>
        <w:t xml:space="preserve">. </w:t>
      </w:r>
    </w:p>
    <w:bookmarkEnd w:id="5"/>
    <w:p w14:paraId="42B1D732" w14:textId="6547364D" w:rsidR="00AF0D44" w:rsidRPr="003258F9" w:rsidRDefault="77A12534" w:rsidP="00AF0D44">
      <w:pPr>
        <w:spacing w:after="120" w:line="480" w:lineRule="auto"/>
        <w:rPr>
          <w:rFonts w:cstheme="minorHAnsi"/>
          <w:sz w:val="24"/>
          <w:szCs w:val="24"/>
        </w:rPr>
      </w:pPr>
      <w:r w:rsidRPr="003258F9">
        <w:rPr>
          <w:rFonts w:cstheme="minorHAnsi"/>
          <w:sz w:val="24"/>
          <w:szCs w:val="24"/>
        </w:rPr>
        <w:t xml:space="preserve">Our paper is structured as follows. We first develop our theoretical argument by exploring the relationship between different types of social ties and social and political trust, deriving a series of hypotheses based on these ideas. We next test these expectations empirically by linking cross-national survey data from the European Social Survey (ESS) with subnational data on Facebook friendships. Our </w:t>
      </w:r>
      <w:r w:rsidR="00B17A0F">
        <w:rPr>
          <w:rFonts w:cstheme="minorHAnsi"/>
          <w:sz w:val="24"/>
          <w:szCs w:val="24"/>
        </w:rPr>
        <w:t xml:space="preserve">survey </w:t>
      </w:r>
      <w:r w:rsidRPr="003258F9">
        <w:rPr>
          <w:rFonts w:cstheme="minorHAnsi"/>
          <w:sz w:val="24"/>
          <w:szCs w:val="24"/>
        </w:rPr>
        <w:t>data consist of up to 11</w:t>
      </w:r>
      <w:r w:rsidR="001D1048" w:rsidRPr="003258F9">
        <w:rPr>
          <w:rFonts w:cstheme="minorHAnsi"/>
          <w:sz w:val="24"/>
          <w:szCs w:val="24"/>
        </w:rPr>
        <w:t>1</w:t>
      </w:r>
      <w:r w:rsidRPr="003258F9">
        <w:rPr>
          <w:rFonts w:cstheme="minorHAnsi"/>
          <w:sz w:val="24"/>
          <w:szCs w:val="24"/>
        </w:rPr>
        <w:t>,</w:t>
      </w:r>
      <w:r w:rsidR="001D1048" w:rsidRPr="003258F9">
        <w:rPr>
          <w:rFonts w:cstheme="minorHAnsi"/>
          <w:sz w:val="24"/>
          <w:szCs w:val="24"/>
        </w:rPr>
        <w:t>261</w:t>
      </w:r>
      <w:r w:rsidRPr="003258F9">
        <w:rPr>
          <w:rFonts w:cstheme="minorHAnsi"/>
          <w:sz w:val="24"/>
          <w:szCs w:val="24"/>
        </w:rPr>
        <w:t xml:space="preserve"> respondents in 22 countries over the period between 2010 and 2019, with a total of 298 subnational units across those countries. In our analysis, we assess how connected people in regions are </w:t>
      </w:r>
      <w:r w:rsidRPr="003258F9">
        <w:rPr>
          <w:rFonts w:cstheme="minorHAnsi"/>
          <w:i/>
          <w:iCs/>
          <w:sz w:val="24"/>
          <w:szCs w:val="24"/>
        </w:rPr>
        <w:t>to their own region</w:t>
      </w:r>
      <w:r w:rsidRPr="003258F9">
        <w:rPr>
          <w:rFonts w:cstheme="minorHAnsi"/>
          <w:sz w:val="24"/>
          <w:szCs w:val="24"/>
        </w:rPr>
        <w:t xml:space="preserve"> </w:t>
      </w:r>
      <w:r w:rsidR="009727DB" w:rsidRPr="003258F9">
        <w:rPr>
          <w:rFonts w:cstheme="minorHAnsi"/>
          <w:sz w:val="24"/>
          <w:szCs w:val="24"/>
        </w:rPr>
        <w:t xml:space="preserve">on the one hand, and to </w:t>
      </w:r>
      <w:r w:rsidRPr="003258F9">
        <w:rPr>
          <w:rFonts w:cstheme="minorHAnsi"/>
          <w:sz w:val="24"/>
          <w:szCs w:val="24"/>
        </w:rPr>
        <w:t>urban areas and</w:t>
      </w:r>
      <w:r w:rsidR="00B17A0F">
        <w:rPr>
          <w:rFonts w:cstheme="minorHAnsi"/>
          <w:sz w:val="24"/>
          <w:szCs w:val="24"/>
        </w:rPr>
        <w:t xml:space="preserve"> to</w:t>
      </w:r>
      <w:r w:rsidRPr="003258F9">
        <w:rPr>
          <w:rFonts w:cstheme="minorHAnsi"/>
          <w:sz w:val="24"/>
          <w:szCs w:val="24"/>
        </w:rPr>
        <w:t xml:space="preserve"> the national capital</w:t>
      </w:r>
      <w:r w:rsidR="009727DB" w:rsidRPr="003258F9">
        <w:rPr>
          <w:rFonts w:cstheme="minorHAnsi"/>
          <w:sz w:val="24"/>
          <w:szCs w:val="24"/>
        </w:rPr>
        <w:t xml:space="preserve"> on the other</w:t>
      </w:r>
      <w:r w:rsidRPr="003258F9">
        <w:rPr>
          <w:rFonts w:cstheme="minorHAnsi"/>
          <w:sz w:val="24"/>
          <w:szCs w:val="24"/>
        </w:rPr>
        <w:t xml:space="preserve">. We then consider the relationship between these intra- and cross-region social ties and levels of social and political trust. The paper thus offers a significant novel advance in terms of its theoretical expectations, the use of big data to measure social connections, and the design of its Europe-wide empirical study. </w:t>
      </w:r>
    </w:p>
    <w:p w14:paraId="404F419D" w14:textId="3CCEE8E3" w:rsidR="00804C4B" w:rsidRPr="003258F9" w:rsidRDefault="0051338E" w:rsidP="002875BA">
      <w:pPr>
        <w:spacing w:after="0" w:line="480" w:lineRule="auto"/>
        <w:rPr>
          <w:rFonts w:cstheme="minorHAnsi"/>
          <w:sz w:val="24"/>
          <w:szCs w:val="24"/>
        </w:rPr>
      </w:pPr>
      <w:r w:rsidRPr="003258F9">
        <w:rPr>
          <w:rFonts w:cstheme="minorHAnsi"/>
          <w:sz w:val="24"/>
          <w:szCs w:val="24"/>
        </w:rPr>
        <w:t xml:space="preserve">Our </w:t>
      </w:r>
      <w:r w:rsidR="00EB4350" w:rsidRPr="003258F9">
        <w:rPr>
          <w:rFonts w:cstheme="minorHAnsi"/>
          <w:sz w:val="24"/>
          <w:szCs w:val="24"/>
        </w:rPr>
        <w:t>results</w:t>
      </w:r>
      <w:r w:rsidRPr="003258F9">
        <w:rPr>
          <w:rFonts w:cstheme="minorHAnsi"/>
          <w:sz w:val="24"/>
          <w:szCs w:val="24"/>
        </w:rPr>
        <w:t xml:space="preserve"> s</w:t>
      </w:r>
      <w:r w:rsidR="00F40730" w:rsidRPr="003258F9">
        <w:rPr>
          <w:rFonts w:cstheme="minorHAnsi"/>
          <w:sz w:val="24"/>
          <w:szCs w:val="24"/>
        </w:rPr>
        <w:t>how that</w:t>
      </w:r>
      <w:r w:rsidR="006D40CC" w:rsidRPr="003258F9">
        <w:rPr>
          <w:rFonts w:cstheme="minorHAnsi"/>
          <w:sz w:val="24"/>
          <w:szCs w:val="24"/>
        </w:rPr>
        <w:t xml:space="preserve"> people in regions with more local (within-region) connections exhibit lower political trust, but higher levels of (particular) social trust. On the other hand, people </w:t>
      </w:r>
      <w:r w:rsidR="006D40CC" w:rsidRPr="003258F9">
        <w:rPr>
          <w:rFonts w:cstheme="minorHAnsi"/>
          <w:sz w:val="24"/>
          <w:szCs w:val="24"/>
        </w:rPr>
        <w:lastRenderedPageBreak/>
        <w:t xml:space="preserve">in regions with more social ties to national capitals and urban centres exhibit higher levels of political trust but lower (particular) social trust. </w:t>
      </w:r>
      <w:r w:rsidR="00AF0D44" w:rsidRPr="003258F9">
        <w:rPr>
          <w:rFonts w:cstheme="minorHAnsi"/>
          <w:sz w:val="24"/>
          <w:szCs w:val="24"/>
        </w:rPr>
        <w:t xml:space="preserve">These results hold controlling for other </w:t>
      </w:r>
      <w:r w:rsidR="00903EF4" w:rsidRPr="003258F9">
        <w:rPr>
          <w:rFonts w:cstheme="minorHAnsi"/>
          <w:sz w:val="24"/>
          <w:szCs w:val="24"/>
        </w:rPr>
        <w:t xml:space="preserve">factors identified in the literature as contributors to the ‘geography of discontent’, </w:t>
      </w:r>
      <w:r w:rsidR="00AF0D44" w:rsidRPr="003258F9">
        <w:rPr>
          <w:rFonts w:cstheme="minorHAnsi"/>
          <w:sz w:val="24"/>
          <w:szCs w:val="24"/>
        </w:rPr>
        <w:t xml:space="preserve">including regional GDP and unemployment, industrial decline and net migration. </w:t>
      </w:r>
      <w:r w:rsidR="00903EF4" w:rsidRPr="003258F9">
        <w:rPr>
          <w:rFonts w:cstheme="minorHAnsi"/>
          <w:sz w:val="24"/>
          <w:szCs w:val="24"/>
        </w:rPr>
        <w:t xml:space="preserve">Our results support the argument that the structure of social ties available to different regions may </w:t>
      </w:r>
      <w:r w:rsidR="006F63F0" w:rsidRPr="003258F9">
        <w:rPr>
          <w:rFonts w:cstheme="minorHAnsi"/>
          <w:sz w:val="24"/>
          <w:szCs w:val="24"/>
        </w:rPr>
        <w:t>impact</w:t>
      </w:r>
      <w:r w:rsidR="00903EF4" w:rsidRPr="003258F9">
        <w:rPr>
          <w:rFonts w:cstheme="minorHAnsi"/>
          <w:sz w:val="24"/>
          <w:szCs w:val="24"/>
        </w:rPr>
        <w:t xml:space="preserve"> on both political trust and trust in </w:t>
      </w:r>
      <w:r w:rsidR="006F63F0" w:rsidRPr="003258F9">
        <w:rPr>
          <w:rFonts w:cstheme="minorHAnsi"/>
          <w:sz w:val="24"/>
          <w:szCs w:val="24"/>
        </w:rPr>
        <w:t>other people</w:t>
      </w:r>
      <w:r w:rsidR="00903EF4" w:rsidRPr="003258F9">
        <w:rPr>
          <w:rFonts w:cstheme="minorHAnsi"/>
          <w:sz w:val="24"/>
          <w:szCs w:val="24"/>
        </w:rPr>
        <w:t xml:space="preserve">. </w:t>
      </w:r>
    </w:p>
    <w:p w14:paraId="108A71EE" w14:textId="2A4175A7" w:rsidR="00EB4350" w:rsidRPr="003258F9" w:rsidRDefault="00EB4350" w:rsidP="002875BA">
      <w:pPr>
        <w:spacing w:after="0" w:line="480" w:lineRule="auto"/>
        <w:rPr>
          <w:rFonts w:cstheme="minorHAnsi"/>
          <w:sz w:val="24"/>
          <w:szCs w:val="24"/>
        </w:rPr>
      </w:pPr>
    </w:p>
    <w:p w14:paraId="765C0BB1" w14:textId="1FB900D2" w:rsidR="007A6C7A" w:rsidRPr="003258F9" w:rsidRDefault="007A6C7A" w:rsidP="00803772">
      <w:pPr>
        <w:pStyle w:val="Heading1"/>
        <w:ind w:left="360"/>
        <w:rPr>
          <w:rFonts w:cstheme="minorHAnsi"/>
          <w:lang w:val="en-AU"/>
        </w:rPr>
      </w:pPr>
      <w:r w:rsidRPr="003258F9">
        <w:rPr>
          <w:rFonts w:cstheme="minorHAnsi"/>
          <w:lang w:val="en-AU"/>
        </w:rPr>
        <w:t xml:space="preserve">Political trust and the geography of discontent </w:t>
      </w:r>
    </w:p>
    <w:p w14:paraId="63F3FFF6" w14:textId="14411493" w:rsidR="00C53AFD" w:rsidRPr="003258F9" w:rsidRDefault="00C53AFD" w:rsidP="00C53AFD">
      <w:pPr>
        <w:spacing w:line="480" w:lineRule="auto"/>
        <w:rPr>
          <w:rFonts w:cstheme="minorHAnsi"/>
          <w:sz w:val="24"/>
          <w:szCs w:val="24"/>
          <w:lang w:val="en-US"/>
        </w:rPr>
      </w:pPr>
      <w:r w:rsidRPr="003258F9">
        <w:rPr>
          <w:rFonts w:cstheme="minorHAnsi"/>
          <w:sz w:val="24"/>
          <w:szCs w:val="24"/>
          <w:lang w:val="en-US"/>
        </w:rPr>
        <w:t xml:space="preserve">A broad definition of trust is that </w:t>
      </w:r>
      <w:r w:rsidR="00F40730" w:rsidRPr="003258F9">
        <w:rPr>
          <w:rFonts w:cstheme="minorHAnsi"/>
          <w:sz w:val="24"/>
          <w:szCs w:val="24"/>
          <w:lang w:val="en-US"/>
        </w:rPr>
        <w:t xml:space="preserve">it concerns </w:t>
      </w:r>
      <w:r w:rsidRPr="003258F9">
        <w:rPr>
          <w:rFonts w:cstheme="minorHAnsi"/>
          <w:sz w:val="24"/>
          <w:szCs w:val="24"/>
          <w:lang w:val="en-US"/>
        </w:rPr>
        <w:t>the willingness to make oneself vulnerable in the expectation that an action will be performed without monitoring or control. Put another way,</w:t>
      </w:r>
      <w:r w:rsidR="000E0D67" w:rsidRPr="003258F9">
        <w:rPr>
          <w:rFonts w:cstheme="minorHAnsi"/>
          <w:sz w:val="24"/>
          <w:szCs w:val="24"/>
          <w:lang w:val="en-US"/>
        </w:rPr>
        <w:t xml:space="preserve"> to</w:t>
      </w:r>
      <w:r w:rsidRPr="003258F9">
        <w:rPr>
          <w:rFonts w:cstheme="minorHAnsi"/>
          <w:sz w:val="24"/>
          <w:szCs w:val="24"/>
          <w:lang w:val="en-US"/>
        </w:rPr>
        <w:t xml:space="preserve"> trust is</w:t>
      </w:r>
      <w:r w:rsidR="000E0D67" w:rsidRPr="003258F9">
        <w:rPr>
          <w:rFonts w:cstheme="minorHAnsi"/>
          <w:sz w:val="24"/>
          <w:szCs w:val="24"/>
          <w:lang w:val="en-US"/>
        </w:rPr>
        <w:t xml:space="preserve"> to</w:t>
      </w:r>
      <w:r w:rsidRPr="003258F9">
        <w:rPr>
          <w:rFonts w:cstheme="minorHAnsi"/>
          <w:sz w:val="24"/>
          <w:szCs w:val="24"/>
          <w:lang w:val="en-US"/>
        </w:rPr>
        <w:t xml:space="preserve"> </w:t>
      </w:r>
      <w:r w:rsidR="000E0D67" w:rsidRPr="003258F9">
        <w:rPr>
          <w:rFonts w:cstheme="minorHAnsi"/>
          <w:sz w:val="24"/>
          <w:szCs w:val="24"/>
          <w:lang w:val="en-US"/>
        </w:rPr>
        <w:t>make oneself</w:t>
      </w:r>
      <w:r w:rsidRPr="003258F9">
        <w:rPr>
          <w:rFonts w:cstheme="minorHAnsi"/>
          <w:sz w:val="24"/>
          <w:szCs w:val="24"/>
          <w:lang w:val="en-US"/>
        </w:rPr>
        <w:t xml:space="preserve"> vulnerable to an object (person, </w:t>
      </w:r>
      <w:proofErr w:type="spellStart"/>
      <w:proofErr w:type="gramStart"/>
      <w:r w:rsidRPr="003258F9">
        <w:rPr>
          <w:rFonts w:cstheme="minorHAnsi"/>
          <w:sz w:val="24"/>
          <w:szCs w:val="24"/>
          <w:lang w:val="en-US"/>
        </w:rPr>
        <w:t>organisation</w:t>
      </w:r>
      <w:proofErr w:type="spellEnd"/>
      <w:proofErr w:type="gramEnd"/>
      <w:r w:rsidRPr="003258F9">
        <w:rPr>
          <w:rFonts w:cstheme="minorHAnsi"/>
          <w:sz w:val="24"/>
          <w:szCs w:val="24"/>
          <w:lang w:val="en-US"/>
        </w:rPr>
        <w:t xml:space="preserve"> or institution, for instance) that could betray</w:t>
      </w:r>
      <w:r w:rsidR="00B573BF" w:rsidRPr="003258F9">
        <w:rPr>
          <w:rFonts w:cstheme="minorHAnsi"/>
          <w:sz w:val="24"/>
          <w:szCs w:val="24"/>
          <w:lang w:val="en-US"/>
        </w:rPr>
        <w:t xml:space="preserve"> you</w:t>
      </w:r>
      <w:r w:rsidRPr="003258F9">
        <w:rPr>
          <w:rFonts w:cstheme="minorHAnsi"/>
          <w:sz w:val="24"/>
          <w:szCs w:val="24"/>
          <w:lang w:val="en-US"/>
        </w:rPr>
        <w:t xml:space="preserve"> or do </w:t>
      </w:r>
      <w:r w:rsidR="00B573BF" w:rsidRPr="003258F9">
        <w:rPr>
          <w:rFonts w:cstheme="minorHAnsi"/>
          <w:sz w:val="24"/>
          <w:szCs w:val="24"/>
          <w:lang w:val="en-US"/>
        </w:rPr>
        <w:t xml:space="preserve">you </w:t>
      </w:r>
      <w:r w:rsidRPr="003258F9">
        <w:rPr>
          <w:rFonts w:cstheme="minorHAnsi"/>
          <w:sz w:val="24"/>
          <w:szCs w:val="24"/>
          <w:lang w:val="en-US"/>
        </w:rPr>
        <w:t xml:space="preserve">some harm (Levi </w:t>
      </w:r>
      <w:r w:rsidR="00C0665D" w:rsidRPr="003258F9">
        <w:rPr>
          <w:rFonts w:cstheme="minorHAnsi"/>
          <w:sz w:val="24"/>
          <w:szCs w:val="24"/>
          <w:lang w:val="en-US"/>
        </w:rPr>
        <w:t>and</w:t>
      </w:r>
      <w:r w:rsidRPr="003258F9">
        <w:rPr>
          <w:rFonts w:cstheme="minorHAnsi"/>
          <w:sz w:val="24"/>
          <w:szCs w:val="24"/>
          <w:lang w:val="en-US"/>
        </w:rPr>
        <w:t xml:space="preserve"> Stoker</w:t>
      </w:r>
      <w:r w:rsidR="00406962" w:rsidRPr="003258F9">
        <w:rPr>
          <w:rFonts w:cstheme="minorHAnsi"/>
          <w:sz w:val="24"/>
          <w:szCs w:val="24"/>
          <w:lang w:val="en-US"/>
        </w:rPr>
        <w:t xml:space="preserve"> 2000</w:t>
      </w:r>
      <w:r w:rsidR="00940760" w:rsidRPr="003258F9">
        <w:rPr>
          <w:rFonts w:cstheme="minorHAnsi"/>
          <w:sz w:val="24"/>
          <w:szCs w:val="24"/>
          <w:lang w:val="en-US"/>
        </w:rPr>
        <w:t>; Baier 2013</w:t>
      </w:r>
      <w:r w:rsidR="00406962" w:rsidRPr="003258F9">
        <w:rPr>
          <w:rFonts w:cstheme="minorHAnsi"/>
          <w:sz w:val="24"/>
          <w:szCs w:val="24"/>
          <w:lang w:val="en-US"/>
        </w:rPr>
        <w:t>)</w:t>
      </w:r>
      <w:r w:rsidR="00C0665D" w:rsidRPr="003258F9">
        <w:rPr>
          <w:rFonts w:cstheme="minorHAnsi"/>
          <w:sz w:val="24"/>
          <w:szCs w:val="24"/>
          <w:lang w:val="en-US"/>
        </w:rPr>
        <w:t>.</w:t>
      </w:r>
      <w:r w:rsidRPr="003258F9">
        <w:rPr>
          <w:rFonts w:cstheme="minorHAnsi"/>
          <w:sz w:val="24"/>
          <w:szCs w:val="24"/>
          <w:lang w:val="en-AU"/>
        </w:rPr>
        <w:t xml:space="preserve"> Trust oils the wheels of social</w:t>
      </w:r>
      <w:r w:rsidR="000E0D67" w:rsidRPr="003258F9">
        <w:rPr>
          <w:rFonts w:cstheme="minorHAnsi"/>
          <w:sz w:val="24"/>
          <w:szCs w:val="24"/>
          <w:lang w:val="en-AU"/>
        </w:rPr>
        <w:t xml:space="preserve">, </w:t>
      </w:r>
      <w:proofErr w:type="gramStart"/>
      <w:r w:rsidR="000E0D67" w:rsidRPr="003258F9">
        <w:rPr>
          <w:rFonts w:cstheme="minorHAnsi"/>
          <w:sz w:val="24"/>
          <w:szCs w:val="24"/>
          <w:lang w:val="en-AU"/>
        </w:rPr>
        <w:t>economic</w:t>
      </w:r>
      <w:proofErr w:type="gramEnd"/>
      <w:r w:rsidRPr="003258F9">
        <w:rPr>
          <w:rFonts w:cstheme="minorHAnsi"/>
          <w:sz w:val="24"/>
          <w:szCs w:val="24"/>
          <w:lang w:val="en-AU"/>
        </w:rPr>
        <w:t xml:space="preserve"> and political exchange</w:t>
      </w:r>
      <w:r w:rsidR="009A4FF3" w:rsidRPr="003258F9">
        <w:rPr>
          <w:rFonts w:cstheme="minorHAnsi"/>
          <w:sz w:val="24"/>
          <w:szCs w:val="24"/>
          <w:lang w:val="en-AU"/>
        </w:rPr>
        <w:t>,</w:t>
      </w:r>
      <w:r w:rsidR="000E0D67" w:rsidRPr="003258F9">
        <w:rPr>
          <w:rFonts w:cstheme="minorHAnsi"/>
          <w:sz w:val="24"/>
          <w:szCs w:val="24"/>
          <w:lang w:val="en-AU"/>
        </w:rPr>
        <w:t xml:space="preserve"> by enabling cooperation,</w:t>
      </w:r>
      <w:r w:rsidRPr="003258F9">
        <w:rPr>
          <w:rFonts w:cstheme="minorHAnsi"/>
          <w:sz w:val="24"/>
          <w:szCs w:val="24"/>
          <w:lang w:val="en-AU"/>
        </w:rPr>
        <w:t xml:space="preserve"> but risk</w:t>
      </w:r>
      <w:r w:rsidR="000E0D67" w:rsidRPr="003258F9">
        <w:rPr>
          <w:rFonts w:cstheme="minorHAnsi"/>
          <w:sz w:val="24"/>
          <w:szCs w:val="24"/>
          <w:lang w:val="en-AU"/>
        </w:rPr>
        <w:t xml:space="preserve"> is involved</w:t>
      </w:r>
      <w:r w:rsidRPr="003258F9">
        <w:rPr>
          <w:rFonts w:cstheme="minorHAnsi"/>
          <w:sz w:val="24"/>
          <w:szCs w:val="24"/>
          <w:lang w:val="en-AU"/>
        </w:rPr>
        <w:t xml:space="preserve"> </w:t>
      </w:r>
      <w:r w:rsidR="001D1048" w:rsidRPr="003258F9">
        <w:rPr>
          <w:rFonts w:cstheme="minorHAnsi"/>
          <w:sz w:val="24"/>
          <w:szCs w:val="24"/>
          <w:lang w:val="en-AU"/>
        </w:rPr>
        <w:t xml:space="preserve">in </w:t>
      </w:r>
      <w:r w:rsidR="00B9244C" w:rsidRPr="003258F9">
        <w:rPr>
          <w:rFonts w:cstheme="minorHAnsi"/>
          <w:sz w:val="24"/>
          <w:szCs w:val="24"/>
          <w:lang w:val="en-AU"/>
        </w:rPr>
        <w:t>that transaction</w:t>
      </w:r>
      <w:r w:rsidRPr="003258F9">
        <w:rPr>
          <w:rFonts w:cstheme="minorHAnsi"/>
          <w:sz w:val="24"/>
          <w:szCs w:val="24"/>
          <w:lang w:val="en-AU"/>
        </w:rPr>
        <w:t xml:space="preserve">. </w:t>
      </w:r>
      <w:r w:rsidR="00B9244C" w:rsidRPr="003258F9">
        <w:rPr>
          <w:rFonts w:cstheme="minorHAnsi"/>
          <w:sz w:val="24"/>
          <w:szCs w:val="24"/>
          <w:lang w:val="en-AU"/>
        </w:rPr>
        <w:t>B</w:t>
      </w:r>
      <w:r w:rsidRPr="003258F9">
        <w:rPr>
          <w:rFonts w:cstheme="minorHAnsi"/>
          <w:sz w:val="24"/>
          <w:szCs w:val="24"/>
          <w:lang w:val="en-AU"/>
        </w:rPr>
        <w:t xml:space="preserve">eing trusted </w:t>
      </w:r>
      <w:r w:rsidR="00B9244C" w:rsidRPr="003258F9">
        <w:rPr>
          <w:rFonts w:cstheme="minorHAnsi"/>
          <w:sz w:val="24"/>
          <w:szCs w:val="24"/>
          <w:lang w:val="en-AU"/>
        </w:rPr>
        <w:t>and</w:t>
      </w:r>
      <w:r w:rsidRPr="003258F9">
        <w:rPr>
          <w:rFonts w:cstheme="minorHAnsi"/>
          <w:sz w:val="24"/>
          <w:szCs w:val="24"/>
          <w:lang w:val="en-AU"/>
        </w:rPr>
        <w:t xml:space="preserve"> </w:t>
      </w:r>
      <w:r w:rsidR="00940760" w:rsidRPr="003258F9">
        <w:rPr>
          <w:rFonts w:cstheme="minorHAnsi"/>
          <w:sz w:val="24"/>
          <w:szCs w:val="24"/>
          <w:lang w:val="en-AU"/>
        </w:rPr>
        <w:t xml:space="preserve">deciding to </w:t>
      </w:r>
      <w:r w:rsidRPr="003258F9">
        <w:rPr>
          <w:rFonts w:cstheme="minorHAnsi"/>
          <w:sz w:val="24"/>
          <w:szCs w:val="24"/>
          <w:lang w:val="en-AU"/>
        </w:rPr>
        <w:t xml:space="preserve">trust are far from straightforward human tasks. </w:t>
      </w:r>
      <w:r w:rsidR="000E0D67" w:rsidRPr="003258F9">
        <w:rPr>
          <w:rFonts w:cstheme="minorHAnsi"/>
          <w:sz w:val="24"/>
          <w:szCs w:val="24"/>
          <w:lang w:val="en-AU"/>
        </w:rPr>
        <w:t>These</w:t>
      </w:r>
      <w:r w:rsidR="00940760" w:rsidRPr="003258F9">
        <w:rPr>
          <w:rFonts w:cstheme="minorHAnsi"/>
          <w:sz w:val="24"/>
          <w:szCs w:val="24"/>
          <w:lang w:val="en-AU"/>
        </w:rPr>
        <w:t xml:space="preserve"> </w:t>
      </w:r>
      <w:r w:rsidR="00B9244C" w:rsidRPr="003258F9">
        <w:rPr>
          <w:rFonts w:cstheme="minorHAnsi"/>
          <w:sz w:val="24"/>
          <w:szCs w:val="24"/>
          <w:lang w:val="en-AU"/>
        </w:rPr>
        <w:t>entail</w:t>
      </w:r>
      <w:r w:rsidR="00940760" w:rsidRPr="003258F9">
        <w:rPr>
          <w:rFonts w:cstheme="minorHAnsi"/>
          <w:sz w:val="24"/>
          <w:szCs w:val="24"/>
          <w:lang w:val="en-AU"/>
        </w:rPr>
        <w:t xml:space="preserve"> a complex process of signalling that you can be trusted and an appropriate reception of that signal</w:t>
      </w:r>
      <w:r w:rsidR="00B9244C" w:rsidRPr="003258F9">
        <w:rPr>
          <w:rFonts w:cstheme="minorHAnsi"/>
          <w:sz w:val="24"/>
          <w:szCs w:val="24"/>
          <w:lang w:val="en-AU"/>
        </w:rPr>
        <w:t xml:space="preserve"> of trustworthiness</w:t>
      </w:r>
      <w:r w:rsidR="00940760" w:rsidRPr="003258F9">
        <w:rPr>
          <w:rFonts w:cstheme="minorHAnsi"/>
          <w:sz w:val="24"/>
          <w:szCs w:val="24"/>
          <w:lang w:val="en-AU"/>
        </w:rPr>
        <w:t xml:space="preserve">, and it regularly goes wrong (Jones 2013). </w:t>
      </w:r>
      <w:r w:rsidRPr="003258F9">
        <w:rPr>
          <w:rFonts w:cstheme="minorHAnsi"/>
          <w:sz w:val="24"/>
          <w:szCs w:val="24"/>
          <w:lang w:val="en-US"/>
        </w:rPr>
        <w:t xml:space="preserve">Trust is a leap of faith, but one that people appear </w:t>
      </w:r>
      <w:r w:rsidR="00416BDE" w:rsidRPr="003258F9">
        <w:rPr>
          <w:rFonts w:cstheme="minorHAnsi"/>
          <w:sz w:val="24"/>
          <w:szCs w:val="24"/>
          <w:lang w:val="en-US"/>
        </w:rPr>
        <w:t xml:space="preserve">more </w:t>
      </w:r>
      <w:r w:rsidRPr="003258F9">
        <w:rPr>
          <w:rFonts w:cstheme="minorHAnsi"/>
          <w:sz w:val="24"/>
          <w:szCs w:val="24"/>
          <w:lang w:val="en-US"/>
        </w:rPr>
        <w:t>willing and able to make in some co</w:t>
      </w:r>
      <w:r w:rsidR="00940760" w:rsidRPr="003258F9">
        <w:rPr>
          <w:rFonts w:cstheme="minorHAnsi"/>
          <w:sz w:val="24"/>
          <w:szCs w:val="24"/>
          <w:lang w:val="en-US"/>
        </w:rPr>
        <w:t>ntexts than</w:t>
      </w:r>
      <w:r w:rsidR="00B573BF" w:rsidRPr="003258F9">
        <w:rPr>
          <w:rFonts w:cstheme="minorHAnsi"/>
          <w:sz w:val="24"/>
          <w:szCs w:val="24"/>
          <w:lang w:val="en-US"/>
        </w:rPr>
        <w:t xml:space="preserve"> in</w:t>
      </w:r>
      <w:r w:rsidR="00940760" w:rsidRPr="003258F9">
        <w:rPr>
          <w:rFonts w:cstheme="minorHAnsi"/>
          <w:sz w:val="24"/>
          <w:szCs w:val="24"/>
          <w:lang w:val="en-US"/>
        </w:rPr>
        <w:t xml:space="preserve"> other</w:t>
      </w:r>
      <w:r w:rsidR="00B573BF" w:rsidRPr="003258F9">
        <w:rPr>
          <w:rFonts w:cstheme="minorHAnsi"/>
          <w:sz w:val="24"/>
          <w:szCs w:val="24"/>
          <w:lang w:val="en-US"/>
        </w:rPr>
        <w:t>s</w:t>
      </w:r>
      <w:r w:rsidR="00B9244C" w:rsidRPr="003258F9">
        <w:rPr>
          <w:rFonts w:cstheme="minorHAnsi"/>
          <w:sz w:val="24"/>
          <w:szCs w:val="24"/>
          <w:lang w:val="en-US"/>
        </w:rPr>
        <w:t xml:space="preserve"> (and in others trust can be credulous, see Norris 2022)</w:t>
      </w:r>
      <w:r w:rsidR="00940760" w:rsidRPr="003258F9">
        <w:rPr>
          <w:rFonts w:cstheme="minorHAnsi"/>
          <w:sz w:val="24"/>
          <w:szCs w:val="24"/>
          <w:lang w:val="en-US"/>
        </w:rPr>
        <w:t>.</w:t>
      </w:r>
      <w:r w:rsidRPr="003258F9">
        <w:rPr>
          <w:rFonts w:cstheme="minorHAnsi"/>
          <w:sz w:val="24"/>
          <w:szCs w:val="24"/>
          <w:lang w:val="en-US"/>
        </w:rPr>
        <w:t xml:space="preserve"> </w:t>
      </w:r>
    </w:p>
    <w:p w14:paraId="38B4D6F1" w14:textId="321A9225" w:rsidR="007A6C7A" w:rsidRPr="003258F9" w:rsidRDefault="00C53AFD" w:rsidP="002875BA">
      <w:pPr>
        <w:spacing w:after="120" w:line="480" w:lineRule="auto"/>
        <w:rPr>
          <w:rFonts w:cstheme="minorHAnsi"/>
          <w:sz w:val="24"/>
          <w:szCs w:val="24"/>
          <w:lang w:val="en-AU"/>
        </w:rPr>
      </w:pPr>
      <w:r w:rsidRPr="003258F9">
        <w:rPr>
          <w:rFonts w:cstheme="minorHAnsi"/>
          <w:sz w:val="24"/>
          <w:szCs w:val="24"/>
          <w:lang w:val="en-AU"/>
        </w:rPr>
        <w:t xml:space="preserve">A </w:t>
      </w:r>
      <w:r w:rsidR="00940760" w:rsidRPr="003258F9">
        <w:rPr>
          <w:rFonts w:cstheme="minorHAnsi"/>
          <w:sz w:val="24"/>
          <w:szCs w:val="24"/>
          <w:lang w:val="en-AU"/>
        </w:rPr>
        <w:t>useful set of</w:t>
      </w:r>
      <w:r w:rsidRPr="003258F9">
        <w:rPr>
          <w:rFonts w:cstheme="minorHAnsi"/>
          <w:sz w:val="24"/>
          <w:szCs w:val="24"/>
          <w:lang w:val="en-AU"/>
        </w:rPr>
        <w:t xml:space="preserve"> distinction</w:t>
      </w:r>
      <w:r w:rsidR="00B573BF" w:rsidRPr="003258F9">
        <w:rPr>
          <w:rFonts w:cstheme="minorHAnsi"/>
          <w:sz w:val="24"/>
          <w:szCs w:val="24"/>
          <w:lang w:val="en-AU"/>
        </w:rPr>
        <w:t>s</w:t>
      </w:r>
      <w:r w:rsidRPr="003258F9">
        <w:rPr>
          <w:rFonts w:cstheme="minorHAnsi"/>
          <w:sz w:val="24"/>
          <w:szCs w:val="24"/>
          <w:lang w:val="en-AU"/>
        </w:rPr>
        <w:t xml:space="preserve"> is drawn</w:t>
      </w:r>
      <w:r w:rsidR="00940760" w:rsidRPr="003258F9">
        <w:rPr>
          <w:rFonts w:cstheme="minorHAnsi"/>
          <w:sz w:val="24"/>
          <w:szCs w:val="24"/>
          <w:lang w:val="en-AU"/>
        </w:rPr>
        <w:t xml:space="preserve"> by</w:t>
      </w:r>
      <w:r w:rsidR="00C72BF0" w:rsidRPr="003258F9">
        <w:rPr>
          <w:rFonts w:cstheme="minorHAnsi"/>
          <w:sz w:val="24"/>
          <w:szCs w:val="24"/>
          <w:lang w:val="en-AU"/>
        </w:rPr>
        <w:t xml:space="preserve"> </w:t>
      </w:r>
      <w:r w:rsidR="00940760" w:rsidRPr="003258F9">
        <w:rPr>
          <w:rFonts w:cstheme="minorHAnsi"/>
          <w:sz w:val="24"/>
          <w:szCs w:val="24"/>
          <w:lang w:val="en-US"/>
        </w:rPr>
        <w:t>Newton and Zmerli</w:t>
      </w:r>
      <w:r w:rsidR="004731C0" w:rsidRPr="003258F9">
        <w:rPr>
          <w:rFonts w:cstheme="minorHAnsi"/>
          <w:sz w:val="24"/>
          <w:szCs w:val="24"/>
          <w:lang w:val="en-US"/>
        </w:rPr>
        <w:t xml:space="preserve"> (2011)</w:t>
      </w:r>
      <w:r w:rsidR="00C0665D" w:rsidRPr="003258F9">
        <w:rPr>
          <w:rFonts w:cstheme="minorHAnsi"/>
          <w:sz w:val="24"/>
          <w:szCs w:val="24"/>
          <w:lang w:val="en-US"/>
        </w:rPr>
        <w:t xml:space="preserve"> </w:t>
      </w:r>
      <w:r w:rsidRPr="003258F9">
        <w:rPr>
          <w:rFonts w:cstheme="minorHAnsi"/>
          <w:sz w:val="24"/>
          <w:szCs w:val="24"/>
          <w:lang w:val="en-AU"/>
        </w:rPr>
        <w:t xml:space="preserve">between </w:t>
      </w:r>
      <w:r w:rsidRPr="003258F9">
        <w:rPr>
          <w:rFonts w:cstheme="minorHAnsi"/>
          <w:i/>
          <w:iCs/>
          <w:sz w:val="24"/>
          <w:szCs w:val="24"/>
          <w:lang w:val="en-AU"/>
        </w:rPr>
        <w:t>social trust</w:t>
      </w:r>
      <w:r w:rsidRPr="003258F9">
        <w:rPr>
          <w:rFonts w:cstheme="minorHAnsi"/>
          <w:sz w:val="24"/>
          <w:szCs w:val="24"/>
          <w:lang w:val="en-AU"/>
        </w:rPr>
        <w:t xml:space="preserve"> and </w:t>
      </w:r>
      <w:r w:rsidRPr="003258F9">
        <w:rPr>
          <w:rFonts w:cstheme="minorHAnsi"/>
          <w:i/>
          <w:iCs/>
          <w:sz w:val="24"/>
          <w:szCs w:val="24"/>
          <w:lang w:val="en-AU"/>
        </w:rPr>
        <w:t>political trust</w:t>
      </w:r>
      <w:r w:rsidRPr="003258F9">
        <w:rPr>
          <w:rFonts w:cstheme="minorHAnsi"/>
          <w:sz w:val="24"/>
          <w:szCs w:val="24"/>
          <w:lang w:val="en-AU"/>
        </w:rPr>
        <w:t xml:space="preserve">, with the difference between the two largely </w:t>
      </w:r>
      <w:r w:rsidR="009B0270" w:rsidRPr="003258F9">
        <w:rPr>
          <w:rFonts w:cstheme="minorHAnsi"/>
          <w:sz w:val="24"/>
          <w:szCs w:val="24"/>
          <w:lang w:val="en-AU"/>
        </w:rPr>
        <w:t>driven</w:t>
      </w:r>
      <w:r w:rsidRPr="003258F9">
        <w:rPr>
          <w:rFonts w:cstheme="minorHAnsi"/>
          <w:sz w:val="24"/>
          <w:szCs w:val="24"/>
          <w:lang w:val="en-AU"/>
        </w:rPr>
        <w:t xml:space="preserve"> by the object of trust</w:t>
      </w:r>
      <w:r w:rsidR="00B573BF" w:rsidRPr="003258F9">
        <w:rPr>
          <w:rFonts w:cstheme="minorHAnsi"/>
          <w:sz w:val="24"/>
          <w:szCs w:val="24"/>
          <w:lang w:val="en-AU"/>
        </w:rPr>
        <w:t xml:space="preserve">: </w:t>
      </w:r>
      <w:r w:rsidR="009B0270" w:rsidRPr="003258F9">
        <w:rPr>
          <w:rFonts w:cstheme="minorHAnsi"/>
          <w:sz w:val="24"/>
          <w:szCs w:val="24"/>
          <w:lang w:val="en-AU"/>
        </w:rPr>
        <w:t>in the first case</w:t>
      </w:r>
      <w:r w:rsidR="00B92DB2" w:rsidRPr="003258F9">
        <w:rPr>
          <w:rFonts w:cstheme="minorHAnsi"/>
          <w:sz w:val="24"/>
          <w:szCs w:val="24"/>
          <w:lang w:val="en-AU"/>
        </w:rPr>
        <w:t>,</w:t>
      </w:r>
      <w:r w:rsidR="009B0270" w:rsidRPr="003258F9">
        <w:rPr>
          <w:rFonts w:cstheme="minorHAnsi"/>
          <w:sz w:val="24"/>
          <w:szCs w:val="24"/>
          <w:lang w:val="en-AU"/>
        </w:rPr>
        <w:t xml:space="preserve"> </w:t>
      </w:r>
      <w:r w:rsidR="009B0270" w:rsidRPr="003258F9">
        <w:rPr>
          <w:rFonts w:cstheme="minorHAnsi"/>
          <w:i/>
          <w:iCs/>
          <w:sz w:val="24"/>
          <w:szCs w:val="24"/>
          <w:lang w:val="en-AU"/>
        </w:rPr>
        <w:t>other people</w:t>
      </w:r>
      <w:r w:rsidR="009B0270" w:rsidRPr="003258F9">
        <w:rPr>
          <w:rFonts w:cstheme="minorHAnsi"/>
          <w:sz w:val="24"/>
          <w:szCs w:val="24"/>
          <w:lang w:val="en-AU"/>
        </w:rPr>
        <w:t xml:space="preserve"> and in the second case </w:t>
      </w:r>
      <w:r w:rsidR="009B0270" w:rsidRPr="003258F9">
        <w:rPr>
          <w:rFonts w:cstheme="minorHAnsi"/>
          <w:i/>
          <w:iCs/>
          <w:sz w:val="24"/>
          <w:szCs w:val="24"/>
          <w:lang w:val="en-AU"/>
        </w:rPr>
        <w:t xml:space="preserve">political leaders, </w:t>
      </w:r>
      <w:proofErr w:type="gramStart"/>
      <w:r w:rsidR="009B0270" w:rsidRPr="003258F9">
        <w:rPr>
          <w:rFonts w:cstheme="minorHAnsi"/>
          <w:i/>
          <w:iCs/>
          <w:sz w:val="24"/>
          <w:szCs w:val="24"/>
          <w:lang w:val="en-AU"/>
        </w:rPr>
        <w:t>institutions</w:t>
      </w:r>
      <w:proofErr w:type="gramEnd"/>
      <w:r w:rsidR="009B0270" w:rsidRPr="003258F9">
        <w:rPr>
          <w:rFonts w:cstheme="minorHAnsi"/>
          <w:i/>
          <w:iCs/>
          <w:sz w:val="24"/>
          <w:szCs w:val="24"/>
          <w:lang w:val="en-AU"/>
        </w:rPr>
        <w:t xml:space="preserve"> and systems</w:t>
      </w:r>
      <w:r w:rsidR="009B0270" w:rsidRPr="003258F9">
        <w:rPr>
          <w:rFonts w:cstheme="minorHAnsi"/>
          <w:sz w:val="24"/>
          <w:szCs w:val="24"/>
          <w:lang w:val="en-AU"/>
        </w:rPr>
        <w:t>. Social trust</w:t>
      </w:r>
      <w:r w:rsidR="00B573BF" w:rsidRPr="003258F9">
        <w:rPr>
          <w:rFonts w:cstheme="minorHAnsi"/>
          <w:sz w:val="24"/>
          <w:szCs w:val="24"/>
          <w:lang w:val="en-AU"/>
        </w:rPr>
        <w:t xml:space="preserve"> can,</w:t>
      </w:r>
      <w:r w:rsidR="009B0270" w:rsidRPr="003258F9">
        <w:rPr>
          <w:rFonts w:cstheme="minorHAnsi"/>
          <w:sz w:val="24"/>
          <w:szCs w:val="24"/>
          <w:lang w:val="en-AU"/>
        </w:rPr>
        <w:t xml:space="preserve"> in turn</w:t>
      </w:r>
      <w:r w:rsidR="00B573BF" w:rsidRPr="003258F9">
        <w:rPr>
          <w:rFonts w:cstheme="minorHAnsi"/>
          <w:sz w:val="24"/>
          <w:szCs w:val="24"/>
          <w:lang w:val="en-AU"/>
        </w:rPr>
        <w:t>,</w:t>
      </w:r>
      <w:r w:rsidR="009B0270" w:rsidRPr="003258F9">
        <w:rPr>
          <w:rFonts w:cstheme="minorHAnsi"/>
          <w:sz w:val="24"/>
          <w:szCs w:val="24"/>
          <w:lang w:val="en-AU"/>
        </w:rPr>
        <w:t xml:space="preserve"> be divided </w:t>
      </w:r>
      <w:r w:rsidR="009B0270" w:rsidRPr="003258F9">
        <w:rPr>
          <w:rFonts w:cstheme="minorHAnsi"/>
          <w:sz w:val="24"/>
          <w:szCs w:val="24"/>
          <w:lang w:val="en-US"/>
        </w:rPr>
        <w:t xml:space="preserve">into particular social trust which is </w:t>
      </w:r>
      <w:r w:rsidR="009B0270" w:rsidRPr="003258F9">
        <w:rPr>
          <w:rFonts w:cstheme="minorHAnsi"/>
          <w:sz w:val="24"/>
          <w:szCs w:val="24"/>
          <w:lang w:val="en-AU"/>
        </w:rPr>
        <w:t xml:space="preserve">trust </w:t>
      </w:r>
      <w:r w:rsidR="00C0665D" w:rsidRPr="003258F9">
        <w:rPr>
          <w:rFonts w:cstheme="minorHAnsi"/>
          <w:sz w:val="24"/>
          <w:szCs w:val="24"/>
          <w:lang w:val="en-AU"/>
        </w:rPr>
        <w:t>‘</w:t>
      </w:r>
      <w:r w:rsidR="009B0270" w:rsidRPr="003258F9">
        <w:rPr>
          <w:rFonts w:cstheme="minorHAnsi"/>
          <w:sz w:val="24"/>
          <w:szCs w:val="24"/>
          <w:lang w:val="en-AU"/>
        </w:rPr>
        <w:t xml:space="preserve">associated with </w:t>
      </w:r>
      <w:r w:rsidR="009B0270" w:rsidRPr="003258F9">
        <w:rPr>
          <w:rFonts w:cstheme="minorHAnsi"/>
          <w:sz w:val="24"/>
          <w:szCs w:val="24"/>
          <w:lang w:val="en-AU"/>
        </w:rPr>
        <w:lastRenderedPageBreak/>
        <w:t xml:space="preserve">specific people or groups of people, whether known or in-group </w:t>
      </w:r>
      <w:proofErr w:type="gramStart"/>
      <w:r w:rsidR="009B0270" w:rsidRPr="003258F9">
        <w:rPr>
          <w:rFonts w:cstheme="minorHAnsi"/>
          <w:sz w:val="24"/>
          <w:szCs w:val="24"/>
          <w:lang w:val="en-AU"/>
        </w:rPr>
        <w:t>others’</w:t>
      </w:r>
      <w:proofErr w:type="gramEnd"/>
      <w:r w:rsidR="009B0270" w:rsidRPr="003258F9">
        <w:rPr>
          <w:rFonts w:cstheme="minorHAnsi"/>
          <w:sz w:val="24"/>
          <w:szCs w:val="24"/>
          <w:lang w:val="en-AU"/>
        </w:rPr>
        <w:t xml:space="preserve"> and general social trust which extends ‘in a more abstract manner to people as a whole in an unselective and unspecific manner’</w:t>
      </w:r>
      <w:r w:rsidR="004731C0" w:rsidRPr="003258F9">
        <w:rPr>
          <w:rFonts w:cstheme="minorHAnsi"/>
          <w:sz w:val="24"/>
          <w:szCs w:val="24"/>
          <w:lang w:val="en-AU"/>
        </w:rPr>
        <w:t xml:space="preserve"> (Newton and Zmerli 2011:</w:t>
      </w:r>
      <w:r w:rsidR="00C0665D" w:rsidRPr="003258F9">
        <w:rPr>
          <w:rFonts w:cstheme="minorHAnsi"/>
          <w:sz w:val="24"/>
          <w:szCs w:val="24"/>
          <w:lang w:val="en-AU"/>
        </w:rPr>
        <w:t xml:space="preserve"> </w:t>
      </w:r>
      <w:r w:rsidR="004731C0" w:rsidRPr="003258F9">
        <w:rPr>
          <w:rFonts w:cstheme="minorHAnsi"/>
          <w:sz w:val="24"/>
          <w:szCs w:val="24"/>
          <w:lang w:val="en-AU"/>
        </w:rPr>
        <w:t>171)</w:t>
      </w:r>
      <w:r w:rsidR="00B573BF" w:rsidRPr="003258F9">
        <w:rPr>
          <w:rFonts w:cstheme="minorHAnsi"/>
          <w:sz w:val="24"/>
          <w:szCs w:val="24"/>
          <w:lang w:val="en-AU"/>
        </w:rPr>
        <w:t>.</w:t>
      </w:r>
    </w:p>
    <w:p w14:paraId="13BEE837" w14:textId="383B044E" w:rsidR="00C5476E" w:rsidRPr="003258F9" w:rsidRDefault="77A12534" w:rsidP="77A12534">
      <w:pPr>
        <w:spacing w:after="120" w:line="480" w:lineRule="auto"/>
        <w:rPr>
          <w:rFonts w:cstheme="minorHAnsi"/>
          <w:sz w:val="24"/>
          <w:szCs w:val="24"/>
          <w:lang w:val="en-AU"/>
        </w:rPr>
      </w:pPr>
      <w:r w:rsidRPr="003258F9">
        <w:rPr>
          <w:rFonts w:cstheme="minorHAnsi"/>
          <w:sz w:val="24"/>
          <w:szCs w:val="24"/>
          <w:lang w:val="en-AU"/>
        </w:rPr>
        <w:t xml:space="preserve">Making a particular social trust judgement about a person or community you have known closely for years is different to making a trust judgement about a politician, political </w:t>
      </w:r>
      <w:proofErr w:type="gramStart"/>
      <w:r w:rsidRPr="003258F9">
        <w:rPr>
          <w:rFonts w:cstheme="minorHAnsi"/>
          <w:sz w:val="24"/>
          <w:szCs w:val="24"/>
          <w:lang w:val="en-AU"/>
        </w:rPr>
        <w:t>party</w:t>
      </w:r>
      <w:proofErr w:type="gramEnd"/>
      <w:r w:rsidRPr="003258F9">
        <w:rPr>
          <w:rFonts w:cstheme="minorHAnsi"/>
          <w:sz w:val="24"/>
          <w:szCs w:val="24"/>
          <w:lang w:val="en-AU"/>
        </w:rPr>
        <w:t xml:space="preserve"> or institution with which you infrequently engage with, and which is often filtered through information from mass media and via cues from other political actors. As Hardin (2006: 40-41) points out, trust in government is not the same type of relationship, nor can it mean the same thing, as trust in a relative or a neighbourhood because ‘trust in government is cognitively far too demanding to be a credible issue’. You stand a chance, through repeated direct interactions, of gaining enough knowledge to trust a friend or community (or not) but with government that is not the case. </w:t>
      </w:r>
      <w:r w:rsidRPr="003258F9">
        <w:rPr>
          <w:rFonts w:cstheme="minorHAnsi"/>
          <w:sz w:val="24"/>
          <w:szCs w:val="24"/>
        </w:rPr>
        <w:t>People when making trust judgement ‘seldom look for detailed evidence, which can be epistemically demanding; no doubt they often rely on quite approximate reputational evidence and heuristics’</w:t>
      </w:r>
      <w:r w:rsidRPr="003258F9">
        <w:rPr>
          <w:rFonts w:cstheme="minorHAnsi"/>
          <w:sz w:val="24"/>
          <w:szCs w:val="24"/>
          <w:lang w:val="en-US"/>
        </w:rPr>
        <w:t xml:space="preserve"> (</w:t>
      </w:r>
      <w:r w:rsidRPr="003258F9">
        <w:rPr>
          <w:rFonts w:cstheme="minorHAnsi"/>
          <w:sz w:val="24"/>
          <w:szCs w:val="24"/>
          <w:lang w:val="en-AU"/>
        </w:rPr>
        <w:t>O’Neill 2018: 295).</w:t>
      </w:r>
    </w:p>
    <w:p w14:paraId="5F7EF53E" w14:textId="1FBF1522" w:rsidR="007A6C7A" w:rsidRPr="003258F9" w:rsidRDefault="007A6C7A" w:rsidP="007A6C7A">
      <w:pPr>
        <w:spacing w:after="120" w:line="480" w:lineRule="auto"/>
        <w:rPr>
          <w:rFonts w:cstheme="minorHAnsi"/>
          <w:iCs/>
          <w:sz w:val="24"/>
          <w:szCs w:val="24"/>
        </w:rPr>
      </w:pPr>
      <w:r w:rsidRPr="003258F9">
        <w:rPr>
          <w:rFonts w:cstheme="minorHAnsi"/>
          <w:iCs/>
          <w:sz w:val="24"/>
          <w:szCs w:val="24"/>
        </w:rPr>
        <w:t>The attributes commonly identified as associated with trustworthiness are competence, integrity and benevolence (Mayer et al. 1995) and are viewed as essential to coming to the judgement that government is trustworthy (Levi and Stoker 2000). As Levi (2019: 362) observes, a ‘trustworthy government is one that keeps its promises (or has exceptionally good reasons why it fails to), is relatively fair in its decision-making and enforcement processes, and delivers goods and services’. For those seeking to gain or restore trust, the lessons of how to achieve that would seem clear: act with greater effectiveness, keep your promises and show you care about those who you ask to trust you.</w:t>
      </w:r>
    </w:p>
    <w:p w14:paraId="6D1C2751" w14:textId="4386A210" w:rsidR="007A6C7A" w:rsidRPr="003258F9" w:rsidRDefault="007A6C7A" w:rsidP="007A6C7A">
      <w:pPr>
        <w:spacing w:after="120" w:line="480" w:lineRule="auto"/>
        <w:rPr>
          <w:rFonts w:cstheme="minorHAnsi"/>
          <w:i/>
          <w:iCs/>
          <w:sz w:val="24"/>
          <w:szCs w:val="24"/>
          <w:lang w:val="en-US"/>
        </w:rPr>
      </w:pPr>
      <w:r w:rsidRPr="003258F9">
        <w:rPr>
          <w:rFonts w:cstheme="minorHAnsi"/>
          <w:sz w:val="24"/>
          <w:szCs w:val="24"/>
          <w:lang w:val="en-AU"/>
        </w:rPr>
        <w:lastRenderedPageBreak/>
        <w:t xml:space="preserve">Connecting these insights to existing work on the geography of political trust suggests that each of the factors of competence, benevolence and integrity might be in play. </w:t>
      </w:r>
      <w:r w:rsidRPr="003258F9">
        <w:rPr>
          <w:rFonts w:cstheme="minorHAnsi"/>
          <w:sz w:val="24"/>
          <w:szCs w:val="24"/>
        </w:rPr>
        <w:t>Mitsch et al. (2021) argue that low trust is primarily down to a classic determinant of political trust, under-performance of government in service delivery and economic activity: ‘we test hypotheses that suggest income and values affect trust and find little or no support for them. Instead, our results suggest that rural areas are becoming less trusting of the government because they perceive worse education, worse health, and worse economies than urban areas’ (Mitsch et al. 2021: 7).</w:t>
      </w:r>
      <w:r w:rsidRPr="003258F9">
        <w:rPr>
          <w:rFonts w:cstheme="minorHAnsi"/>
          <w:sz w:val="24"/>
          <w:szCs w:val="24"/>
          <w:lang w:val="en-AU"/>
        </w:rPr>
        <w:t xml:space="preserve"> </w:t>
      </w:r>
      <w:r w:rsidRPr="003258F9">
        <w:rPr>
          <w:rFonts w:cstheme="minorHAnsi"/>
          <w:sz w:val="24"/>
          <w:szCs w:val="24"/>
        </w:rPr>
        <w:t xml:space="preserve">Stein et al. (2021) </w:t>
      </w:r>
      <w:proofErr w:type="gramStart"/>
      <w:r w:rsidR="00A03A9C">
        <w:rPr>
          <w:rFonts w:cstheme="minorHAnsi"/>
          <w:sz w:val="24"/>
          <w:szCs w:val="24"/>
        </w:rPr>
        <w:t>propose</w:t>
      </w:r>
      <w:proofErr w:type="gramEnd"/>
      <w:r w:rsidRPr="003258F9">
        <w:rPr>
          <w:rFonts w:cstheme="minorHAnsi"/>
          <w:sz w:val="24"/>
          <w:szCs w:val="24"/>
        </w:rPr>
        <w:t xml:space="preserve"> a core-periphery dynamic for political trust, resting their explanation on the idea that national politicians are seen as far away and that a sense of distance makes a difference. They conclude that ‘spatial location matters’ </w:t>
      </w:r>
      <w:r w:rsidR="001D1048" w:rsidRPr="003258F9">
        <w:rPr>
          <w:rFonts w:cstheme="minorHAnsi"/>
          <w:sz w:val="24"/>
          <w:szCs w:val="24"/>
        </w:rPr>
        <w:t>(</w:t>
      </w:r>
      <w:r w:rsidR="00BA1739" w:rsidRPr="003258F9">
        <w:rPr>
          <w:rFonts w:cstheme="minorHAnsi"/>
          <w:sz w:val="24"/>
          <w:szCs w:val="24"/>
        </w:rPr>
        <w:t>2021:</w:t>
      </w:r>
      <w:r w:rsidR="00A03A9C">
        <w:rPr>
          <w:rFonts w:cstheme="minorHAnsi"/>
          <w:sz w:val="24"/>
          <w:szCs w:val="24"/>
        </w:rPr>
        <w:t xml:space="preserve"> </w:t>
      </w:r>
      <w:r w:rsidR="001D1048" w:rsidRPr="003258F9">
        <w:rPr>
          <w:rFonts w:cstheme="minorHAnsi"/>
          <w:sz w:val="24"/>
          <w:szCs w:val="24"/>
        </w:rPr>
        <w:t xml:space="preserve">15) </w:t>
      </w:r>
      <w:r w:rsidRPr="003258F9">
        <w:rPr>
          <w:rFonts w:cstheme="minorHAnsi"/>
          <w:sz w:val="24"/>
          <w:szCs w:val="24"/>
        </w:rPr>
        <w:t>and that while weak performance in service delivery, perceived increases in inequality, economic failure or lack of cultural understanding are present as factors there is an additional spatial factor connected to the historical and on-going impact of the differences between core and periphery regions. The tendency not to trust has deep roots</w:t>
      </w:r>
      <w:r w:rsidR="00BA1739" w:rsidRPr="003258F9">
        <w:rPr>
          <w:rFonts w:cstheme="minorHAnsi"/>
          <w:sz w:val="24"/>
          <w:szCs w:val="24"/>
        </w:rPr>
        <w:t>,</w:t>
      </w:r>
      <w:r w:rsidRPr="003258F9">
        <w:rPr>
          <w:rFonts w:cstheme="minorHAnsi"/>
          <w:sz w:val="24"/>
          <w:szCs w:val="24"/>
        </w:rPr>
        <w:t xml:space="preserve"> based on </w:t>
      </w:r>
      <w:proofErr w:type="spellStart"/>
      <w:r w:rsidRPr="003258F9">
        <w:rPr>
          <w:rFonts w:cstheme="minorHAnsi"/>
          <w:sz w:val="24"/>
          <w:szCs w:val="24"/>
        </w:rPr>
        <w:t>Rokkan’s</w:t>
      </w:r>
      <w:proofErr w:type="spellEnd"/>
      <w:r w:rsidRPr="003258F9">
        <w:rPr>
          <w:rFonts w:cstheme="minorHAnsi"/>
          <w:sz w:val="24"/>
          <w:szCs w:val="24"/>
        </w:rPr>
        <w:t xml:space="preserve"> (1999) understanding of the nation-building process that created a centre-periphery tension between the capital and peripheral regions, and that tension continues to resonate</w:t>
      </w:r>
      <w:r w:rsidRPr="003258F9">
        <w:rPr>
          <w:rFonts w:cstheme="minorHAnsi"/>
          <w:i/>
          <w:iCs/>
          <w:sz w:val="24"/>
          <w:szCs w:val="24"/>
          <w:lang w:val="en-US"/>
        </w:rPr>
        <w:t>.</w:t>
      </w:r>
    </w:p>
    <w:p w14:paraId="5383880C" w14:textId="77777777" w:rsidR="00393B05" w:rsidRPr="003258F9" w:rsidRDefault="00393B05" w:rsidP="007A6C7A">
      <w:pPr>
        <w:spacing w:after="120" w:line="480" w:lineRule="auto"/>
        <w:rPr>
          <w:rFonts w:cstheme="minorHAnsi"/>
          <w:i/>
          <w:iCs/>
          <w:sz w:val="24"/>
          <w:szCs w:val="24"/>
          <w:lang w:val="en-US"/>
        </w:rPr>
      </w:pPr>
    </w:p>
    <w:p w14:paraId="5DC52F7E" w14:textId="3BAA283F" w:rsidR="00F25C2B" w:rsidRPr="003258F9" w:rsidRDefault="00F25C2B" w:rsidP="00803772">
      <w:pPr>
        <w:pStyle w:val="Heading1"/>
        <w:ind w:left="360"/>
        <w:rPr>
          <w:rFonts w:cstheme="minorHAnsi"/>
          <w:sz w:val="26"/>
          <w:lang w:val="en-US"/>
        </w:rPr>
      </w:pPr>
      <w:r w:rsidRPr="003258F9">
        <w:rPr>
          <w:rFonts w:cstheme="minorHAnsi"/>
          <w:lang w:val="en-US"/>
        </w:rPr>
        <w:t>Bringing social ties in</w:t>
      </w:r>
    </w:p>
    <w:p w14:paraId="52F7B208" w14:textId="15F2D983" w:rsidR="0061200B" w:rsidRPr="003258F9" w:rsidRDefault="00804C4B" w:rsidP="00217B78">
      <w:pPr>
        <w:spacing w:after="120" w:line="480" w:lineRule="auto"/>
        <w:rPr>
          <w:rFonts w:cstheme="minorHAnsi"/>
          <w:sz w:val="24"/>
          <w:szCs w:val="24"/>
        </w:rPr>
      </w:pPr>
      <w:r w:rsidRPr="003258F9">
        <w:rPr>
          <w:rFonts w:cstheme="minorHAnsi"/>
          <w:sz w:val="24"/>
          <w:szCs w:val="24"/>
          <w:lang w:val="en-US"/>
        </w:rPr>
        <w:t>These studies</w:t>
      </w:r>
      <w:r w:rsidRPr="003258F9">
        <w:rPr>
          <w:rFonts w:cstheme="minorHAnsi"/>
          <w:sz w:val="24"/>
          <w:szCs w:val="24"/>
        </w:rPr>
        <w:t xml:space="preserve"> have delivered important insights, but they share a preoccupation with the immediate social context (one’s neighbourhood, </w:t>
      </w:r>
      <w:proofErr w:type="gramStart"/>
      <w:r w:rsidRPr="003258F9">
        <w:rPr>
          <w:rFonts w:cstheme="minorHAnsi"/>
          <w:sz w:val="24"/>
          <w:szCs w:val="24"/>
        </w:rPr>
        <w:t>town</w:t>
      </w:r>
      <w:proofErr w:type="gramEnd"/>
      <w:r w:rsidRPr="003258F9">
        <w:rPr>
          <w:rFonts w:cstheme="minorHAnsi"/>
          <w:sz w:val="24"/>
          <w:szCs w:val="24"/>
        </w:rPr>
        <w:t xml:space="preserve"> or region) rather than how places are connected. Various studies suggest that in ‘left-behind’ geographies (</w:t>
      </w:r>
      <w:bookmarkStart w:id="6" w:name="_Hlk121414391"/>
      <w:r w:rsidRPr="003258F9">
        <w:rPr>
          <w:rFonts w:cstheme="minorHAnsi"/>
          <w:sz w:val="24"/>
          <w:szCs w:val="24"/>
        </w:rPr>
        <w:t>less dense, rural, peripheral, physically isolated or economically lagging</w:t>
      </w:r>
      <w:bookmarkEnd w:id="6"/>
      <w:r w:rsidRPr="003258F9">
        <w:rPr>
          <w:rFonts w:cstheme="minorHAnsi"/>
          <w:sz w:val="24"/>
          <w:szCs w:val="24"/>
        </w:rPr>
        <w:t xml:space="preserve"> areas), people will display a greater </w:t>
      </w:r>
      <w:r w:rsidRPr="003258F9">
        <w:rPr>
          <w:rFonts w:cstheme="minorHAnsi"/>
          <w:sz w:val="24"/>
          <w:szCs w:val="24"/>
        </w:rPr>
        <w:lastRenderedPageBreak/>
        <w:t xml:space="preserve">reliance on </w:t>
      </w:r>
      <w:r w:rsidR="00BA1739" w:rsidRPr="003258F9">
        <w:rPr>
          <w:rFonts w:cstheme="minorHAnsi"/>
          <w:sz w:val="24"/>
          <w:szCs w:val="24"/>
        </w:rPr>
        <w:t>‘</w:t>
      </w:r>
      <w:r w:rsidRPr="003258F9">
        <w:rPr>
          <w:rFonts w:cstheme="minorHAnsi"/>
          <w:sz w:val="24"/>
          <w:szCs w:val="24"/>
        </w:rPr>
        <w:t>community</w:t>
      </w:r>
      <w:r w:rsidR="00BA1739" w:rsidRPr="003258F9">
        <w:rPr>
          <w:rFonts w:cstheme="minorHAnsi"/>
          <w:sz w:val="24"/>
          <w:szCs w:val="24"/>
        </w:rPr>
        <w:t>’</w:t>
      </w:r>
      <w:r w:rsidRPr="003258F9">
        <w:rPr>
          <w:rFonts w:cstheme="minorHAnsi"/>
          <w:sz w:val="24"/>
          <w:szCs w:val="24"/>
        </w:rPr>
        <w:t xml:space="preserve"> connections, with a relative deficit of ties that extend more widely. </w:t>
      </w:r>
      <w:r w:rsidR="00B17579" w:rsidRPr="003258F9">
        <w:rPr>
          <w:rFonts w:cstheme="minorHAnsi"/>
          <w:sz w:val="24"/>
          <w:szCs w:val="24"/>
        </w:rPr>
        <w:t>As Fischer (1982: 398) argue</w:t>
      </w:r>
      <w:r w:rsidR="00A03A9C">
        <w:rPr>
          <w:rFonts w:cstheme="minorHAnsi"/>
          <w:sz w:val="24"/>
          <w:szCs w:val="24"/>
        </w:rPr>
        <w:t>s</w:t>
      </w:r>
      <w:r w:rsidR="00B17579" w:rsidRPr="003258F9">
        <w:rPr>
          <w:rFonts w:cstheme="minorHAnsi"/>
          <w:sz w:val="24"/>
          <w:szCs w:val="24"/>
        </w:rPr>
        <w:t>, ‘urbanism increases the opportunities for social relations beyond the neighbourhood and beyond the locality’ – and indeed, via road, rail and other connections – to towns and cities of other region; thus,</w:t>
      </w:r>
      <w:r w:rsidRPr="003258F9">
        <w:rPr>
          <w:rFonts w:cstheme="minorHAnsi"/>
          <w:sz w:val="24"/>
          <w:szCs w:val="24"/>
        </w:rPr>
        <w:t xml:space="preserve"> ‘local ties decrease as urbanism </w:t>
      </w:r>
      <w:proofErr w:type="gramStart"/>
      <w:r w:rsidRPr="003258F9">
        <w:rPr>
          <w:rFonts w:cstheme="minorHAnsi"/>
          <w:sz w:val="24"/>
          <w:szCs w:val="24"/>
        </w:rPr>
        <w:t>increases’</w:t>
      </w:r>
      <w:proofErr w:type="gramEnd"/>
      <w:r w:rsidR="00B17579" w:rsidRPr="003258F9">
        <w:rPr>
          <w:rFonts w:cstheme="minorHAnsi"/>
          <w:sz w:val="24"/>
          <w:szCs w:val="24"/>
        </w:rPr>
        <w:t xml:space="preserve">. </w:t>
      </w:r>
      <w:bookmarkStart w:id="7" w:name="_Hlk139269844"/>
      <w:r w:rsidRPr="003258F9">
        <w:rPr>
          <w:rFonts w:cstheme="minorHAnsi"/>
          <w:sz w:val="24"/>
          <w:szCs w:val="24"/>
        </w:rPr>
        <w:t xml:space="preserve">Sørensen </w:t>
      </w:r>
      <w:bookmarkEnd w:id="7"/>
      <w:r w:rsidRPr="003258F9">
        <w:rPr>
          <w:rFonts w:cstheme="minorHAnsi"/>
          <w:sz w:val="24"/>
          <w:szCs w:val="24"/>
        </w:rPr>
        <w:t>(201</w:t>
      </w:r>
      <w:r w:rsidR="00CB3347" w:rsidRPr="003258F9">
        <w:rPr>
          <w:rFonts w:cstheme="minorHAnsi"/>
          <w:sz w:val="24"/>
          <w:szCs w:val="24"/>
        </w:rPr>
        <w:t>6</w:t>
      </w:r>
      <w:r w:rsidRPr="003258F9">
        <w:rPr>
          <w:rFonts w:cstheme="minorHAnsi"/>
          <w:sz w:val="24"/>
          <w:szCs w:val="24"/>
        </w:rPr>
        <w:t>) finds rural areas are higher in ‘bonding’ social capital, such as local civic associations, and urban areas higher in ‘bridging’ social capital such as non-local ones. Lee et al. (2018: 147) set out a clear economic dimension to these divides, argu</w:t>
      </w:r>
      <w:r w:rsidR="00632F37" w:rsidRPr="003258F9">
        <w:rPr>
          <w:rFonts w:cstheme="minorHAnsi"/>
          <w:sz w:val="24"/>
          <w:szCs w:val="24"/>
        </w:rPr>
        <w:t>ing</w:t>
      </w:r>
      <w:r w:rsidRPr="003258F9">
        <w:rPr>
          <w:rFonts w:cstheme="minorHAnsi"/>
          <w:sz w:val="24"/>
          <w:szCs w:val="24"/>
        </w:rPr>
        <w:t xml:space="preserve"> that places ‘on the losing end’ of agglomeration economi</w:t>
      </w:r>
      <w:r w:rsidR="00217B78" w:rsidRPr="003258F9">
        <w:rPr>
          <w:rFonts w:cstheme="minorHAnsi"/>
          <w:sz w:val="24"/>
          <w:szCs w:val="24"/>
        </w:rPr>
        <w:t>c</w:t>
      </w:r>
      <w:r w:rsidRPr="003258F9">
        <w:rPr>
          <w:rFonts w:cstheme="minorHAnsi"/>
          <w:sz w:val="24"/>
          <w:szCs w:val="24"/>
        </w:rPr>
        <w:t>s are ‘more likely to be locally-oriented in terms of their investments in knowledge and social capital’</w:t>
      </w:r>
      <w:r w:rsidR="00217B78" w:rsidRPr="003258F9">
        <w:rPr>
          <w:rFonts w:cstheme="minorHAnsi"/>
          <w:sz w:val="24"/>
          <w:szCs w:val="24"/>
        </w:rPr>
        <w:t>.</w:t>
      </w:r>
      <w:r w:rsidR="006034B1" w:rsidRPr="003258F9">
        <w:rPr>
          <w:rFonts w:cstheme="minorHAnsi"/>
          <w:sz w:val="24"/>
          <w:szCs w:val="24"/>
        </w:rPr>
        <w:t xml:space="preserve"> </w:t>
      </w:r>
      <w:r w:rsidR="00EA2FA7" w:rsidRPr="003258F9">
        <w:rPr>
          <w:rFonts w:cstheme="minorHAnsi"/>
          <w:sz w:val="24"/>
          <w:szCs w:val="24"/>
        </w:rPr>
        <w:t xml:space="preserve">Higher rates of social homogeneity and stability in economically ‘left-behind’ communities – places where residents cannot necessarily move out and outsiders </w:t>
      </w:r>
      <w:r w:rsidR="009371CF" w:rsidRPr="003258F9">
        <w:rPr>
          <w:rFonts w:cstheme="minorHAnsi"/>
          <w:sz w:val="24"/>
          <w:szCs w:val="24"/>
        </w:rPr>
        <w:t xml:space="preserve">generally </w:t>
      </w:r>
      <w:r w:rsidR="00EA2FA7" w:rsidRPr="003258F9">
        <w:rPr>
          <w:rFonts w:cstheme="minorHAnsi"/>
          <w:sz w:val="24"/>
          <w:szCs w:val="24"/>
        </w:rPr>
        <w:t xml:space="preserve">do not want to move </w:t>
      </w:r>
      <w:r w:rsidR="00D80961" w:rsidRPr="003258F9">
        <w:rPr>
          <w:rFonts w:cstheme="minorHAnsi"/>
          <w:sz w:val="24"/>
          <w:szCs w:val="24"/>
        </w:rPr>
        <w:t>in –</w:t>
      </w:r>
      <w:r w:rsidR="00EA2FA7" w:rsidRPr="003258F9">
        <w:rPr>
          <w:rFonts w:cstheme="minorHAnsi"/>
          <w:sz w:val="24"/>
          <w:szCs w:val="24"/>
        </w:rPr>
        <w:t xml:space="preserve"> are conducive to denser networks of local ties, even when such areas </w:t>
      </w:r>
      <w:r w:rsidR="003471F1">
        <w:rPr>
          <w:rFonts w:cstheme="minorHAnsi"/>
          <w:sz w:val="24"/>
          <w:szCs w:val="24"/>
        </w:rPr>
        <w:t xml:space="preserve">are </w:t>
      </w:r>
      <w:r w:rsidR="00EA2FA7" w:rsidRPr="003258F9">
        <w:rPr>
          <w:rFonts w:cstheme="minorHAnsi"/>
          <w:sz w:val="24"/>
          <w:szCs w:val="24"/>
        </w:rPr>
        <w:t>subject to degradation of socio-cultural institutions (</w:t>
      </w:r>
      <w:proofErr w:type="spellStart"/>
      <w:r w:rsidR="00EA2FA7" w:rsidRPr="003258F9">
        <w:rPr>
          <w:rFonts w:cstheme="minorHAnsi"/>
          <w:sz w:val="24"/>
          <w:szCs w:val="24"/>
        </w:rPr>
        <w:t>Bolet</w:t>
      </w:r>
      <w:proofErr w:type="spellEnd"/>
      <w:r w:rsidR="00EA2FA7" w:rsidRPr="003258F9">
        <w:rPr>
          <w:rFonts w:cstheme="minorHAnsi"/>
          <w:sz w:val="24"/>
          <w:szCs w:val="24"/>
        </w:rPr>
        <w:t xml:space="preserve"> 2021).</w:t>
      </w:r>
    </w:p>
    <w:p w14:paraId="777128F2" w14:textId="427228A9" w:rsidR="0061200B" w:rsidRPr="003258F9" w:rsidRDefault="0061200B" w:rsidP="00217B78">
      <w:pPr>
        <w:spacing w:after="120" w:line="480" w:lineRule="auto"/>
        <w:rPr>
          <w:rFonts w:cstheme="minorHAnsi"/>
          <w:sz w:val="24"/>
          <w:szCs w:val="24"/>
        </w:rPr>
      </w:pPr>
      <w:r w:rsidRPr="003258F9">
        <w:rPr>
          <w:rFonts w:cstheme="minorHAnsi"/>
          <w:sz w:val="24"/>
          <w:szCs w:val="24"/>
        </w:rPr>
        <w:t>This more localised social capital concentrates (more or less by definition) in regions other than those where political power is exercised (central governments in national capitals; regional governments in major metropolitan centres). This is likely to add to the political trust penalty incurred by living in rural and peripheral contexts. There are two main mechanisms behind this argument.</w:t>
      </w:r>
      <w:r w:rsidR="006034B1" w:rsidRPr="003258F9">
        <w:rPr>
          <w:rFonts w:cstheme="minorHAnsi"/>
          <w:sz w:val="24"/>
          <w:szCs w:val="24"/>
        </w:rPr>
        <w:t xml:space="preserve"> First, we argue that social ties to said regions can directly involve </w:t>
      </w:r>
      <w:r w:rsidR="00EF7AB1" w:rsidRPr="003258F9">
        <w:rPr>
          <w:rFonts w:cstheme="minorHAnsi"/>
          <w:sz w:val="24"/>
          <w:szCs w:val="24"/>
        </w:rPr>
        <w:t>those in positions of political power (i.e.,</w:t>
      </w:r>
      <w:r w:rsidR="002A7BDF" w:rsidRPr="003258F9">
        <w:rPr>
          <w:rFonts w:cstheme="minorHAnsi"/>
          <w:sz w:val="24"/>
          <w:szCs w:val="24"/>
        </w:rPr>
        <w:t xml:space="preserve"> elected officials and bureaucrats</w:t>
      </w:r>
      <w:r w:rsidR="00EF7AB1" w:rsidRPr="003258F9">
        <w:rPr>
          <w:rFonts w:cstheme="minorHAnsi"/>
          <w:sz w:val="24"/>
          <w:szCs w:val="24"/>
        </w:rPr>
        <w:t>)</w:t>
      </w:r>
      <w:r w:rsidR="002A7BDF" w:rsidRPr="003258F9">
        <w:rPr>
          <w:rFonts w:cstheme="minorHAnsi"/>
          <w:sz w:val="24"/>
          <w:szCs w:val="24"/>
        </w:rPr>
        <w:t xml:space="preserve"> as well as groups with power to influence political agendas and discourses (for example, business, charity and media organisations).</w:t>
      </w:r>
      <w:r w:rsidR="006034B1" w:rsidRPr="003258F9">
        <w:rPr>
          <w:rFonts w:cstheme="minorHAnsi"/>
          <w:sz w:val="24"/>
          <w:szCs w:val="24"/>
        </w:rPr>
        <w:t xml:space="preserve"> </w:t>
      </w:r>
      <w:r w:rsidR="002A7BDF" w:rsidRPr="003258F9">
        <w:rPr>
          <w:rFonts w:cstheme="minorHAnsi"/>
          <w:sz w:val="24"/>
          <w:szCs w:val="24"/>
        </w:rPr>
        <w:t xml:space="preserve">These will </w:t>
      </w:r>
      <w:r w:rsidR="006034B1" w:rsidRPr="003258F9">
        <w:rPr>
          <w:rFonts w:cstheme="minorHAnsi"/>
          <w:sz w:val="24"/>
          <w:szCs w:val="24"/>
        </w:rPr>
        <w:t xml:space="preserve">overwhelmingly </w:t>
      </w:r>
      <w:r w:rsidR="002A7BDF" w:rsidRPr="003258F9">
        <w:rPr>
          <w:rFonts w:cstheme="minorHAnsi"/>
          <w:sz w:val="24"/>
          <w:szCs w:val="24"/>
        </w:rPr>
        <w:t xml:space="preserve">operate </w:t>
      </w:r>
      <w:r w:rsidR="006034B1" w:rsidRPr="003258F9">
        <w:rPr>
          <w:rFonts w:cstheme="minorHAnsi"/>
          <w:sz w:val="24"/>
          <w:szCs w:val="24"/>
        </w:rPr>
        <w:t>through ‘weak ties’</w:t>
      </w:r>
      <w:r w:rsidR="00287350" w:rsidRPr="003258F9">
        <w:rPr>
          <w:rFonts w:cstheme="minorHAnsi"/>
          <w:sz w:val="24"/>
          <w:szCs w:val="24"/>
        </w:rPr>
        <w:t xml:space="preserve"> (that is, more casual social and professional relationships</w:t>
      </w:r>
      <w:r w:rsidR="002A7BDF" w:rsidRPr="003258F9">
        <w:rPr>
          <w:rFonts w:cstheme="minorHAnsi"/>
          <w:sz w:val="24"/>
          <w:szCs w:val="24"/>
        </w:rPr>
        <w:t xml:space="preserve"> involving less frequent interactions</w:t>
      </w:r>
      <w:r w:rsidR="00287350" w:rsidRPr="003258F9">
        <w:rPr>
          <w:rFonts w:cstheme="minorHAnsi"/>
          <w:sz w:val="24"/>
          <w:szCs w:val="24"/>
        </w:rPr>
        <w:t>)</w:t>
      </w:r>
      <w:r w:rsidR="00EF7AB1" w:rsidRPr="003258F9">
        <w:rPr>
          <w:rFonts w:cstheme="minorHAnsi"/>
          <w:sz w:val="24"/>
          <w:szCs w:val="24"/>
        </w:rPr>
        <w:t>.</w:t>
      </w:r>
      <w:r w:rsidR="006034B1" w:rsidRPr="003258F9">
        <w:rPr>
          <w:rFonts w:cstheme="minorHAnsi"/>
          <w:sz w:val="24"/>
          <w:szCs w:val="24"/>
        </w:rPr>
        <w:t xml:space="preserve"> </w:t>
      </w:r>
      <w:r w:rsidR="00EF7AB1" w:rsidRPr="003258F9">
        <w:rPr>
          <w:rFonts w:cstheme="minorHAnsi"/>
          <w:sz w:val="24"/>
          <w:szCs w:val="24"/>
        </w:rPr>
        <w:t>These ties can serve to</w:t>
      </w:r>
      <w:r w:rsidR="00287350" w:rsidRPr="003258F9">
        <w:rPr>
          <w:rFonts w:cstheme="minorHAnsi"/>
          <w:sz w:val="24"/>
          <w:szCs w:val="24"/>
        </w:rPr>
        <w:t xml:space="preserve"> reduce relational distance while</w:t>
      </w:r>
      <w:r w:rsidR="006034B1" w:rsidRPr="003258F9">
        <w:rPr>
          <w:rFonts w:cstheme="minorHAnsi"/>
          <w:sz w:val="24"/>
          <w:szCs w:val="24"/>
        </w:rPr>
        <w:t xml:space="preserve"> provid</w:t>
      </w:r>
      <w:r w:rsidR="00287350" w:rsidRPr="003258F9">
        <w:rPr>
          <w:rFonts w:cstheme="minorHAnsi"/>
          <w:sz w:val="24"/>
          <w:szCs w:val="24"/>
        </w:rPr>
        <w:t>ing</w:t>
      </w:r>
      <w:r w:rsidR="006034B1" w:rsidRPr="003258F9">
        <w:rPr>
          <w:rFonts w:cstheme="minorHAnsi"/>
          <w:sz w:val="24"/>
          <w:szCs w:val="24"/>
        </w:rPr>
        <w:t xml:space="preserve"> a </w:t>
      </w:r>
      <w:r w:rsidR="00287350" w:rsidRPr="003258F9">
        <w:rPr>
          <w:rFonts w:cstheme="minorHAnsi"/>
          <w:sz w:val="24"/>
          <w:szCs w:val="24"/>
        </w:rPr>
        <w:t xml:space="preserve">greater </w:t>
      </w:r>
      <w:r w:rsidR="006034B1" w:rsidRPr="003258F9">
        <w:rPr>
          <w:rFonts w:cstheme="minorHAnsi"/>
          <w:sz w:val="24"/>
          <w:szCs w:val="24"/>
        </w:rPr>
        <w:t xml:space="preserve">sense of capacity for influence. Second, we suggest that even where ties are with ‘ordinary’ </w:t>
      </w:r>
      <w:r w:rsidR="006034B1" w:rsidRPr="003258F9">
        <w:rPr>
          <w:rFonts w:cstheme="minorHAnsi"/>
          <w:sz w:val="24"/>
          <w:szCs w:val="24"/>
        </w:rPr>
        <w:lastRenderedPageBreak/>
        <w:t>people</w:t>
      </w:r>
      <w:r w:rsidR="00EF7AB1" w:rsidRPr="003258F9">
        <w:rPr>
          <w:rFonts w:cstheme="minorHAnsi"/>
          <w:sz w:val="24"/>
          <w:szCs w:val="24"/>
        </w:rPr>
        <w:t xml:space="preserve"> (rather than with those in positions of power)</w:t>
      </w:r>
      <w:r w:rsidR="006034B1" w:rsidRPr="003258F9">
        <w:rPr>
          <w:rFonts w:cstheme="minorHAnsi"/>
          <w:sz w:val="24"/>
          <w:szCs w:val="24"/>
        </w:rPr>
        <w:t>, they can limit the development of place-based grievance, which studies increasingly suggest play</w:t>
      </w:r>
      <w:r w:rsidR="00D52346" w:rsidRPr="003258F9">
        <w:rPr>
          <w:rFonts w:cstheme="minorHAnsi"/>
          <w:sz w:val="24"/>
          <w:szCs w:val="24"/>
        </w:rPr>
        <w:t>s</w:t>
      </w:r>
      <w:r w:rsidR="006034B1" w:rsidRPr="003258F9">
        <w:rPr>
          <w:rFonts w:cstheme="minorHAnsi"/>
          <w:sz w:val="24"/>
          <w:szCs w:val="24"/>
        </w:rPr>
        <w:t xml:space="preserve"> a role in political discontent.  </w:t>
      </w:r>
    </w:p>
    <w:p w14:paraId="709ECC54" w14:textId="47313E22" w:rsidR="0061200B" w:rsidRPr="003258F9" w:rsidRDefault="0061200B" w:rsidP="00217B78">
      <w:pPr>
        <w:spacing w:after="120" w:line="480" w:lineRule="auto"/>
        <w:rPr>
          <w:rFonts w:cstheme="minorHAnsi"/>
          <w:sz w:val="24"/>
          <w:szCs w:val="24"/>
          <w:lang w:val="en-AU"/>
        </w:rPr>
      </w:pPr>
      <w:r w:rsidRPr="003258F9">
        <w:rPr>
          <w:rFonts w:cstheme="minorHAnsi"/>
          <w:sz w:val="24"/>
          <w:szCs w:val="24"/>
          <w:lang w:val="en-AU"/>
        </w:rPr>
        <w:t xml:space="preserve">In a relatively neglected passage in Granovetter’s (1973) seminal article, he illustrates how the absence of weak ties contributed to the inability of what now might be termed a ‘left behind’ community in Boston, USA to counter urban redevelopment plans because they lacked weak ties, despite having extensive </w:t>
      </w:r>
      <w:r w:rsidRPr="003258F9">
        <w:rPr>
          <w:rFonts w:cstheme="minorHAnsi"/>
          <w:i/>
          <w:iCs/>
          <w:sz w:val="24"/>
          <w:szCs w:val="24"/>
          <w:lang w:val="en-AU"/>
        </w:rPr>
        <w:t>close</w:t>
      </w:r>
      <w:r w:rsidRPr="003258F9">
        <w:rPr>
          <w:rFonts w:cstheme="minorHAnsi"/>
          <w:sz w:val="24"/>
          <w:szCs w:val="24"/>
          <w:lang w:val="en-AU"/>
        </w:rPr>
        <w:t xml:space="preserve"> social ties. In a passage on political trust, he argues that the decision about whether to trust a political leader is dependent on contacts or intermediaries (weak ties) that could provide some confidence that the leader is trustworthy: ‘Trust in leaders is integrally related to the capacity to predict and affect their behaviour. Leaders, for their part, have little motivation to be responsive or even trustworthy toward those to whom they have no direct or indirect connection’ (Granovetter 19</w:t>
      </w:r>
      <w:r w:rsidR="001D1048" w:rsidRPr="003258F9">
        <w:rPr>
          <w:rFonts w:cstheme="minorHAnsi"/>
          <w:sz w:val="24"/>
          <w:szCs w:val="24"/>
          <w:lang w:val="en-AU"/>
        </w:rPr>
        <w:t>7</w:t>
      </w:r>
      <w:r w:rsidRPr="003258F9">
        <w:rPr>
          <w:rFonts w:cstheme="minorHAnsi"/>
          <w:sz w:val="24"/>
          <w:szCs w:val="24"/>
          <w:lang w:val="en-AU"/>
        </w:rPr>
        <w:t>3: 1374).</w:t>
      </w:r>
      <w:r w:rsidR="006034B1" w:rsidRPr="003258F9">
        <w:rPr>
          <w:rFonts w:cstheme="minorHAnsi"/>
          <w:sz w:val="24"/>
          <w:szCs w:val="24"/>
          <w:lang w:val="en-AU"/>
        </w:rPr>
        <w:t xml:space="preserve"> Weak ties to areas where political elites live and work may – for some citizens, to some extent – encourage a sense of connection, understanding and linkage, facilitating trust judgements. </w:t>
      </w:r>
      <w:r w:rsidR="00B17579" w:rsidRPr="003258F9">
        <w:rPr>
          <w:rFonts w:cstheme="minorHAnsi"/>
          <w:sz w:val="24"/>
          <w:szCs w:val="24"/>
        </w:rPr>
        <w:t>This is consistent with research showing that political donations are higher in densely populated urban areas, due to greater exposure to information via social networks (Lin et al. 2017).</w:t>
      </w:r>
    </w:p>
    <w:p w14:paraId="0CA0EBD1" w14:textId="32573E00" w:rsidR="00F25C2B" w:rsidRPr="003258F9" w:rsidRDefault="006034B1" w:rsidP="00D016D4">
      <w:pPr>
        <w:spacing w:after="120" w:line="480" w:lineRule="auto"/>
        <w:rPr>
          <w:rFonts w:cstheme="minorHAnsi"/>
          <w:sz w:val="24"/>
          <w:szCs w:val="24"/>
        </w:rPr>
      </w:pPr>
      <w:r w:rsidRPr="003258F9">
        <w:rPr>
          <w:rFonts w:cstheme="minorHAnsi"/>
          <w:sz w:val="24"/>
          <w:szCs w:val="24"/>
          <w:lang w:val="en-AU"/>
        </w:rPr>
        <w:t xml:space="preserve">Research suggests that place-based grievances </w:t>
      </w:r>
      <w:r w:rsidR="00A85135" w:rsidRPr="003258F9">
        <w:rPr>
          <w:rFonts w:cstheme="minorHAnsi"/>
          <w:sz w:val="24"/>
          <w:szCs w:val="24"/>
          <w:lang w:val="en-AU"/>
        </w:rPr>
        <w:t>are a key dimension of the ‘geography of discontent’ and a possible precursor to populist attitudes (Cramer 2016</w:t>
      </w:r>
      <w:r w:rsidR="00A03A9C">
        <w:rPr>
          <w:rFonts w:cstheme="minorHAnsi"/>
          <w:sz w:val="24"/>
          <w:szCs w:val="24"/>
          <w:lang w:val="en-AU"/>
        </w:rPr>
        <w:t>;</w:t>
      </w:r>
      <w:r w:rsidR="00A85135" w:rsidRPr="003258F9">
        <w:rPr>
          <w:rFonts w:cstheme="minorHAnsi"/>
          <w:sz w:val="24"/>
          <w:szCs w:val="24"/>
          <w:lang w:val="en-AU"/>
        </w:rPr>
        <w:t xml:space="preserve"> Munis </w:t>
      </w:r>
      <w:r w:rsidR="0096277F" w:rsidRPr="003258F9">
        <w:rPr>
          <w:rFonts w:cstheme="minorHAnsi"/>
          <w:sz w:val="24"/>
          <w:szCs w:val="24"/>
          <w:lang w:val="en-AU"/>
        </w:rPr>
        <w:t>2022</w:t>
      </w:r>
      <w:r w:rsidR="00A03A9C">
        <w:rPr>
          <w:rFonts w:cstheme="minorHAnsi"/>
          <w:sz w:val="24"/>
          <w:szCs w:val="24"/>
          <w:lang w:val="en-AU"/>
        </w:rPr>
        <w:t>;</w:t>
      </w:r>
      <w:r w:rsidR="00A85135" w:rsidRPr="003258F9">
        <w:rPr>
          <w:rFonts w:cstheme="minorHAnsi"/>
          <w:sz w:val="24"/>
          <w:szCs w:val="24"/>
          <w:lang w:val="en-AU"/>
        </w:rPr>
        <w:t xml:space="preserve"> Huijsmans 202</w:t>
      </w:r>
      <w:r w:rsidR="0096277F" w:rsidRPr="003258F9">
        <w:rPr>
          <w:rFonts w:cstheme="minorHAnsi"/>
          <w:sz w:val="24"/>
          <w:szCs w:val="24"/>
          <w:lang w:val="en-AU"/>
        </w:rPr>
        <w:t>3</w:t>
      </w:r>
      <w:r w:rsidR="00A85135" w:rsidRPr="003258F9">
        <w:rPr>
          <w:rFonts w:cstheme="minorHAnsi"/>
          <w:sz w:val="24"/>
          <w:szCs w:val="24"/>
          <w:lang w:val="en-AU"/>
        </w:rPr>
        <w:t xml:space="preserve">). </w:t>
      </w:r>
      <w:r w:rsidR="00057AD3" w:rsidRPr="003258F9">
        <w:rPr>
          <w:rFonts w:cstheme="minorHAnsi"/>
          <w:sz w:val="24"/>
          <w:szCs w:val="24"/>
          <w:lang w:val="en-AU"/>
        </w:rPr>
        <w:t>As Huijsmans</w:t>
      </w:r>
      <w:r w:rsidR="001D1048" w:rsidRPr="003258F9">
        <w:rPr>
          <w:rFonts w:cstheme="minorHAnsi"/>
          <w:sz w:val="24"/>
          <w:szCs w:val="24"/>
          <w:lang w:val="en-AU"/>
        </w:rPr>
        <w:t xml:space="preserve"> (2023:</w:t>
      </w:r>
      <w:r w:rsidR="00BA1739" w:rsidRPr="003258F9">
        <w:rPr>
          <w:rFonts w:cstheme="minorHAnsi"/>
          <w:sz w:val="24"/>
          <w:szCs w:val="24"/>
          <w:lang w:val="en-AU"/>
        </w:rPr>
        <w:t xml:space="preserve"> </w:t>
      </w:r>
      <w:r w:rsidR="00907699" w:rsidRPr="003258F9">
        <w:rPr>
          <w:rFonts w:cstheme="minorHAnsi"/>
          <w:sz w:val="24"/>
          <w:szCs w:val="24"/>
          <w:lang w:val="en-AU"/>
        </w:rPr>
        <w:t>4)</w:t>
      </w:r>
      <w:r w:rsidR="00057AD3" w:rsidRPr="003258F9">
        <w:rPr>
          <w:rFonts w:cstheme="minorHAnsi"/>
          <w:sz w:val="24"/>
          <w:szCs w:val="24"/>
          <w:lang w:val="en-AU"/>
        </w:rPr>
        <w:t xml:space="preserve"> finds</w:t>
      </w:r>
      <w:r w:rsidR="003471F1">
        <w:rPr>
          <w:rFonts w:cstheme="minorHAnsi"/>
          <w:sz w:val="24"/>
          <w:szCs w:val="24"/>
          <w:lang w:val="en-AU"/>
        </w:rPr>
        <w:t>,</w:t>
      </w:r>
      <w:r w:rsidR="00057AD3" w:rsidRPr="003258F9">
        <w:rPr>
          <w:rFonts w:cstheme="minorHAnsi"/>
          <w:sz w:val="24"/>
          <w:szCs w:val="24"/>
          <w:lang w:val="en-AU"/>
        </w:rPr>
        <w:t xml:space="preserve"> the combination of rural and peripheral context </w:t>
      </w:r>
      <w:r w:rsidR="00D016D4" w:rsidRPr="003258F9">
        <w:rPr>
          <w:rFonts w:cstheme="minorHAnsi"/>
          <w:sz w:val="24"/>
          <w:szCs w:val="24"/>
          <w:lang w:val="en-AU"/>
        </w:rPr>
        <w:t xml:space="preserve">facilitates a sense of ‘place resentment’ in the Netherlands, </w:t>
      </w:r>
      <w:r w:rsidR="00BA1739" w:rsidRPr="003258F9">
        <w:rPr>
          <w:rFonts w:cstheme="minorHAnsi"/>
          <w:sz w:val="24"/>
          <w:szCs w:val="24"/>
          <w:lang w:val="en-AU"/>
        </w:rPr>
        <w:t xml:space="preserve">including a perceived lack of cultural appreciation from people outside the region, </w:t>
      </w:r>
      <w:r w:rsidR="003471F1">
        <w:rPr>
          <w:rFonts w:cstheme="minorHAnsi"/>
          <w:sz w:val="24"/>
          <w:szCs w:val="24"/>
          <w:lang w:val="en-AU"/>
        </w:rPr>
        <w:t xml:space="preserve">a belief that government makes </w:t>
      </w:r>
      <w:r w:rsidR="00BA1739" w:rsidRPr="003258F9">
        <w:rPr>
          <w:rFonts w:cstheme="minorHAnsi"/>
          <w:sz w:val="24"/>
          <w:szCs w:val="24"/>
          <w:lang w:val="en-AU"/>
        </w:rPr>
        <w:t>insufficient efforts to improve the local economy, and a feeling that politicians in The Hague disregard their region's interests</w:t>
      </w:r>
      <w:r w:rsidR="00D016D4" w:rsidRPr="003258F9">
        <w:rPr>
          <w:rFonts w:cstheme="minorHAnsi"/>
          <w:sz w:val="24"/>
          <w:szCs w:val="24"/>
        </w:rPr>
        <w:t xml:space="preserve">. However, as Enos (2017) argues, two places can be </w:t>
      </w:r>
      <w:r w:rsidR="00D016D4" w:rsidRPr="003258F9">
        <w:rPr>
          <w:rFonts w:cstheme="minorHAnsi"/>
          <w:sz w:val="24"/>
          <w:szCs w:val="24"/>
        </w:rPr>
        <w:lastRenderedPageBreak/>
        <w:t xml:space="preserve">proximate but still have few social connections. This tends to lead to outgroups being mischaracterised as more different and more homogeneous </w:t>
      </w:r>
      <w:r w:rsidR="00394CAB" w:rsidRPr="003258F9">
        <w:rPr>
          <w:rFonts w:cstheme="minorHAnsi"/>
          <w:sz w:val="24"/>
          <w:szCs w:val="24"/>
        </w:rPr>
        <w:t>compared t</w:t>
      </w:r>
      <w:r w:rsidR="00D016D4" w:rsidRPr="003258F9">
        <w:rPr>
          <w:rFonts w:cstheme="minorHAnsi"/>
          <w:sz w:val="24"/>
          <w:szCs w:val="24"/>
        </w:rPr>
        <w:t xml:space="preserve">o one’s own group. In the case of cities, this could encourage misconceptions about </w:t>
      </w:r>
      <w:r w:rsidR="00F25C2B" w:rsidRPr="003258F9">
        <w:rPr>
          <w:rFonts w:cstheme="minorHAnsi"/>
          <w:sz w:val="24"/>
          <w:szCs w:val="24"/>
        </w:rPr>
        <w:t>their high economic status</w:t>
      </w:r>
      <w:r w:rsidR="00D016D4" w:rsidRPr="003258F9">
        <w:rPr>
          <w:rFonts w:cstheme="minorHAnsi"/>
          <w:sz w:val="24"/>
          <w:szCs w:val="24"/>
        </w:rPr>
        <w:t xml:space="preserve"> (which often belie the lived reality of </w:t>
      </w:r>
      <w:r w:rsidR="00F25C2B" w:rsidRPr="003258F9">
        <w:rPr>
          <w:rFonts w:cstheme="minorHAnsi"/>
          <w:sz w:val="24"/>
          <w:szCs w:val="24"/>
        </w:rPr>
        <w:t xml:space="preserve">high inequality within cities), and exaggerate the sense of group relative deprivation (Runciman 1966) which Cramer (2016) argues is key to ‘rural resentment’. As such, social connections to urban areas and cities, although not encouraging trust as such, may limit the development of </w:t>
      </w:r>
      <w:r w:rsidR="00F25C2B" w:rsidRPr="003258F9">
        <w:rPr>
          <w:rFonts w:cstheme="minorHAnsi"/>
          <w:i/>
          <w:iCs/>
          <w:sz w:val="24"/>
          <w:szCs w:val="24"/>
        </w:rPr>
        <w:t>dis</w:t>
      </w:r>
      <w:r w:rsidR="00F25C2B" w:rsidRPr="003258F9">
        <w:rPr>
          <w:rFonts w:cstheme="minorHAnsi"/>
          <w:sz w:val="24"/>
          <w:szCs w:val="24"/>
        </w:rPr>
        <w:t xml:space="preserve">trust. </w:t>
      </w:r>
    </w:p>
    <w:p w14:paraId="346663FC" w14:textId="5EAB45AE" w:rsidR="00F25C2B" w:rsidRPr="003258F9" w:rsidRDefault="00F25C2B" w:rsidP="00D016D4">
      <w:pPr>
        <w:spacing w:after="120" w:line="480" w:lineRule="auto"/>
        <w:rPr>
          <w:rFonts w:cstheme="minorHAnsi"/>
          <w:sz w:val="24"/>
          <w:szCs w:val="24"/>
        </w:rPr>
      </w:pPr>
      <w:r w:rsidRPr="003258F9">
        <w:rPr>
          <w:rFonts w:cstheme="minorHAnsi"/>
          <w:sz w:val="24"/>
          <w:szCs w:val="24"/>
        </w:rPr>
        <w:t>We therefore posit the following hypothes</w:t>
      </w:r>
      <w:r w:rsidR="00B17579" w:rsidRPr="003258F9">
        <w:rPr>
          <w:rFonts w:cstheme="minorHAnsi"/>
          <w:sz w:val="24"/>
          <w:szCs w:val="24"/>
        </w:rPr>
        <w:t>is</w:t>
      </w:r>
      <w:r w:rsidRPr="003258F9">
        <w:rPr>
          <w:rFonts w:cstheme="minorHAnsi"/>
          <w:sz w:val="24"/>
          <w:szCs w:val="24"/>
        </w:rPr>
        <w:t>:</w:t>
      </w:r>
    </w:p>
    <w:p w14:paraId="31809327" w14:textId="1711B678" w:rsidR="00F25C2B" w:rsidRPr="003258F9" w:rsidRDefault="00F25C2B" w:rsidP="00F25C2B">
      <w:pPr>
        <w:spacing w:after="120" w:line="480" w:lineRule="auto"/>
        <w:rPr>
          <w:rFonts w:cstheme="minorHAnsi"/>
          <w:sz w:val="24"/>
          <w:szCs w:val="24"/>
        </w:rPr>
      </w:pPr>
      <w:r w:rsidRPr="003258F9">
        <w:rPr>
          <w:rFonts w:cstheme="minorHAnsi"/>
          <w:sz w:val="24"/>
          <w:szCs w:val="24"/>
        </w:rPr>
        <w:t>H1a: The stronger a region’s social ties with urban regions, the higher the level of political trust.</w:t>
      </w:r>
    </w:p>
    <w:p w14:paraId="518E3BE8" w14:textId="40B7ED72" w:rsidR="00F25C2B" w:rsidRPr="003258F9" w:rsidRDefault="00F25C2B" w:rsidP="00F25C2B">
      <w:pPr>
        <w:spacing w:after="120" w:line="480" w:lineRule="auto"/>
        <w:rPr>
          <w:rFonts w:cstheme="minorHAnsi"/>
          <w:sz w:val="24"/>
          <w:szCs w:val="24"/>
        </w:rPr>
      </w:pPr>
      <w:r w:rsidRPr="003258F9">
        <w:rPr>
          <w:rFonts w:cstheme="minorHAnsi"/>
          <w:sz w:val="24"/>
          <w:szCs w:val="24"/>
        </w:rPr>
        <w:t xml:space="preserve">H1b: The stronger a region’s social ties with the capital region, the higher the level of political trust. </w:t>
      </w:r>
    </w:p>
    <w:p w14:paraId="6B1D0E78" w14:textId="4434D778" w:rsidR="00130580" w:rsidRPr="003258F9" w:rsidRDefault="00130580" w:rsidP="00F25C2B">
      <w:pPr>
        <w:spacing w:after="120" w:line="480" w:lineRule="auto"/>
        <w:rPr>
          <w:rFonts w:cstheme="minorHAnsi"/>
          <w:sz w:val="24"/>
          <w:szCs w:val="24"/>
        </w:rPr>
      </w:pPr>
    </w:p>
    <w:p w14:paraId="11F4D197" w14:textId="2871BB82" w:rsidR="00393B05" w:rsidRPr="003258F9" w:rsidRDefault="00B17579" w:rsidP="00803772">
      <w:pPr>
        <w:pStyle w:val="Heading1"/>
        <w:ind w:left="360"/>
        <w:rPr>
          <w:rFonts w:cstheme="minorHAnsi"/>
        </w:rPr>
      </w:pPr>
      <w:r w:rsidRPr="003258F9">
        <w:rPr>
          <w:rFonts w:cstheme="minorHAnsi"/>
        </w:rPr>
        <w:t>What about social trust?</w:t>
      </w:r>
    </w:p>
    <w:p w14:paraId="4106F7C2" w14:textId="6FFE4810" w:rsidR="00393B05" w:rsidRPr="003258F9" w:rsidRDefault="001F7A47" w:rsidP="001F7A47">
      <w:pPr>
        <w:spacing w:after="120" w:line="480" w:lineRule="auto"/>
        <w:rPr>
          <w:rFonts w:cstheme="minorHAnsi"/>
          <w:sz w:val="24"/>
          <w:szCs w:val="24"/>
        </w:rPr>
      </w:pPr>
      <w:r w:rsidRPr="003258F9">
        <w:rPr>
          <w:rFonts w:cstheme="minorHAnsi"/>
          <w:sz w:val="24"/>
          <w:szCs w:val="24"/>
        </w:rPr>
        <w:t>Research on social trust sets up a clear distinction between two forms. As Delhey and Newton (2005</w:t>
      </w:r>
      <w:r w:rsidR="00907699" w:rsidRPr="003258F9">
        <w:rPr>
          <w:rFonts w:cstheme="minorHAnsi"/>
          <w:sz w:val="24"/>
          <w:szCs w:val="24"/>
        </w:rPr>
        <w:t>: 311</w:t>
      </w:r>
      <w:r w:rsidRPr="003258F9">
        <w:rPr>
          <w:rFonts w:cstheme="minorHAnsi"/>
          <w:sz w:val="24"/>
          <w:szCs w:val="24"/>
        </w:rPr>
        <w:t xml:space="preserve">) note, ‘Particularised trust… is strongest in small, face-to-face communities where people know each other well and interact closely on a daily </w:t>
      </w:r>
      <w:proofErr w:type="gramStart"/>
      <w:r w:rsidRPr="003258F9">
        <w:rPr>
          <w:rFonts w:cstheme="minorHAnsi"/>
          <w:sz w:val="24"/>
          <w:szCs w:val="24"/>
        </w:rPr>
        <w:t>basis’</w:t>
      </w:r>
      <w:proofErr w:type="gramEnd"/>
      <w:r w:rsidRPr="003258F9">
        <w:rPr>
          <w:rFonts w:cstheme="minorHAnsi"/>
          <w:sz w:val="24"/>
          <w:szCs w:val="24"/>
        </w:rPr>
        <w:t xml:space="preserve">, while ‘generalised trust… is more common in modern large-scale urban society where social ties are often weaker but more extensive (Granovetter 1973), where society is more differentiated and heterogeneous, where life can be more competitive, and populations more mobile’. This has clear implications for the geography of social trust; yet few studies </w:t>
      </w:r>
      <w:r w:rsidR="001C55EA">
        <w:rPr>
          <w:rFonts w:cstheme="minorHAnsi"/>
          <w:sz w:val="24"/>
          <w:szCs w:val="24"/>
        </w:rPr>
        <w:t>directly test for</w:t>
      </w:r>
      <w:r w:rsidRPr="003258F9">
        <w:rPr>
          <w:rFonts w:cstheme="minorHAnsi"/>
          <w:sz w:val="24"/>
          <w:szCs w:val="24"/>
        </w:rPr>
        <w:t xml:space="preserve"> within-country differences in social trust based on geographic location</w:t>
      </w:r>
      <w:r w:rsidR="00AA3938" w:rsidRPr="003258F9">
        <w:rPr>
          <w:rFonts w:cstheme="minorHAnsi"/>
          <w:sz w:val="24"/>
          <w:szCs w:val="24"/>
        </w:rPr>
        <w:t xml:space="preserve">, with a handful of relevant studies dating back </w:t>
      </w:r>
      <w:r w:rsidR="00A03A9C">
        <w:rPr>
          <w:rFonts w:cstheme="minorHAnsi"/>
          <w:sz w:val="24"/>
          <w:szCs w:val="24"/>
        </w:rPr>
        <w:t>fifty</w:t>
      </w:r>
      <w:r w:rsidR="00A03A9C" w:rsidRPr="003258F9">
        <w:rPr>
          <w:rFonts w:cstheme="minorHAnsi"/>
          <w:sz w:val="24"/>
          <w:szCs w:val="24"/>
        </w:rPr>
        <w:t xml:space="preserve"> </w:t>
      </w:r>
      <w:r w:rsidR="00AA3938" w:rsidRPr="003258F9">
        <w:rPr>
          <w:rFonts w:cstheme="minorHAnsi"/>
          <w:sz w:val="24"/>
          <w:szCs w:val="24"/>
        </w:rPr>
        <w:t>years (Fischer 1973</w:t>
      </w:r>
      <w:r w:rsidR="00A03A9C">
        <w:rPr>
          <w:rFonts w:cstheme="minorHAnsi"/>
          <w:sz w:val="24"/>
          <w:szCs w:val="24"/>
        </w:rPr>
        <w:t>;</w:t>
      </w:r>
      <w:r w:rsidR="00AA3938" w:rsidRPr="003258F9">
        <w:rPr>
          <w:rFonts w:cstheme="minorHAnsi"/>
          <w:sz w:val="24"/>
          <w:szCs w:val="24"/>
        </w:rPr>
        <w:t xml:space="preserve"> House and Wolf 1978</w:t>
      </w:r>
      <w:r w:rsidR="00A03A9C">
        <w:rPr>
          <w:rFonts w:cstheme="minorHAnsi"/>
          <w:sz w:val="24"/>
          <w:szCs w:val="24"/>
        </w:rPr>
        <w:t>;</w:t>
      </w:r>
      <w:r w:rsidR="00AA3938" w:rsidRPr="003258F9">
        <w:rPr>
          <w:rFonts w:cstheme="minorHAnsi"/>
          <w:sz w:val="24"/>
          <w:szCs w:val="24"/>
        </w:rPr>
        <w:t xml:space="preserve"> </w:t>
      </w:r>
      <w:r w:rsidR="00AA3938" w:rsidRPr="003258F9">
        <w:rPr>
          <w:rFonts w:cstheme="minorHAnsi"/>
          <w:sz w:val="24"/>
          <w:szCs w:val="24"/>
        </w:rPr>
        <w:lastRenderedPageBreak/>
        <w:t>Putnam 2000</w:t>
      </w:r>
      <w:r w:rsidR="00A03A9C">
        <w:rPr>
          <w:rFonts w:cstheme="minorHAnsi"/>
          <w:sz w:val="24"/>
          <w:szCs w:val="24"/>
        </w:rPr>
        <w:t>;</w:t>
      </w:r>
      <w:r w:rsidR="00AA3938" w:rsidRPr="003258F9">
        <w:rPr>
          <w:rFonts w:cstheme="minorHAnsi"/>
          <w:sz w:val="24"/>
          <w:szCs w:val="24"/>
        </w:rPr>
        <w:t xml:space="preserve"> Delhey and Newton 2003)</w:t>
      </w:r>
      <w:r w:rsidRPr="003258F9">
        <w:rPr>
          <w:rFonts w:cstheme="minorHAnsi"/>
          <w:sz w:val="24"/>
          <w:szCs w:val="24"/>
        </w:rPr>
        <w:t xml:space="preserve">. </w:t>
      </w:r>
      <w:r w:rsidR="003E35B3" w:rsidRPr="003258F9">
        <w:rPr>
          <w:rFonts w:cstheme="minorHAnsi"/>
          <w:sz w:val="24"/>
          <w:szCs w:val="24"/>
        </w:rPr>
        <w:t>While Putnam (2000</w:t>
      </w:r>
      <w:r w:rsidR="00907699" w:rsidRPr="003258F9">
        <w:rPr>
          <w:rFonts w:cstheme="minorHAnsi"/>
          <w:sz w:val="24"/>
          <w:szCs w:val="24"/>
        </w:rPr>
        <w:t>:</w:t>
      </w:r>
      <w:r w:rsidR="00BA1739" w:rsidRPr="003258F9">
        <w:rPr>
          <w:rFonts w:cstheme="minorHAnsi"/>
          <w:sz w:val="24"/>
          <w:szCs w:val="24"/>
        </w:rPr>
        <w:t xml:space="preserve"> </w:t>
      </w:r>
      <w:r w:rsidR="00907699" w:rsidRPr="003258F9">
        <w:rPr>
          <w:rFonts w:cstheme="minorHAnsi"/>
          <w:sz w:val="24"/>
          <w:szCs w:val="24"/>
        </w:rPr>
        <w:t>205</w:t>
      </w:r>
      <w:r w:rsidR="003E35B3" w:rsidRPr="003258F9">
        <w:rPr>
          <w:rFonts w:cstheme="minorHAnsi"/>
          <w:sz w:val="24"/>
          <w:szCs w:val="24"/>
        </w:rPr>
        <w:t>) found that ‘smaller is better from a social capital point of view’, m</w:t>
      </w:r>
      <w:r w:rsidR="00AA3938" w:rsidRPr="003258F9">
        <w:rPr>
          <w:rFonts w:cstheme="minorHAnsi"/>
          <w:sz w:val="24"/>
          <w:szCs w:val="24"/>
        </w:rPr>
        <w:t>ore recent studies, which adopt and measure the particular/general distinction,</w:t>
      </w:r>
      <w:r w:rsidRPr="003258F9">
        <w:rPr>
          <w:rFonts w:cstheme="minorHAnsi"/>
          <w:sz w:val="24"/>
          <w:szCs w:val="24"/>
        </w:rPr>
        <w:t xml:space="preserve"> </w:t>
      </w:r>
      <w:r w:rsidR="003E35B3" w:rsidRPr="003258F9">
        <w:rPr>
          <w:rFonts w:cstheme="minorHAnsi"/>
          <w:sz w:val="24"/>
          <w:szCs w:val="24"/>
        </w:rPr>
        <w:t>find a more nuanced</w:t>
      </w:r>
      <w:r w:rsidRPr="003258F9">
        <w:rPr>
          <w:rFonts w:cstheme="minorHAnsi"/>
          <w:sz w:val="24"/>
          <w:szCs w:val="24"/>
        </w:rPr>
        <w:t xml:space="preserve"> pattern </w:t>
      </w:r>
      <w:r w:rsidR="00A03A9C" w:rsidRPr="003258F9">
        <w:rPr>
          <w:rFonts w:cstheme="minorHAnsi"/>
          <w:sz w:val="24"/>
          <w:szCs w:val="24"/>
        </w:rPr>
        <w:t>–</w:t>
      </w:r>
      <w:r w:rsidRPr="003258F9">
        <w:rPr>
          <w:rFonts w:cstheme="minorHAnsi"/>
          <w:sz w:val="24"/>
          <w:szCs w:val="24"/>
        </w:rPr>
        <w:t xml:space="preserve"> </w:t>
      </w:r>
      <w:bookmarkStart w:id="8" w:name="_Hlk138954361"/>
      <w:proofErr w:type="spellStart"/>
      <w:r w:rsidR="00B17579" w:rsidRPr="003258F9">
        <w:rPr>
          <w:rFonts w:cstheme="minorHAnsi"/>
          <w:sz w:val="24"/>
          <w:szCs w:val="24"/>
        </w:rPr>
        <w:t>Sørensen</w:t>
      </w:r>
      <w:proofErr w:type="spellEnd"/>
      <w:r w:rsidR="00B17579" w:rsidRPr="003258F9">
        <w:rPr>
          <w:rFonts w:cstheme="minorHAnsi"/>
          <w:sz w:val="24"/>
          <w:szCs w:val="24"/>
        </w:rPr>
        <w:t xml:space="preserve"> </w:t>
      </w:r>
      <w:bookmarkEnd w:id="8"/>
      <w:r w:rsidR="00B17579" w:rsidRPr="003258F9">
        <w:rPr>
          <w:rFonts w:cstheme="minorHAnsi"/>
          <w:sz w:val="24"/>
          <w:szCs w:val="24"/>
        </w:rPr>
        <w:t>(201</w:t>
      </w:r>
      <w:r w:rsidR="00CB3347" w:rsidRPr="003258F9">
        <w:rPr>
          <w:rFonts w:cstheme="minorHAnsi"/>
          <w:sz w:val="24"/>
          <w:szCs w:val="24"/>
        </w:rPr>
        <w:t>6</w:t>
      </w:r>
      <w:r w:rsidR="00B17579" w:rsidRPr="003258F9">
        <w:rPr>
          <w:rFonts w:cstheme="minorHAnsi"/>
          <w:sz w:val="24"/>
          <w:szCs w:val="24"/>
        </w:rPr>
        <w:t xml:space="preserve">) finds that urban areas </w:t>
      </w:r>
      <w:r w:rsidR="00AA3938" w:rsidRPr="003258F9">
        <w:rPr>
          <w:rFonts w:cstheme="minorHAnsi"/>
          <w:sz w:val="24"/>
          <w:szCs w:val="24"/>
        </w:rPr>
        <w:t xml:space="preserve">of Denmark </w:t>
      </w:r>
      <w:r w:rsidR="00B17579" w:rsidRPr="003258F9">
        <w:rPr>
          <w:rFonts w:cstheme="minorHAnsi"/>
          <w:sz w:val="24"/>
          <w:szCs w:val="24"/>
        </w:rPr>
        <w:t>have lower ‘localised’ trust but higher ‘trust towards people in general</w:t>
      </w:r>
      <w:r w:rsidRPr="003258F9">
        <w:rPr>
          <w:rFonts w:cstheme="minorHAnsi"/>
          <w:sz w:val="24"/>
          <w:szCs w:val="24"/>
        </w:rPr>
        <w:t>’</w:t>
      </w:r>
      <w:r w:rsidR="00AA3938" w:rsidRPr="003258F9">
        <w:rPr>
          <w:rFonts w:cstheme="minorHAnsi"/>
          <w:sz w:val="24"/>
          <w:szCs w:val="24"/>
        </w:rPr>
        <w:t>.</w:t>
      </w:r>
    </w:p>
    <w:p w14:paraId="0FD5C38D" w14:textId="15D53809" w:rsidR="00B17579" w:rsidRPr="003258F9" w:rsidRDefault="00AA3938" w:rsidP="77A12534">
      <w:pPr>
        <w:spacing w:after="120" w:line="480" w:lineRule="auto"/>
        <w:rPr>
          <w:rFonts w:cstheme="minorHAnsi"/>
          <w:sz w:val="24"/>
          <w:szCs w:val="24"/>
        </w:rPr>
      </w:pPr>
      <w:r w:rsidRPr="003258F9">
        <w:rPr>
          <w:rFonts w:cstheme="minorHAnsi"/>
          <w:sz w:val="24"/>
          <w:szCs w:val="24"/>
        </w:rPr>
        <w:t>We again ar</w:t>
      </w:r>
      <w:r w:rsidR="003E35B3" w:rsidRPr="003258F9">
        <w:rPr>
          <w:rFonts w:cstheme="minorHAnsi"/>
          <w:sz w:val="24"/>
          <w:szCs w:val="24"/>
        </w:rPr>
        <w:t>g</w:t>
      </w:r>
      <w:r w:rsidRPr="003258F9">
        <w:rPr>
          <w:rFonts w:cstheme="minorHAnsi"/>
          <w:sz w:val="24"/>
          <w:szCs w:val="24"/>
        </w:rPr>
        <w:t>ue that the geography of social ties is important, and helps to understand why some places will develop different forms of social trust. This is crucial, as these forms of trust have very different societal consequences. On the one hand, we argue, urban/capital ties will be more beneficial for developing generalized social trust</w:t>
      </w:r>
      <w:r w:rsidR="00BA306C" w:rsidRPr="003258F9">
        <w:rPr>
          <w:rFonts w:cstheme="minorHAnsi"/>
          <w:sz w:val="24"/>
          <w:szCs w:val="24"/>
        </w:rPr>
        <w:t xml:space="preserve"> (GST)</w:t>
      </w:r>
      <w:r w:rsidRPr="003258F9">
        <w:rPr>
          <w:rFonts w:cstheme="minorHAnsi"/>
          <w:sz w:val="24"/>
          <w:szCs w:val="24"/>
        </w:rPr>
        <w:t xml:space="preserve">. </w:t>
      </w:r>
      <w:r w:rsidR="003E35B3" w:rsidRPr="003258F9">
        <w:rPr>
          <w:rFonts w:cstheme="minorHAnsi"/>
          <w:sz w:val="24"/>
          <w:szCs w:val="24"/>
        </w:rPr>
        <w:t>Those who have contacts in such areas (regardless of their immediate environment) are likely to have networks that are more diverse on various dimensions (including ethnicity, place of origin, income, class, occupation, sexuality, and so on). On the other hand, particular social trust</w:t>
      </w:r>
      <w:r w:rsidR="00BA306C" w:rsidRPr="003258F9">
        <w:rPr>
          <w:rFonts w:cstheme="minorHAnsi"/>
          <w:sz w:val="24"/>
          <w:szCs w:val="24"/>
        </w:rPr>
        <w:t xml:space="preserve"> (PST)</w:t>
      </w:r>
      <w:r w:rsidR="003E35B3" w:rsidRPr="003258F9">
        <w:rPr>
          <w:rFonts w:cstheme="minorHAnsi"/>
          <w:sz w:val="24"/>
          <w:szCs w:val="24"/>
        </w:rPr>
        <w:t xml:space="preserve"> is likely to be associated with dense clusters of local connections, often associated with smaller rural communities.</w:t>
      </w:r>
      <w:r w:rsidR="00BD71E8" w:rsidRPr="003258F9">
        <w:rPr>
          <w:rFonts w:cstheme="minorHAnsi"/>
          <w:sz w:val="24"/>
          <w:szCs w:val="24"/>
        </w:rPr>
        <w:t xml:space="preserve"> </w:t>
      </w:r>
      <w:r w:rsidR="003E35B3" w:rsidRPr="003258F9">
        <w:rPr>
          <w:rFonts w:cstheme="minorHAnsi"/>
          <w:sz w:val="24"/>
          <w:szCs w:val="24"/>
        </w:rPr>
        <w:t xml:space="preserve">As </w:t>
      </w:r>
      <w:proofErr w:type="spellStart"/>
      <w:r w:rsidR="00B7502C" w:rsidRPr="003258F9">
        <w:rPr>
          <w:rFonts w:cstheme="minorHAnsi"/>
          <w:sz w:val="24"/>
          <w:szCs w:val="24"/>
        </w:rPr>
        <w:t>Sørensen</w:t>
      </w:r>
      <w:proofErr w:type="spellEnd"/>
      <w:r w:rsidR="00B7502C" w:rsidRPr="003258F9">
        <w:rPr>
          <w:rFonts w:cstheme="minorHAnsi"/>
          <w:sz w:val="24"/>
          <w:szCs w:val="24"/>
        </w:rPr>
        <w:t xml:space="preserve"> </w:t>
      </w:r>
      <w:r w:rsidR="003E35B3" w:rsidRPr="003258F9">
        <w:rPr>
          <w:rFonts w:cstheme="minorHAnsi"/>
          <w:sz w:val="24"/>
          <w:szCs w:val="24"/>
        </w:rPr>
        <w:t>(2012</w:t>
      </w:r>
      <w:r w:rsidR="00A03A9C">
        <w:rPr>
          <w:rFonts w:cstheme="minorHAnsi"/>
          <w:sz w:val="24"/>
          <w:szCs w:val="24"/>
        </w:rPr>
        <w:t>;</w:t>
      </w:r>
      <w:r w:rsidR="003E35B3" w:rsidRPr="003258F9">
        <w:rPr>
          <w:rFonts w:cstheme="minorHAnsi"/>
          <w:sz w:val="24"/>
          <w:szCs w:val="24"/>
        </w:rPr>
        <w:t xml:space="preserve"> 2016) argues, </w:t>
      </w:r>
      <w:r w:rsidR="00A03C08" w:rsidRPr="003258F9">
        <w:rPr>
          <w:rFonts w:cstheme="minorHAnsi"/>
          <w:sz w:val="24"/>
          <w:szCs w:val="24"/>
        </w:rPr>
        <w:t>in low-density areas</w:t>
      </w:r>
      <w:r w:rsidR="00CB3347" w:rsidRPr="003258F9">
        <w:rPr>
          <w:rFonts w:cstheme="minorHAnsi"/>
          <w:sz w:val="24"/>
          <w:szCs w:val="24"/>
        </w:rPr>
        <w:t xml:space="preserve"> </w:t>
      </w:r>
      <w:r w:rsidR="003E35B3" w:rsidRPr="003258F9">
        <w:rPr>
          <w:rFonts w:cstheme="minorHAnsi"/>
          <w:sz w:val="24"/>
          <w:szCs w:val="24"/>
        </w:rPr>
        <w:t>co-operation is often needed to provide services easily provided in urban areas</w:t>
      </w:r>
      <w:r w:rsidR="00A03C08" w:rsidRPr="003258F9">
        <w:rPr>
          <w:rFonts w:cstheme="minorHAnsi"/>
          <w:sz w:val="24"/>
          <w:szCs w:val="24"/>
        </w:rPr>
        <w:t xml:space="preserve"> – co-operation that calls for trust and trustworthiness</w:t>
      </w:r>
      <w:r w:rsidR="00CB3347" w:rsidRPr="003258F9">
        <w:rPr>
          <w:rFonts w:cstheme="minorHAnsi"/>
          <w:sz w:val="24"/>
          <w:szCs w:val="24"/>
        </w:rPr>
        <w:t xml:space="preserve">. Fisman and Khanna (1999) add that those in rural communities are more incentivised to be trustworthy to their neighbours – wrongdoing can more easily be punished through ostracism, but urbanites can more easily substitute parts or all of their network with </w:t>
      </w:r>
      <w:r w:rsidR="00CB3347" w:rsidRPr="003258F9">
        <w:rPr>
          <w:rFonts w:cstheme="minorHAnsi"/>
          <w:i/>
          <w:iCs/>
          <w:sz w:val="24"/>
          <w:szCs w:val="24"/>
        </w:rPr>
        <w:t>connections</w:t>
      </w:r>
      <w:r w:rsidR="00CB3347" w:rsidRPr="003258F9">
        <w:rPr>
          <w:rFonts w:cstheme="minorHAnsi"/>
          <w:sz w:val="24"/>
          <w:szCs w:val="24"/>
        </w:rPr>
        <w:t xml:space="preserve"> to urban areas and the capital (even if living in another place). </w:t>
      </w:r>
    </w:p>
    <w:p w14:paraId="3C6905F5" w14:textId="4FF08B43" w:rsidR="00CB3347" w:rsidRPr="003258F9" w:rsidRDefault="00CB3347" w:rsidP="77A12534">
      <w:pPr>
        <w:spacing w:after="120" w:line="480" w:lineRule="auto"/>
        <w:rPr>
          <w:rFonts w:cstheme="minorHAnsi"/>
          <w:sz w:val="24"/>
          <w:szCs w:val="24"/>
        </w:rPr>
      </w:pPr>
      <w:r w:rsidRPr="003258F9">
        <w:rPr>
          <w:rFonts w:cstheme="minorHAnsi"/>
          <w:sz w:val="24"/>
          <w:szCs w:val="24"/>
        </w:rPr>
        <w:t>We therefore provide the following set of hypotheses:</w:t>
      </w:r>
    </w:p>
    <w:p w14:paraId="75F39825" w14:textId="2406978C" w:rsidR="00CB3347" w:rsidRPr="003258F9" w:rsidRDefault="00CB3347" w:rsidP="00CB3347">
      <w:pPr>
        <w:spacing w:after="120" w:line="480" w:lineRule="auto"/>
        <w:rPr>
          <w:rFonts w:cstheme="minorHAnsi"/>
          <w:sz w:val="24"/>
          <w:szCs w:val="24"/>
        </w:rPr>
      </w:pPr>
      <w:r w:rsidRPr="003258F9">
        <w:rPr>
          <w:rFonts w:cstheme="minorHAnsi"/>
          <w:sz w:val="24"/>
          <w:szCs w:val="24"/>
        </w:rPr>
        <w:t xml:space="preserve">H2a: </w:t>
      </w:r>
      <w:bookmarkStart w:id="9" w:name="_Hlk138954402"/>
      <w:r w:rsidRPr="003258F9">
        <w:rPr>
          <w:rFonts w:cstheme="minorHAnsi"/>
          <w:sz w:val="24"/>
          <w:szCs w:val="24"/>
        </w:rPr>
        <w:t xml:space="preserve">The stronger a region’s social ties with urban regions, the </w:t>
      </w:r>
      <w:r w:rsidRPr="003258F9">
        <w:rPr>
          <w:rFonts w:cstheme="minorHAnsi"/>
          <w:i/>
          <w:iCs/>
          <w:sz w:val="24"/>
          <w:szCs w:val="24"/>
        </w:rPr>
        <w:t>higher</w:t>
      </w:r>
      <w:r w:rsidRPr="003258F9">
        <w:rPr>
          <w:rFonts w:cstheme="minorHAnsi"/>
          <w:sz w:val="24"/>
          <w:szCs w:val="24"/>
        </w:rPr>
        <w:t xml:space="preserve"> the level of generalized social trust.</w:t>
      </w:r>
      <w:bookmarkEnd w:id="9"/>
    </w:p>
    <w:p w14:paraId="1D20B21D" w14:textId="55EBF1BC" w:rsidR="00CB3347" w:rsidRPr="003258F9" w:rsidRDefault="00CB3347" w:rsidP="00CB3347">
      <w:pPr>
        <w:spacing w:after="120" w:line="480" w:lineRule="auto"/>
        <w:rPr>
          <w:rFonts w:cstheme="minorHAnsi"/>
          <w:sz w:val="24"/>
          <w:szCs w:val="24"/>
        </w:rPr>
      </w:pPr>
      <w:r w:rsidRPr="003258F9">
        <w:rPr>
          <w:rFonts w:cstheme="minorHAnsi"/>
          <w:sz w:val="24"/>
          <w:szCs w:val="24"/>
        </w:rPr>
        <w:lastRenderedPageBreak/>
        <w:t xml:space="preserve">H2b: The stronger a region’s social ties with the capital region, the </w:t>
      </w:r>
      <w:r w:rsidRPr="003258F9">
        <w:rPr>
          <w:rFonts w:cstheme="minorHAnsi"/>
          <w:i/>
          <w:iCs/>
          <w:sz w:val="24"/>
          <w:szCs w:val="24"/>
        </w:rPr>
        <w:t>higher</w:t>
      </w:r>
      <w:r w:rsidRPr="003258F9">
        <w:rPr>
          <w:rFonts w:cstheme="minorHAnsi"/>
          <w:sz w:val="24"/>
          <w:szCs w:val="24"/>
        </w:rPr>
        <w:t xml:space="preserve"> the level of generalized social trust. </w:t>
      </w:r>
    </w:p>
    <w:p w14:paraId="57A59E4D" w14:textId="2F9D1739" w:rsidR="00CB3347" w:rsidRPr="003258F9" w:rsidRDefault="00CB3347" w:rsidP="00CB3347">
      <w:pPr>
        <w:spacing w:after="120" w:line="480" w:lineRule="auto"/>
        <w:rPr>
          <w:rFonts w:cstheme="minorHAnsi"/>
          <w:sz w:val="24"/>
          <w:szCs w:val="24"/>
        </w:rPr>
      </w:pPr>
      <w:r w:rsidRPr="003258F9">
        <w:rPr>
          <w:rFonts w:cstheme="minorHAnsi"/>
          <w:sz w:val="24"/>
          <w:szCs w:val="24"/>
        </w:rPr>
        <w:t xml:space="preserve">H3a: The stronger a region’s internal social ties, the </w:t>
      </w:r>
      <w:r w:rsidRPr="003258F9">
        <w:rPr>
          <w:rFonts w:cstheme="minorHAnsi"/>
          <w:i/>
          <w:iCs/>
          <w:sz w:val="24"/>
          <w:szCs w:val="24"/>
        </w:rPr>
        <w:t>higher</w:t>
      </w:r>
      <w:r w:rsidRPr="003258F9">
        <w:rPr>
          <w:rFonts w:cstheme="minorHAnsi"/>
          <w:sz w:val="24"/>
          <w:szCs w:val="24"/>
        </w:rPr>
        <w:t xml:space="preserve"> the level of particular social trust.</w:t>
      </w:r>
    </w:p>
    <w:p w14:paraId="66948DB7" w14:textId="57A49C04" w:rsidR="00CB3347" w:rsidRPr="003258F9" w:rsidRDefault="00CB3347" w:rsidP="00CB3347">
      <w:pPr>
        <w:spacing w:after="120" w:line="480" w:lineRule="auto"/>
        <w:rPr>
          <w:rFonts w:cstheme="minorHAnsi"/>
          <w:sz w:val="24"/>
          <w:szCs w:val="24"/>
        </w:rPr>
      </w:pPr>
      <w:r w:rsidRPr="003258F9">
        <w:rPr>
          <w:rFonts w:cstheme="minorHAnsi"/>
          <w:sz w:val="24"/>
          <w:szCs w:val="24"/>
        </w:rPr>
        <w:t xml:space="preserve">H3b: The stronger a region’s social ties with urban regions, the </w:t>
      </w:r>
      <w:r w:rsidRPr="003258F9">
        <w:rPr>
          <w:rFonts w:cstheme="minorHAnsi"/>
          <w:i/>
          <w:iCs/>
          <w:sz w:val="24"/>
          <w:szCs w:val="24"/>
        </w:rPr>
        <w:t>lower</w:t>
      </w:r>
      <w:r w:rsidRPr="003258F9">
        <w:rPr>
          <w:rFonts w:cstheme="minorHAnsi"/>
          <w:sz w:val="24"/>
          <w:szCs w:val="24"/>
        </w:rPr>
        <w:t xml:space="preserve"> the level of particular social trust.</w:t>
      </w:r>
    </w:p>
    <w:p w14:paraId="2435D5E7" w14:textId="52AD231E" w:rsidR="00CB3347" w:rsidRPr="003258F9" w:rsidRDefault="00CB3347" w:rsidP="00CB3347">
      <w:pPr>
        <w:spacing w:after="120" w:line="480" w:lineRule="auto"/>
        <w:rPr>
          <w:rFonts w:cstheme="minorHAnsi"/>
          <w:sz w:val="24"/>
          <w:szCs w:val="24"/>
        </w:rPr>
      </w:pPr>
      <w:r w:rsidRPr="003258F9">
        <w:rPr>
          <w:rFonts w:cstheme="minorHAnsi"/>
          <w:sz w:val="24"/>
          <w:szCs w:val="24"/>
        </w:rPr>
        <w:t xml:space="preserve">H3c: The stronger a region’s social ties with the capital region, the </w:t>
      </w:r>
      <w:r w:rsidRPr="003258F9">
        <w:rPr>
          <w:rFonts w:cstheme="minorHAnsi"/>
          <w:i/>
          <w:iCs/>
          <w:sz w:val="24"/>
          <w:szCs w:val="24"/>
        </w:rPr>
        <w:t>lower</w:t>
      </w:r>
      <w:r w:rsidRPr="003258F9">
        <w:rPr>
          <w:rFonts w:cstheme="minorHAnsi"/>
          <w:sz w:val="24"/>
          <w:szCs w:val="24"/>
        </w:rPr>
        <w:t xml:space="preserve"> the level of particular social trust.</w:t>
      </w:r>
    </w:p>
    <w:p w14:paraId="25520AE4" w14:textId="5D38D07F" w:rsidR="00AC19FA" w:rsidRPr="00FD7B9F" w:rsidRDefault="00AC19FA" w:rsidP="00FD7B9F">
      <w:pPr>
        <w:rPr>
          <w:rFonts w:cstheme="minorHAnsi"/>
          <w:sz w:val="24"/>
          <w:szCs w:val="24"/>
        </w:rPr>
      </w:pPr>
    </w:p>
    <w:p w14:paraId="1B5B77E6" w14:textId="46E13EAF" w:rsidR="00B573BF" w:rsidRPr="003258F9" w:rsidRDefault="00B573BF" w:rsidP="00803772">
      <w:pPr>
        <w:pStyle w:val="Heading1"/>
        <w:ind w:left="360"/>
        <w:rPr>
          <w:rFonts w:cstheme="minorHAnsi"/>
        </w:rPr>
      </w:pPr>
      <w:r w:rsidRPr="003258F9">
        <w:rPr>
          <w:rFonts w:cstheme="minorHAnsi"/>
        </w:rPr>
        <w:t>Data and method</w:t>
      </w:r>
    </w:p>
    <w:p w14:paraId="4934F070" w14:textId="77777777" w:rsidR="00B573BF" w:rsidRPr="003258F9" w:rsidRDefault="00B573BF" w:rsidP="00285976">
      <w:pPr>
        <w:pStyle w:val="Heading2"/>
        <w:rPr>
          <w:rFonts w:asciiTheme="minorHAnsi" w:hAnsiTheme="minorHAnsi" w:cstheme="minorHAnsi"/>
        </w:rPr>
      </w:pPr>
      <w:r w:rsidRPr="003258F9">
        <w:rPr>
          <w:rFonts w:asciiTheme="minorHAnsi" w:hAnsiTheme="minorHAnsi" w:cstheme="minorHAnsi"/>
        </w:rPr>
        <w:t>Measuring social connections across space</w:t>
      </w:r>
    </w:p>
    <w:p w14:paraId="788F2F49" w14:textId="11203118" w:rsidR="00B573BF" w:rsidRPr="003258F9" w:rsidRDefault="77A12534" w:rsidP="00B573BF">
      <w:pPr>
        <w:spacing w:line="480" w:lineRule="auto"/>
        <w:rPr>
          <w:rFonts w:cstheme="minorHAnsi"/>
          <w:sz w:val="24"/>
          <w:szCs w:val="24"/>
        </w:rPr>
      </w:pPr>
      <w:r w:rsidRPr="003258F9">
        <w:rPr>
          <w:rFonts w:cstheme="minorHAnsi"/>
          <w:sz w:val="24"/>
          <w:szCs w:val="24"/>
        </w:rPr>
        <w:t>Measuring social connections has been a significant challenge for social scientists. Research on social connections has, until recently, relied on surveys: an approach with multiple limitations. Surveys are often small-scale, not internationally comparable and not always large enough to discern demographic or geographic differences – and come with the well-known challenges of self-reported behaviour. Recent studies have moved towards a ‘big data’ approach, for example, using data on mobile phone calls and texts (</w:t>
      </w:r>
      <w:proofErr w:type="gramStart"/>
      <w:r w:rsidRPr="003258F9">
        <w:rPr>
          <w:rFonts w:cstheme="minorHAnsi"/>
          <w:sz w:val="24"/>
          <w:szCs w:val="24"/>
        </w:rPr>
        <w:t>e.g.</w:t>
      </w:r>
      <w:proofErr w:type="gramEnd"/>
      <w:r w:rsidRPr="003258F9">
        <w:rPr>
          <w:rFonts w:cstheme="minorHAnsi"/>
          <w:sz w:val="24"/>
          <w:szCs w:val="24"/>
        </w:rPr>
        <w:t xml:space="preserve"> Dissing et al. 2018), but the most substantial breakthrough has come from social media data. </w:t>
      </w:r>
    </w:p>
    <w:p w14:paraId="2815ECA5" w14:textId="4889B53D" w:rsidR="00B573BF" w:rsidRPr="003258F9" w:rsidRDefault="00B573BF" w:rsidP="00B573BF">
      <w:pPr>
        <w:spacing w:line="480" w:lineRule="auto"/>
        <w:rPr>
          <w:rFonts w:cstheme="minorHAnsi"/>
          <w:sz w:val="24"/>
          <w:szCs w:val="24"/>
        </w:rPr>
      </w:pPr>
      <w:r w:rsidRPr="003258F9">
        <w:rPr>
          <w:rFonts w:cstheme="minorHAnsi"/>
          <w:sz w:val="24"/>
          <w:szCs w:val="24"/>
        </w:rPr>
        <w:t xml:space="preserve">We utilise a novel resource to measure social connections across space, the Social Connectedness Index, developed by researchers at Meta Data </w:t>
      </w:r>
      <w:proofErr w:type="gramStart"/>
      <w:r w:rsidRPr="003258F9">
        <w:rPr>
          <w:rFonts w:cstheme="minorHAnsi"/>
          <w:sz w:val="24"/>
          <w:szCs w:val="24"/>
        </w:rPr>
        <w:t>For</w:t>
      </w:r>
      <w:proofErr w:type="gramEnd"/>
      <w:r w:rsidRPr="003258F9">
        <w:rPr>
          <w:rFonts w:cstheme="minorHAnsi"/>
          <w:sz w:val="24"/>
          <w:szCs w:val="24"/>
        </w:rPr>
        <w:t xml:space="preserve"> Good. The Social Connectedness </w:t>
      </w:r>
      <w:r w:rsidR="009D19E5" w:rsidRPr="003258F9">
        <w:rPr>
          <w:rFonts w:cstheme="minorHAnsi"/>
          <w:sz w:val="24"/>
          <w:szCs w:val="24"/>
        </w:rPr>
        <w:t>I</w:t>
      </w:r>
      <w:r w:rsidRPr="003258F9">
        <w:rPr>
          <w:rFonts w:cstheme="minorHAnsi"/>
          <w:sz w:val="24"/>
          <w:szCs w:val="24"/>
        </w:rPr>
        <w:t>ndex is based on friendship links between users of the global social networking service, Facebook. Facebook has many beneficial properties to measure social networks of both strong and weak ties. It has a large and relatively representative user body</w:t>
      </w:r>
      <w:r w:rsidR="002E6E00">
        <w:rPr>
          <w:rFonts w:cstheme="minorHAnsi"/>
          <w:sz w:val="24"/>
          <w:szCs w:val="24"/>
        </w:rPr>
        <w:t xml:space="preserve">, </w:t>
      </w:r>
      <w:r w:rsidRPr="003258F9">
        <w:rPr>
          <w:rFonts w:cstheme="minorHAnsi"/>
          <w:sz w:val="24"/>
          <w:szCs w:val="24"/>
        </w:rPr>
        <w:t>including strong presence across all European countries</w:t>
      </w:r>
      <w:r w:rsidR="005655BF">
        <w:rPr>
          <w:rFonts w:cstheme="minorHAnsi"/>
          <w:sz w:val="24"/>
          <w:szCs w:val="24"/>
        </w:rPr>
        <w:t xml:space="preserve"> – in every EU country,</w:t>
      </w:r>
      <w:r w:rsidR="002E6E00">
        <w:rPr>
          <w:rFonts w:cstheme="minorHAnsi"/>
          <w:sz w:val="24"/>
          <w:szCs w:val="24"/>
        </w:rPr>
        <w:t xml:space="preserve"> </w:t>
      </w:r>
      <w:r w:rsidR="005655BF">
        <w:rPr>
          <w:rFonts w:cstheme="minorHAnsi"/>
          <w:sz w:val="24"/>
          <w:szCs w:val="24"/>
        </w:rPr>
        <w:lastRenderedPageBreak/>
        <w:t>between 60 and 90% of the eligible population use the platform</w:t>
      </w:r>
      <w:r w:rsidR="002E6E00">
        <w:rPr>
          <w:rFonts w:cstheme="minorHAnsi"/>
          <w:sz w:val="24"/>
          <w:szCs w:val="24"/>
        </w:rPr>
        <w:t xml:space="preserve"> (</w:t>
      </w:r>
      <w:bookmarkStart w:id="10" w:name="_Hlk150873957"/>
      <w:r w:rsidR="002E6E00">
        <w:rPr>
          <w:rFonts w:cstheme="minorHAnsi"/>
          <w:sz w:val="24"/>
          <w:szCs w:val="24"/>
        </w:rPr>
        <w:t>Internet World Stats, 2023</w:t>
      </w:r>
      <w:bookmarkEnd w:id="10"/>
      <w:r w:rsidR="002E6E00">
        <w:rPr>
          <w:rFonts w:cstheme="minorHAnsi"/>
          <w:sz w:val="24"/>
          <w:szCs w:val="24"/>
        </w:rPr>
        <w:t>). F</w:t>
      </w:r>
      <w:r w:rsidRPr="003258F9">
        <w:rPr>
          <w:rFonts w:cstheme="minorHAnsi"/>
          <w:sz w:val="24"/>
          <w:szCs w:val="24"/>
        </w:rPr>
        <w:t xml:space="preserve">riendship pairs reflect a diverse and balanced profile of connections </w:t>
      </w:r>
      <w:r w:rsidR="005655BF">
        <w:rPr>
          <w:rFonts w:cstheme="minorHAnsi"/>
          <w:sz w:val="24"/>
          <w:szCs w:val="24"/>
        </w:rPr>
        <w:t>(</w:t>
      </w:r>
      <w:bookmarkStart w:id="11" w:name="_Hlk150874260"/>
      <w:r w:rsidR="005655BF">
        <w:rPr>
          <w:rFonts w:cstheme="minorHAnsi"/>
          <w:sz w:val="24"/>
          <w:szCs w:val="24"/>
        </w:rPr>
        <w:t>Duggan et al, 2015</w:t>
      </w:r>
      <w:bookmarkEnd w:id="11"/>
      <w:r w:rsidR="005655BF">
        <w:rPr>
          <w:rFonts w:cstheme="minorHAnsi"/>
          <w:sz w:val="24"/>
          <w:szCs w:val="24"/>
        </w:rPr>
        <w:t xml:space="preserve">) </w:t>
      </w:r>
      <w:r w:rsidRPr="003258F9">
        <w:rPr>
          <w:rFonts w:cstheme="minorHAnsi"/>
          <w:sz w:val="24"/>
          <w:szCs w:val="24"/>
        </w:rPr>
        <w:t>that overwhelmingly originate in the offline world</w:t>
      </w:r>
      <w:r w:rsidR="005655BF">
        <w:rPr>
          <w:rFonts w:cstheme="minorHAnsi"/>
          <w:sz w:val="24"/>
          <w:szCs w:val="24"/>
        </w:rPr>
        <w:t xml:space="preserve"> (Hampton et al, 2011)</w:t>
      </w:r>
      <w:r w:rsidRPr="003258F9">
        <w:rPr>
          <w:rFonts w:cstheme="minorHAnsi"/>
          <w:sz w:val="24"/>
          <w:szCs w:val="24"/>
        </w:rPr>
        <w:t xml:space="preserve">. Moreover, Facebook knows where its users are based, through both information stated on profiles, and GPS location of devices. </w:t>
      </w:r>
    </w:p>
    <w:p w14:paraId="6C2449C9" w14:textId="4A9FBA00" w:rsidR="00B573BF" w:rsidRPr="003258F9" w:rsidRDefault="77A12534" w:rsidP="00B573BF">
      <w:pPr>
        <w:spacing w:line="480" w:lineRule="auto"/>
        <w:rPr>
          <w:rFonts w:cstheme="minorHAnsi"/>
          <w:sz w:val="24"/>
          <w:szCs w:val="24"/>
        </w:rPr>
      </w:pPr>
      <w:r w:rsidRPr="003258F9">
        <w:rPr>
          <w:rFonts w:cstheme="minorHAnsi"/>
          <w:sz w:val="24"/>
          <w:szCs w:val="24"/>
        </w:rPr>
        <w:t xml:space="preserve">The Social Connectedness </w:t>
      </w:r>
      <w:r w:rsidR="009D19E5" w:rsidRPr="003258F9">
        <w:rPr>
          <w:rFonts w:cstheme="minorHAnsi"/>
          <w:sz w:val="24"/>
          <w:szCs w:val="24"/>
        </w:rPr>
        <w:t>I</w:t>
      </w:r>
      <w:r w:rsidRPr="003258F9">
        <w:rPr>
          <w:rFonts w:cstheme="minorHAnsi"/>
          <w:sz w:val="24"/>
          <w:szCs w:val="24"/>
        </w:rPr>
        <w:t xml:space="preserve">ndex measures the intensity of social connections between locations (Bailey 2018). This is based on the ‘relative probability of a Facebook friendship link between a given Facebook user in location </w:t>
      </w:r>
      <w:r w:rsidRPr="00803772">
        <w:rPr>
          <w:rFonts w:cstheme="minorHAnsi"/>
          <w:i/>
          <w:iCs/>
          <w:sz w:val="24"/>
          <w:szCs w:val="24"/>
        </w:rPr>
        <w:t>i</w:t>
      </w:r>
      <w:r w:rsidRPr="003258F9">
        <w:rPr>
          <w:rFonts w:cstheme="minorHAnsi"/>
          <w:sz w:val="24"/>
          <w:szCs w:val="24"/>
        </w:rPr>
        <w:t xml:space="preserve"> and another user in location </w:t>
      </w:r>
      <w:r w:rsidRPr="00803772">
        <w:rPr>
          <w:rFonts w:cstheme="minorHAnsi"/>
          <w:i/>
          <w:iCs/>
          <w:sz w:val="24"/>
          <w:szCs w:val="24"/>
        </w:rPr>
        <w:t>j’</w:t>
      </w:r>
      <w:r w:rsidRPr="003258F9">
        <w:rPr>
          <w:rFonts w:cstheme="minorHAnsi"/>
          <w:sz w:val="24"/>
          <w:szCs w:val="24"/>
        </w:rPr>
        <w:t xml:space="preserve">: the number of friendship pairs between the two locations, divided by the product of users in </w:t>
      </w:r>
      <w:r w:rsidRPr="00803772">
        <w:rPr>
          <w:rFonts w:cstheme="minorHAnsi"/>
          <w:i/>
          <w:iCs/>
          <w:sz w:val="24"/>
          <w:szCs w:val="24"/>
        </w:rPr>
        <w:t>i</w:t>
      </w:r>
      <w:r w:rsidRPr="003258F9">
        <w:rPr>
          <w:rFonts w:cstheme="minorHAnsi"/>
          <w:sz w:val="24"/>
          <w:szCs w:val="24"/>
        </w:rPr>
        <w:t xml:space="preserve"> and users in </w:t>
      </w:r>
      <w:r w:rsidRPr="00803772">
        <w:rPr>
          <w:rFonts w:cstheme="minorHAnsi"/>
          <w:i/>
          <w:iCs/>
          <w:sz w:val="24"/>
          <w:szCs w:val="24"/>
        </w:rPr>
        <w:t>j</w:t>
      </w:r>
      <w:r w:rsidRPr="003258F9">
        <w:rPr>
          <w:rFonts w:cstheme="minorHAnsi"/>
          <w:sz w:val="24"/>
          <w:szCs w:val="24"/>
        </w:rPr>
        <w:t>. For Europe, Facebook provides a pair of datasets at NUTS-2 and NUTS-3 (2016) levels, key statistical geographies where other economic and population data can be accessed.  In this ‘raw’ form, the SCI has been shown to have considerable validity and utility. For example, many of the logical predictors of social connections between regions, such as proximity, demographic similarity, shared languages, and current and historical state borders have been shown to occur in the real world, both in the U.S.</w:t>
      </w:r>
      <w:r w:rsidR="005655BF">
        <w:rPr>
          <w:rFonts w:cstheme="minorHAnsi"/>
          <w:sz w:val="24"/>
          <w:szCs w:val="24"/>
        </w:rPr>
        <w:t xml:space="preserve"> (Bailey et al 2018)</w:t>
      </w:r>
      <w:r w:rsidRPr="003258F9">
        <w:rPr>
          <w:rFonts w:cstheme="minorHAnsi"/>
          <w:sz w:val="24"/>
          <w:szCs w:val="24"/>
        </w:rPr>
        <w:t xml:space="preserve"> and European data</w:t>
      </w:r>
      <w:r w:rsidR="005655BF">
        <w:rPr>
          <w:rFonts w:cstheme="minorHAnsi"/>
          <w:sz w:val="24"/>
          <w:szCs w:val="24"/>
        </w:rPr>
        <w:t xml:space="preserve"> (Bailey et al, 2020</w:t>
      </w:r>
      <w:proofErr w:type="gramStart"/>
      <w:r w:rsidR="005655BF">
        <w:rPr>
          <w:rFonts w:cstheme="minorHAnsi"/>
          <w:sz w:val="24"/>
          <w:szCs w:val="24"/>
        </w:rPr>
        <w:t xml:space="preserve">) </w:t>
      </w:r>
      <w:r w:rsidRPr="003258F9">
        <w:rPr>
          <w:rFonts w:cstheme="minorHAnsi"/>
          <w:sz w:val="24"/>
          <w:szCs w:val="24"/>
        </w:rPr>
        <w:t>.</w:t>
      </w:r>
      <w:proofErr w:type="gramEnd"/>
      <w:r w:rsidRPr="003258F9">
        <w:rPr>
          <w:rFonts w:cstheme="minorHAnsi"/>
          <w:sz w:val="24"/>
          <w:szCs w:val="24"/>
        </w:rPr>
        <w:t xml:space="preserve"> The SCI also has predictive validity: as Kuchler et al. (202</w:t>
      </w:r>
      <w:r w:rsidR="0030576A" w:rsidRPr="003258F9">
        <w:rPr>
          <w:rFonts w:cstheme="minorHAnsi"/>
          <w:sz w:val="24"/>
          <w:szCs w:val="24"/>
        </w:rPr>
        <w:t>2</w:t>
      </w:r>
      <w:r w:rsidRPr="003258F9">
        <w:rPr>
          <w:rFonts w:cstheme="minorHAnsi"/>
          <w:sz w:val="24"/>
          <w:szCs w:val="24"/>
        </w:rPr>
        <w:t xml:space="preserve">) show, the Covid-19 outbreak spread from early ‘hotspots’ to other regions which they were more socially connected with (over and above the effects of physical proximity). </w:t>
      </w:r>
    </w:p>
    <w:p w14:paraId="472F87AD" w14:textId="198C93CA" w:rsidR="00B573BF" w:rsidRPr="003258F9" w:rsidRDefault="00B573BF" w:rsidP="00B573BF">
      <w:pPr>
        <w:spacing w:line="480" w:lineRule="auto"/>
        <w:rPr>
          <w:rFonts w:cstheme="minorHAnsi"/>
          <w:sz w:val="24"/>
          <w:szCs w:val="24"/>
        </w:rPr>
      </w:pPr>
      <w:r w:rsidRPr="003258F9">
        <w:rPr>
          <w:rFonts w:cstheme="minorHAnsi"/>
          <w:sz w:val="24"/>
          <w:szCs w:val="24"/>
        </w:rPr>
        <w:t xml:space="preserve">To arrive at our measures, we process the data further. The simplest of our measures involves connections to one’s own region. For this measure, we simply identify the ‘raw’ SCI specifically of a region </w:t>
      </w:r>
      <w:r w:rsidRPr="003258F9">
        <w:rPr>
          <w:rFonts w:cstheme="minorHAnsi"/>
          <w:i/>
          <w:iCs/>
          <w:sz w:val="24"/>
          <w:szCs w:val="24"/>
        </w:rPr>
        <w:t>to itself</w:t>
      </w:r>
      <w:r w:rsidRPr="003258F9">
        <w:rPr>
          <w:rFonts w:cstheme="minorHAnsi"/>
          <w:sz w:val="24"/>
          <w:szCs w:val="24"/>
        </w:rPr>
        <w:t xml:space="preserve">; with these regions being either NUTS-2 or NUTS-3 depending on the level of geographic identification in the survey data (discussed below). Our other measures rely on aggregating the SCI between a region and another given set of regions. For </w:t>
      </w:r>
      <w:r w:rsidRPr="003258F9">
        <w:rPr>
          <w:rFonts w:cstheme="minorHAnsi"/>
          <w:sz w:val="24"/>
          <w:szCs w:val="24"/>
        </w:rPr>
        <w:lastRenderedPageBreak/>
        <w:t>urban connections, we identify the NUTS2 and NUTS3 units that are ‘predominantly urban’ under the official Eurostat definition. For capital connections, we identify the NUTS-3 units that are defined by Eurostat as ‘capital city metropolitan regions’</w:t>
      </w:r>
      <w:r w:rsidR="00772115" w:rsidRPr="003258F9">
        <w:rPr>
          <w:rFonts w:cstheme="minorHAnsi"/>
          <w:sz w:val="24"/>
          <w:szCs w:val="24"/>
        </w:rPr>
        <w:t>, and NUTS-2 units that contain any NUTS-3 unit denoted as the capital city</w:t>
      </w:r>
      <w:r w:rsidRPr="003258F9">
        <w:rPr>
          <w:rFonts w:cstheme="minorHAnsi"/>
          <w:sz w:val="24"/>
          <w:szCs w:val="24"/>
        </w:rPr>
        <w:t>.</w:t>
      </w:r>
    </w:p>
    <w:p w14:paraId="0574C1CE" w14:textId="16B91396" w:rsidR="00B573BF" w:rsidRPr="003258F9" w:rsidRDefault="00B573BF" w:rsidP="77A12534">
      <w:pPr>
        <w:spacing w:line="480" w:lineRule="auto"/>
        <w:rPr>
          <w:rFonts w:cstheme="minorHAnsi"/>
          <w:sz w:val="24"/>
          <w:szCs w:val="24"/>
          <w:vertAlign w:val="subscript"/>
        </w:rPr>
      </w:pPr>
      <w:r w:rsidRPr="003258F9">
        <w:rPr>
          <w:rFonts w:cstheme="minorHAnsi"/>
          <w:sz w:val="24"/>
          <w:szCs w:val="24"/>
        </w:rPr>
        <w:t>We aggregate the data by adapting a method introduced in Bailey et al. (2021) that aggregates SCI between region pairs to SCI between country pairs. For any country k, let i and j represent any region, u represent urban regions in country k, and c represent capital regions in country k. Pop represents the total population of each region (in 2019).</w:t>
      </w:r>
      <w:r w:rsidR="000129EA" w:rsidRPr="003258F9">
        <w:rPr>
          <w:rStyle w:val="EndnoteReference"/>
          <w:rFonts w:cstheme="minorHAnsi"/>
          <w:sz w:val="24"/>
          <w:szCs w:val="24"/>
        </w:rPr>
        <w:endnoteReference w:id="3"/>
      </w:r>
      <w:r w:rsidR="000129EA" w:rsidRPr="003258F9">
        <w:rPr>
          <w:rFonts w:cstheme="minorHAnsi"/>
          <w:sz w:val="24"/>
          <w:szCs w:val="24"/>
        </w:rPr>
        <w:t xml:space="preserve"> </w:t>
      </w:r>
    </w:p>
    <w:p w14:paraId="6B3BBA06" w14:textId="77777777" w:rsidR="00B573BF" w:rsidRPr="003258F9" w:rsidRDefault="00B573BF" w:rsidP="00B573BF">
      <w:pPr>
        <w:spacing w:line="480" w:lineRule="auto"/>
        <w:ind w:left="720" w:firstLine="720"/>
        <w:rPr>
          <w:rFonts w:eastAsiaTheme="minorEastAsia" w:cstheme="minorHAnsi"/>
          <w:sz w:val="24"/>
          <w:szCs w:val="24"/>
        </w:rPr>
      </w:pPr>
      <m:oMathPara>
        <m:oMathParaPr>
          <m:jc m:val="left"/>
        </m:oMathParaPr>
        <m:oMath>
          <m:r>
            <m:rPr>
              <m:sty m:val="p"/>
            </m:rPr>
            <w:rPr>
              <w:rFonts w:ascii="Cambria Math" w:hAnsi="Cambria Math" w:cstheme="minorHAnsi"/>
              <w:sz w:val="24"/>
              <w:szCs w:val="24"/>
            </w:rPr>
            <m:t xml:space="preserve">Urban connections: </m:t>
          </m:r>
          <m:sSub>
            <m:sSubPr>
              <m:ctrlPr>
                <w:rPr>
                  <w:rFonts w:ascii="Cambria Math" w:hAnsi="Cambria Math" w:cstheme="minorHAnsi"/>
                  <w:i/>
                  <w:sz w:val="24"/>
                  <w:szCs w:val="24"/>
                </w:rPr>
              </m:ctrlPr>
            </m:sSubPr>
            <m:e>
              <m:r>
                <w:rPr>
                  <w:rFonts w:ascii="Cambria Math" w:hAnsi="Cambria Math" w:cstheme="minorHAnsi"/>
                  <w:sz w:val="24"/>
                  <w:szCs w:val="24"/>
                </w:rPr>
                <m:t>SCI</m:t>
              </m:r>
            </m:e>
            <m:sub>
              <m:r>
                <w:rPr>
                  <w:rFonts w:ascii="Cambria Math" w:hAnsi="Cambria Math" w:cstheme="minorHAnsi"/>
                  <w:sz w:val="24"/>
                  <w:szCs w:val="24"/>
                </w:rPr>
                <m:t>i,u</m:t>
              </m:r>
            </m:sub>
          </m:sSub>
          <m:r>
            <w:rPr>
              <w:rFonts w:ascii="Cambria Math" w:hAnsi="Cambria Math" w:cstheme="minorHAnsi"/>
              <w:sz w:val="24"/>
              <w:szCs w:val="24"/>
            </w:rPr>
            <m:t xml:space="preserve">= </m:t>
          </m:r>
          <m:nary>
            <m:naryPr>
              <m:chr m:val="∑"/>
              <m:limLoc m:val="undOvr"/>
              <m:subHide m:val="1"/>
              <m:supHide m:val="1"/>
              <m:ctrlPr>
                <w:rPr>
                  <w:rFonts w:ascii="Cambria Math" w:hAnsi="Cambria Math" w:cstheme="minorHAnsi"/>
                  <w:i/>
                  <w:sz w:val="24"/>
                  <w:szCs w:val="24"/>
                </w:rPr>
              </m:ctrlPr>
            </m:naryPr>
            <m:sub/>
            <m:sup/>
            <m:e>
              <m:d>
                <m:dPr>
                  <m:ctrlPr>
                    <w:rPr>
                      <w:rFonts w:ascii="Cambria Math" w:hAnsi="Cambria Math" w:cstheme="minorHAnsi"/>
                      <w:i/>
                      <w:sz w:val="24"/>
                      <w:szCs w:val="24"/>
                    </w:rPr>
                  </m:ctrlPr>
                </m:dPr>
                <m:e>
                  <m:d>
                    <m:dPr>
                      <m:ctrlPr>
                        <w:rPr>
                          <w:rFonts w:ascii="Cambria Math" w:hAnsi="Cambria Math" w:cstheme="minorHAnsi"/>
                          <w:i/>
                          <w:sz w:val="24"/>
                          <w:szCs w:val="24"/>
                        </w:rPr>
                      </m:ctrlPr>
                    </m:dPr>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pop</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u</m:t>
                                  </m:r>
                                </m:sub>
                              </m:sSub>
                            </m:sub>
                          </m:sSub>
                        </m:num>
                        <m:den>
                          <m:nary>
                            <m:naryPr>
                              <m:chr m:val="∑"/>
                              <m:limLoc m:val="undOvr"/>
                              <m:subHide m:val="1"/>
                              <m:supHide m:val="1"/>
                              <m:ctrlPr>
                                <w:rPr>
                                  <w:rFonts w:ascii="Cambria Math" w:hAnsi="Cambria Math" w:cstheme="minorHAnsi"/>
                                  <w:i/>
                                  <w:sz w:val="24"/>
                                  <w:szCs w:val="24"/>
                                </w:rPr>
                              </m:ctrlPr>
                            </m:naryPr>
                            <m:sub/>
                            <m:sup/>
                            <m:e>
                              <m:sSub>
                                <m:sSubPr>
                                  <m:ctrlPr>
                                    <w:rPr>
                                      <w:rFonts w:ascii="Cambria Math" w:hAnsi="Cambria Math" w:cstheme="minorHAnsi"/>
                                      <w:i/>
                                      <w:sz w:val="24"/>
                                      <w:szCs w:val="24"/>
                                    </w:rPr>
                                  </m:ctrlPr>
                                </m:sSubPr>
                                <m:e>
                                  <m:r>
                                    <w:rPr>
                                      <w:rFonts w:ascii="Cambria Math" w:hAnsi="Cambria Math" w:cstheme="minorHAnsi"/>
                                      <w:sz w:val="24"/>
                                      <w:szCs w:val="24"/>
                                    </w:rPr>
                                    <m:t>pop</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u</m:t>
                                      </m:r>
                                    </m:sub>
                                  </m:sSub>
                                </m:sub>
                              </m:sSub>
                            </m:e>
                          </m:nary>
                        </m:den>
                      </m:f>
                    </m:e>
                  </m:d>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SCI</m:t>
                      </m:r>
                    </m:e>
                    <m:sub>
                      <m:r>
                        <w:rPr>
                          <w:rFonts w:ascii="Cambria Math" w:hAnsi="Cambria Math" w:cstheme="minorHAnsi"/>
                          <w:sz w:val="24"/>
                          <w:szCs w:val="24"/>
                        </w:rPr>
                        <m:t xml:space="preserve">i, </m:t>
                      </m:r>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u</m:t>
                          </m:r>
                        </m:sub>
                      </m:sSub>
                    </m:sub>
                  </m:sSub>
                </m:e>
              </m:d>
            </m:e>
          </m:nary>
          <m:r>
            <w:rPr>
              <w:rFonts w:ascii="Cambria Math" w:hAnsi="Cambria Math" w:cstheme="minorHAnsi"/>
              <w:sz w:val="24"/>
              <w:szCs w:val="24"/>
            </w:rPr>
            <m:t xml:space="preserve">                  </m:t>
          </m:r>
        </m:oMath>
      </m:oMathPara>
    </w:p>
    <w:p w14:paraId="6D5C6F3D" w14:textId="77777777" w:rsidR="00B573BF" w:rsidRPr="003258F9" w:rsidRDefault="00000000" w:rsidP="00B573BF">
      <w:pPr>
        <w:spacing w:line="480" w:lineRule="auto"/>
        <w:ind w:left="720" w:firstLine="720"/>
        <w:rPr>
          <w:rFonts w:cstheme="minorHAnsi"/>
          <w:sz w:val="24"/>
          <w:szCs w:val="24"/>
        </w:rPr>
      </w:pPr>
      <m:oMathPara>
        <m:oMathParaPr>
          <m:jc m:val="left"/>
        </m:oMathParaPr>
        <m:oMath>
          <m:sSub>
            <m:sSubPr>
              <m:ctrlPr>
                <w:rPr>
                  <w:rFonts w:ascii="Cambria Math" w:hAnsi="Cambria Math" w:cstheme="minorHAnsi"/>
                  <w:i/>
                  <w:sz w:val="24"/>
                  <w:szCs w:val="24"/>
                </w:rPr>
              </m:ctrlPr>
            </m:sSubPr>
            <m:e>
              <m:r>
                <m:rPr>
                  <m:sty m:val="p"/>
                </m:rPr>
                <w:rPr>
                  <w:rFonts w:ascii="Cambria Math" w:hAnsi="Cambria Math" w:cstheme="minorHAnsi"/>
                  <w:sz w:val="24"/>
                  <w:szCs w:val="24"/>
                </w:rPr>
                <m:t xml:space="preserve">Capital connections: </m:t>
              </m:r>
              <m:r>
                <w:rPr>
                  <w:rFonts w:ascii="Cambria Math" w:hAnsi="Cambria Math" w:cstheme="minorHAnsi"/>
                  <w:sz w:val="24"/>
                  <w:szCs w:val="24"/>
                </w:rPr>
                <m:t>SCI</m:t>
              </m:r>
            </m:e>
            <m:sub>
              <m:r>
                <w:rPr>
                  <w:rFonts w:ascii="Cambria Math" w:hAnsi="Cambria Math" w:cstheme="minorHAnsi"/>
                  <w:sz w:val="24"/>
                  <w:szCs w:val="24"/>
                </w:rPr>
                <m:t>i,c</m:t>
              </m:r>
            </m:sub>
          </m:sSub>
          <m:r>
            <w:rPr>
              <w:rFonts w:ascii="Cambria Math" w:hAnsi="Cambria Math" w:cstheme="minorHAnsi"/>
              <w:sz w:val="24"/>
              <w:szCs w:val="24"/>
            </w:rPr>
            <m:t xml:space="preserve">= </m:t>
          </m:r>
          <m:nary>
            <m:naryPr>
              <m:chr m:val="∑"/>
              <m:limLoc m:val="undOvr"/>
              <m:subHide m:val="1"/>
              <m:supHide m:val="1"/>
              <m:ctrlPr>
                <w:rPr>
                  <w:rFonts w:ascii="Cambria Math" w:hAnsi="Cambria Math" w:cstheme="minorHAnsi"/>
                  <w:i/>
                  <w:sz w:val="24"/>
                  <w:szCs w:val="24"/>
                </w:rPr>
              </m:ctrlPr>
            </m:naryPr>
            <m:sub/>
            <m:sup/>
            <m:e>
              <m:d>
                <m:dPr>
                  <m:ctrlPr>
                    <w:rPr>
                      <w:rFonts w:ascii="Cambria Math" w:hAnsi="Cambria Math" w:cstheme="minorHAnsi"/>
                      <w:i/>
                      <w:sz w:val="24"/>
                      <w:szCs w:val="24"/>
                    </w:rPr>
                  </m:ctrlPr>
                </m:dPr>
                <m:e>
                  <m:d>
                    <m:dPr>
                      <m:ctrlPr>
                        <w:rPr>
                          <w:rFonts w:ascii="Cambria Math" w:hAnsi="Cambria Math" w:cstheme="minorHAnsi"/>
                          <w:i/>
                          <w:sz w:val="24"/>
                          <w:szCs w:val="24"/>
                        </w:rPr>
                      </m:ctrlPr>
                    </m:dPr>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pop</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c</m:t>
                                  </m:r>
                                </m:sub>
                              </m:sSub>
                            </m:sub>
                          </m:sSub>
                        </m:num>
                        <m:den>
                          <m:nary>
                            <m:naryPr>
                              <m:chr m:val="∑"/>
                              <m:limLoc m:val="undOvr"/>
                              <m:subHide m:val="1"/>
                              <m:supHide m:val="1"/>
                              <m:ctrlPr>
                                <w:rPr>
                                  <w:rFonts w:ascii="Cambria Math" w:hAnsi="Cambria Math" w:cstheme="minorHAnsi"/>
                                  <w:i/>
                                  <w:sz w:val="24"/>
                                  <w:szCs w:val="24"/>
                                </w:rPr>
                              </m:ctrlPr>
                            </m:naryPr>
                            <m:sub/>
                            <m:sup/>
                            <m:e>
                              <m:sSub>
                                <m:sSubPr>
                                  <m:ctrlPr>
                                    <w:rPr>
                                      <w:rFonts w:ascii="Cambria Math" w:hAnsi="Cambria Math" w:cstheme="minorHAnsi"/>
                                      <w:i/>
                                      <w:sz w:val="24"/>
                                      <w:szCs w:val="24"/>
                                    </w:rPr>
                                  </m:ctrlPr>
                                </m:sSubPr>
                                <m:e>
                                  <m:r>
                                    <w:rPr>
                                      <w:rFonts w:ascii="Cambria Math" w:hAnsi="Cambria Math" w:cstheme="minorHAnsi"/>
                                      <w:sz w:val="24"/>
                                      <w:szCs w:val="24"/>
                                    </w:rPr>
                                    <m:t>pop</m:t>
                                  </m:r>
                                </m:e>
                                <m:sub>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c</m:t>
                                      </m:r>
                                    </m:sub>
                                  </m:sSub>
                                </m:sub>
                              </m:sSub>
                            </m:e>
                          </m:nary>
                        </m:den>
                      </m:f>
                    </m:e>
                  </m:d>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SCI</m:t>
                      </m:r>
                    </m:e>
                    <m:sub>
                      <m:r>
                        <w:rPr>
                          <w:rFonts w:ascii="Cambria Math" w:hAnsi="Cambria Math" w:cstheme="minorHAnsi"/>
                          <w:sz w:val="24"/>
                          <w:szCs w:val="24"/>
                        </w:rPr>
                        <m:t xml:space="preserve">i, </m:t>
                      </m:r>
                      <m:sSub>
                        <m:sSubPr>
                          <m:ctrlPr>
                            <w:rPr>
                              <w:rFonts w:ascii="Cambria Math" w:hAnsi="Cambria Math" w:cstheme="minorHAnsi"/>
                              <w:i/>
                              <w:sz w:val="24"/>
                              <w:szCs w:val="24"/>
                            </w:rPr>
                          </m:ctrlPr>
                        </m:sSubPr>
                        <m:e>
                          <m:r>
                            <w:rPr>
                              <w:rFonts w:ascii="Cambria Math" w:hAnsi="Cambria Math" w:cstheme="minorHAnsi"/>
                              <w:sz w:val="24"/>
                              <w:szCs w:val="24"/>
                            </w:rPr>
                            <m:t>j</m:t>
                          </m:r>
                        </m:e>
                        <m:sub>
                          <m:r>
                            <w:rPr>
                              <w:rFonts w:ascii="Cambria Math" w:hAnsi="Cambria Math" w:cstheme="minorHAnsi"/>
                              <w:sz w:val="24"/>
                              <w:szCs w:val="24"/>
                            </w:rPr>
                            <m:t>c</m:t>
                          </m:r>
                        </m:sub>
                      </m:sSub>
                    </m:sub>
                  </m:sSub>
                </m:e>
              </m:d>
            </m:e>
          </m:nary>
          <m:r>
            <w:rPr>
              <w:rFonts w:ascii="Cambria Math" w:hAnsi="Cambria Math" w:cstheme="minorHAnsi"/>
              <w:sz w:val="24"/>
              <w:szCs w:val="24"/>
            </w:rPr>
            <m:t xml:space="preserve">                                             </m:t>
          </m:r>
        </m:oMath>
      </m:oMathPara>
    </w:p>
    <w:p w14:paraId="0E246921" w14:textId="125E34FB" w:rsidR="00B573BF" w:rsidRPr="003258F9" w:rsidRDefault="77A12534" w:rsidP="00B573BF">
      <w:pPr>
        <w:spacing w:after="240" w:line="480" w:lineRule="auto"/>
        <w:rPr>
          <w:rFonts w:cstheme="minorHAnsi"/>
          <w:sz w:val="24"/>
          <w:szCs w:val="24"/>
        </w:rPr>
      </w:pPr>
      <w:r w:rsidRPr="003258F9">
        <w:rPr>
          <w:rFonts w:cstheme="minorHAnsi"/>
          <w:sz w:val="24"/>
          <w:szCs w:val="24"/>
        </w:rPr>
        <w:t xml:space="preserve">For each of own-region, urban and capital connections, we take the log base-10 to formulate our independent variables, consistent with other research using the SCI (Bailey et al. 2018; Kuchler et al. </w:t>
      </w:r>
      <w:r w:rsidR="0030576A" w:rsidRPr="003258F9">
        <w:rPr>
          <w:rFonts w:cstheme="minorHAnsi"/>
          <w:sz w:val="24"/>
          <w:szCs w:val="24"/>
        </w:rPr>
        <w:t>2022</w:t>
      </w:r>
      <w:r w:rsidRPr="003258F9">
        <w:rPr>
          <w:rFonts w:cstheme="minorHAnsi"/>
          <w:sz w:val="24"/>
          <w:szCs w:val="24"/>
        </w:rPr>
        <w:t xml:space="preserve">), and centre the variables at the country-means. </w:t>
      </w:r>
    </w:p>
    <w:p w14:paraId="25E1D51B" w14:textId="6D02C34E" w:rsidR="00B573BF" w:rsidRPr="003258F9" w:rsidRDefault="00B573BF" w:rsidP="00ED1B49">
      <w:pPr>
        <w:pStyle w:val="Heading2"/>
        <w:rPr>
          <w:rFonts w:asciiTheme="minorHAnsi" w:hAnsiTheme="minorHAnsi" w:cstheme="minorHAnsi"/>
        </w:rPr>
      </w:pPr>
      <w:r w:rsidRPr="003258F9">
        <w:rPr>
          <w:rFonts w:asciiTheme="minorHAnsi" w:hAnsiTheme="minorHAnsi" w:cstheme="minorHAnsi"/>
        </w:rPr>
        <w:t>Validation</w:t>
      </w:r>
      <w:r w:rsidR="009371CF" w:rsidRPr="003258F9">
        <w:rPr>
          <w:rFonts w:asciiTheme="minorHAnsi" w:hAnsiTheme="minorHAnsi" w:cstheme="minorHAnsi"/>
        </w:rPr>
        <w:t xml:space="preserve"> and relationship to ‘left-behind’ </w:t>
      </w:r>
      <w:proofErr w:type="gramStart"/>
      <w:r w:rsidR="009371CF" w:rsidRPr="003258F9">
        <w:rPr>
          <w:rFonts w:asciiTheme="minorHAnsi" w:hAnsiTheme="minorHAnsi" w:cstheme="minorHAnsi"/>
        </w:rPr>
        <w:t>geographies</w:t>
      </w:r>
      <w:proofErr w:type="gramEnd"/>
    </w:p>
    <w:p w14:paraId="20459671" w14:textId="4F6E6A98" w:rsidR="00A039BE" w:rsidRPr="003258F9" w:rsidRDefault="77A12534" w:rsidP="00A039BE">
      <w:pPr>
        <w:spacing w:after="0" w:line="480" w:lineRule="auto"/>
        <w:rPr>
          <w:rFonts w:cstheme="minorHAnsi"/>
          <w:sz w:val="24"/>
          <w:szCs w:val="24"/>
        </w:rPr>
      </w:pPr>
      <w:r w:rsidRPr="003258F9">
        <w:rPr>
          <w:rFonts w:cstheme="minorHAnsi"/>
          <w:sz w:val="24"/>
          <w:szCs w:val="24"/>
        </w:rPr>
        <w:t>We conduct three tests of validity of our measures. First, to determine face validity, we map the SCI levels for each region – do they look intuitive? Second, we assess their convergent and discriminant validity against each other – expecting to see similarity between urban and capital connections, and divergence between own-region connections and the other two. Third, we assess their predictive validity against measures of different geographical dimensions: is each type of connection prevalent in the types of places we expect</w:t>
      </w:r>
      <w:r w:rsidR="00902803" w:rsidRPr="003258F9">
        <w:rPr>
          <w:rFonts w:cstheme="minorHAnsi"/>
          <w:sz w:val="24"/>
          <w:szCs w:val="24"/>
        </w:rPr>
        <w:t xml:space="preserve">, and does </w:t>
      </w:r>
      <w:r w:rsidR="00902803" w:rsidRPr="003258F9">
        <w:rPr>
          <w:rFonts w:cstheme="minorHAnsi"/>
          <w:sz w:val="24"/>
          <w:szCs w:val="24"/>
        </w:rPr>
        <w:lastRenderedPageBreak/>
        <w:t>it correlate to the kind of regions typically deemed left-behind</w:t>
      </w:r>
      <w:r w:rsidRPr="003258F9">
        <w:rPr>
          <w:rFonts w:cstheme="minorHAnsi"/>
          <w:sz w:val="24"/>
          <w:szCs w:val="24"/>
        </w:rPr>
        <w:t>? On all three grounds, we believe that our measures are well justified.</w:t>
      </w:r>
    </w:p>
    <w:p w14:paraId="2E7B1001" w14:textId="25F54FCC" w:rsidR="00FD7B9F" w:rsidRDefault="00FD7B9F" w:rsidP="00FD7B9F">
      <w:pPr>
        <w:tabs>
          <w:tab w:val="left" w:pos="7671"/>
        </w:tabs>
        <w:spacing w:after="0" w:line="480" w:lineRule="auto"/>
        <w:jc w:val="center"/>
        <w:rPr>
          <w:rFonts w:cstheme="minorHAnsi"/>
          <w:sz w:val="24"/>
          <w:szCs w:val="24"/>
        </w:rPr>
      </w:pPr>
      <w:r>
        <w:rPr>
          <w:rFonts w:cstheme="minorHAnsi"/>
          <w:sz w:val="24"/>
          <w:szCs w:val="24"/>
        </w:rPr>
        <w:t>[Figure 1 about here]</w:t>
      </w:r>
    </w:p>
    <w:p w14:paraId="3CAEE5E3" w14:textId="31E86D42" w:rsidR="00B573BF" w:rsidRPr="003258F9" w:rsidRDefault="00B573BF" w:rsidP="00B573BF">
      <w:pPr>
        <w:spacing w:line="480" w:lineRule="auto"/>
        <w:jc w:val="center"/>
        <w:rPr>
          <w:rFonts w:cstheme="minorHAnsi"/>
          <w:sz w:val="24"/>
          <w:szCs w:val="24"/>
        </w:rPr>
      </w:pPr>
    </w:p>
    <w:p w14:paraId="1CB613CD" w14:textId="2293D80D" w:rsidR="00B573BF" w:rsidRPr="003258F9" w:rsidRDefault="00B573BF" w:rsidP="00B573BF">
      <w:pPr>
        <w:tabs>
          <w:tab w:val="left" w:pos="7671"/>
        </w:tabs>
        <w:spacing w:line="480" w:lineRule="auto"/>
        <w:rPr>
          <w:rFonts w:cstheme="minorHAnsi"/>
          <w:sz w:val="24"/>
          <w:szCs w:val="24"/>
        </w:rPr>
      </w:pPr>
      <w:r w:rsidRPr="003258F9">
        <w:rPr>
          <w:rFonts w:cstheme="minorHAnsi"/>
          <w:sz w:val="24"/>
          <w:szCs w:val="24"/>
        </w:rPr>
        <w:t>Figure 1 maps the logged value of our measures (which we will use in the regression analysis) for NUTS-3 regions.</w:t>
      </w:r>
      <w:r w:rsidR="000129EA" w:rsidRPr="003258F9">
        <w:rPr>
          <w:rStyle w:val="EndnoteReference"/>
          <w:rFonts w:cstheme="minorHAnsi"/>
          <w:sz w:val="24"/>
          <w:szCs w:val="24"/>
        </w:rPr>
        <w:endnoteReference w:id="4"/>
      </w:r>
      <w:r w:rsidR="000129EA" w:rsidRPr="003258F9">
        <w:rPr>
          <w:rFonts w:cstheme="minorHAnsi"/>
          <w:sz w:val="24"/>
          <w:szCs w:val="24"/>
        </w:rPr>
        <w:t xml:space="preserve"> </w:t>
      </w:r>
      <w:r w:rsidRPr="003258F9">
        <w:rPr>
          <w:rFonts w:cstheme="minorHAnsi"/>
          <w:sz w:val="24"/>
          <w:szCs w:val="24"/>
        </w:rPr>
        <w:t>The first map shows density of connections to one’s own region. For example, in the United Kingdom, there are ‘hot spots’ in Wales, Western Scotland and Northern Ireland: given their relative remoteness and rurality,</w:t>
      </w:r>
      <w:r w:rsidR="00CE452D" w:rsidRPr="003258F9">
        <w:rPr>
          <w:rFonts w:cstheme="minorHAnsi"/>
          <w:sz w:val="24"/>
          <w:szCs w:val="24"/>
        </w:rPr>
        <w:t xml:space="preserve"> </w:t>
      </w:r>
      <w:r w:rsidRPr="003258F9">
        <w:rPr>
          <w:rFonts w:cstheme="minorHAnsi"/>
          <w:sz w:val="24"/>
          <w:szCs w:val="24"/>
        </w:rPr>
        <w:t xml:space="preserve">we would expect more ties closer to home than in much of England. The same applies to Bavaria’s eastern border, Eastern Turkey, Northern Scandinavia, and some island regions such as Corsica and Gotland. Although some patterns are discernible, this measure does behave somewhat idiosyncratically. </w:t>
      </w:r>
    </w:p>
    <w:p w14:paraId="10226D40" w14:textId="16E23F82" w:rsidR="00B573BF" w:rsidRPr="003258F9" w:rsidRDefault="77A12534" w:rsidP="00B573BF">
      <w:pPr>
        <w:tabs>
          <w:tab w:val="left" w:pos="7671"/>
        </w:tabs>
        <w:spacing w:line="480" w:lineRule="auto"/>
        <w:rPr>
          <w:rFonts w:cstheme="minorHAnsi"/>
          <w:sz w:val="24"/>
          <w:szCs w:val="24"/>
        </w:rPr>
      </w:pPr>
      <w:r w:rsidRPr="003258F9">
        <w:rPr>
          <w:rFonts w:cstheme="minorHAnsi"/>
          <w:sz w:val="24"/>
          <w:szCs w:val="24"/>
        </w:rPr>
        <w:t xml:space="preserve">For urban connections, a swathe of Northern England and the Midlands is a relative </w:t>
      </w:r>
      <w:r w:rsidR="003302B8" w:rsidRPr="003258F9">
        <w:rPr>
          <w:rFonts w:cstheme="minorHAnsi"/>
          <w:sz w:val="24"/>
          <w:szCs w:val="24"/>
        </w:rPr>
        <w:t>hot spot</w:t>
      </w:r>
      <w:r w:rsidRPr="003258F9">
        <w:rPr>
          <w:rFonts w:cstheme="minorHAnsi"/>
          <w:sz w:val="24"/>
          <w:szCs w:val="24"/>
        </w:rPr>
        <w:t xml:space="preserve"> compared to sparser areas like Norfolk. East Bavaria and most of former East Germany is cold while North-Rhine West</w:t>
      </w:r>
      <w:r w:rsidR="003302B8" w:rsidRPr="003258F9">
        <w:rPr>
          <w:rFonts w:cstheme="minorHAnsi"/>
          <w:sz w:val="24"/>
          <w:szCs w:val="24"/>
        </w:rPr>
        <w:t>pha</w:t>
      </w:r>
      <w:r w:rsidRPr="003258F9">
        <w:rPr>
          <w:rFonts w:cstheme="minorHAnsi"/>
          <w:sz w:val="24"/>
          <w:szCs w:val="24"/>
        </w:rPr>
        <w:t xml:space="preserve">lia, home to cities such as </w:t>
      </w:r>
      <w:r w:rsidR="003F6113" w:rsidRPr="003258F9">
        <w:rPr>
          <w:rFonts w:cstheme="minorHAnsi"/>
          <w:sz w:val="24"/>
          <w:szCs w:val="24"/>
        </w:rPr>
        <w:t>Köln</w:t>
      </w:r>
      <w:r w:rsidR="003F6113" w:rsidRPr="003258F9" w:rsidDel="003F6113">
        <w:rPr>
          <w:rFonts w:cstheme="minorHAnsi"/>
          <w:sz w:val="24"/>
          <w:szCs w:val="24"/>
        </w:rPr>
        <w:t xml:space="preserve"> </w:t>
      </w:r>
      <w:r w:rsidRPr="003258F9">
        <w:rPr>
          <w:rFonts w:cstheme="minorHAnsi"/>
          <w:sz w:val="24"/>
          <w:szCs w:val="24"/>
        </w:rPr>
        <w:t xml:space="preserve">and </w:t>
      </w:r>
      <w:r w:rsidR="003F6113" w:rsidRPr="003258F9">
        <w:rPr>
          <w:rFonts w:cstheme="minorHAnsi"/>
          <w:sz w:val="24"/>
          <w:szCs w:val="24"/>
        </w:rPr>
        <w:t xml:space="preserve">Düsseldorf </w:t>
      </w:r>
      <w:r w:rsidRPr="003258F9">
        <w:rPr>
          <w:rFonts w:cstheme="minorHAnsi"/>
          <w:sz w:val="24"/>
          <w:szCs w:val="24"/>
        </w:rPr>
        <w:t xml:space="preserve">are hot; Poland has ‘hot’ areas ringing each major city such as </w:t>
      </w:r>
      <w:r w:rsidR="003F6113" w:rsidRPr="003258F9">
        <w:rPr>
          <w:rFonts w:cstheme="minorHAnsi"/>
          <w:sz w:val="24"/>
          <w:szCs w:val="24"/>
        </w:rPr>
        <w:t>Łódź</w:t>
      </w:r>
      <w:r w:rsidRPr="003258F9">
        <w:rPr>
          <w:rFonts w:cstheme="minorHAnsi"/>
          <w:sz w:val="24"/>
          <w:szCs w:val="24"/>
        </w:rPr>
        <w:t>. Again, these patterns are roughly as expected. For capital connections, the pattern is highly systematic. Connections peak in the capital itself and dissipate with distance, but in some cases the ring is relatively wide: for instance, around Berlin, it extends to semi-rural areas nearing the Polish border. All of this fits with our expectations.</w:t>
      </w:r>
    </w:p>
    <w:p w14:paraId="13C5F88F" w14:textId="6230B2D7" w:rsidR="00B573BF" w:rsidRPr="003258F9" w:rsidRDefault="00B573BF" w:rsidP="00B573BF">
      <w:pPr>
        <w:tabs>
          <w:tab w:val="left" w:pos="7671"/>
        </w:tabs>
        <w:spacing w:line="480" w:lineRule="auto"/>
        <w:rPr>
          <w:rFonts w:cstheme="minorHAnsi"/>
          <w:sz w:val="24"/>
          <w:szCs w:val="24"/>
        </w:rPr>
      </w:pPr>
      <w:r w:rsidRPr="003258F9">
        <w:rPr>
          <w:rFonts w:cstheme="minorHAnsi"/>
          <w:sz w:val="24"/>
          <w:szCs w:val="24"/>
        </w:rPr>
        <w:t xml:space="preserve">Secondly, we calculate the pairwise correlations of our different measures. We </w:t>
      </w:r>
      <w:proofErr w:type="gramStart"/>
      <w:r w:rsidRPr="003258F9">
        <w:rPr>
          <w:rFonts w:cstheme="minorHAnsi"/>
          <w:sz w:val="24"/>
          <w:szCs w:val="24"/>
        </w:rPr>
        <w:t>find,</w:t>
      </w:r>
      <w:proofErr w:type="gramEnd"/>
      <w:r w:rsidRPr="003258F9">
        <w:rPr>
          <w:rFonts w:cstheme="minorHAnsi"/>
          <w:sz w:val="24"/>
          <w:szCs w:val="24"/>
        </w:rPr>
        <w:t xml:space="preserve"> on the one hand, a weak positive correlation between ‘urban’ and ‘capital’ connections (r=0.22, n=1,378). On the other hand, we find moderate negative correlations between ‘own region’ </w:t>
      </w:r>
      <w:r w:rsidRPr="003258F9">
        <w:rPr>
          <w:rFonts w:cstheme="minorHAnsi"/>
          <w:sz w:val="24"/>
          <w:szCs w:val="24"/>
        </w:rPr>
        <w:lastRenderedPageBreak/>
        <w:t xml:space="preserve">and urban connections, (r=0.40, n=1,754) as well as between ‘own region’ and capital connections (r=0.33, n=1,390). These correlations are in the expected direction, but are weak enough that we can be assured that the measures are distinctive (and do not require dimension reduction). </w:t>
      </w:r>
    </w:p>
    <w:p w14:paraId="2CDD444B" w14:textId="5ED6B439" w:rsidR="00B573BF" w:rsidRPr="003258F9" w:rsidRDefault="00B573BF" w:rsidP="00B573BF">
      <w:pPr>
        <w:tabs>
          <w:tab w:val="left" w:pos="7671"/>
        </w:tabs>
        <w:spacing w:line="480" w:lineRule="auto"/>
        <w:rPr>
          <w:rFonts w:cstheme="minorHAnsi"/>
          <w:sz w:val="24"/>
          <w:szCs w:val="24"/>
        </w:rPr>
      </w:pPr>
      <w:r w:rsidRPr="003258F9">
        <w:rPr>
          <w:rFonts w:cstheme="minorHAnsi"/>
          <w:sz w:val="24"/>
          <w:szCs w:val="24"/>
        </w:rPr>
        <w:t xml:space="preserve">Finally, we compare our measures to various place characteristics, as shown in </w:t>
      </w:r>
      <w:r w:rsidR="009A0E14" w:rsidRPr="003258F9">
        <w:rPr>
          <w:rFonts w:cstheme="minorHAnsi"/>
          <w:sz w:val="24"/>
          <w:szCs w:val="24"/>
        </w:rPr>
        <w:t>Figure 2</w:t>
      </w:r>
      <w:r w:rsidRPr="003258F9">
        <w:rPr>
          <w:rFonts w:cstheme="minorHAnsi"/>
          <w:sz w:val="24"/>
          <w:szCs w:val="24"/>
        </w:rPr>
        <w:t xml:space="preserve">. Rather than the logged values, here we show the z-transformed </w:t>
      </w:r>
      <w:r w:rsidRPr="003258F9">
        <w:rPr>
          <w:rFonts w:cstheme="minorHAnsi"/>
          <w:i/>
          <w:iCs/>
          <w:sz w:val="24"/>
          <w:szCs w:val="24"/>
        </w:rPr>
        <w:t>standardised</w:t>
      </w:r>
      <w:r w:rsidRPr="003258F9">
        <w:rPr>
          <w:rFonts w:cstheme="minorHAnsi"/>
          <w:sz w:val="24"/>
          <w:szCs w:val="24"/>
        </w:rPr>
        <w:t xml:space="preserve"> values (within each country and NUTS-level), as these can be easily interpreted in terms of standard deviations. Urban geography, whether comparing urban and rural or metropolitan and non-metropolitan, is associated with higher urban and capital connections, but lower ‘own region’ connections. Capitals themselves are characterised by high urban connections, very high capital connections, but low own-region connections. Physical barriers to the outside world – in mountainous and, more fundamentally, in island regions are associated with weaker urban and capital connections, but stronger own-region connections.</w:t>
      </w:r>
      <w:r w:rsidR="006B4445" w:rsidRPr="003258F9">
        <w:rPr>
          <w:rFonts w:cstheme="minorHAnsi"/>
          <w:sz w:val="24"/>
          <w:szCs w:val="24"/>
        </w:rPr>
        <w:t xml:space="preserve"> Finally, economically left-behind places, where GDP is in the bottom tercile of regions within a given country, over-index on own-region connections whereas more prosperous regions in the top tercile are higher in urban connections and lower in own-region connections. </w:t>
      </w:r>
      <w:r w:rsidR="00AC19FA" w:rsidRPr="003258F9">
        <w:rPr>
          <w:rFonts w:cstheme="minorHAnsi"/>
          <w:sz w:val="24"/>
          <w:szCs w:val="24"/>
        </w:rPr>
        <w:t xml:space="preserve">An alternative demonstration is provided in </w:t>
      </w:r>
      <w:r w:rsidR="00A62EFE" w:rsidRPr="003258F9">
        <w:rPr>
          <w:rFonts w:cstheme="minorHAnsi"/>
          <w:sz w:val="24"/>
          <w:szCs w:val="24"/>
        </w:rPr>
        <w:t xml:space="preserve">Appendix Figure A-1, which shows the smoothed relationship between regional GDP/capita (relative to the national average) and each type of social connection. Own-region connections decline with GDP, while capital connections increase </w:t>
      </w:r>
      <w:proofErr w:type="gramStart"/>
      <w:r w:rsidR="00A62EFE" w:rsidRPr="003258F9">
        <w:rPr>
          <w:rFonts w:cstheme="minorHAnsi"/>
          <w:sz w:val="24"/>
          <w:szCs w:val="24"/>
        </w:rPr>
        <w:t>slightly</w:t>
      </w:r>
      <w:proofErr w:type="gramEnd"/>
      <w:r w:rsidR="00A62EFE" w:rsidRPr="003258F9">
        <w:rPr>
          <w:rFonts w:cstheme="minorHAnsi"/>
          <w:sz w:val="24"/>
          <w:szCs w:val="24"/>
        </w:rPr>
        <w:t xml:space="preserve"> and urban connections increase substantially.</w:t>
      </w:r>
      <w:r w:rsidR="003A7CC0" w:rsidRPr="003258F9">
        <w:rPr>
          <w:rStyle w:val="EndnoteReference"/>
          <w:rFonts w:cstheme="minorHAnsi"/>
          <w:sz w:val="24"/>
          <w:szCs w:val="24"/>
        </w:rPr>
        <w:endnoteReference w:id="5"/>
      </w:r>
      <w:r w:rsidR="00A62EFE" w:rsidRPr="003258F9">
        <w:rPr>
          <w:rFonts w:cstheme="minorHAnsi"/>
          <w:sz w:val="24"/>
          <w:szCs w:val="24"/>
        </w:rPr>
        <w:t xml:space="preserve"> </w:t>
      </w:r>
    </w:p>
    <w:p w14:paraId="3D521EB8" w14:textId="3C5FAF17" w:rsidR="0000119B" w:rsidRDefault="00FD7B9F" w:rsidP="00FD7B9F">
      <w:pPr>
        <w:tabs>
          <w:tab w:val="left" w:pos="7671"/>
        </w:tabs>
        <w:spacing w:after="0" w:line="480" w:lineRule="auto"/>
        <w:jc w:val="center"/>
        <w:rPr>
          <w:rFonts w:cstheme="minorHAnsi"/>
          <w:sz w:val="24"/>
          <w:szCs w:val="24"/>
        </w:rPr>
      </w:pPr>
      <w:r>
        <w:rPr>
          <w:rFonts w:cstheme="minorHAnsi"/>
          <w:sz w:val="24"/>
          <w:szCs w:val="24"/>
        </w:rPr>
        <w:t>[Figure 2 about here]</w:t>
      </w:r>
    </w:p>
    <w:p w14:paraId="725D6F31" w14:textId="6D864FD8" w:rsidR="0000119B" w:rsidRPr="003258F9" w:rsidRDefault="00B573BF" w:rsidP="000E6919">
      <w:pPr>
        <w:tabs>
          <w:tab w:val="left" w:pos="7671"/>
        </w:tabs>
        <w:spacing w:after="0" w:line="480" w:lineRule="auto"/>
        <w:rPr>
          <w:rFonts w:cstheme="minorHAnsi"/>
          <w:sz w:val="24"/>
          <w:szCs w:val="24"/>
        </w:rPr>
      </w:pPr>
      <w:r w:rsidRPr="003258F9">
        <w:rPr>
          <w:rFonts w:cstheme="minorHAnsi"/>
          <w:sz w:val="24"/>
          <w:szCs w:val="24"/>
        </w:rPr>
        <w:t>Our measures, then, appear to capture a geography of social connections which corresponds to the geography of left-behind and not-so-left-behind places</w:t>
      </w:r>
      <w:r w:rsidR="003A7CC0" w:rsidRPr="003258F9">
        <w:rPr>
          <w:rFonts w:cstheme="minorHAnsi"/>
          <w:sz w:val="24"/>
          <w:szCs w:val="24"/>
        </w:rPr>
        <w:t>.</w:t>
      </w:r>
      <w:r w:rsidR="000129EA" w:rsidRPr="003258F9">
        <w:rPr>
          <w:rFonts w:cstheme="minorHAnsi"/>
          <w:sz w:val="24"/>
          <w:szCs w:val="24"/>
        </w:rPr>
        <w:t xml:space="preserve"> </w:t>
      </w:r>
      <w:r w:rsidRPr="003258F9">
        <w:rPr>
          <w:rFonts w:cstheme="minorHAnsi"/>
          <w:sz w:val="24"/>
          <w:szCs w:val="24"/>
        </w:rPr>
        <w:t xml:space="preserve">‘Left-behind’ </w:t>
      </w:r>
      <w:r w:rsidRPr="003258F9">
        <w:rPr>
          <w:rFonts w:cstheme="minorHAnsi"/>
          <w:sz w:val="24"/>
          <w:szCs w:val="24"/>
        </w:rPr>
        <w:lastRenderedPageBreak/>
        <w:t xml:space="preserve">places over-index in (strong) local ties and under-perform in (weak) ties to the socio-political core. This, we suggest, may help explain observed political trust gaps but also factor into social trust in less-explored ways. To test this, we connect our measures to a large-scale, reliable source of survey data. </w:t>
      </w:r>
    </w:p>
    <w:p w14:paraId="1EB43395" w14:textId="77777777" w:rsidR="00B573BF" w:rsidRPr="003258F9" w:rsidRDefault="00B573BF" w:rsidP="000E6919">
      <w:pPr>
        <w:spacing w:after="0"/>
        <w:rPr>
          <w:rFonts w:cstheme="minorHAnsi"/>
          <w:sz w:val="24"/>
          <w:szCs w:val="24"/>
        </w:rPr>
      </w:pPr>
    </w:p>
    <w:p w14:paraId="5FADF814" w14:textId="50F49496" w:rsidR="00B573BF" w:rsidRPr="003258F9" w:rsidRDefault="00B573BF" w:rsidP="00D735D1">
      <w:pPr>
        <w:pStyle w:val="Heading2"/>
        <w:rPr>
          <w:rFonts w:asciiTheme="minorHAnsi" w:hAnsiTheme="minorHAnsi" w:cstheme="minorHAnsi"/>
        </w:rPr>
      </w:pPr>
      <w:r w:rsidRPr="003258F9">
        <w:rPr>
          <w:rFonts w:asciiTheme="minorHAnsi" w:hAnsiTheme="minorHAnsi" w:cstheme="minorHAnsi"/>
        </w:rPr>
        <w:t>Survey data</w:t>
      </w:r>
    </w:p>
    <w:p w14:paraId="3012F827" w14:textId="5D6D4C77" w:rsidR="00B573BF" w:rsidRPr="003258F9" w:rsidRDefault="00B573BF" w:rsidP="00B573BF">
      <w:pPr>
        <w:spacing w:line="480" w:lineRule="auto"/>
        <w:rPr>
          <w:rFonts w:cstheme="minorHAnsi"/>
          <w:sz w:val="24"/>
          <w:szCs w:val="24"/>
        </w:rPr>
      </w:pPr>
      <w:r w:rsidRPr="003258F9">
        <w:rPr>
          <w:rFonts w:cstheme="minorHAnsi"/>
          <w:sz w:val="24"/>
          <w:szCs w:val="24"/>
        </w:rPr>
        <w:t>We use the European Social Survey (ESS) Waves 5</w:t>
      </w:r>
      <w:r w:rsidR="00151BF9">
        <w:rPr>
          <w:rFonts w:cstheme="minorHAnsi"/>
          <w:sz w:val="24"/>
          <w:szCs w:val="24"/>
        </w:rPr>
        <w:t xml:space="preserve"> to </w:t>
      </w:r>
      <w:r w:rsidRPr="003258F9">
        <w:rPr>
          <w:rFonts w:cstheme="minorHAnsi"/>
          <w:sz w:val="24"/>
          <w:szCs w:val="24"/>
        </w:rPr>
        <w:t>9 (2010-19), a series of high-quality face-to-face cross-sectional surveys in over 30 countries. The geographical location of respondents in the ESS is identified at either NUTS-1, NUTS-2 or NUTS-3 level depending on the survey country. As our prior method produces both NUTS-2 and NUTS-3 measures of context, we utilise countries where either NUTS-2 or NUTS-3 identifiers are given. All in all, our sample consists of 298 distinct regions in 22 countries (11</w:t>
      </w:r>
      <w:r w:rsidR="00D735D1" w:rsidRPr="003258F9">
        <w:rPr>
          <w:rFonts w:cstheme="minorHAnsi"/>
          <w:sz w:val="24"/>
          <w:szCs w:val="24"/>
        </w:rPr>
        <w:t xml:space="preserve"> countries</w:t>
      </w:r>
      <w:r w:rsidRPr="003258F9">
        <w:rPr>
          <w:rFonts w:cstheme="minorHAnsi"/>
          <w:sz w:val="24"/>
          <w:szCs w:val="24"/>
        </w:rPr>
        <w:t xml:space="preserve"> at both NUTS-2 and NUTS-3 level), with the North, South, East and West all well-represented. The full survey coverage is shown in Table A1 of the Appendix. </w:t>
      </w:r>
    </w:p>
    <w:p w14:paraId="6E390571" w14:textId="37366884" w:rsidR="009371CF" w:rsidRPr="003258F9" w:rsidRDefault="00B573BF" w:rsidP="00B573BF">
      <w:pPr>
        <w:spacing w:line="480" w:lineRule="auto"/>
        <w:rPr>
          <w:rFonts w:cstheme="minorHAnsi"/>
          <w:sz w:val="24"/>
          <w:szCs w:val="24"/>
        </w:rPr>
      </w:pPr>
      <w:r w:rsidRPr="003258F9">
        <w:rPr>
          <w:rFonts w:cstheme="minorHAnsi"/>
          <w:sz w:val="24"/>
          <w:szCs w:val="24"/>
        </w:rPr>
        <w:t xml:space="preserve">Our study focuses on three outcome variables: political trust, </w:t>
      </w:r>
      <w:r w:rsidRPr="003258F9">
        <w:rPr>
          <w:rFonts w:cstheme="minorHAnsi"/>
          <w:i/>
          <w:iCs/>
          <w:sz w:val="24"/>
          <w:szCs w:val="24"/>
        </w:rPr>
        <w:t>general</w:t>
      </w:r>
      <w:r w:rsidRPr="003258F9">
        <w:rPr>
          <w:rFonts w:cstheme="minorHAnsi"/>
          <w:sz w:val="24"/>
          <w:szCs w:val="24"/>
        </w:rPr>
        <w:t xml:space="preserve"> social trust, and </w:t>
      </w:r>
      <w:r w:rsidRPr="003258F9">
        <w:rPr>
          <w:rFonts w:cstheme="minorHAnsi"/>
          <w:i/>
          <w:iCs/>
          <w:sz w:val="24"/>
          <w:szCs w:val="24"/>
        </w:rPr>
        <w:t>particular</w:t>
      </w:r>
      <w:r w:rsidRPr="003258F9">
        <w:rPr>
          <w:rFonts w:cstheme="minorHAnsi"/>
          <w:sz w:val="24"/>
          <w:szCs w:val="24"/>
        </w:rPr>
        <w:t xml:space="preserve"> social trust. For political trust, we focus on the formal political institutions, and take the simple mean of trust in politicians, parliament, and parties (all measured on a 0-10 scale). For general social trust, we use a conventional measure, which asks respondents to position their own view about dealing with people on a scale from 0 – “You can’t be too careful” to 10 – “Most people can be trusted”. </w:t>
      </w:r>
    </w:p>
    <w:p w14:paraId="009AF4F8" w14:textId="54B20B73" w:rsidR="009371CF" w:rsidRPr="003258F9" w:rsidRDefault="00B573BF" w:rsidP="000E6919">
      <w:pPr>
        <w:spacing w:after="0" w:line="480" w:lineRule="auto"/>
        <w:rPr>
          <w:rFonts w:cstheme="minorHAnsi"/>
          <w:sz w:val="24"/>
          <w:szCs w:val="24"/>
        </w:rPr>
      </w:pPr>
      <w:r w:rsidRPr="003258F9">
        <w:rPr>
          <w:rFonts w:cstheme="minorHAnsi"/>
          <w:sz w:val="24"/>
          <w:szCs w:val="24"/>
        </w:rPr>
        <w:t xml:space="preserve">For </w:t>
      </w:r>
      <w:r w:rsidRPr="003258F9">
        <w:rPr>
          <w:rFonts w:cstheme="minorHAnsi"/>
          <w:i/>
          <w:iCs/>
          <w:sz w:val="24"/>
          <w:szCs w:val="24"/>
        </w:rPr>
        <w:t xml:space="preserve">particular </w:t>
      </w:r>
      <w:r w:rsidRPr="003258F9">
        <w:rPr>
          <w:rFonts w:cstheme="minorHAnsi"/>
          <w:sz w:val="24"/>
          <w:szCs w:val="24"/>
        </w:rPr>
        <w:t xml:space="preserve">social trust, we use the item “To what extent do you feel that people in your local area help one another?”, where 0 is ‘not at all’ and 6 is ‘a great deal’. We use this item principally because it refers specifically to ‘people in your local area’, corresponding to the conceptual definition of ‘particular trust’ as trust in those more socially proximate, and </w:t>
      </w:r>
      <w:r w:rsidRPr="003258F9">
        <w:rPr>
          <w:rFonts w:cstheme="minorHAnsi"/>
          <w:sz w:val="24"/>
          <w:szCs w:val="24"/>
        </w:rPr>
        <w:lastRenderedPageBreak/>
        <w:t xml:space="preserve">matching the geographic dimension of our dependent variables. Newton and Zmerli </w:t>
      </w:r>
      <w:r w:rsidR="009A5C36" w:rsidRPr="003258F9">
        <w:rPr>
          <w:rFonts w:cstheme="minorHAnsi"/>
          <w:sz w:val="24"/>
          <w:szCs w:val="24"/>
        </w:rPr>
        <w:t xml:space="preserve">(2011) </w:t>
      </w:r>
      <w:r w:rsidRPr="003258F9">
        <w:rPr>
          <w:rFonts w:cstheme="minorHAnsi"/>
          <w:sz w:val="24"/>
          <w:szCs w:val="24"/>
        </w:rPr>
        <w:t>use trust in ‘(people from the) neighbourhood’ as one of three indicators of particular social trust (alongside family and ‘people you know personally’</w:t>
      </w:r>
      <w:r w:rsidR="003302B8" w:rsidRPr="003258F9">
        <w:rPr>
          <w:rFonts w:cstheme="minorHAnsi"/>
          <w:sz w:val="24"/>
          <w:szCs w:val="24"/>
        </w:rPr>
        <w:t>) and</w:t>
      </w:r>
      <w:r w:rsidRPr="003258F9">
        <w:rPr>
          <w:rFonts w:cstheme="minorHAnsi"/>
          <w:sz w:val="24"/>
          <w:szCs w:val="24"/>
        </w:rPr>
        <w:t xml:space="preserve"> find that it loads heavily on a single dimension with the other two items. While the question does not specifically ask about ‘trust’, expectations of reciprocity are an example of the kind of trust thought to be involved in relationships of strong ties. </w:t>
      </w:r>
    </w:p>
    <w:p w14:paraId="7AD43D47" w14:textId="0335BFBB" w:rsidR="00FE3374" w:rsidRPr="003258F9" w:rsidRDefault="00FE3374" w:rsidP="000E6919">
      <w:pPr>
        <w:spacing w:after="0" w:line="480" w:lineRule="auto"/>
        <w:rPr>
          <w:rFonts w:cstheme="minorHAnsi"/>
          <w:sz w:val="24"/>
          <w:szCs w:val="24"/>
        </w:rPr>
      </w:pPr>
      <w:r w:rsidRPr="003258F9">
        <w:rPr>
          <w:rFonts w:cstheme="minorHAnsi"/>
          <w:sz w:val="24"/>
          <w:szCs w:val="24"/>
        </w:rPr>
        <w:t>Due to the ‘particular social trust’ item being include</w:t>
      </w:r>
      <w:r w:rsidR="00151BF9">
        <w:rPr>
          <w:rFonts w:cstheme="minorHAnsi"/>
          <w:sz w:val="24"/>
          <w:szCs w:val="24"/>
        </w:rPr>
        <w:t>d</w:t>
      </w:r>
      <w:r w:rsidRPr="003258F9">
        <w:rPr>
          <w:rFonts w:cstheme="minorHAnsi"/>
          <w:sz w:val="24"/>
          <w:szCs w:val="24"/>
        </w:rPr>
        <w:t xml:space="preserve"> only in Wave 6 of the ESS, there is some variation in our sample size across the analysis. For particular social trust, n= 24,770, for ‘general social trust’, n=111,261; and for political trust, n = 110,847 (each after omitting cases with missing demographic information). </w:t>
      </w:r>
    </w:p>
    <w:p w14:paraId="78B9BF15" w14:textId="77777777" w:rsidR="009A5C36" w:rsidRPr="003258F9" w:rsidRDefault="009A5C36" w:rsidP="000E6919">
      <w:pPr>
        <w:spacing w:after="0" w:line="480" w:lineRule="auto"/>
        <w:rPr>
          <w:rFonts w:cstheme="minorHAnsi"/>
          <w:sz w:val="24"/>
          <w:szCs w:val="24"/>
        </w:rPr>
      </w:pPr>
    </w:p>
    <w:p w14:paraId="1B4045C1" w14:textId="77777777" w:rsidR="00B573BF" w:rsidRPr="003258F9" w:rsidRDefault="00B573BF" w:rsidP="0037324F">
      <w:pPr>
        <w:pStyle w:val="Heading2"/>
        <w:rPr>
          <w:rFonts w:asciiTheme="minorHAnsi" w:hAnsiTheme="minorHAnsi" w:cstheme="minorHAnsi"/>
        </w:rPr>
      </w:pPr>
      <w:r w:rsidRPr="003258F9">
        <w:rPr>
          <w:rFonts w:asciiTheme="minorHAnsi" w:hAnsiTheme="minorHAnsi" w:cstheme="minorHAnsi"/>
        </w:rPr>
        <w:t>Modelling</w:t>
      </w:r>
    </w:p>
    <w:p w14:paraId="78379D73" w14:textId="423D74AC" w:rsidR="008A4B77" w:rsidRPr="003258F9" w:rsidRDefault="77A12534" w:rsidP="00B573BF">
      <w:pPr>
        <w:spacing w:line="480" w:lineRule="auto"/>
        <w:rPr>
          <w:rFonts w:cstheme="minorHAnsi"/>
          <w:sz w:val="24"/>
          <w:szCs w:val="24"/>
        </w:rPr>
      </w:pPr>
      <w:r w:rsidRPr="003258F9">
        <w:rPr>
          <w:rFonts w:cstheme="minorHAnsi"/>
          <w:sz w:val="24"/>
          <w:szCs w:val="24"/>
        </w:rPr>
        <w:t xml:space="preserve">Our models use multilevel linear regression, with respondents at Level-1 cross-classified at Level-2 into countries and waves of the ESS. </w:t>
      </w:r>
      <w:r w:rsidR="00A44384" w:rsidRPr="003258F9">
        <w:rPr>
          <w:rFonts w:cstheme="minorHAnsi"/>
          <w:sz w:val="24"/>
          <w:szCs w:val="24"/>
        </w:rPr>
        <w:t>Our models use include one type of connections per model as the independent variable: i.e.</w:t>
      </w:r>
      <w:r w:rsidR="00D735D1" w:rsidRPr="003258F9">
        <w:rPr>
          <w:rFonts w:cstheme="minorHAnsi"/>
          <w:sz w:val="24"/>
          <w:szCs w:val="24"/>
        </w:rPr>
        <w:t>,</w:t>
      </w:r>
      <w:r w:rsidR="00A44384" w:rsidRPr="003258F9">
        <w:rPr>
          <w:rFonts w:cstheme="minorHAnsi"/>
          <w:sz w:val="24"/>
          <w:szCs w:val="24"/>
        </w:rPr>
        <w:t xml:space="preserve"> we do not estimate the effects of urban connections ‘controlling’ for capital connections, and so on</w:t>
      </w:r>
      <w:r w:rsidR="00772115" w:rsidRPr="003258F9">
        <w:rPr>
          <w:rFonts w:cstheme="minorHAnsi"/>
          <w:sz w:val="24"/>
          <w:szCs w:val="24"/>
        </w:rPr>
        <w:t>, as this could</w:t>
      </w:r>
      <w:r w:rsidR="00A44384" w:rsidRPr="003258F9">
        <w:rPr>
          <w:rFonts w:cstheme="minorHAnsi"/>
          <w:sz w:val="24"/>
          <w:szCs w:val="24"/>
        </w:rPr>
        <w:t xml:space="preserve"> potentially result in multi-collinearity concerns.</w:t>
      </w:r>
      <w:r w:rsidR="0031149F">
        <w:rPr>
          <w:rFonts w:cstheme="minorHAnsi"/>
          <w:sz w:val="24"/>
          <w:szCs w:val="24"/>
        </w:rPr>
        <w:t xml:space="preserve">, and as no type of connections is causally ‘prior’ to the others. </w:t>
      </w:r>
    </w:p>
    <w:p w14:paraId="7B20B891" w14:textId="05D9753C" w:rsidR="00B573BF" w:rsidRPr="003258F9" w:rsidRDefault="77A12534" w:rsidP="00B573BF">
      <w:pPr>
        <w:spacing w:line="480" w:lineRule="auto"/>
        <w:rPr>
          <w:rFonts w:cstheme="minorHAnsi"/>
          <w:sz w:val="24"/>
          <w:szCs w:val="24"/>
        </w:rPr>
      </w:pPr>
      <w:r w:rsidRPr="003258F9">
        <w:rPr>
          <w:rFonts w:cstheme="minorHAnsi"/>
          <w:sz w:val="24"/>
          <w:szCs w:val="24"/>
        </w:rPr>
        <w:t>We include several demographic controls measured with the survey, namely age, gender, education level (based on 7 ES-ISCED groups), and identification as an ethnic minority. We also add measures of personal economic situation: household income (decile within country</w:t>
      </w:r>
      <w:r w:rsidR="003302B8" w:rsidRPr="003258F9">
        <w:rPr>
          <w:rFonts w:cstheme="minorHAnsi"/>
          <w:sz w:val="24"/>
          <w:szCs w:val="24"/>
        </w:rPr>
        <w:t>) and</w:t>
      </w:r>
      <w:r w:rsidRPr="003258F9">
        <w:rPr>
          <w:rFonts w:cstheme="minorHAnsi"/>
          <w:sz w:val="24"/>
          <w:szCs w:val="24"/>
        </w:rPr>
        <w:t xml:space="preserve"> working status (paid work/retired/unemployed). These controls correspond closely to those used in Mitsch et al. (2022), who conduct a similar geographic analysis in </w:t>
      </w:r>
      <w:r w:rsidRPr="003258F9">
        <w:rPr>
          <w:rFonts w:cstheme="minorHAnsi"/>
          <w:sz w:val="24"/>
          <w:szCs w:val="24"/>
        </w:rPr>
        <w:lastRenderedPageBreak/>
        <w:t xml:space="preserve">the ESS. Using these controls following an initial uncontrolled model will, to some extent, help us determine whether any relationships between social connections and trust run through the most commonly discussed </w:t>
      </w:r>
      <w:r w:rsidRPr="003258F9">
        <w:rPr>
          <w:rFonts w:cstheme="minorHAnsi"/>
          <w:i/>
          <w:iCs/>
          <w:sz w:val="24"/>
          <w:szCs w:val="24"/>
        </w:rPr>
        <w:t xml:space="preserve">compositional </w:t>
      </w:r>
      <w:r w:rsidRPr="003258F9">
        <w:rPr>
          <w:rFonts w:cstheme="minorHAnsi"/>
          <w:sz w:val="24"/>
          <w:szCs w:val="24"/>
        </w:rPr>
        <w:t xml:space="preserve">pathways. </w:t>
      </w:r>
    </w:p>
    <w:p w14:paraId="19F1F4D3" w14:textId="33261F23" w:rsidR="00E64552" w:rsidRPr="003258F9" w:rsidRDefault="77A12534" w:rsidP="00E64552">
      <w:pPr>
        <w:spacing w:line="480" w:lineRule="auto"/>
        <w:rPr>
          <w:rFonts w:cstheme="minorHAnsi"/>
          <w:sz w:val="24"/>
          <w:szCs w:val="24"/>
        </w:rPr>
      </w:pPr>
      <w:r w:rsidRPr="003258F9">
        <w:rPr>
          <w:rFonts w:cstheme="minorHAnsi"/>
          <w:sz w:val="24"/>
          <w:szCs w:val="24"/>
        </w:rPr>
        <w:t xml:space="preserve">We also include four control variables measured at the region-year level, which relate to </w:t>
      </w:r>
      <w:r w:rsidR="003302B8" w:rsidRPr="003258F9">
        <w:rPr>
          <w:rFonts w:cstheme="minorHAnsi"/>
          <w:sz w:val="24"/>
          <w:szCs w:val="24"/>
        </w:rPr>
        <w:t>being left-behind economically</w:t>
      </w:r>
      <w:r w:rsidRPr="003258F9">
        <w:rPr>
          <w:rFonts w:cstheme="minorHAnsi"/>
          <w:sz w:val="24"/>
          <w:szCs w:val="24"/>
        </w:rPr>
        <w:t>. First, we include the region’s GDP/capita (as a percent of the EU average), and the working-age unemployment rate. Second, we include the rate of job losses in industry: more specifically, the annual percentage decline of the share of jobs in the industrial sector between 2000 and the survey year. Finally, we include a Eurostat measure of regions’ ‘crude’ rate of net migration, which is the difference between the total population change and the ‘natural change’ through births and deaths. These measures are similar to those used in Dijkstra et al. (2020), which they find to be associated with ‘EU discontent’. Some of these controls are imperfect, however, as they are not all measured at both the NUTS-3 and NUTS-2 level. For GDP/capita and industrial job losses, these are measured at both and so, depending on the level of the analysis, the control is at the matching level. However, net migration and unemployment are only measured at NUTS-2 and thus, even where the respondent is identified at NUTS-3, the control is at NUTS-2.</w:t>
      </w:r>
      <w:r w:rsidR="00E64552" w:rsidRPr="003258F9">
        <w:rPr>
          <w:rFonts w:cstheme="minorHAnsi"/>
          <w:sz w:val="24"/>
          <w:szCs w:val="24"/>
        </w:rPr>
        <w:t xml:space="preserve"> </w:t>
      </w:r>
    </w:p>
    <w:p w14:paraId="1F275BAB" w14:textId="451B67FE" w:rsidR="009A5C36" w:rsidRPr="003258F9" w:rsidRDefault="00E64552" w:rsidP="00E64552">
      <w:pPr>
        <w:spacing w:line="480" w:lineRule="auto"/>
        <w:rPr>
          <w:rFonts w:cstheme="minorHAnsi"/>
          <w:sz w:val="24"/>
          <w:szCs w:val="24"/>
        </w:rPr>
      </w:pPr>
      <w:r w:rsidRPr="003258F9">
        <w:rPr>
          <w:rFonts w:eastAsia="Calibri" w:cstheme="minorHAnsi"/>
          <w:sz w:val="24"/>
          <w:szCs w:val="24"/>
        </w:rPr>
        <w:t>Additionally, in models with urban connections, we introduce a control for self-defined urban/rural location of respondents (in five categories: a big city; suburbs or outskirts of big city; town or small city; country village; farm or home in countryside), used in other papers as the key explanatory variable (Mitsch et al</w:t>
      </w:r>
      <w:r w:rsidR="00151BF9">
        <w:rPr>
          <w:rFonts w:eastAsia="Calibri" w:cstheme="minorHAnsi"/>
          <w:sz w:val="24"/>
          <w:szCs w:val="24"/>
        </w:rPr>
        <w:t>.</w:t>
      </w:r>
      <w:r w:rsidRPr="003258F9">
        <w:rPr>
          <w:rFonts w:eastAsia="Calibri" w:cstheme="minorHAnsi"/>
          <w:sz w:val="24"/>
          <w:szCs w:val="24"/>
        </w:rPr>
        <w:t xml:space="preserve"> 2021).  In models with capital connections, following Stein et al</w:t>
      </w:r>
      <w:r w:rsidR="00151BF9">
        <w:rPr>
          <w:rFonts w:eastAsia="Calibri" w:cstheme="minorHAnsi"/>
          <w:sz w:val="24"/>
          <w:szCs w:val="24"/>
        </w:rPr>
        <w:t>.</w:t>
      </w:r>
      <w:r w:rsidRPr="003258F9">
        <w:rPr>
          <w:rFonts w:eastAsia="Calibri" w:cstheme="minorHAnsi"/>
          <w:sz w:val="24"/>
          <w:szCs w:val="24"/>
        </w:rPr>
        <w:t xml:space="preserve"> (2021)</w:t>
      </w:r>
      <w:r w:rsidR="00E42566" w:rsidRPr="003258F9">
        <w:rPr>
          <w:rFonts w:eastAsia="Calibri" w:cstheme="minorHAnsi"/>
          <w:sz w:val="24"/>
          <w:szCs w:val="24"/>
        </w:rPr>
        <w:t>,</w:t>
      </w:r>
      <w:r w:rsidRPr="003258F9">
        <w:rPr>
          <w:rFonts w:eastAsia="Calibri" w:cstheme="minorHAnsi"/>
          <w:sz w:val="24"/>
          <w:szCs w:val="24"/>
        </w:rPr>
        <w:t xml:space="preserve"> we introduce a control for distance from capital to the centroid of the NUTS unit (scaled as a proportion of distance from the most distant region in the country, rather than absolute distance). This enables us to reach more confident conclusions </w:t>
      </w:r>
      <w:r w:rsidRPr="003258F9">
        <w:rPr>
          <w:rFonts w:eastAsia="Calibri" w:cstheme="minorHAnsi"/>
          <w:sz w:val="24"/>
          <w:szCs w:val="24"/>
        </w:rPr>
        <w:lastRenderedPageBreak/>
        <w:t xml:space="preserve">that the effects relate to characteristics of other places that regions connect to, rather than simply of the region itself. </w:t>
      </w:r>
    </w:p>
    <w:p w14:paraId="0D47F6A9" w14:textId="37A9DBE3" w:rsidR="00AA4B26" w:rsidRPr="003258F9" w:rsidRDefault="00AA4B26" w:rsidP="00803772">
      <w:pPr>
        <w:pStyle w:val="Heading1"/>
        <w:ind w:left="360"/>
        <w:rPr>
          <w:rFonts w:cstheme="minorHAnsi"/>
        </w:rPr>
      </w:pPr>
      <w:r w:rsidRPr="003258F9">
        <w:rPr>
          <w:rFonts w:cstheme="minorHAnsi"/>
        </w:rPr>
        <w:t>Results</w:t>
      </w:r>
    </w:p>
    <w:p w14:paraId="1DA3B0B7" w14:textId="614871CD" w:rsidR="00AA4B26" w:rsidRPr="003258F9" w:rsidRDefault="77A12534" w:rsidP="00AA4B26">
      <w:pPr>
        <w:spacing w:line="480" w:lineRule="auto"/>
        <w:rPr>
          <w:rFonts w:eastAsia="Garamond" w:cstheme="minorHAnsi"/>
          <w:sz w:val="24"/>
          <w:szCs w:val="24"/>
        </w:rPr>
      </w:pPr>
      <w:r w:rsidRPr="003258F9">
        <w:rPr>
          <w:rFonts w:eastAsia="Garamond" w:cstheme="minorHAnsi"/>
          <w:sz w:val="24"/>
          <w:szCs w:val="24"/>
        </w:rPr>
        <w:t xml:space="preserve">In </w:t>
      </w:r>
      <w:r w:rsidR="00907699" w:rsidRPr="003258F9">
        <w:rPr>
          <w:rFonts w:eastAsia="Garamond" w:cstheme="minorHAnsi"/>
          <w:sz w:val="24"/>
          <w:szCs w:val="24"/>
        </w:rPr>
        <w:t xml:space="preserve">Tables </w:t>
      </w:r>
      <w:r w:rsidR="009A0E14" w:rsidRPr="003258F9">
        <w:rPr>
          <w:rFonts w:eastAsia="Garamond" w:cstheme="minorHAnsi"/>
          <w:sz w:val="24"/>
          <w:szCs w:val="24"/>
        </w:rPr>
        <w:t>2</w:t>
      </w:r>
      <w:r w:rsidRPr="003258F9">
        <w:rPr>
          <w:rFonts w:eastAsia="Garamond" w:cstheme="minorHAnsi"/>
          <w:sz w:val="24"/>
          <w:szCs w:val="24"/>
        </w:rPr>
        <w:t>,</w:t>
      </w:r>
      <w:r w:rsidR="00907699" w:rsidRPr="003258F9">
        <w:rPr>
          <w:rFonts w:eastAsia="Garamond" w:cstheme="minorHAnsi"/>
          <w:sz w:val="24"/>
          <w:szCs w:val="24"/>
        </w:rPr>
        <w:t xml:space="preserve"> </w:t>
      </w:r>
      <w:r w:rsidR="009A0E14" w:rsidRPr="003258F9">
        <w:rPr>
          <w:rFonts w:eastAsia="Garamond" w:cstheme="minorHAnsi"/>
          <w:sz w:val="24"/>
          <w:szCs w:val="24"/>
        </w:rPr>
        <w:t>3</w:t>
      </w:r>
      <w:r w:rsidR="00907699" w:rsidRPr="003258F9">
        <w:rPr>
          <w:rFonts w:eastAsia="Garamond" w:cstheme="minorHAnsi"/>
          <w:sz w:val="24"/>
          <w:szCs w:val="24"/>
        </w:rPr>
        <w:t xml:space="preserve"> and </w:t>
      </w:r>
      <w:r w:rsidR="009A0E14" w:rsidRPr="003258F9">
        <w:rPr>
          <w:rFonts w:eastAsia="Garamond" w:cstheme="minorHAnsi"/>
          <w:sz w:val="24"/>
          <w:szCs w:val="24"/>
        </w:rPr>
        <w:t>4</w:t>
      </w:r>
      <w:r w:rsidR="00907699" w:rsidRPr="003258F9">
        <w:rPr>
          <w:rFonts w:eastAsia="Garamond" w:cstheme="minorHAnsi"/>
          <w:sz w:val="24"/>
          <w:szCs w:val="24"/>
        </w:rPr>
        <w:t>, we combine results using a single measure of social ties (urban, capital, own region) for three dependent variables (political trust, generalized social trust, and particular social trust), with four models building from a bivariate to a full model.</w:t>
      </w:r>
      <w:r w:rsidRPr="003258F9">
        <w:rPr>
          <w:rFonts w:eastAsia="Garamond" w:cstheme="minorHAnsi"/>
          <w:sz w:val="24"/>
          <w:szCs w:val="24"/>
        </w:rPr>
        <w:t xml:space="preserve"> The first is the base model with only country and ESS wave </w:t>
      </w:r>
      <w:r w:rsidR="003302B8" w:rsidRPr="003258F9">
        <w:rPr>
          <w:rFonts w:eastAsia="Garamond" w:cstheme="minorHAnsi"/>
          <w:sz w:val="24"/>
          <w:szCs w:val="24"/>
        </w:rPr>
        <w:t>fixed effects</w:t>
      </w:r>
      <w:r w:rsidRPr="003258F9">
        <w:rPr>
          <w:rFonts w:eastAsia="Garamond" w:cstheme="minorHAnsi"/>
          <w:sz w:val="24"/>
          <w:szCs w:val="24"/>
        </w:rPr>
        <w:t>, to demonstrate the bivariate association</w:t>
      </w:r>
      <w:r w:rsidR="00907699" w:rsidRPr="003258F9">
        <w:rPr>
          <w:rFonts w:eastAsia="Garamond" w:cstheme="minorHAnsi"/>
          <w:sz w:val="24"/>
          <w:szCs w:val="24"/>
        </w:rPr>
        <w:t>s</w:t>
      </w:r>
      <w:r w:rsidRPr="003258F9">
        <w:rPr>
          <w:rFonts w:eastAsia="Garamond" w:cstheme="minorHAnsi"/>
          <w:sz w:val="24"/>
          <w:szCs w:val="24"/>
        </w:rPr>
        <w:t>. The second model includes demographic controls at the individual-level, while the third model includes income and working status at the individual level</w:t>
      </w:r>
      <w:r w:rsidR="0031149F">
        <w:rPr>
          <w:rFonts w:eastAsia="Garamond" w:cstheme="minorHAnsi"/>
          <w:sz w:val="24"/>
          <w:szCs w:val="24"/>
        </w:rPr>
        <w:t>. T</w:t>
      </w:r>
      <w:r w:rsidRPr="003258F9">
        <w:rPr>
          <w:rFonts w:eastAsia="Garamond" w:cstheme="minorHAnsi"/>
          <w:sz w:val="24"/>
          <w:szCs w:val="24"/>
        </w:rPr>
        <w:t xml:space="preserve">he fourth model includes </w:t>
      </w:r>
      <w:r w:rsidR="00907699" w:rsidRPr="003258F9">
        <w:rPr>
          <w:rFonts w:eastAsia="Garamond" w:cstheme="minorHAnsi"/>
          <w:sz w:val="24"/>
          <w:szCs w:val="24"/>
        </w:rPr>
        <w:t xml:space="preserve">geographic variables, namely </w:t>
      </w:r>
      <w:r w:rsidRPr="003258F9">
        <w:rPr>
          <w:rFonts w:eastAsia="Garamond" w:cstheme="minorHAnsi"/>
          <w:sz w:val="24"/>
          <w:szCs w:val="24"/>
        </w:rPr>
        <w:t>region-level measures of GDP per capita, unemployment, job losses and net migration</w:t>
      </w:r>
      <w:r w:rsidR="00907699" w:rsidRPr="003258F9">
        <w:rPr>
          <w:rFonts w:eastAsia="Garamond" w:cstheme="minorHAnsi"/>
          <w:sz w:val="24"/>
          <w:szCs w:val="24"/>
        </w:rPr>
        <w:t xml:space="preserve"> (in all models), urban-rural location (where urban connections is the IV) and distance from capital (where capital connections is the IV)</w:t>
      </w:r>
      <w:r w:rsidRPr="003258F9">
        <w:rPr>
          <w:rFonts w:eastAsia="Garamond" w:cstheme="minorHAnsi"/>
          <w:sz w:val="24"/>
          <w:szCs w:val="24"/>
        </w:rPr>
        <w:t>.</w:t>
      </w:r>
      <w:r w:rsidR="003536AF" w:rsidRPr="003258F9">
        <w:rPr>
          <w:rStyle w:val="EndnoteReference"/>
          <w:rFonts w:eastAsia="Garamond" w:cstheme="minorHAnsi"/>
          <w:sz w:val="24"/>
          <w:szCs w:val="24"/>
        </w:rPr>
        <w:endnoteReference w:id="6"/>
      </w:r>
      <w:r w:rsidRPr="003258F9">
        <w:rPr>
          <w:rFonts w:eastAsia="Garamond" w:cstheme="minorHAnsi"/>
          <w:sz w:val="24"/>
          <w:szCs w:val="24"/>
        </w:rPr>
        <w:t xml:space="preserve"> This stepwise approach is designed to show the robustness of our findings, ensuring that the contextual effects we identify for residing in an area with greater connections to its own area, urban areas or the national capital are not simply a function of the characteristics of individuals and are not explained by aggregate-level economic factors. As such, it enables us to determine whether social ties offer additional explanatory power on top of competing theoretical perspectives. </w:t>
      </w:r>
    </w:p>
    <w:p w14:paraId="50D29092" w14:textId="3C6804FA" w:rsidR="00AA4B26" w:rsidRPr="003258F9" w:rsidRDefault="77A12534" w:rsidP="003E65EA">
      <w:pPr>
        <w:spacing w:line="480" w:lineRule="auto"/>
        <w:rPr>
          <w:rFonts w:eastAsia="Garamond" w:cstheme="minorHAnsi"/>
          <w:sz w:val="24"/>
          <w:szCs w:val="24"/>
        </w:rPr>
      </w:pPr>
      <w:r w:rsidRPr="003258F9">
        <w:rPr>
          <w:rFonts w:eastAsia="Garamond" w:cstheme="minorHAnsi"/>
          <w:sz w:val="24"/>
          <w:szCs w:val="24"/>
        </w:rPr>
        <w:t xml:space="preserve">We </w:t>
      </w:r>
      <w:r w:rsidR="003E65EA" w:rsidRPr="003258F9">
        <w:rPr>
          <w:rFonts w:eastAsia="Garamond" w:cstheme="minorHAnsi"/>
          <w:sz w:val="24"/>
          <w:szCs w:val="24"/>
        </w:rPr>
        <w:t>first discuss the role of urban connections</w:t>
      </w:r>
      <w:r w:rsidR="009A0E14" w:rsidRPr="003258F9">
        <w:rPr>
          <w:rFonts w:eastAsia="Garamond" w:cstheme="minorHAnsi"/>
          <w:sz w:val="24"/>
          <w:szCs w:val="24"/>
        </w:rPr>
        <w:t xml:space="preserve"> (Table 2)</w:t>
      </w:r>
      <w:r w:rsidR="003E65EA" w:rsidRPr="003258F9">
        <w:rPr>
          <w:rFonts w:eastAsia="Garamond" w:cstheme="minorHAnsi"/>
          <w:sz w:val="24"/>
          <w:szCs w:val="24"/>
        </w:rPr>
        <w:t>. In these models, we include the indicator of urban-rural context from the ESS as a control, to determine whether there is a plausible specific role for the geography of connections above and beyond immediate context. First, we find that the association of connections to urban areas and trust in national political institutions is consistently positive and significant, even after individual-</w:t>
      </w:r>
      <w:r w:rsidR="003E65EA" w:rsidRPr="003258F9">
        <w:rPr>
          <w:rFonts w:eastAsia="Garamond" w:cstheme="minorHAnsi"/>
          <w:sz w:val="24"/>
          <w:szCs w:val="24"/>
        </w:rPr>
        <w:lastRenderedPageBreak/>
        <w:t>level</w:t>
      </w:r>
      <w:r w:rsidR="00352407" w:rsidRPr="003258F9">
        <w:rPr>
          <w:rFonts w:eastAsia="Garamond" w:cstheme="minorHAnsi"/>
          <w:sz w:val="24"/>
          <w:szCs w:val="24"/>
        </w:rPr>
        <w:t>, regional economic and urban-rural controls</w:t>
      </w:r>
      <w:r w:rsidR="003E65EA" w:rsidRPr="003258F9">
        <w:rPr>
          <w:rFonts w:eastAsia="Garamond" w:cstheme="minorHAnsi"/>
          <w:sz w:val="24"/>
          <w:szCs w:val="24"/>
        </w:rPr>
        <w:t xml:space="preserve"> are added</w:t>
      </w:r>
      <w:r w:rsidR="00352407" w:rsidRPr="003258F9">
        <w:rPr>
          <w:rFonts w:eastAsia="Garamond" w:cstheme="minorHAnsi"/>
          <w:sz w:val="24"/>
          <w:szCs w:val="24"/>
        </w:rPr>
        <w:t xml:space="preserve">. This provides strong support for H1a.  </w:t>
      </w:r>
      <w:r w:rsidR="003E65EA" w:rsidRPr="003258F9">
        <w:rPr>
          <w:rFonts w:eastAsia="Garamond" w:cstheme="minorHAnsi"/>
          <w:sz w:val="24"/>
          <w:szCs w:val="24"/>
        </w:rPr>
        <w:t xml:space="preserve">However, while there is a positive and significant (0.06, p&lt;0.001) effect for the bivariate model (in Column 5) for </w:t>
      </w:r>
      <w:r w:rsidR="00BA306C" w:rsidRPr="003258F9">
        <w:rPr>
          <w:rFonts w:eastAsia="Garamond" w:cstheme="minorHAnsi"/>
          <w:sz w:val="24"/>
          <w:szCs w:val="24"/>
        </w:rPr>
        <w:t>GST</w:t>
      </w:r>
      <w:r w:rsidR="003E65EA" w:rsidRPr="003258F9">
        <w:rPr>
          <w:rFonts w:eastAsia="Garamond" w:cstheme="minorHAnsi"/>
          <w:sz w:val="24"/>
          <w:szCs w:val="24"/>
        </w:rPr>
        <w:t xml:space="preserve">, this disappears once the individual-level controls are added, providing no support for H2a. Finally, the effect on </w:t>
      </w:r>
      <w:r w:rsidR="00BA306C" w:rsidRPr="003258F9">
        <w:rPr>
          <w:rFonts w:eastAsia="Garamond" w:cstheme="minorHAnsi"/>
          <w:sz w:val="24"/>
          <w:szCs w:val="24"/>
        </w:rPr>
        <w:t>PST</w:t>
      </w:r>
      <w:r w:rsidR="003E65EA" w:rsidRPr="003258F9">
        <w:rPr>
          <w:rFonts w:eastAsia="Garamond" w:cstheme="minorHAnsi"/>
          <w:sz w:val="24"/>
          <w:szCs w:val="24"/>
        </w:rPr>
        <w:t xml:space="preserve"> (shown in Columns </w:t>
      </w:r>
      <w:r w:rsidR="00352407" w:rsidRPr="003258F9">
        <w:rPr>
          <w:rFonts w:eastAsia="Garamond" w:cstheme="minorHAnsi"/>
          <w:sz w:val="24"/>
          <w:szCs w:val="24"/>
        </w:rPr>
        <w:t>9</w:t>
      </w:r>
      <w:r w:rsidR="003E65EA" w:rsidRPr="003258F9">
        <w:rPr>
          <w:rFonts w:eastAsia="Garamond" w:cstheme="minorHAnsi"/>
          <w:sz w:val="24"/>
          <w:szCs w:val="24"/>
        </w:rPr>
        <w:t xml:space="preserve"> to </w:t>
      </w:r>
      <w:r w:rsidR="00352407" w:rsidRPr="003258F9">
        <w:rPr>
          <w:rFonts w:eastAsia="Garamond" w:cstheme="minorHAnsi"/>
          <w:sz w:val="24"/>
          <w:szCs w:val="24"/>
        </w:rPr>
        <w:t>12</w:t>
      </w:r>
      <w:r w:rsidR="003E65EA" w:rsidRPr="003258F9">
        <w:rPr>
          <w:rFonts w:eastAsia="Garamond" w:cstheme="minorHAnsi"/>
          <w:sz w:val="24"/>
          <w:szCs w:val="24"/>
        </w:rPr>
        <w:t xml:space="preserve"> of Table </w:t>
      </w:r>
      <w:r w:rsidR="009A0E14" w:rsidRPr="003258F9">
        <w:rPr>
          <w:rFonts w:eastAsia="Garamond" w:cstheme="minorHAnsi"/>
          <w:sz w:val="24"/>
          <w:szCs w:val="24"/>
        </w:rPr>
        <w:t>2</w:t>
      </w:r>
      <w:r w:rsidR="003E65EA" w:rsidRPr="003258F9">
        <w:rPr>
          <w:rFonts w:eastAsia="Garamond" w:cstheme="minorHAnsi"/>
          <w:sz w:val="24"/>
          <w:szCs w:val="24"/>
        </w:rPr>
        <w:t xml:space="preserve">) is negative and significant until </w:t>
      </w:r>
      <w:r w:rsidR="00352407" w:rsidRPr="003258F9">
        <w:rPr>
          <w:rFonts w:eastAsia="Garamond" w:cstheme="minorHAnsi"/>
          <w:sz w:val="24"/>
          <w:szCs w:val="24"/>
        </w:rPr>
        <w:t>urban-rural and regional economic context variables</w:t>
      </w:r>
      <w:r w:rsidR="003E65EA" w:rsidRPr="003258F9">
        <w:rPr>
          <w:rFonts w:eastAsia="Garamond" w:cstheme="minorHAnsi"/>
          <w:sz w:val="24"/>
          <w:szCs w:val="24"/>
        </w:rPr>
        <w:t xml:space="preserve"> (i.e., GDP per capita, the unemployment rate, job losses, net migration) are introduced to the model. This provides moderate support for H3b. </w:t>
      </w:r>
    </w:p>
    <w:p w14:paraId="374EC683" w14:textId="23CF7075" w:rsidR="003E65EA" w:rsidRPr="003258F9" w:rsidRDefault="00A11FF6" w:rsidP="00AA4B26">
      <w:pPr>
        <w:spacing w:line="480" w:lineRule="auto"/>
        <w:rPr>
          <w:rFonts w:eastAsia="Garamond" w:cstheme="minorHAnsi"/>
          <w:sz w:val="24"/>
          <w:szCs w:val="24"/>
        </w:rPr>
      </w:pPr>
      <w:r w:rsidRPr="003258F9">
        <w:rPr>
          <w:rFonts w:eastAsia="Garamond" w:cstheme="minorHAnsi"/>
          <w:sz w:val="24"/>
          <w:szCs w:val="24"/>
        </w:rPr>
        <w:t xml:space="preserve">We next turn </w:t>
      </w:r>
      <w:r w:rsidR="77A12534" w:rsidRPr="003258F9">
        <w:rPr>
          <w:rFonts w:eastAsia="Garamond" w:cstheme="minorHAnsi"/>
          <w:sz w:val="24"/>
          <w:szCs w:val="24"/>
        </w:rPr>
        <w:t xml:space="preserve">to consider connections </w:t>
      </w:r>
      <w:r w:rsidR="00352407" w:rsidRPr="003258F9">
        <w:rPr>
          <w:rFonts w:eastAsia="Garamond" w:cstheme="minorHAnsi"/>
          <w:sz w:val="24"/>
          <w:szCs w:val="24"/>
        </w:rPr>
        <w:t>between a region and</w:t>
      </w:r>
      <w:r w:rsidR="77A12534" w:rsidRPr="003258F9">
        <w:rPr>
          <w:rFonts w:eastAsia="Garamond" w:cstheme="minorHAnsi"/>
          <w:sz w:val="24"/>
          <w:szCs w:val="24"/>
        </w:rPr>
        <w:t xml:space="preserve"> the national capital</w:t>
      </w:r>
      <w:r w:rsidR="009A0E14" w:rsidRPr="003258F9">
        <w:rPr>
          <w:rFonts w:eastAsia="Garamond" w:cstheme="minorHAnsi"/>
          <w:sz w:val="24"/>
          <w:szCs w:val="24"/>
        </w:rPr>
        <w:t xml:space="preserve"> (Table 3)</w:t>
      </w:r>
      <w:r w:rsidR="77A12534" w:rsidRPr="003258F9">
        <w:rPr>
          <w:rFonts w:eastAsia="Garamond" w:cstheme="minorHAnsi"/>
          <w:sz w:val="24"/>
          <w:szCs w:val="24"/>
        </w:rPr>
        <w:t>.</w:t>
      </w:r>
      <w:r w:rsidR="00EB0FEE" w:rsidRPr="003258F9">
        <w:rPr>
          <w:rFonts w:eastAsia="Garamond" w:cstheme="minorHAnsi"/>
          <w:sz w:val="24"/>
          <w:szCs w:val="24"/>
        </w:rPr>
        <w:t xml:space="preserve"> Here, rather than controlling for urban-rural location, we include a continuous variable for distance from capital, scaled such that the region farthest from the capital within a country is equal to 1 and the region nearest the capital (the capital region itself) is 0.</w:t>
      </w:r>
      <w:r w:rsidR="003E65EA" w:rsidRPr="003258F9">
        <w:rPr>
          <w:rFonts w:eastAsia="Garamond" w:cstheme="minorHAnsi"/>
          <w:sz w:val="24"/>
          <w:szCs w:val="24"/>
        </w:rPr>
        <w:t xml:space="preserve"> Once again, we see reliably positive and significant effects of connections to the national capital on political trust, with the size of the coefficient being steadily reduced through the addition of individual- and aggregate-level controls to the final model in Column </w:t>
      </w:r>
      <w:r w:rsidR="009A0E14" w:rsidRPr="003258F9">
        <w:rPr>
          <w:rFonts w:eastAsia="Garamond" w:cstheme="minorHAnsi"/>
          <w:sz w:val="24"/>
          <w:szCs w:val="24"/>
        </w:rPr>
        <w:t>4</w:t>
      </w:r>
      <w:r w:rsidR="003E65EA" w:rsidRPr="003258F9">
        <w:rPr>
          <w:rFonts w:eastAsia="Garamond" w:cstheme="minorHAnsi"/>
          <w:sz w:val="24"/>
          <w:szCs w:val="24"/>
        </w:rPr>
        <w:t xml:space="preserve"> (0.0</w:t>
      </w:r>
      <w:r w:rsidR="00FE1AF5" w:rsidRPr="003258F9">
        <w:rPr>
          <w:rFonts w:eastAsia="Garamond" w:cstheme="minorHAnsi"/>
          <w:sz w:val="24"/>
          <w:szCs w:val="24"/>
        </w:rPr>
        <w:t>4</w:t>
      </w:r>
      <w:r w:rsidR="003E65EA" w:rsidRPr="003258F9">
        <w:rPr>
          <w:rFonts w:eastAsia="Garamond" w:cstheme="minorHAnsi"/>
          <w:sz w:val="24"/>
          <w:szCs w:val="24"/>
        </w:rPr>
        <w:t xml:space="preserve">, p&lt;0.001). This offers strong support for our theoretical argument that those residing in areas more connected to the centres of power will tend to exhibit higher levels of political trust (H1b). </w:t>
      </w:r>
    </w:p>
    <w:p w14:paraId="6AEEEDAC" w14:textId="36100D8F" w:rsidR="00AA4B26" w:rsidRPr="003258F9" w:rsidRDefault="00A11FF6" w:rsidP="00A11FF6">
      <w:pPr>
        <w:spacing w:line="480" w:lineRule="auto"/>
        <w:rPr>
          <w:rFonts w:eastAsia="Garamond" w:cstheme="minorHAnsi"/>
          <w:sz w:val="24"/>
          <w:szCs w:val="24"/>
        </w:rPr>
      </w:pPr>
      <w:r w:rsidRPr="003258F9">
        <w:rPr>
          <w:rFonts w:eastAsia="Garamond" w:cstheme="minorHAnsi"/>
          <w:sz w:val="24"/>
          <w:szCs w:val="24"/>
        </w:rPr>
        <w:t xml:space="preserve">For social trust, as with the effects of urban connections, our evidence is mixed. Curiously, capital connections are positively correlated to </w:t>
      </w:r>
      <w:r w:rsidR="00BA306C" w:rsidRPr="003258F9">
        <w:rPr>
          <w:rFonts w:eastAsia="Garamond" w:cstheme="minorHAnsi"/>
          <w:sz w:val="24"/>
          <w:szCs w:val="24"/>
        </w:rPr>
        <w:t>GST</w:t>
      </w:r>
      <w:r w:rsidRPr="003258F9">
        <w:rPr>
          <w:rFonts w:eastAsia="Garamond" w:cstheme="minorHAnsi"/>
          <w:sz w:val="24"/>
          <w:szCs w:val="24"/>
        </w:rPr>
        <w:t xml:space="preserve"> in the bivariate and fully-controlled models but not models with solely individual-level controls – offering only weak support for </w:t>
      </w:r>
      <w:r w:rsidR="00352407" w:rsidRPr="003258F9">
        <w:rPr>
          <w:rFonts w:eastAsia="Garamond" w:cstheme="minorHAnsi"/>
          <w:sz w:val="24"/>
          <w:szCs w:val="24"/>
        </w:rPr>
        <w:t>H2b</w:t>
      </w:r>
      <w:r w:rsidR="003E65EA" w:rsidRPr="003258F9">
        <w:rPr>
          <w:rFonts w:eastAsia="Garamond" w:cstheme="minorHAnsi"/>
          <w:sz w:val="24"/>
          <w:szCs w:val="24"/>
        </w:rPr>
        <w:t>.</w:t>
      </w:r>
      <w:r w:rsidR="00352407" w:rsidRPr="003258F9">
        <w:rPr>
          <w:rFonts w:eastAsia="Garamond" w:cstheme="minorHAnsi"/>
          <w:sz w:val="24"/>
          <w:szCs w:val="24"/>
        </w:rPr>
        <w:t xml:space="preserve"> </w:t>
      </w:r>
      <w:r w:rsidR="77A12534" w:rsidRPr="003258F9">
        <w:rPr>
          <w:rFonts w:eastAsia="Garamond" w:cstheme="minorHAnsi"/>
          <w:sz w:val="24"/>
          <w:szCs w:val="24"/>
        </w:rPr>
        <w:t xml:space="preserve">In the case of </w:t>
      </w:r>
      <w:r w:rsidR="00BA306C" w:rsidRPr="003258F9">
        <w:rPr>
          <w:rFonts w:eastAsia="Garamond" w:cstheme="minorHAnsi"/>
          <w:sz w:val="24"/>
          <w:szCs w:val="24"/>
        </w:rPr>
        <w:t>PST</w:t>
      </w:r>
      <w:r w:rsidR="77A12534" w:rsidRPr="003258F9">
        <w:rPr>
          <w:rFonts w:eastAsia="Garamond" w:cstheme="minorHAnsi"/>
          <w:sz w:val="24"/>
          <w:szCs w:val="24"/>
        </w:rPr>
        <w:t>, the</w:t>
      </w:r>
      <w:r w:rsidR="00531093" w:rsidRPr="003258F9">
        <w:rPr>
          <w:rFonts w:eastAsia="Garamond" w:cstheme="minorHAnsi"/>
          <w:sz w:val="24"/>
          <w:szCs w:val="24"/>
        </w:rPr>
        <w:t>re is a</w:t>
      </w:r>
      <w:r w:rsidR="77A12534" w:rsidRPr="003258F9">
        <w:rPr>
          <w:rFonts w:eastAsia="Garamond" w:cstheme="minorHAnsi"/>
          <w:sz w:val="24"/>
          <w:szCs w:val="24"/>
        </w:rPr>
        <w:t xml:space="preserve"> negative effect of connections to the national capital</w:t>
      </w:r>
      <w:r w:rsidRPr="003258F9">
        <w:rPr>
          <w:rFonts w:eastAsia="Garamond" w:cstheme="minorHAnsi"/>
          <w:sz w:val="24"/>
          <w:szCs w:val="24"/>
        </w:rPr>
        <w:t>, but this does not remain</w:t>
      </w:r>
      <w:r w:rsidR="77A12534" w:rsidRPr="003258F9">
        <w:rPr>
          <w:rFonts w:eastAsia="Garamond" w:cstheme="minorHAnsi"/>
          <w:sz w:val="24"/>
          <w:szCs w:val="24"/>
        </w:rPr>
        <w:t xml:space="preserve"> </w:t>
      </w:r>
      <w:r w:rsidRPr="003258F9">
        <w:rPr>
          <w:rFonts w:eastAsia="Garamond" w:cstheme="minorHAnsi"/>
          <w:sz w:val="24"/>
          <w:szCs w:val="24"/>
        </w:rPr>
        <w:t xml:space="preserve">in the fully-controlled model, much as with the models using urban connections as the IV. This offers moderate support for H3c, but is not conclusive.  </w:t>
      </w:r>
    </w:p>
    <w:p w14:paraId="498E6FB6" w14:textId="09FAA034" w:rsidR="0041445E" w:rsidRPr="003258F9" w:rsidRDefault="0041445E" w:rsidP="0041445E">
      <w:pPr>
        <w:spacing w:line="480" w:lineRule="auto"/>
        <w:rPr>
          <w:rFonts w:eastAsia="Garamond" w:cstheme="minorHAnsi"/>
          <w:sz w:val="24"/>
          <w:szCs w:val="24"/>
        </w:rPr>
      </w:pPr>
      <w:r w:rsidRPr="003258F9">
        <w:rPr>
          <w:rFonts w:eastAsia="Garamond" w:cstheme="minorHAnsi"/>
          <w:sz w:val="24"/>
          <w:szCs w:val="24"/>
        </w:rPr>
        <w:lastRenderedPageBreak/>
        <w:t>We now turn to the role of connections to one’s own region</w:t>
      </w:r>
      <w:r w:rsidR="009A0E14" w:rsidRPr="003258F9">
        <w:rPr>
          <w:rFonts w:eastAsia="Garamond" w:cstheme="minorHAnsi"/>
          <w:sz w:val="24"/>
          <w:szCs w:val="24"/>
        </w:rPr>
        <w:t xml:space="preserve"> (Table 4)</w:t>
      </w:r>
      <w:r w:rsidRPr="003258F9">
        <w:rPr>
          <w:rFonts w:eastAsia="Garamond" w:cstheme="minorHAnsi"/>
          <w:sz w:val="24"/>
          <w:szCs w:val="24"/>
        </w:rPr>
        <w:t xml:space="preserve">. Considering first particular social trust, we </w:t>
      </w:r>
      <w:r w:rsidR="0031149F">
        <w:rPr>
          <w:rFonts w:eastAsia="Garamond" w:cstheme="minorHAnsi"/>
          <w:sz w:val="24"/>
          <w:szCs w:val="24"/>
        </w:rPr>
        <w:t xml:space="preserve">find </w:t>
      </w:r>
      <w:proofErr w:type="gramStart"/>
      <w:r w:rsidR="0031149F">
        <w:rPr>
          <w:rFonts w:eastAsia="Garamond" w:cstheme="minorHAnsi"/>
          <w:sz w:val="24"/>
          <w:szCs w:val="24"/>
        </w:rPr>
        <w:t>that</w:t>
      </w:r>
      <w:r w:rsidRPr="003258F9">
        <w:rPr>
          <w:rFonts w:eastAsia="Garamond" w:cstheme="minorHAnsi"/>
          <w:sz w:val="24"/>
          <w:szCs w:val="24"/>
        </w:rPr>
        <w:t xml:space="preserve">  </w:t>
      </w:r>
      <w:r w:rsidR="00676E41">
        <w:rPr>
          <w:rFonts w:eastAsia="Garamond" w:cstheme="minorHAnsi"/>
          <w:sz w:val="24"/>
          <w:szCs w:val="24"/>
        </w:rPr>
        <w:t>this</w:t>
      </w:r>
      <w:proofErr w:type="gramEnd"/>
      <w:r w:rsidR="00676E41">
        <w:rPr>
          <w:rFonts w:eastAsia="Garamond" w:cstheme="minorHAnsi"/>
          <w:sz w:val="24"/>
          <w:szCs w:val="24"/>
        </w:rPr>
        <w:t xml:space="preserve"> </w:t>
      </w:r>
      <w:r w:rsidRPr="003258F9">
        <w:rPr>
          <w:rFonts w:eastAsia="Garamond" w:cstheme="minorHAnsi"/>
          <w:sz w:val="24"/>
          <w:szCs w:val="24"/>
        </w:rPr>
        <w:t xml:space="preserve">is a </w:t>
      </w:r>
      <w:r w:rsidR="00676E41" w:rsidRPr="003258F9">
        <w:rPr>
          <w:rFonts w:eastAsia="Garamond" w:cstheme="minorHAnsi"/>
          <w:sz w:val="24"/>
          <w:szCs w:val="24"/>
        </w:rPr>
        <w:t xml:space="preserve">consistently </w:t>
      </w:r>
      <w:r w:rsidRPr="003258F9">
        <w:rPr>
          <w:rFonts w:eastAsia="Garamond" w:cstheme="minorHAnsi"/>
          <w:sz w:val="24"/>
          <w:szCs w:val="24"/>
        </w:rPr>
        <w:t>positive and significant predictor. In the full model, a one-unit increase in the logged measure of connections own</w:t>
      </w:r>
      <w:r w:rsidR="00676E41">
        <w:rPr>
          <w:rFonts w:eastAsia="Garamond" w:cstheme="minorHAnsi"/>
          <w:sz w:val="24"/>
          <w:szCs w:val="24"/>
        </w:rPr>
        <w:t>-</w:t>
      </w:r>
      <w:r w:rsidRPr="003258F9">
        <w:rPr>
          <w:rFonts w:eastAsia="Garamond" w:cstheme="minorHAnsi"/>
          <w:sz w:val="24"/>
          <w:szCs w:val="24"/>
        </w:rPr>
        <w:t xml:space="preserve">region </w:t>
      </w:r>
      <w:r w:rsidR="00676E41">
        <w:rPr>
          <w:rFonts w:eastAsia="Garamond" w:cstheme="minorHAnsi"/>
          <w:sz w:val="24"/>
          <w:szCs w:val="24"/>
        </w:rPr>
        <w:t xml:space="preserve">connections </w:t>
      </w:r>
      <w:r w:rsidRPr="003258F9">
        <w:rPr>
          <w:rFonts w:eastAsia="Garamond" w:cstheme="minorHAnsi"/>
          <w:sz w:val="24"/>
          <w:szCs w:val="24"/>
        </w:rPr>
        <w:t xml:space="preserve">is associated with a </w:t>
      </w:r>
      <w:proofErr w:type="gramStart"/>
      <w:r w:rsidRPr="003258F9">
        <w:rPr>
          <w:rFonts w:eastAsia="Garamond" w:cstheme="minorHAnsi"/>
          <w:sz w:val="24"/>
          <w:szCs w:val="24"/>
        </w:rPr>
        <w:t>0.08 point</w:t>
      </w:r>
      <w:proofErr w:type="gramEnd"/>
      <w:r w:rsidRPr="003258F9">
        <w:rPr>
          <w:rFonts w:eastAsia="Garamond" w:cstheme="minorHAnsi"/>
          <w:sz w:val="24"/>
          <w:szCs w:val="24"/>
        </w:rPr>
        <w:t xml:space="preserve"> increase in the six-point scale of particular social trust (significant at the </w:t>
      </w:r>
      <w:r w:rsidR="00A11FF6" w:rsidRPr="003258F9">
        <w:rPr>
          <w:rFonts w:eastAsia="Garamond" w:cstheme="minorHAnsi"/>
          <w:sz w:val="24"/>
          <w:szCs w:val="24"/>
        </w:rPr>
        <w:t>0.01</w:t>
      </w:r>
      <w:r w:rsidRPr="003258F9">
        <w:rPr>
          <w:rFonts w:eastAsia="Garamond" w:cstheme="minorHAnsi"/>
          <w:sz w:val="24"/>
          <w:szCs w:val="24"/>
        </w:rPr>
        <w:t xml:space="preserve"> confidence level). This is consistent with our theoretical expectation (H3a) that local connections build trust within specific groups and communities. </w:t>
      </w:r>
    </w:p>
    <w:p w14:paraId="31AAEEAB" w14:textId="1E052475" w:rsidR="0041445E" w:rsidRPr="003258F9" w:rsidRDefault="0041445E" w:rsidP="003E65EA">
      <w:pPr>
        <w:spacing w:line="480" w:lineRule="auto"/>
        <w:rPr>
          <w:rFonts w:cstheme="minorHAnsi"/>
        </w:rPr>
      </w:pPr>
      <w:r w:rsidRPr="003258F9">
        <w:rPr>
          <w:rFonts w:eastAsia="Garamond" w:cstheme="minorHAnsi"/>
          <w:sz w:val="24"/>
          <w:szCs w:val="24"/>
        </w:rPr>
        <w:t xml:space="preserve">Although we did not provide specific hypotheses for the effect of local connections on either </w:t>
      </w:r>
      <w:r w:rsidR="00BA306C" w:rsidRPr="003258F9">
        <w:rPr>
          <w:rFonts w:eastAsia="Garamond" w:cstheme="minorHAnsi"/>
          <w:sz w:val="24"/>
          <w:szCs w:val="24"/>
        </w:rPr>
        <w:t>GST</w:t>
      </w:r>
      <w:r w:rsidRPr="003258F9">
        <w:rPr>
          <w:rFonts w:eastAsia="Garamond" w:cstheme="minorHAnsi"/>
          <w:sz w:val="24"/>
          <w:szCs w:val="24"/>
        </w:rPr>
        <w:t xml:space="preserve"> or political trust, </w:t>
      </w:r>
      <w:r w:rsidR="003E65EA" w:rsidRPr="003258F9">
        <w:rPr>
          <w:rFonts w:eastAsia="Garamond" w:cstheme="minorHAnsi"/>
          <w:sz w:val="24"/>
          <w:szCs w:val="24"/>
        </w:rPr>
        <w:t xml:space="preserve">it is instructive to compare the effects, to ascertain whether the above reflects a general effect on propensity to trust or (as we posit) a mechanism specific to particular social trust. Turning to </w:t>
      </w:r>
      <w:r w:rsidR="00BA306C" w:rsidRPr="003258F9">
        <w:rPr>
          <w:rFonts w:eastAsia="Garamond" w:cstheme="minorHAnsi"/>
          <w:sz w:val="24"/>
          <w:szCs w:val="24"/>
        </w:rPr>
        <w:t>GST</w:t>
      </w:r>
      <w:r w:rsidRPr="003258F9">
        <w:rPr>
          <w:rFonts w:eastAsia="Garamond" w:cstheme="minorHAnsi"/>
          <w:sz w:val="24"/>
          <w:szCs w:val="24"/>
        </w:rPr>
        <w:t xml:space="preserve">, in Columns 5 to 8 of Table </w:t>
      </w:r>
      <w:r w:rsidR="009A0E14" w:rsidRPr="003258F9">
        <w:rPr>
          <w:rFonts w:eastAsia="Garamond" w:cstheme="minorHAnsi"/>
          <w:sz w:val="24"/>
          <w:szCs w:val="24"/>
        </w:rPr>
        <w:t>4</w:t>
      </w:r>
      <w:r w:rsidRPr="003258F9">
        <w:rPr>
          <w:rFonts w:eastAsia="Garamond" w:cstheme="minorHAnsi"/>
          <w:sz w:val="24"/>
          <w:szCs w:val="24"/>
        </w:rPr>
        <w:t xml:space="preserve">, we see that the bivariate association with connections to own region is negative (-0.05, p&lt;0.001) – meaning that trust tends to be lower in those areas where people have more connections to their own community. However, once demographic controls and income and working status are added, the sign of the coefficient is reversed, becoming positive.  Lastly for Table </w:t>
      </w:r>
      <w:r w:rsidR="009A0E14" w:rsidRPr="003258F9">
        <w:rPr>
          <w:rFonts w:eastAsia="Garamond" w:cstheme="minorHAnsi"/>
          <w:sz w:val="24"/>
          <w:szCs w:val="24"/>
        </w:rPr>
        <w:t>4</w:t>
      </w:r>
      <w:r w:rsidRPr="003258F9">
        <w:rPr>
          <w:rFonts w:eastAsia="Garamond" w:cstheme="minorHAnsi"/>
          <w:sz w:val="24"/>
          <w:szCs w:val="24"/>
        </w:rPr>
        <w:t xml:space="preserve">, we observe a consistent negative and significant effect of connections to one’s own area on trust in national political institutions. This size of the effect decreases as individual- and aggregate-level controls are added, but remains highly significant in the final model (-0.06, p&lt;0.001). </w:t>
      </w:r>
    </w:p>
    <w:p w14:paraId="11259DEE" w14:textId="6EE0A8B4" w:rsidR="00AA4B26" w:rsidRPr="003258F9" w:rsidRDefault="77A12534" w:rsidP="00AA4B26">
      <w:pPr>
        <w:spacing w:line="480" w:lineRule="auto"/>
        <w:rPr>
          <w:rFonts w:cstheme="minorHAnsi"/>
        </w:rPr>
      </w:pPr>
      <w:r w:rsidRPr="003258F9">
        <w:rPr>
          <w:rFonts w:eastAsia="Garamond" w:cstheme="minorHAnsi"/>
          <w:sz w:val="24"/>
          <w:szCs w:val="24"/>
        </w:rPr>
        <w:t xml:space="preserve">Another way to depict these results is plot the predicted values of social and political trust with the measures of social ties (the logs of connections to own </w:t>
      </w:r>
      <w:r w:rsidR="00676E41">
        <w:rPr>
          <w:rFonts w:eastAsia="Garamond" w:cstheme="minorHAnsi"/>
          <w:sz w:val="24"/>
          <w:szCs w:val="24"/>
        </w:rPr>
        <w:t>region</w:t>
      </w:r>
      <w:r w:rsidRPr="003258F9">
        <w:rPr>
          <w:rFonts w:eastAsia="Garamond" w:cstheme="minorHAnsi"/>
          <w:sz w:val="24"/>
          <w:szCs w:val="24"/>
        </w:rPr>
        <w:t xml:space="preserve">, to urban areas, </w:t>
      </w:r>
      <w:r w:rsidR="00C123FE" w:rsidRPr="003258F9">
        <w:rPr>
          <w:rFonts w:eastAsia="Garamond" w:cstheme="minorHAnsi"/>
          <w:sz w:val="24"/>
          <w:szCs w:val="24"/>
        </w:rPr>
        <w:t xml:space="preserve">and </w:t>
      </w:r>
      <w:r w:rsidRPr="003258F9">
        <w:rPr>
          <w:rFonts w:eastAsia="Garamond" w:cstheme="minorHAnsi"/>
          <w:sz w:val="24"/>
          <w:szCs w:val="24"/>
        </w:rPr>
        <w:t xml:space="preserve">to the national capital) at their minimum and maximum values, as shown in Figure </w:t>
      </w:r>
      <w:r w:rsidR="009A0E14" w:rsidRPr="003258F9">
        <w:rPr>
          <w:rFonts w:eastAsia="Garamond" w:cstheme="minorHAnsi"/>
          <w:sz w:val="24"/>
          <w:szCs w:val="24"/>
        </w:rPr>
        <w:t>3</w:t>
      </w:r>
      <w:r w:rsidRPr="003258F9">
        <w:rPr>
          <w:rFonts w:eastAsia="Garamond" w:cstheme="minorHAnsi"/>
          <w:sz w:val="24"/>
          <w:szCs w:val="24"/>
        </w:rPr>
        <w:t xml:space="preserve">. The model specification used here is the most conservative possible, </w:t>
      </w:r>
      <w:proofErr w:type="gramStart"/>
      <w:r w:rsidR="003302B8" w:rsidRPr="003258F9">
        <w:rPr>
          <w:rFonts w:eastAsia="Garamond" w:cstheme="minorHAnsi"/>
          <w:sz w:val="24"/>
          <w:szCs w:val="24"/>
        </w:rPr>
        <w:t>i.e.</w:t>
      </w:r>
      <w:proofErr w:type="gramEnd"/>
      <w:r w:rsidRPr="003258F9">
        <w:rPr>
          <w:rFonts w:eastAsia="Garamond" w:cstheme="minorHAnsi"/>
          <w:sz w:val="24"/>
          <w:szCs w:val="24"/>
        </w:rPr>
        <w:t xml:space="preserve"> including the full individual- and aggregate-level controls. This shows clearly, for example, that </w:t>
      </w:r>
      <w:r w:rsidR="00BA306C" w:rsidRPr="003258F9">
        <w:rPr>
          <w:rFonts w:eastAsia="Garamond" w:cstheme="minorHAnsi"/>
          <w:sz w:val="24"/>
          <w:szCs w:val="24"/>
        </w:rPr>
        <w:t>PST</w:t>
      </w:r>
      <w:r w:rsidRPr="003258F9">
        <w:rPr>
          <w:rFonts w:eastAsia="Garamond" w:cstheme="minorHAnsi"/>
          <w:sz w:val="24"/>
          <w:szCs w:val="24"/>
        </w:rPr>
        <w:t xml:space="preserve"> is higher </w:t>
      </w:r>
      <w:r w:rsidRPr="003258F9">
        <w:rPr>
          <w:rFonts w:eastAsia="Garamond" w:cstheme="minorHAnsi"/>
          <w:sz w:val="24"/>
          <w:szCs w:val="24"/>
        </w:rPr>
        <w:lastRenderedPageBreak/>
        <w:t>when own region connections are set at their maximum value, and lower when set at their minimum.</w:t>
      </w:r>
      <w:r w:rsidR="00105CB6" w:rsidRPr="003258F9">
        <w:rPr>
          <w:rFonts w:eastAsia="Garamond" w:cstheme="minorHAnsi"/>
          <w:sz w:val="24"/>
          <w:szCs w:val="24"/>
        </w:rPr>
        <w:t xml:space="preserve"> </w:t>
      </w:r>
      <w:r w:rsidR="00BA306C" w:rsidRPr="003258F9">
        <w:rPr>
          <w:rFonts w:eastAsia="Garamond" w:cstheme="minorHAnsi"/>
          <w:sz w:val="24"/>
          <w:szCs w:val="24"/>
        </w:rPr>
        <w:t>GST</w:t>
      </w:r>
      <w:r w:rsidR="00105CB6" w:rsidRPr="003258F9">
        <w:rPr>
          <w:rFonts w:eastAsia="Garamond" w:cstheme="minorHAnsi"/>
          <w:sz w:val="24"/>
          <w:szCs w:val="24"/>
        </w:rPr>
        <w:t xml:space="preserve"> follows this pattern, but the difference in trust from minimum to maximum is considerably smaller.</w:t>
      </w:r>
      <w:r w:rsidRPr="003258F9">
        <w:rPr>
          <w:rFonts w:eastAsia="Garamond" w:cstheme="minorHAnsi"/>
          <w:sz w:val="24"/>
          <w:szCs w:val="24"/>
        </w:rPr>
        <w:t xml:space="preserve"> For trust in political institutions, in contrast, the predicted value is higher when own region connections are set at their minimum. Similarly, trust in political institutions is higher when connections to urban areas and the national capital are set at their maximums. </w:t>
      </w:r>
      <w:r w:rsidR="00BA306C" w:rsidRPr="003258F9">
        <w:rPr>
          <w:rFonts w:eastAsia="Garamond" w:cstheme="minorHAnsi"/>
          <w:sz w:val="24"/>
          <w:szCs w:val="24"/>
        </w:rPr>
        <w:t>GST</w:t>
      </w:r>
      <w:r w:rsidR="00105CB6" w:rsidRPr="003258F9">
        <w:rPr>
          <w:rFonts w:eastAsia="Garamond" w:cstheme="minorHAnsi"/>
          <w:sz w:val="24"/>
          <w:szCs w:val="24"/>
        </w:rPr>
        <w:t xml:space="preserve"> is higher with capital connections at their </w:t>
      </w:r>
      <w:r w:rsidR="00BA306C" w:rsidRPr="003258F9">
        <w:rPr>
          <w:rFonts w:eastAsia="Garamond" w:cstheme="minorHAnsi"/>
          <w:sz w:val="24"/>
          <w:szCs w:val="24"/>
        </w:rPr>
        <w:t>maximum</w:t>
      </w:r>
      <w:r w:rsidR="00105CB6" w:rsidRPr="003258F9">
        <w:rPr>
          <w:rFonts w:eastAsia="Garamond" w:cstheme="minorHAnsi"/>
          <w:sz w:val="24"/>
          <w:szCs w:val="24"/>
        </w:rPr>
        <w:t xml:space="preserve">, but urban connections make no difference to predicted values of </w:t>
      </w:r>
      <w:r w:rsidR="00BA306C" w:rsidRPr="003258F9">
        <w:rPr>
          <w:rFonts w:eastAsia="Garamond" w:cstheme="minorHAnsi"/>
          <w:sz w:val="24"/>
          <w:szCs w:val="24"/>
        </w:rPr>
        <w:t>GST</w:t>
      </w:r>
      <w:r w:rsidR="00105CB6" w:rsidRPr="003258F9">
        <w:rPr>
          <w:rFonts w:eastAsia="Garamond" w:cstheme="minorHAnsi"/>
          <w:sz w:val="24"/>
          <w:szCs w:val="24"/>
        </w:rPr>
        <w:t xml:space="preserve">. </w:t>
      </w:r>
    </w:p>
    <w:p w14:paraId="301721EA" w14:textId="62E1845C" w:rsidR="00EB2051" w:rsidRDefault="00676E41" w:rsidP="00F816B3">
      <w:pPr>
        <w:spacing w:line="480" w:lineRule="auto"/>
        <w:rPr>
          <w:rFonts w:eastAsia="Garamond" w:cstheme="minorHAnsi"/>
          <w:sz w:val="24"/>
          <w:szCs w:val="24"/>
        </w:rPr>
      </w:pPr>
      <w:r>
        <w:rPr>
          <w:rFonts w:eastAsia="Garamond" w:cstheme="minorHAnsi"/>
          <w:sz w:val="24"/>
          <w:szCs w:val="24"/>
        </w:rPr>
        <w:t>Besides social ties, there are several other notable contextual effects. O</w:t>
      </w:r>
      <w:r w:rsidR="77A12534" w:rsidRPr="003258F9">
        <w:rPr>
          <w:rFonts w:eastAsia="Garamond" w:cstheme="minorHAnsi"/>
          <w:sz w:val="24"/>
          <w:szCs w:val="24"/>
        </w:rPr>
        <w:t xml:space="preserve">ur results indicate that GDP per capita has a positive and significant effect on </w:t>
      </w:r>
      <w:r w:rsidR="00BA306C" w:rsidRPr="003258F9">
        <w:rPr>
          <w:rFonts w:eastAsia="Garamond" w:cstheme="minorHAnsi"/>
          <w:sz w:val="24"/>
          <w:szCs w:val="24"/>
        </w:rPr>
        <w:t>GST</w:t>
      </w:r>
      <w:r w:rsidR="77A12534" w:rsidRPr="003258F9">
        <w:rPr>
          <w:rFonts w:eastAsia="Garamond" w:cstheme="minorHAnsi"/>
          <w:sz w:val="24"/>
          <w:szCs w:val="24"/>
        </w:rPr>
        <w:t xml:space="preserve"> and political trust, and a negative and significant effect on </w:t>
      </w:r>
      <w:r w:rsidR="00BA306C" w:rsidRPr="003258F9">
        <w:rPr>
          <w:rFonts w:eastAsia="Garamond" w:cstheme="minorHAnsi"/>
          <w:sz w:val="24"/>
          <w:szCs w:val="24"/>
        </w:rPr>
        <w:t>PST</w:t>
      </w:r>
      <w:r w:rsidR="77A12534" w:rsidRPr="003258F9">
        <w:rPr>
          <w:rFonts w:eastAsia="Garamond" w:cstheme="minorHAnsi"/>
          <w:sz w:val="24"/>
          <w:szCs w:val="24"/>
        </w:rPr>
        <w:t>. Higher rates of unemployment, on the other hand, have a negative effect across all forms of social and political trust. Interestingly</w:t>
      </w:r>
      <w:r w:rsidR="00990BBA" w:rsidRPr="003258F9">
        <w:rPr>
          <w:rFonts w:eastAsia="Garamond" w:cstheme="minorHAnsi"/>
          <w:sz w:val="24"/>
          <w:szCs w:val="24"/>
        </w:rPr>
        <w:t>,</w:t>
      </w:r>
      <w:r w:rsidR="77A12534" w:rsidRPr="003258F9">
        <w:rPr>
          <w:rFonts w:eastAsia="Garamond" w:cstheme="minorHAnsi"/>
          <w:sz w:val="24"/>
          <w:szCs w:val="24"/>
        </w:rPr>
        <w:t xml:space="preserve"> the loss of manufacturing jobs appears to be linked to lower </w:t>
      </w:r>
      <w:r w:rsidR="00BA306C" w:rsidRPr="003258F9">
        <w:rPr>
          <w:rFonts w:eastAsia="Garamond" w:cstheme="minorHAnsi"/>
          <w:sz w:val="24"/>
          <w:szCs w:val="24"/>
        </w:rPr>
        <w:t>PST</w:t>
      </w:r>
      <w:r w:rsidR="77A12534" w:rsidRPr="003258F9">
        <w:rPr>
          <w:rFonts w:eastAsia="Garamond" w:cstheme="minorHAnsi"/>
          <w:sz w:val="24"/>
          <w:szCs w:val="24"/>
        </w:rPr>
        <w:t xml:space="preserve"> (for both models) and lower trust in political institutions (for one of the models). Net migration is associated consistently with negative and significant effect for generalised social trust, </w:t>
      </w:r>
      <w:r w:rsidR="003302B8" w:rsidRPr="003258F9">
        <w:rPr>
          <w:rFonts w:eastAsia="Garamond" w:cstheme="minorHAnsi"/>
          <w:sz w:val="24"/>
          <w:szCs w:val="24"/>
        </w:rPr>
        <w:t>i.e.,</w:t>
      </w:r>
      <w:r w:rsidR="77A12534" w:rsidRPr="003258F9">
        <w:rPr>
          <w:rFonts w:eastAsia="Garamond" w:cstheme="minorHAnsi"/>
          <w:sz w:val="24"/>
          <w:szCs w:val="24"/>
        </w:rPr>
        <w:t xml:space="preserve"> areas with higher migration tend to exhibit lower social trust.</w:t>
      </w:r>
      <w:r w:rsidR="00990BBA" w:rsidRPr="003258F9">
        <w:rPr>
          <w:rFonts w:eastAsia="Garamond" w:cstheme="minorHAnsi"/>
          <w:sz w:val="24"/>
          <w:szCs w:val="24"/>
        </w:rPr>
        <w:t xml:space="preserve"> </w:t>
      </w:r>
      <w:r w:rsidR="00BA306C" w:rsidRPr="003258F9">
        <w:rPr>
          <w:rFonts w:eastAsia="Garamond" w:cstheme="minorHAnsi"/>
          <w:sz w:val="24"/>
          <w:szCs w:val="24"/>
        </w:rPr>
        <w:t xml:space="preserve">Our models affirm previous findings that rural areas of Europe (villages and country homes) are lower in political trust, as are areas more distant from the capital. However, they also show that rural areas are much higher in PST while peripheral areas are somewhat higher in both GST and PST.  </w:t>
      </w:r>
      <w:r w:rsidR="00990BBA" w:rsidRPr="003258F9">
        <w:rPr>
          <w:rFonts w:eastAsia="Garamond" w:cstheme="minorHAnsi"/>
          <w:sz w:val="24"/>
          <w:szCs w:val="24"/>
        </w:rPr>
        <w:t>We report effects for individual-level predictors in Tables A</w:t>
      </w:r>
      <w:r w:rsidR="00B921F4" w:rsidRPr="003258F9">
        <w:rPr>
          <w:rFonts w:eastAsia="Garamond" w:cstheme="minorHAnsi"/>
          <w:sz w:val="24"/>
          <w:szCs w:val="24"/>
        </w:rPr>
        <w:t>2</w:t>
      </w:r>
      <w:r w:rsidR="00873CB9" w:rsidRPr="003258F9">
        <w:rPr>
          <w:rFonts w:eastAsia="Garamond" w:cstheme="minorHAnsi"/>
          <w:sz w:val="24"/>
          <w:szCs w:val="24"/>
        </w:rPr>
        <w:t xml:space="preserve"> to </w:t>
      </w:r>
      <w:r w:rsidR="00990BBA" w:rsidRPr="003258F9">
        <w:rPr>
          <w:rFonts w:eastAsia="Garamond" w:cstheme="minorHAnsi"/>
          <w:sz w:val="24"/>
          <w:szCs w:val="24"/>
        </w:rPr>
        <w:t>A</w:t>
      </w:r>
      <w:r w:rsidR="00B921F4" w:rsidRPr="003258F9">
        <w:rPr>
          <w:rFonts w:eastAsia="Garamond" w:cstheme="minorHAnsi"/>
          <w:sz w:val="24"/>
          <w:szCs w:val="24"/>
        </w:rPr>
        <w:t>4</w:t>
      </w:r>
      <w:r w:rsidR="00990BBA" w:rsidRPr="003258F9">
        <w:rPr>
          <w:rFonts w:eastAsia="Garamond" w:cstheme="minorHAnsi"/>
          <w:sz w:val="24"/>
          <w:szCs w:val="24"/>
        </w:rPr>
        <w:t xml:space="preserve"> of the appendix.</w:t>
      </w:r>
      <w:r w:rsidR="00990BBA" w:rsidRPr="003258F9">
        <w:rPr>
          <w:rStyle w:val="EndnoteReference"/>
          <w:rFonts w:eastAsia="Garamond" w:cstheme="minorHAnsi"/>
          <w:sz w:val="24"/>
          <w:szCs w:val="24"/>
        </w:rPr>
        <w:endnoteReference w:id="7"/>
      </w:r>
    </w:p>
    <w:p w14:paraId="043EAF40" w14:textId="2E8D358E" w:rsidR="00F816B3" w:rsidRPr="00F816B3" w:rsidRDefault="00F816B3" w:rsidP="00F816B3">
      <w:pPr>
        <w:spacing w:line="480" w:lineRule="auto"/>
        <w:jc w:val="center"/>
        <w:rPr>
          <w:rFonts w:eastAsiaTheme="minorEastAsia" w:cstheme="minorHAnsi"/>
          <w:b/>
          <w:bCs/>
          <w:spacing w:val="15"/>
          <w:sz w:val="24"/>
        </w:rPr>
      </w:pPr>
      <w:r>
        <w:rPr>
          <w:rFonts w:eastAsia="Garamond" w:cstheme="minorHAnsi"/>
          <w:sz w:val="24"/>
          <w:szCs w:val="24"/>
        </w:rPr>
        <w:t>[Figure 3 about here]</w:t>
      </w:r>
    </w:p>
    <w:p w14:paraId="019338CD" w14:textId="729BD34D" w:rsidR="00EB2051" w:rsidRPr="003258F9" w:rsidRDefault="00EB2051" w:rsidP="00803772">
      <w:pPr>
        <w:pStyle w:val="Heading1"/>
        <w:ind w:left="360"/>
        <w:rPr>
          <w:rFonts w:cstheme="minorHAnsi"/>
        </w:rPr>
      </w:pPr>
      <w:r w:rsidRPr="003258F9">
        <w:rPr>
          <w:rFonts w:cstheme="minorHAnsi"/>
        </w:rPr>
        <w:t>Discussion</w:t>
      </w:r>
    </w:p>
    <w:p w14:paraId="2AEEF2AB" w14:textId="087474BE" w:rsidR="00676E41" w:rsidRPr="003258F9" w:rsidRDefault="00334336" w:rsidP="00803772">
      <w:pPr>
        <w:spacing w:line="480" w:lineRule="auto"/>
        <w:rPr>
          <w:rFonts w:cstheme="minorHAnsi"/>
          <w:sz w:val="24"/>
          <w:szCs w:val="32"/>
        </w:rPr>
      </w:pPr>
      <w:r w:rsidRPr="003258F9">
        <w:rPr>
          <w:rFonts w:cstheme="minorHAnsi"/>
          <w:sz w:val="24"/>
          <w:szCs w:val="32"/>
        </w:rPr>
        <w:t xml:space="preserve">In Table </w:t>
      </w:r>
      <w:r w:rsidR="009A0E14" w:rsidRPr="003258F9">
        <w:rPr>
          <w:rFonts w:cstheme="minorHAnsi"/>
          <w:sz w:val="24"/>
          <w:szCs w:val="32"/>
        </w:rPr>
        <w:t>5</w:t>
      </w:r>
      <w:r w:rsidRPr="003258F9">
        <w:rPr>
          <w:rFonts w:cstheme="minorHAnsi"/>
          <w:sz w:val="24"/>
          <w:szCs w:val="32"/>
        </w:rPr>
        <w:t xml:space="preserve">, we review our results in full. </w:t>
      </w:r>
      <w:r w:rsidR="00C57914" w:rsidRPr="003258F9">
        <w:rPr>
          <w:rFonts w:cstheme="minorHAnsi"/>
          <w:sz w:val="24"/>
          <w:szCs w:val="32"/>
        </w:rPr>
        <w:t xml:space="preserve">We proposed </w:t>
      </w:r>
      <w:r w:rsidR="002F5734" w:rsidRPr="003258F9">
        <w:rPr>
          <w:rFonts w:cstheme="minorHAnsi"/>
          <w:sz w:val="24"/>
          <w:szCs w:val="32"/>
        </w:rPr>
        <w:t xml:space="preserve">seven </w:t>
      </w:r>
      <w:r w:rsidR="00C57914" w:rsidRPr="003258F9">
        <w:rPr>
          <w:rFonts w:cstheme="minorHAnsi"/>
          <w:sz w:val="24"/>
          <w:szCs w:val="32"/>
        </w:rPr>
        <w:t>hypotheses governing the effect of both intra-region connections</w:t>
      </w:r>
      <w:r w:rsidR="002F5734" w:rsidRPr="003258F9">
        <w:rPr>
          <w:rFonts w:cstheme="minorHAnsi"/>
          <w:sz w:val="24"/>
          <w:szCs w:val="32"/>
        </w:rPr>
        <w:t xml:space="preserve">, urban connections, and capital </w:t>
      </w:r>
      <w:r w:rsidR="00C57914" w:rsidRPr="003258F9">
        <w:rPr>
          <w:rFonts w:cstheme="minorHAnsi"/>
          <w:sz w:val="24"/>
          <w:szCs w:val="32"/>
        </w:rPr>
        <w:t xml:space="preserve">connections on </w:t>
      </w:r>
      <w:r w:rsidR="002F5734" w:rsidRPr="003258F9">
        <w:rPr>
          <w:rFonts w:cstheme="minorHAnsi"/>
          <w:sz w:val="24"/>
          <w:szCs w:val="32"/>
        </w:rPr>
        <w:t xml:space="preserve">one or </w:t>
      </w:r>
      <w:r w:rsidR="002F5734" w:rsidRPr="003258F9">
        <w:rPr>
          <w:rFonts w:cstheme="minorHAnsi"/>
          <w:sz w:val="24"/>
          <w:szCs w:val="32"/>
        </w:rPr>
        <w:lastRenderedPageBreak/>
        <w:t xml:space="preserve">more of </w:t>
      </w:r>
      <w:r w:rsidR="00C57914" w:rsidRPr="003258F9">
        <w:rPr>
          <w:rFonts w:cstheme="minorHAnsi"/>
          <w:sz w:val="24"/>
          <w:szCs w:val="32"/>
        </w:rPr>
        <w:t>three outcomes: political trust</w:t>
      </w:r>
      <w:r w:rsidR="002F5734" w:rsidRPr="003258F9">
        <w:rPr>
          <w:rFonts w:cstheme="minorHAnsi"/>
          <w:sz w:val="24"/>
          <w:szCs w:val="32"/>
        </w:rPr>
        <w:t>, generalized social trust, and particular social trust</w:t>
      </w:r>
      <w:r w:rsidR="00C57914" w:rsidRPr="003258F9">
        <w:rPr>
          <w:rFonts w:cstheme="minorHAnsi"/>
          <w:sz w:val="24"/>
          <w:szCs w:val="32"/>
        </w:rPr>
        <w:t>. We should caveat this discussion by reflecting that there is no singular test</w:t>
      </w:r>
      <w:r w:rsidR="00165B80" w:rsidRPr="003258F9">
        <w:rPr>
          <w:rFonts w:cstheme="minorHAnsi"/>
          <w:sz w:val="24"/>
          <w:szCs w:val="32"/>
        </w:rPr>
        <w:t xml:space="preserve"> for any one hypothesis</w:t>
      </w:r>
      <w:r w:rsidR="002F5734" w:rsidRPr="003258F9">
        <w:rPr>
          <w:rFonts w:cstheme="minorHAnsi"/>
          <w:sz w:val="24"/>
          <w:szCs w:val="32"/>
        </w:rPr>
        <w:t xml:space="preserve">, as </w:t>
      </w:r>
      <w:r w:rsidR="00165B80" w:rsidRPr="003258F9">
        <w:rPr>
          <w:rFonts w:cstheme="minorHAnsi"/>
          <w:sz w:val="24"/>
          <w:szCs w:val="32"/>
        </w:rPr>
        <w:t xml:space="preserve">each IV-DV pairing has at least four informative models (uncontrolled, demographic controls, personal economy controls, and regional controls). Rather, we conclude on the balance of evidence whether </w:t>
      </w:r>
      <w:r w:rsidR="007B16DE" w:rsidRPr="003258F9">
        <w:rPr>
          <w:rFonts w:cstheme="minorHAnsi"/>
          <w:sz w:val="24"/>
          <w:szCs w:val="32"/>
        </w:rPr>
        <w:t xml:space="preserve">the hypothesis is/is not supported, or whether it has </w:t>
      </w:r>
      <w:r w:rsidR="006D40CC" w:rsidRPr="003258F9">
        <w:rPr>
          <w:rFonts w:cstheme="minorHAnsi"/>
          <w:sz w:val="24"/>
          <w:szCs w:val="32"/>
        </w:rPr>
        <w:t xml:space="preserve">moderate </w:t>
      </w:r>
      <w:r w:rsidR="007B16DE" w:rsidRPr="003258F9">
        <w:rPr>
          <w:rFonts w:cstheme="minorHAnsi"/>
          <w:sz w:val="24"/>
          <w:szCs w:val="32"/>
        </w:rPr>
        <w:t xml:space="preserve">support. </w:t>
      </w:r>
      <w:r w:rsidR="002F5734" w:rsidRPr="003258F9">
        <w:rPr>
          <w:rFonts w:cstheme="minorHAnsi"/>
          <w:sz w:val="24"/>
          <w:szCs w:val="32"/>
        </w:rPr>
        <w:t>Four of seven</w:t>
      </w:r>
      <w:r w:rsidR="00A86294" w:rsidRPr="003258F9">
        <w:rPr>
          <w:rFonts w:cstheme="minorHAnsi"/>
          <w:sz w:val="24"/>
          <w:szCs w:val="32"/>
        </w:rPr>
        <w:t xml:space="preserve"> can be judged as ‘supported’</w:t>
      </w:r>
      <w:r w:rsidR="00A34FC7" w:rsidRPr="003258F9">
        <w:rPr>
          <w:rFonts w:cstheme="minorHAnsi"/>
          <w:sz w:val="24"/>
          <w:szCs w:val="32"/>
        </w:rPr>
        <w:t xml:space="preserve">, with two </w:t>
      </w:r>
      <w:r w:rsidR="00A86294" w:rsidRPr="003258F9">
        <w:rPr>
          <w:rFonts w:cstheme="minorHAnsi"/>
          <w:sz w:val="24"/>
          <w:szCs w:val="32"/>
        </w:rPr>
        <w:t>‘not supported’</w:t>
      </w:r>
      <w:r w:rsidR="00E82A8E" w:rsidRPr="003258F9">
        <w:rPr>
          <w:rFonts w:cstheme="minorHAnsi"/>
          <w:sz w:val="24"/>
          <w:szCs w:val="32"/>
        </w:rPr>
        <w:t xml:space="preserve"> and one finding ‘moderate support’</w:t>
      </w:r>
      <w:r w:rsidR="00A86294" w:rsidRPr="003258F9">
        <w:rPr>
          <w:rFonts w:cstheme="minorHAnsi"/>
          <w:sz w:val="24"/>
          <w:szCs w:val="32"/>
        </w:rPr>
        <w:t xml:space="preserve">. </w:t>
      </w:r>
    </w:p>
    <w:p w14:paraId="076B317C" w14:textId="41AF9925" w:rsidR="00131A7B" w:rsidRPr="003258F9" w:rsidRDefault="00131A7B" w:rsidP="00335CA0">
      <w:pPr>
        <w:spacing w:line="480" w:lineRule="auto"/>
        <w:rPr>
          <w:rFonts w:cstheme="minorHAnsi"/>
          <w:sz w:val="24"/>
          <w:szCs w:val="32"/>
        </w:rPr>
      </w:pPr>
      <w:r w:rsidRPr="003258F9">
        <w:rPr>
          <w:rFonts w:cstheme="minorHAnsi"/>
          <w:sz w:val="24"/>
          <w:szCs w:val="32"/>
        </w:rPr>
        <w:t xml:space="preserve">Overall, we find that our theoretical model is reasonably convincing for </w:t>
      </w:r>
      <w:r w:rsidR="00531093" w:rsidRPr="003258F9">
        <w:rPr>
          <w:rFonts w:cstheme="minorHAnsi"/>
          <w:i/>
          <w:iCs/>
          <w:sz w:val="24"/>
          <w:szCs w:val="32"/>
        </w:rPr>
        <w:t xml:space="preserve">political trust </w:t>
      </w:r>
      <w:r w:rsidR="00531093" w:rsidRPr="003258F9">
        <w:rPr>
          <w:rFonts w:cstheme="minorHAnsi"/>
          <w:sz w:val="24"/>
          <w:szCs w:val="32"/>
        </w:rPr>
        <w:t>and</w:t>
      </w:r>
      <w:r w:rsidR="00531093" w:rsidRPr="003258F9">
        <w:rPr>
          <w:rFonts w:cstheme="minorHAnsi"/>
          <w:i/>
          <w:iCs/>
          <w:sz w:val="24"/>
          <w:szCs w:val="32"/>
        </w:rPr>
        <w:t xml:space="preserve"> </w:t>
      </w:r>
      <w:r w:rsidRPr="003258F9">
        <w:rPr>
          <w:rFonts w:cstheme="minorHAnsi"/>
          <w:i/>
          <w:iCs/>
          <w:sz w:val="24"/>
          <w:szCs w:val="32"/>
        </w:rPr>
        <w:t>particular social trust</w:t>
      </w:r>
      <w:r w:rsidR="00531093" w:rsidRPr="003258F9">
        <w:rPr>
          <w:rFonts w:cstheme="minorHAnsi"/>
          <w:i/>
          <w:iCs/>
          <w:sz w:val="24"/>
          <w:szCs w:val="32"/>
        </w:rPr>
        <w:t xml:space="preserve">, </w:t>
      </w:r>
      <w:r w:rsidRPr="003258F9">
        <w:rPr>
          <w:rFonts w:cstheme="minorHAnsi"/>
          <w:sz w:val="24"/>
          <w:szCs w:val="32"/>
        </w:rPr>
        <w:t xml:space="preserve">but not for </w:t>
      </w:r>
      <w:r w:rsidRPr="003258F9">
        <w:rPr>
          <w:rFonts w:cstheme="minorHAnsi"/>
          <w:i/>
          <w:iCs/>
          <w:sz w:val="24"/>
          <w:szCs w:val="32"/>
        </w:rPr>
        <w:t xml:space="preserve">generalised social trust. </w:t>
      </w:r>
      <w:r w:rsidR="00531093" w:rsidRPr="003258F9">
        <w:rPr>
          <w:rFonts w:cstheme="minorHAnsi"/>
          <w:sz w:val="24"/>
          <w:szCs w:val="32"/>
        </w:rPr>
        <w:t xml:space="preserve">Our key finding with regard to political trust is that we find that more urban/capital connections, which we assume bring people closer to politicians, are associated with higher political trust, as expected (H1a, H1b). For particular social trust, we find that this is higher where there are strong social connections with the region, supporting H3a and reflecting the theoretical expectation concerning the commitment, loyalty and reciprocity thought to come with more localised networks. On the other hand, particular social trust is lower in areas of high connections to urban areas and the capital (H3b/H3c), perhaps supporting the theoretical expectation that these connections diminish incentives to cultivate strong trust among a narrow local network. </w:t>
      </w:r>
      <w:r w:rsidR="002F5734" w:rsidRPr="003258F9">
        <w:rPr>
          <w:rFonts w:cstheme="minorHAnsi"/>
          <w:sz w:val="24"/>
          <w:szCs w:val="32"/>
        </w:rPr>
        <w:t xml:space="preserve">However, our results offer only moderate support for H3b, as urban connections only </w:t>
      </w:r>
      <w:r w:rsidR="00676E41">
        <w:rPr>
          <w:rFonts w:cstheme="minorHAnsi"/>
          <w:sz w:val="24"/>
          <w:szCs w:val="32"/>
        </w:rPr>
        <w:t>have</w:t>
      </w:r>
      <w:r w:rsidR="00676E41" w:rsidRPr="003258F9">
        <w:rPr>
          <w:rFonts w:cstheme="minorHAnsi"/>
          <w:sz w:val="24"/>
          <w:szCs w:val="32"/>
        </w:rPr>
        <w:t xml:space="preserve"> </w:t>
      </w:r>
      <w:r w:rsidR="002F5734" w:rsidRPr="003258F9">
        <w:rPr>
          <w:rFonts w:cstheme="minorHAnsi"/>
          <w:sz w:val="24"/>
          <w:szCs w:val="32"/>
        </w:rPr>
        <w:t xml:space="preserve">a significant negative effect until aggregate-level controls </w:t>
      </w:r>
      <w:r w:rsidR="00676E41">
        <w:rPr>
          <w:rFonts w:cstheme="minorHAnsi"/>
          <w:sz w:val="24"/>
          <w:szCs w:val="32"/>
        </w:rPr>
        <w:t>are</w:t>
      </w:r>
      <w:r w:rsidR="00676E41" w:rsidRPr="003258F9">
        <w:rPr>
          <w:rFonts w:cstheme="minorHAnsi"/>
          <w:sz w:val="24"/>
          <w:szCs w:val="32"/>
        </w:rPr>
        <w:t xml:space="preserve"> </w:t>
      </w:r>
      <w:r w:rsidR="002F5734" w:rsidRPr="003258F9">
        <w:rPr>
          <w:rFonts w:cstheme="minorHAnsi"/>
          <w:sz w:val="24"/>
          <w:szCs w:val="32"/>
        </w:rPr>
        <w:t>introduced.</w:t>
      </w:r>
    </w:p>
    <w:p w14:paraId="3656196B" w14:textId="779ABD49" w:rsidR="00A34FC7" w:rsidRPr="003258F9" w:rsidRDefault="002F5734" w:rsidP="00475E13">
      <w:pPr>
        <w:spacing w:line="480" w:lineRule="auto"/>
        <w:rPr>
          <w:rFonts w:cstheme="minorHAnsi"/>
          <w:sz w:val="24"/>
          <w:szCs w:val="32"/>
        </w:rPr>
      </w:pPr>
      <w:r w:rsidRPr="003258F9">
        <w:rPr>
          <w:rFonts w:cstheme="minorHAnsi"/>
          <w:sz w:val="24"/>
          <w:szCs w:val="32"/>
        </w:rPr>
        <w:t xml:space="preserve">Our </w:t>
      </w:r>
      <w:r w:rsidR="000A7E10" w:rsidRPr="003258F9">
        <w:rPr>
          <w:rFonts w:cstheme="minorHAnsi"/>
          <w:sz w:val="24"/>
          <w:szCs w:val="32"/>
        </w:rPr>
        <w:t>analysis does not</w:t>
      </w:r>
      <w:r w:rsidRPr="003258F9">
        <w:rPr>
          <w:rFonts w:cstheme="minorHAnsi"/>
          <w:sz w:val="24"/>
          <w:szCs w:val="32"/>
        </w:rPr>
        <w:t>, however,</w:t>
      </w:r>
      <w:r w:rsidR="000A7E10" w:rsidRPr="003258F9">
        <w:rPr>
          <w:rFonts w:cstheme="minorHAnsi"/>
          <w:sz w:val="24"/>
          <w:szCs w:val="32"/>
        </w:rPr>
        <w:t xml:space="preserve"> provide support for H</w:t>
      </w:r>
      <w:r w:rsidRPr="003258F9">
        <w:rPr>
          <w:rFonts w:cstheme="minorHAnsi"/>
          <w:sz w:val="24"/>
          <w:szCs w:val="32"/>
        </w:rPr>
        <w:t>2a and H2b</w:t>
      </w:r>
      <w:r w:rsidR="000A7E10" w:rsidRPr="003258F9">
        <w:rPr>
          <w:rFonts w:cstheme="minorHAnsi"/>
          <w:sz w:val="24"/>
          <w:szCs w:val="32"/>
        </w:rPr>
        <w:t xml:space="preserve">, which theorised that urban/capital connections </w:t>
      </w:r>
      <w:r w:rsidRPr="003258F9">
        <w:rPr>
          <w:rFonts w:cstheme="minorHAnsi"/>
          <w:sz w:val="24"/>
          <w:szCs w:val="32"/>
        </w:rPr>
        <w:t>encourage</w:t>
      </w:r>
      <w:r w:rsidR="000A7E10" w:rsidRPr="003258F9">
        <w:rPr>
          <w:rFonts w:cstheme="minorHAnsi"/>
          <w:sz w:val="24"/>
          <w:szCs w:val="32"/>
        </w:rPr>
        <w:t xml:space="preserve"> people to expand their circle of</w:t>
      </w:r>
      <w:r w:rsidR="006D40CC" w:rsidRPr="003258F9">
        <w:rPr>
          <w:rFonts w:cstheme="minorHAnsi"/>
          <w:sz w:val="24"/>
          <w:szCs w:val="32"/>
        </w:rPr>
        <w:t xml:space="preserve"> (generalised)</w:t>
      </w:r>
      <w:r w:rsidR="000A7E10" w:rsidRPr="003258F9">
        <w:rPr>
          <w:rFonts w:cstheme="minorHAnsi"/>
          <w:sz w:val="24"/>
          <w:szCs w:val="32"/>
        </w:rPr>
        <w:t xml:space="preserve"> trust. </w:t>
      </w:r>
      <w:r w:rsidR="00EF46F9" w:rsidRPr="003258F9">
        <w:rPr>
          <w:rFonts w:cstheme="minorHAnsi"/>
          <w:sz w:val="24"/>
          <w:szCs w:val="32"/>
        </w:rPr>
        <w:t xml:space="preserve">This is not because geography is irrelevant to </w:t>
      </w:r>
      <w:r w:rsidRPr="003258F9">
        <w:rPr>
          <w:rFonts w:cstheme="minorHAnsi"/>
          <w:sz w:val="24"/>
          <w:szCs w:val="32"/>
        </w:rPr>
        <w:t xml:space="preserve">generalized </w:t>
      </w:r>
      <w:r w:rsidR="00EF46F9" w:rsidRPr="003258F9">
        <w:rPr>
          <w:rFonts w:cstheme="minorHAnsi"/>
          <w:sz w:val="24"/>
          <w:szCs w:val="32"/>
        </w:rPr>
        <w:t xml:space="preserve">social trust: indeed, we find that higher GDP, lower unemployment, and lower net migration </w:t>
      </w:r>
      <w:r w:rsidR="00475E13" w:rsidRPr="003258F9">
        <w:rPr>
          <w:rFonts w:cstheme="minorHAnsi"/>
          <w:sz w:val="24"/>
          <w:szCs w:val="32"/>
        </w:rPr>
        <w:t xml:space="preserve">at the regional level </w:t>
      </w:r>
      <w:r w:rsidR="00EF46F9" w:rsidRPr="003258F9">
        <w:rPr>
          <w:rFonts w:cstheme="minorHAnsi"/>
          <w:sz w:val="24"/>
          <w:szCs w:val="32"/>
        </w:rPr>
        <w:t xml:space="preserve">are all </w:t>
      </w:r>
      <w:r w:rsidR="00EF46F9" w:rsidRPr="003258F9">
        <w:rPr>
          <w:rFonts w:cstheme="minorHAnsi"/>
          <w:sz w:val="24"/>
          <w:szCs w:val="32"/>
        </w:rPr>
        <w:lastRenderedPageBreak/>
        <w:t xml:space="preserve">associated with higher </w:t>
      </w:r>
      <w:r w:rsidRPr="003258F9">
        <w:rPr>
          <w:rFonts w:cstheme="minorHAnsi"/>
          <w:sz w:val="24"/>
          <w:szCs w:val="32"/>
        </w:rPr>
        <w:t xml:space="preserve">generalized </w:t>
      </w:r>
      <w:r w:rsidR="00EF46F9" w:rsidRPr="003258F9">
        <w:rPr>
          <w:rFonts w:cstheme="minorHAnsi"/>
          <w:sz w:val="24"/>
          <w:szCs w:val="32"/>
        </w:rPr>
        <w:t>social trus</w:t>
      </w:r>
      <w:r w:rsidR="00475E13" w:rsidRPr="003258F9">
        <w:rPr>
          <w:rFonts w:cstheme="minorHAnsi"/>
          <w:sz w:val="24"/>
          <w:szCs w:val="32"/>
        </w:rPr>
        <w:t>t</w:t>
      </w:r>
      <w:r w:rsidR="00EF46F9" w:rsidRPr="003258F9">
        <w:rPr>
          <w:rFonts w:cstheme="minorHAnsi"/>
          <w:sz w:val="24"/>
          <w:szCs w:val="32"/>
        </w:rPr>
        <w:t>. It may be t</w:t>
      </w:r>
      <w:r w:rsidR="00475E13" w:rsidRPr="003258F9">
        <w:rPr>
          <w:rFonts w:cstheme="minorHAnsi"/>
          <w:sz w:val="24"/>
          <w:szCs w:val="32"/>
        </w:rPr>
        <w:t>hat people’s trust in such a non-specific group is affected by more-or-less arbitrary recall in the survey context of experiences and interactions, so the connections that influence trust judgments in this regard will not be systematic</w:t>
      </w:r>
      <w:r w:rsidR="00CB6CF0" w:rsidRPr="003258F9">
        <w:rPr>
          <w:rFonts w:cstheme="minorHAnsi"/>
          <w:sz w:val="24"/>
          <w:szCs w:val="32"/>
        </w:rPr>
        <w:t>, but this is ultimately speculative.</w:t>
      </w:r>
      <w:r w:rsidR="000129EA" w:rsidRPr="003258F9">
        <w:rPr>
          <w:rFonts w:cstheme="minorHAnsi"/>
          <w:sz w:val="24"/>
          <w:szCs w:val="32"/>
        </w:rPr>
        <w:t xml:space="preserve"> </w:t>
      </w:r>
      <w:r w:rsidR="00F555E1" w:rsidRPr="003258F9">
        <w:rPr>
          <w:rFonts w:cstheme="minorHAnsi"/>
          <w:sz w:val="24"/>
          <w:szCs w:val="32"/>
        </w:rPr>
        <w:t xml:space="preserve">Despite our theory, the results are not especially surprising in light of the somewhat conflicting findings in the social trust literature regarding the effects of urbanity, which are not consistently positive.  </w:t>
      </w:r>
    </w:p>
    <w:p w14:paraId="201A00A1" w14:textId="6E9F645C" w:rsidR="00E14AF2" w:rsidRPr="003258F9" w:rsidRDefault="77A12534" w:rsidP="00DA7B73">
      <w:pPr>
        <w:spacing w:after="0" w:line="480" w:lineRule="auto"/>
        <w:rPr>
          <w:rFonts w:cstheme="minorHAnsi"/>
          <w:sz w:val="24"/>
          <w:szCs w:val="24"/>
        </w:rPr>
      </w:pPr>
      <w:r w:rsidRPr="003258F9">
        <w:rPr>
          <w:rFonts w:cstheme="minorHAnsi"/>
          <w:sz w:val="24"/>
          <w:szCs w:val="24"/>
        </w:rPr>
        <w:t xml:space="preserve">Our analysis has certain limitations that should be noted. Firstly, we measure social connections at the aggregate level, but we measure trust at the individual level. In an ideal research design, we would know the ‘map’ of connections for individual Facebook users and their trust levels: needless to say, this is a highly implausible prospect. Furthermore, our analysis, naturally, has the conventional problems of correlational and cross-sectional studies. In particular, we cannot be certain that different types of social trust are not themselves factors in who people in a region form connections with – i.e., that reverse causality could be at work in our data. It is, however, difficult to imagine that this applies to </w:t>
      </w:r>
      <w:r w:rsidRPr="003258F9">
        <w:rPr>
          <w:rFonts w:cstheme="minorHAnsi"/>
          <w:i/>
          <w:iCs/>
          <w:sz w:val="24"/>
          <w:szCs w:val="24"/>
        </w:rPr>
        <w:t xml:space="preserve">political </w:t>
      </w:r>
      <w:r w:rsidRPr="003258F9">
        <w:rPr>
          <w:rFonts w:cstheme="minorHAnsi"/>
          <w:sz w:val="24"/>
          <w:szCs w:val="24"/>
        </w:rPr>
        <w:t xml:space="preserve">trust, and to see how the geography of social connections could be convincingly manipulated in an experiment. Finally, because of limitations with the survey data in particular, our analysis omits some European countries entirely and is less granular than we would like in some cases (measuring connections and controls using larger NUTS-2 regions as opposed to NUTS-3). Optimal surveys would contain geolocation such as co-ordinates, which can be flexibly linked to various contextual containers. </w:t>
      </w:r>
    </w:p>
    <w:p w14:paraId="5077994B" w14:textId="77777777" w:rsidR="0010516E" w:rsidRPr="003258F9" w:rsidRDefault="0010516E" w:rsidP="00DA7B73">
      <w:pPr>
        <w:spacing w:after="0" w:line="480" w:lineRule="auto"/>
        <w:rPr>
          <w:rFonts w:cstheme="minorHAnsi"/>
          <w:sz w:val="24"/>
          <w:szCs w:val="32"/>
        </w:rPr>
      </w:pPr>
    </w:p>
    <w:p w14:paraId="579EA1C3" w14:textId="6C84C510" w:rsidR="00EB2051" w:rsidRPr="003258F9" w:rsidRDefault="77A12534" w:rsidP="00803772">
      <w:pPr>
        <w:pStyle w:val="Heading1"/>
        <w:ind w:left="360"/>
        <w:rPr>
          <w:rFonts w:cstheme="minorHAnsi"/>
        </w:rPr>
      </w:pPr>
      <w:r w:rsidRPr="003258F9">
        <w:rPr>
          <w:rFonts w:cstheme="minorHAnsi"/>
        </w:rPr>
        <w:lastRenderedPageBreak/>
        <w:t>Conclusion</w:t>
      </w:r>
    </w:p>
    <w:p w14:paraId="796A1174" w14:textId="008F0478" w:rsidR="005F411D" w:rsidRPr="003258F9" w:rsidRDefault="77A12534" w:rsidP="009A5C36">
      <w:pPr>
        <w:spacing w:line="480" w:lineRule="auto"/>
        <w:rPr>
          <w:rFonts w:cstheme="minorHAnsi"/>
          <w:sz w:val="24"/>
          <w:szCs w:val="24"/>
          <w:lang w:eastAsia="en-GB"/>
        </w:rPr>
      </w:pPr>
      <w:r w:rsidRPr="003258F9">
        <w:rPr>
          <w:rFonts w:cstheme="minorHAnsi"/>
          <w:sz w:val="24"/>
          <w:szCs w:val="24"/>
          <w:lang w:eastAsia="en-GB"/>
        </w:rPr>
        <w:t xml:space="preserve">The links demonstrated here between </w:t>
      </w:r>
      <w:r w:rsidR="0076239C" w:rsidRPr="003258F9">
        <w:rPr>
          <w:rFonts w:cstheme="minorHAnsi"/>
          <w:sz w:val="24"/>
          <w:szCs w:val="24"/>
          <w:lang w:eastAsia="en-GB"/>
        </w:rPr>
        <w:t xml:space="preserve">social </w:t>
      </w:r>
      <w:r w:rsidRPr="003258F9">
        <w:rPr>
          <w:rFonts w:cstheme="minorHAnsi"/>
          <w:sz w:val="24"/>
          <w:szCs w:val="24"/>
          <w:lang w:eastAsia="en-GB"/>
        </w:rPr>
        <w:t>connections and trust have potentially substantial implications. Given that (1)</w:t>
      </w:r>
      <w:r w:rsidR="008A06E2" w:rsidRPr="003258F9">
        <w:rPr>
          <w:rFonts w:cstheme="minorHAnsi"/>
          <w:sz w:val="24"/>
          <w:szCs w:val="24"/>
          <w:lang w:eastAsia="en-GB"/>
        </w:rPr>
        <w:t xml:space="preserve"> </w:t>
      </w:r>
      <w:r w:rsidRPr="003258F9">
        <w:rPr>
          <w:rFonts w:cstheme="minorHAnsi"/>
          <w:sz w:val="24"/>
          <w:szCs w:val="24"/>
          <w:lang w:eastAsia="en-GB"/>
        </w:rPr>
        <w:t xml:space="preserve">left-behind areas are characterised by strong local ties and </w:t>
      </w:r>
      <w:r w:rsidR="008A06E2" w:rsidRPr="003258F9">
        <w:rPr>
          <w:rFonts w:cstheme="minorHAnsi"/>
          <w:sz w:val="24"/>
          <w:szCs w:val="24"/>
          <w:lang w:eastAsia="en-GB"/>
        </w:rPr>
        <w:t xml:space="preserve">a relative absence of </w:t>
      </w:r>
      <w:r w:rsidRPr="003258F9">
        <w:rPr>
          <w:rFonts w:cstheme="minorHAnsi"/>
          <w:sz w:val="24"/>
          <w:szCs w:val="24"/>
          <w:lang w:eastAsia="en-GB"/>
        </w:rPr>
        <w:t>ties to urban areas</w:t>
      </w:r>
      <w:r w:rsidR="0076239C" w:rsidRPr="003258F9">
        <w:rPr>
          <w:rFonts w:cstheme="minorHAnsi"/>
          <w:sz w:val="24"/>
          <w:szCs w:val="24"/>
          <w:lang w:eastAsia="en-GB"/>
        </w:rPr>
        <w:t xml:space="preserve"> and </w:t>
      </w:r>
      <w:r w:rsidRPr="003258F9">
        <w:rPr>
          <w:rFonts w:cstheme="minorHAnsi"/>
          <w:sz w:val="24"/>
          <w:szCs w:val="24"/>
          <w:lang w:eastAsia="en-GB"/>
        </w:rPr>
        <w:t>capitals</w:t>
      </w:r>
      <w:r w:rsidR="008A06E2" w:rsidRPr="003258F9">
        <w:rPr>
          <w:rFonts w:cstheme="minorHAnsi"/>
          <w:sz w:val="24"/>
          <w:szCs w:val="24"/>
          <w:lang w:eastAsia="en-GB"/>
        </w:rPr>
        <w:t>,</w:t>
      </w:r>
      <w:r w:rsidRPr="003258F9">
        <w:rPr>
          <w:rFonts w:cstheme="minorHAnsi"/>
          <w:sz w:val="24"/>
          <w:szCs w:val="24"/>
          <w:lang w:eastAsia="en-GB"/>
        </w:rPr>
        <w:t xml:space="preserve"> and (2</w:t>
      </w:r>
      <w:r w:rsidR="008A06E2" w:rsidRPr="003258F9">
        <w:rPr>
          <w:rFonts w:cstheme="minorHAnsi"/>
          <w:sz w:val="24"/>
          <w:szCs w:val="24"/>
          <w:lang w:eastAsia="en-GB"/>
        </w:rPr>
        <w:t>)</w:t>
      </w:r>
      <w:r w:rsidRPr="003258F9">
        <w:rPr>
          <w:rFonts w:cstheme="minorHAnsi"/>
          <w:sz w:val="24"/>
          <w:szCs w:val="24"/>
          <w:lang w:eastAsia="en-GB"/>
        </w:rPr>
        <w:t xml:space="preserve"> these patterns of connections predict low political trust, we can infer that the deficit in political trust in left-behind areas is even larger than strictly economic models would predict. </w:t>
      </w:r>
      <w:r w:rsidR="008A06E2" w:rsidRPr="003258F9">
        <w:rPr>
          <w:rFonts w:cstheme="minorHAnsi"/>
          <w:sz w:val="24"/>
          <w:szCs w:val="24"/>
          <w:lang w:eastAsia="en-GB"/>
        </w:rPr>
        <w:t>Both the fact of the lack of trust, and the social roots of this low trust, are likely to have important consequences</w:t>
      </w:r>
      <w:r w:rsidR="00FB0306" w:rsidRPr="003258F9">
        <w:rPr>
          <w:rFonts w:cstheme="minorHAnsi"/>
          <w:sz w:val="24"/>
          <w:szCs w:val="24"/>
          <w:lang w:eastAsia="en-GB"/>
        </w:rPr>
        <w:t>.</w:t>
      </w:r>
      <w:r w:rsidR="003E31BB" w:rsidRPr="003258F9">
        <w:rPr>
          <w:rFonts w:cstheme="minorHAnsi"/>
          <w:sz w:val="24"/>
          <w:szCs w:val="24"/>
          <w:lang w:eastAsia="en-GB"/>
        </w:rPr>
        <w:t xml:space="preserve"> </w:t>
      </w:r>
    </w:p>
    <w:p w14:paraId="274AD757" w14:textId="710D50D3" w:rsidR="005F411D" w:rsidRPr="003258F9" w:rsidRDefault="005F411D" w:rsidP="009A5C36">
      <w:pPr>
        <w:spacing w:line="480" w:lineRule="auto"/>
        <w:rPr>
          <w:rFonts w:cstheme="minorHAnsi"/>
          <w:sz w:val="24"/>
          <w:szCs w:val="24"/>
          <w:lang w:eastAsia="en-GB"/>
        </w:rPr>
      </w:pPr>
      <w:r w:rsidRPr="003258F9">
        <w:rPr>
          <w:rFonts w:cstheme="minorHAnsi"/>
          <w:sz w:val="24"/>
          <w:szCs w:val="24"/>
          <w:lang w:eastAsia="en-GB"/>
        </w:rPr>
        <w:t>On the one hand, these dynamics may make it harder to govern</w:t>
      </w:r>
      <w:r w:rsidR="003E31BB" w:rsidRPr="003258F9">
        <w:rPr>
          <w:rFonts w:cstheme="minorHAnsi"/>
          <w:sz w:val="24"/>
          <w:szCs w:val="24"/>
          <w:lang w:eastAsia="en-GB"/>
        </w:rPr>
        <w:t xml:space="preserve"> with consent and co-operation</w:t>
      </w:r>
      <w:r w:rsidRPr="003258F9">
        <w:rPr>
          <w:rFonts w:cstheme="minorHAnsi"/>
          <w:sz w:val="24"/>
          <w:szCs w:val="24"/>
          <w:lang w:eastAsia="en-GB"/>
        </w:rPr>
        <w:t xml:space="preserve">. Trust is seen as an important factor </w:t>
      </w:r>
      <w:r w:rsidR="0076239C" w:rsidRPr="003258F9">
        <w:rPr>
          <w:rFonts w:cstheme="minorHAnsi"/>
          <w:sz w:val="24"/>
          <w:szCs w:val="24"/>
          <w:lang w:eastAsia="en-GB"/>
        </w:rPr>
        <w:t>behind</w:t>
      </w:r>
      <w:r w:rsidRPr="003258F9">
        <w:rPr>
          <w:rFonts w:cstheme="minorHAnsi"/>
          <w:sz w:val="24"/>
          <w:szCs w:val="24"/>
          <w:lang w:eastAsia="en-GB"/>
        </w:rPr>
        <w:t xml:space="preserve"> compliance with laws, regulations, and government recommendations (such as Covid-19 lockdowns). Less trusting citizens may want to protect their personal finances from the state, </w:t>
      </w:r>
      <w:r w:rsidR="00FB0306" w:rsidRPr="003258F9">
        <w:rPr>
          <w:rFonts w:cstheme="minorHAnsi"/>
          <w:sz w:val="24"/>
          <w:szCs w:val="24"/>
          <w:lang w:eastAsia="en-GB"/>
        </w:rPr>
        <w:t xml:space="preserve">limiting </w:t>
      </w:r>
      <w:r w:rsidR="007543FF" w:rsidRPr="003258F9">
        <w:rPr>
          <w:rFonts w:cstheme="minorHAnsi"/>
          <w:sz w:val="24"/>
          <w:szCs w:val="24"/>
          <w:lang w:eastAsia="en-GB"/>
        </w:rPr>
        <w:t>their support</w:t>
      </w:r>
      <w:r w:rsidR="00FB0306" w:rsidRPr="003258F9">
        <w:rPr>
          <w:rFonts w:cstheme="minorHAnsi"/>
          <w:sz w:val="24"/>
          <w:szCs w:val="24"/>
          <w:lang w:eastAsia="en-GB"/>
        </w:rPr>
        <w:t xml:space="preserve"> for</w:t>
      </w:r>
      <w:r w:rsidRPr="003258F9">
        <w:rPr>
          <w:rFonts w:cstheme="minorHAnsi"/>
          <w:sz w:val="24"/>
          <w:szCs w:val="24"/>
          <w:lang w:eastAsia="en-GB"/>
        </w:rPr>
        <w:t xml:space="preserve"> social </w:t>
      </w:r>
      <w:r w:rsidR="007543FF" w:rsidRPr="003258F9">
        <w:rPr>
          <w:rFonts w:cstheme="minorHAnsi"/>
          <w:sz w:val="24"/>
          <w:szCs w:val="24"/>
          <w:lang w:eastAsia="en-GB"/>
        </w:rPr>
        <w:t>expenditure and protections</w:t>
      </w:r>
      <w:r w:rsidRPr="003258F9">
        <w:rPr>
          <w:rFonts w:cstheme="minorHAnsi"/>
          <w:sz w:val="24"/>
          <w:szCs w:val="24"/>
          <w:lang w:eastAsia="en-GB"/>
        </w:rPr>
        <w:t xml:space="preserve"> (Hetherington 2005).</w:t>
      </w:r>
      <w:r w:rsidR="003E31BB" w:rsidRPr="003258F9">
        <w:rPr>
          <w:rFonts w:cstheme="minorHAnsi"/>
          <w:sz w:val="24"/>
          <w:szCs w:val="24"/>
          <w:lang w:eastAsia="en-GB"/>
        </w:rPr>
        <w:t xml:space="preserve"> They may be reluctant to enter into arrangements with government that </w:t>
      </w:r>
      <w:r w:rsidR="0076239C" w:rsidRPr="003258F9">
        <w:rPr>
          <w:rFonts w:cstheme="minorHAnsi"/>
          <w:sz w:val="24"/>
          <w:szCs w:val="24"/>
          <w:lang w:eastAsia="en-GB"/>
        </w:rPr>
        <w:t>incur</w:t>
      </w:r>
      <w:r w:rsidR="003E31BB" w:rsidRPr="003258F9">
        <w:rPr>
          <w:rFonts w:cstheme="minorHAnsi"/>
          <w:sz w:val="24"/>
          <w:szCs w:val="24"/>
          <w:lang w:eastAsia="en-GB"/>
        </w:rPr>
        <w:t xml:space="preserve"> short-term costs </w:t>
      </w:r>
      <w:r w:rsidR="007543FF" w:rsidRPr="003258F9">
        <w:rPr>
          <w:rFonts w:cstheme="minorHAnsi"/>
          <w:sz w:val="24"/>
          <w:szCs w:val="24"/>
          <w:lang w:eastAsia="en-GB"/>
        </w:rPr>
        <w:t>in order to</w:t>
      </w:r>
      <w:r w:rsidR="0076239C" w:rsidRPr="003258F9">
        <w:rPr>
          <w:rFonts w:cstheme="minorHAnsi"/>
          <w:sz w:val="24"/>
          <w:szCs w:val="24"/>
          <w:lang w:eastAsia="en-GB"/>
        </w:rPr>
        <w:t xml:space="preserve"> </w:t>
      </w:r>
      <w:r w:rsidR="007543FF" w:rsidRPr="003258F9">
        <w:rPr>
          <w:rFonts w:cstheme="minorHAnsi"/>
          <w:sz w:val="24"/>
          <w:szCs w:val="24"/>
          <w:lang w:eastAsia="en-GB"/>
        </w:rPr>
        <w:t>secure</w:t>
      </w:r>
      <w:r w:rsidR="003E31BB" w:rsidRPr="003258F9">
        <w:rPr>
          <w:rFonts w:cstheme="minorHAnsi"/>
          <w:sz w:val="24"/>
          <w:szCs w:val="24"/>
          <w:lang w:eastAsia="en-GB"/>
        </w:rPr>
        <w:t xml:space="preserve"> long-term benefits (Jacobs and Matthews 2012)</w:t>
      </w:r>
      <w:r w:rsidR="007B0906" w:rsidRPr="003258F9">
        <w:rPr>
          <w:rFonts w:cstheme="minorHAnsi"/>
          <w:sz w:val="24"/>
          <w:szCs w:val="24"/>
          <w:lang w:eastAsia="en-GB"/>
        </w:rPr>
        <w:t>, such as</w:t>
      </w:r>
      <w:r w:rsidR="003E31BB" w:rsidRPr="003258F9">
        <w:rPr>
          <w:rFonts w:cstheme="minorHAnsi"/>
          <w:sz w:val="24"/>
          <w:szCs w:val="24"/>
          <w:lang w:eastAsia="en-GB"/>
        </w:rPr>
        <w:t xml:space="preserve"> national and EU-level Green Transition policies that reduce local dependence on carbon-intensive industries (Kyriazi and Miró 2022).</w:t>
      </w:r>
      <w:r w:rsidR="007B0906" w:rsidRPr="003258F9">
        <w:rPr>
          <w:rFonts w:cstheme="minorHAnsi"/>
          <w:sz w:val="24"/>
          <w:szCs w:val="24"/>
          <w:lang w:eastAsia="en-GB"/>
        </w:rPr>
        <w:t xml:space="preserve"> At the ballot box, they</w:t>
      </w:r>
      <w:r w:rsidR="003E31BB" w:rsidRPr="003258F9">
        <w:rPr>
          <w:rFonts w:cstheme="minorHAnsi"/>
          <w:sz w:val="24"/>
          <w:szCs w:val="24"/>
          <w:lang w:eastAsia="en-GB"/>
        </w:rPr>
        <w:t xml:space="preserve"> may reject the political mainstream entirely, backing populist candidates and parties that promise short-term solutions and scapegoats (</w:t>
      </w:r>
      <w:proofErr w:type="spellStart"/>
      <w:r w:rsidR="003E31BB" w:rsidRPr="003258F9">
        <w:rPr>
          <w:rFonts w:cstheme="minorHAnsi"/>
          <w:sz w:val="24"/>
          <w:szCs w:val="24"/>
          <w:lang w:eastAsia="en-GB"/>
        </w:rPr>
        <w:t>Rooduijn</w:t>
      </w:r>
      <w:proofErr w:type="spellEnd"/>
      <w:r w:rsidR="003E31BB" w:rsidRPr="003258F9">
        <w:rPr>
          <w:rFonts w:cstheme="minorHAnsi"/>
          <w:sz w:val="24"/>
          <w:szCs w:val="24"/>
          <w:lang w:eastAsia="en-GB"/>
        </w:rPr>
        <w:t xml:space="preserve"> 2018).</w:t>
      </w:r>
    </w:p>
    <w:p w14:paraId="61798C7E" w14:textId="79CF5099" w:rsidR="005F411D" w:rsidRPr="003258F9" w:rsidRDefault="005F411D" w:rsidP="009A5C36">
      <w:pPr>
        <w:spacing w:line="480" w:lineRule="auto"/>
        <w:rPr>
          <w:rFonts w:cstheme="minorHAnsi"/>
          <w:sz w:val="24"/>
          <w:szCs w:val="24"/>
          <w:lang w:eastAsia="en-GB"/>
        </w:rPr>
      </w:pPr>
      <w:r w:rsidRPr="003258F9">
        <w:rPr>
          <w:rFonts w:cstheme="minorHAnsi"/>
          <w:sz w:val="24"/>
          <w:szCs w:val="24"/>
          <w:lang w:eastAsia="en-GB"/>
        </w:rPr>
        <w:t>They will also make it harder</w:t>
      </w:r>
      <w:r w:rsidR="003E31BB" w:rsidRPr="003258F9">
        <w:rPr>
          <w:rFonts w:cstheme="minorHAnsi"/>
          <w:sz w:val="24"/>
          <w:szCs w:val="24"/>
          <w:lang w:eastAsia="en-GB"/>
        </w:rPr>
        <w:t xml:space="preserve"> for left-behind places</w:t>
      </w:r>
      <w:r w:rsidRPr="003258F9">
        <w:rPr>
          <w:rFonts w:cstheme="minorHAnsi"/>
          <w:sz w:val="24"/>
          <w:szCs w:val="24"/>
          <w:lang w:eastAsia="en-GB"/>
        </w:rPr>
        <w:t xml:space="preserve"> to productively mobilise and engage from the bottom</w:t>
      </w:r>
      <w:r w:rsidR="0076239C" w:rsidRPr="003258F9">
        <w:rPr>
          <w:rFonts w:cstheme="minorHAnsi"/>
          <w:sz w:val="24"/>
          <w:szCs w:val="24"/>
          <w:lang w:eastAsia="en-GB"/>
        </w:rPr>
        <w:t xml:space="preserve"> </w:t>
      </w:r>
      <w:r w:rsidRPr="003258F9">
        <w:rPr>
          <w:rFonts w:cstheme="minorHAnsi"/>
          <w:sz w:val="24"/>
          <w:szCs w:val="24"/>
          <w:lang w:eastAsia="en-GB"/>
        </w:rPr>
        <w:t>up</w:t>
      </w:r>
      <w:r w:rsidR="007B0906" w:rsidRPr="003258F9">
        <w:rPr>
          <w:rFonts w:cstheme="minorHAnsi"/>
          <w:sz w:val="24"/>
          <w:szCs w:val="24"/>
          <w:lang w:eastAsia="en-GB"/>
        </w:rPr>
        <w:t>, and confront a legacy of central state failure</w:t>
      </w:r>
      <w:r w:rsidRPr="003258F9">
        <w:rPr>
          <w:rFonts w:cstheme="minorHAnsi"/>
          <w:sz w:val="24"/>
          <w:szCs w:val="24"/>
          <w:lang w:eastAsia="en-GB"/>
        </w:rPr>
        <w:t xml:space="preserve">. </w:t>
      </w:r>
      <w:r w:rsidR="007B0906" w:rsidRPr="003258F9">
        <w:rPr>
          <w:rFonts w:cstheme="minorHAnsi"/>
          <w:sz w:val="24"/>
          <w:szCs w:val="24"/>
          <w:lang w:eastAsia="en-GB"/>
        </w:rPr>
        <w:t>Between their low trust, and limited ‘weak’ ties to those in urban centres</w:t>
      </w:r>
      <w:r w:rsidR="0076239C" w:rsidRPr="003258F9">
        <w:rPr>
          <w:rFonts w:cstheme="minorHAnsi"/>
          <w:sz w:val="24"/>
          <w:szCs w:val="24"/>
          <w:lang w:eastAsia="en-GB"/>
        </w:rPr>
        <w:t xml:space="preserve"> of power</w:t>
      </w:r>
      <w:r w:rsidR="007B0906" w:rsidRPr="003258F9">
        <w:rPr>
          <w:rFonts w:cstheme="minorHAnsi"/>
          <w:sz w:val="24"/>
          <w:szCs w:val="24"/>
          <w:lang w:eastAsia="en-GB"/>
        </w:rPr>
        <w:t xml:space="preserve">, these </w:t>
      </w:r>
      <w:r w:rsidR="0076239C" w:rsidRPr="003258F9">
        <w:rPr>
          <w:rFonts w:cstheme="minorHAnsi"/>
          <w:sz w:val="24"/>
          <w:szCs w:val="24"/>
          <w:lang w:eastAsia="en-GB"/>
        </w:rPr>
        <w:t>peripheral areas</w:t>
      </w:r>
      <w:r w:rsidR="007B0906" w:rsidRPr="003258F9">
        <w:rPr>
          <w:rFonts w:cstheme="minorHAnsi"/>
          <w:sz w:val="24"/>
          <w:szCs w:val="24"/>
          <w:lang w:eastAsia="en-GB"/>
        </w:rPr>
        <w:t xml:space="preserve"> may lack the capacity and confidence to mobilize to protect their interests on a sustained bas</w:t>
      </w:r>
      <w:r w:rsidR="00FB0306" w:rsidRPr="003258F9">
        <w:rPr>
          <w:rFonts w:cstheme="minorHAnsi"/>
          <w:sz w:val="24"/>
          <w:szCs w:val="24"/>
          <w:lang w:eastAsia="en-GB"/>
        </w:rPr>
        <w:t xml:space="preserve">is: for example, low trust tends to suppress turnout (Valgarðsson et al. 2022). </w:t>
      </w:r>
      <w:r w:rsidR="007B0906" w:rsidRPr="003258F9">
        <w:rPr>
          <w:rFonts w:cstheme="minorHAnsi"/>
          <w:sz w:val="24"/>
          <w:szCs w:val="24"/>
          <w:lang w:eastAsia="en-GB"/>
        </w:rPr>
        <w:t xml:space="preserve">If </w:t>
      </w:r>
      <w:r w:rsidR="00FB0306" w:rsidRPr="003258F9">
        <w:rPr>
          <w:rFonts w:cstheme="minorHAnsi"/>
          <w:sz w:val="24"/>
          <w:szCs w:val="24"/>
          <w:lang w:eastAsia="en-GB"/>
        </w:rPr>
        <w:t xml:space="preserve">people in these </w:t>
      </w:r>
      <w:r w:rsidR="00FB0306" w:rsidRPr="003258F9">
        <w:rPr>
          <w:rFonts w:cstheme="minorHAnsi"/>
          <w:sz w:val="24"/>
          <w:szCs w:val="24"/>
          <w:lang w:eastAsia="en-GB"/>
        </w:rPr>
        <w:lastRenderedPageBreak/>
        <w:t>regions</w:t>
      </w:r>
      <w:r w:rsidR="007B0906" w:rsidRPr="003258F9">
        <w:rPr>
          <w:rFonts w:cstheme="minorHAnsi"/>
          <w:sz w:val="24"/>
          <w:szCs w:val="24"/>
          <w:lang w:eastAsia="en-GB"/>
        </w:rPr>
        <w:t xml:space="preserve"> engage in politics, they may have less influence and less impact than regions with those connections. These tendencies can leave left-behind areas “behind” other regions, not just economically but politically. </w:t>
      </w:r>
      <w:r w:rsidR="00FB0306" w:rsidRPr="003258F9">
        <w:rPr>
          <w:rFonts w:cstheme="minorHAnsi"/>
          <w:sz w:val="24"/>
          <w:szCs w:val="24"/>
          <w:lang w:eastAsia="en-GB"/>
        </w:rPr>
        <w:t xml:space="preserve">Protests stemming from these regions </w:t>
      </w:r>
      <w:r w:rsidR="0076239C" w:rsidRPr="003258F9">
        <w:rPr>
          <w:rFonts w:cstheme="minorHAnsi"/>
          <w:sz w:val="24"/>
          <w:szCs w:val="32"/>
        </w:rPr>
        <w:t>–</w:t>
      </w:r>
      <w:r w:rsidR="00FB0306" w:rsidRPr="003258F9">
        <w:rPr>
          <w:rFonts w:cstheme="minorHAnsi"/>
          <w:sz w:val="24"/>
          <w:szCs w:val="24"/>
          <w:lang w:eastAsia="en-GB"/>
        </w:rPr>
        <w:t xml:space="preserve"> in the polling booths or, as with France’s Gilet</w:t>
      </w:r>
      <w:r w:rsidR="005C2920" w:rsidRPr="003258F9">
        <w:rPr>
          <w:rFonts w:cstheme="minorHAnsi"/>
          <w:sz w:val="24"/>
          <w:szCs w:val="24"/>
          <w:lang w:eastAsia="en-GB"/>
        </w:rPr>
        <w:t>s</w:t>
      </w:r>
      <w:r w:rsidR="00FB0306" w:rsidRPr="003258F9">
        <w:rPr>
          <w:rFonts w:cstheme="minorHAnsi"/>
          <w:sz w:val="24"/>
          <w:szCs w:val="24"/>
          <w:lang w:eastAsia="en-GB"/>
        </w:rPr>
        <w:t xml:space="preserve"> Jaunes, in the streets – can spark an agenda of policy initiatives from government. However, without sustained political engagement, these run the risks of drifting off the agenda, or being reduced to a few symbolic policy gestures with little substantive impact (Jennings et al. 2021).</w:t>
      </w:r>
    </w:p>
    <w:p w14:paraId="4D910D5E" w14:textId="12B909E3" w:rsidR="00EB3A57" w:rsidRPr="003258F9" w:rsidRDefault="00251974" w:rsidP="00362BBF">
      <w:pPr>
        <w:spacing w:line="480" w:lineRule="auto"/>
        <w:rPr>
          <w:rFonts w:cstheme="minorHAnsi"/>
          <w:sz w:val="24"/>
          <w:szCs w:val="24"/>
          <w:lang w:eastAsia="en-GB"/>
        </w:rPr>
      </w:pPr>
      <w:r w:rsidRPr="003258F9">
        <w:rPr>
          <w:rFonts w:cstheme="minorHAnsi"/>
          <w:sz w:val="24"/>
          <w:szCs w:val="24"/>
          <w:lang w:eastAsia="en-GB"/>
        </w:rPr>
        <w:t xml:space="preserve">Our analysis suggests a different, </w:t>
      </w:r>
      <w:r w:rsidR="00A11A4F" w:rsidRPr="003258F9">
        <w:rPr>
          <w:rFonts w:cstheme="minorHAnsi"/>
          <w:sz w:val="24"/>
          <w:szCs w:val="24"/>
          <w:lang w:eastAsia="en-GB"/>
        </w:rPr>
        <w:t>though</w:t>
      </w:r>
      <w:r w:rsidRPr="003258F9">
        <w:rPr>
          <w:rFonts w:cstheme="minorHAnsi"/>
          <w:sz w:val="24"/>
          <w:szCs w:val="24"/>
          <w:lang w:eastAsia="en-GB"/>
        </w:rPr>
        <w:t xml:space="preserve"> less </w:t>
      </w:r>
      <w:r w:rsidR="00A11A4F" w:rsidRPr="003258F9">
        <w:rPr>
          <w:rFonts w:cstheme="minorHAnsi"/>
          <w:sz w:val="24"/>
          <w:szCs w:val="24"/>
          <w:lang w:eastAsia="en-GB"/>
        </w:rPr>
        <w:t>serious</w:t>
      </w:r>
      <w:r w:rsidRPr="003258F9">
        <w:rPr>
          <w:rFonts w:cstheme="minorHAnsi"/>
          <w:sz w:val="24"/>
          <w:szCs w:val="24"/>
          <w:lang w:eastAsia="en-GB"/>
        </w:rPr>
        <w:t xml:space="preserve"> challenge for</w:t>
      </w:r>
      <w:r w:rsidR="00A11A4F" w:rsidRPr="003258F9">
        <w:rPr>
          <w:rFonts w:cstheme="minorHAnsi"/>
          <w:sz w:val="24"/>
          <w:szCs w:val="24"/>
          <w:lang w:eastAsia="en-GB"/>
        </w:rPr>
        <w:t xml:space="preserve"> areas</w:t>
      </w:r>
      <w:r w:rsidR="00DA7B73" w:rsidRPr="003258F9">
        <w:rPr>
          <w:rFonts w:cstheme="minorHAnsi"/>
          <w:sz w:val="24"/>
          <w:szCs w:val="24"/>
          <w:lang w:eastAsia="en-GB"/>
        </w:rPr>
        <w:t xml:space="preserve"> located</w:t>
      </w:r>
      <w:r w:rsidR="00A11A4F" w:rsidRPr="003258F9">
        <w:rPr>
          <w:rFonts w:cstheme="minorHAnsi"/>
          <w:sz w:val="24"/>
          <w:szCs w:val="24"/>
          <w:lang w:eastAsia="en-GB"/>
        </w:rPr>
        <w:t xml:space="preserve"> more in the ‘core’, which are not so ‘left-behind’. Namely, we </w:t>
      </w:r>
      <w:r w:rsidR="006D40CC" w:rsidRPr="003258F9">
        <w:rPr>
          <w:rFonts w:cstheme="minorHAnsi"/>
          <w:sz w:val="24"/>
          <w:szCs w:val="24"/>
          <w:lang w:eastAsia="en-GB"/>
        </w:rPr>
        <w:t xml:space="preserve">find some evidence of lower </w:t>
      </w:r>
      <w:r w:rsidR="00A11A4F" w:rsidRPr="003258F9">
        <w:rPr>
          <w:rFonts w:cstheme="minorHAnsi"/>
          <w:i/>
          <w:iCs/>
          <w:sz w:val="24"/>
          <w:szCs w:val="24"/>
          <w:lang w:eastAsia="en-GB"/>
        </w:rPr>
        <w:t>particular social trust</w:t>
      </w:r>
      <w:r w:rsidR="00A11A4F" w:rsidRPr="003258F9">
        <w:rPr>
          <w:rFonts w:cstheme="minorHAnsi"/>
          <w:sz w:val="24"/>
          <w:szCs w:val="24"/>
          <w:lang w:eastAsia="en-GB"/>
        </w:rPr>
        <w:t xml:space="preserve">, with less of a sense that people in the community help one another, without any difference in general social trust. The consequences of this form of trust are, admittedly, less </w:t>
      </w:r>
      <w:r w:rsidR="00362BBF" w:rsidRPr="003258F9">
        <w:rPr>
          <w:rFonts w:cstheme="minorHAnsi"/>
          <w:sz w:val="24"/>
          <w:szCs w:val="24"/>
          <w:lang w:eastAsia="en-GB"/>
        </w:rPr>
        <w:t xml:space="preserve">well </w:t>
      </w:r>
      <w:r w:rsidR="00A11A4F" w:rsidRPr="003258F9">
        <w:rPr>
          <w:rFonts w:cstheme="minorHAnsi"/>
          <w:sz w:val="24"/>
          <w:szCs w:val="24"/>
          <w:lang w:eastAsia="en-GB"/>
        </w:rPr>
        <w:t>studied than ‘general’ social trust</w:t>
      </w:r>
      <w:r w:rsidR="00362BBF" w:rsidRPr="003258F9">
        <w:rPr>
          <w:rFonts w:cstheme="minorHAnsi"/>
          <w:sz w:val="24"/>
          <w:szCs w:val="24"/>
          <w:lang w:eastAsia="en-GB"/>
        </w:rPr>
        <w:t>, but it would be reasonable to assume</w:t>
      </w:r>
      <w:r w:rsidR="00A11A4F" w:rsidRPr="003258F9">
        <w:rPr>
          <w:rFonts w:cstheme="minorHAnsi"/>
          <w:sz w:val="24"/>
          <w:szCs w:val="24"/>
          <w:lang w:eastAsia="en-GB"/>
        </w:rPr>
        <w:t xml:space="preserve"> </w:t>
      </w:r>
      <w:r w:rsidR="00362BBF" w:rsidRPr="003258F9">
        <w:rPr>
          <w:rFonts w:cstheme="minorHAnsi"/>
          <w:sz w:val="24"/>
          <w:szCs w:val="24"/>
          <w:lang w:eastAsia="en-GB"/>
        </w:rPr>
        <w:t xml:space="preserve">that low particular social trust poses some challenge to social cohesion, making it more challenging to manage the contestation over limited space and resources that characterises dense urban areas. </w:t>
      </w:r>
    </w:p>
    <w:p w14:paraId="6245EB98" w14:textId="5FBCF4FF" w:rsidR="00EB3A57" w:rsidRPr="003258F9" w:rsidRDefault="00EB3A57" w:rsidP="009727DB">
      <w:pPr>
        <w:spacing w:line="480" w:lineRule="auto"/>
        <w:rPr>
          <w:rFonts w:cstheme="minorHAnsi"/>
          <w:sz w:val="24"/>
          <w:szCs w:val="24"/>
          <w:lang w:eastAsia="en-GB"/>
        </w:rPr>
      </w:pPr>
      <w:r w:rsidRPr="003258F9">
        <w:rPr>
          <w:rFonts w:cstheme="minorHAnsi"/>
          <w:sz w:val="24"/>
          <w:szCs w:val="24"/>
          <w:lang w:eastAsia="en-GB"/>
        </w:rPr>
        <w:t>Our findings</w:t>
      </w:r>
      <w:r w:rsidR="00477A31" w:rsidRPr="003258F9">
        <w:rPr>
          <w:rFonts w:cstheme="minorHAnsi"/>
          <w:sz w:val="24"/>
          <w:szCs w:val="24"/>
          <w:lang w:eastAsia="en-GB"/>
        </w:rPr>
        <w:t xml:space="preserve"> and interpretation</w:t>
      </w:r>
      <w:r w:rsidRPr="003258F9">
        <w:rPr>
          <w:rFonts w:cstheme="minorHAnsi"/>
          <w:sz w:val="24"/>
          <w:szCs w:val="24"/>
          <w:lang w:eastAsia="en-GB"/>
        </w:rPr>
        <w:t xml:space="preserve"> </w:t>
      </w:r>
      <w:r w:rsidR="00477A31" w:rsidRPr="003258F9">
        <w:rPr>
          <w:rFonts w:cstheme="minorHAnsi"/>
          <w:sz w:val="24"/>
          <w:szCs w:val="24"/>
          <w:lang w:eastAsia="en-GB"/>
        </w:rPr>
        <w:t>link</w:t>
      </w:r>
      <w:r w:rsidRPr="003258F9">
        <w:rPr>
          <w:rFonts w:cstheme="minorHAnsi"/>
          <w:sz w:val="24"/>
          <w:szCs w:val="24"/>
          <w:lang w:eastAsia="en-GB"/>
        </w:rPr>
        <w:t xml:space="preserve"> </w:t>
      </w:r>
      <w:r w:rsidR="00477A31" w:rsidRPr="003258F9">
        <w:rPr>
          <w:rFonts w:cstheme="minorHAnsi"/>
          <w:sz w:val="24"/>
          <w:szCs w:val="24"/>
          <w:lang w:eastAsia="en-GB"/>
        </w:rPr>
        <w:t>to</w:t>
      </w:r>
      <w:r w:rsidRPr="003258F9">
        <w:rPr>
          <w:rFonts w:cstheme="minorHAnsi"/>
          <w:sz w:val="24"/>
          <w:szCs w:val="24"/>
          <w:lang w:eastAsia="en-GB"/>
        </w:rPr>
        <w:t xml:space="preserve"> a growing literature on the divides between left-behind places and places at the economic, </w:t>
      </w:r>
      <w:r w:rsidR="003302B8" w:rsidRPr="003258F9">
        <w:rPr>
          <w:rFonts w:cstheme="minorHAnsi"/>
          <w:sz w:val="24"/>
          <w:szCs w:val="24"/>
          <w:lang w:eastAsia="en-GB"/>
        </w:rPr>
        <w:t>social,</w:t>
      </w:r>
      <w:r w:rsidRPr="003258F9">
        <w:rPr>
          <w:rFonts w:cstheme="minorHAnsi"/>
          <w:sz w:val="24"/>
          <w:szCs w:val="24"/>
          <w:lang w:eastAsia="en-GB"/>
        </w:rPr>
        <w:t xml:space="preserve"> and political </w:t>
      </w:r>
      <w:r w:rsidR="00DA7B73" w:rsidRPr="003258F9">
        <w:rPr>
          <w:rFonts w:cstheme="minorHAnsi"/>
          <w:sz w:val="24"/>
          <w:szCs w:val="24"/>
          <w:lang w:eastAsia="en-GB"/>
        </w:rPr>
        <w:t>centre</w:t>
      </w:r>
      <w:r w:rsidRPr="003258F9">
        <w:rPr>
          <w:rFonts w:cstheme="minorHAnsi"/>
          <w:sz w:val="24"/>
          <w:szCs w:val="24"/>
          <w:lang w:eastAsia="en-GB"/>
        </w:rPr>
        <w:t>. As well as divides in trust (Mitsch et al</w:t>
      </w:r>
      <w:r w:rsidR="00DA7B73" w:rsidRPr="003258F9">
        <w:rPr>
          <w:rFonts w:cstheme="minorHAnsi"/>
          <w:sz w:val="24"/>
          <w:szCs w:val="24"/>
          <w:lang w:eastAsia="en-GB"/>
        </w:rPr>
        <w:t>.</w:t>
      </w:r>
      <w:r w:rsidRPr="003258F9">
        <w:rPr>
          <w:rFonts w:cstheme="minorHAnsi"/>
          <w:sz w:val="24"/>
          <w:szCs w:val="24"/>
          <w:lang w:eastAsia="en-GB"/>
        </w:rPr>
        <w:t xml:space="preserve"> 2021; Stein et al</w:t>
      </w:r>
      <w:r w:rsidR="00DA7B73" w:rsidRPr="003258F9">
        <w:rPr>
          <w:rFonts w:cstheme="minorHAnsi"/>
          <w:sz w:val="24"/>
          <w:szCs w:val="24"/>
          <w:lang w:eastAsia="en-GB"/>
        </w:rPr>
        <w:t>.</w:t>
      </w:r>
      <w:r w:rsidRPr="003258F9">
        <w:rPr>
          <w:rFonts w:cstheme="minorHAnsi"/>
          <w:sz w:val="24"/>
          <w:szCs w:val="24"/>
          <w:lang w:eastAsia="en-GB"/>
        </w:rPr>
        <w:t xml:space="preserve"> 2021), our account fits with characterisation of a communitarian-cosmopolitan dimension of political conflict (Kriesi et al. 2006) created by the global forces of economic change. Areas connected to the dynamic parts of the economy are often associated with an outward-looking cosmopolitan outlook and those areas that are less dynamic are often associated with a more inward-looking communitarian perspective. For example, cities are associated with lower levels of Euroscepticism and more </w:t>
      </w:r>
      <w:r w:rsidRPr="003258F9">
        <w:rPr>
          <w:rFonts w:cstheme="minorHAnsi"/>
          <w:sz w:val="24"/>
          <w:szCs w:val="24"/>
          <w:lang w:eastAsia="en-GB"/>
        </w:rPr>
        <w:lastRenderedPageBreak/>
        <w:t>pro-immigration attitudes, with some evidence that the divide has grown over time (Huijsmans et al</w:t>
      </w:r>
      <w:r w:rsidR="00DA7B73" w:rsidRPr="003258F9">
        <w:rPr>
          <w:rFonts w:cstheme="minorHAnsi"/>
          <w:sz w:val="24"/>
          <w:szCs w:val="24"/>
          <w:lang w:eastAsia="en-GB"/>
        </w:rPr>
        <w:t>.</w:t>
      </w:r>
      <w:r w:rsidRPr="003258F9">
        <w:rPr>
          <w:rFonts w:cstheme="minorHAnsi"/>
          <w:sz w:val="24"/>
          <w:szCs w:val="24"/>
          <w:lang w:eastAsia="en-GB"/>
        </w:rPr>
        <w:t xml:space="preserve"> 2021; Maxwell 2019</w:t>
      </w:r>
      <w:r w:rsidR="00DA7B73" w:rsidRPr="003258F9">
        <w:rPr>
          <w:rFonts w:cstheme="minorHAnsi"/>
          <w:sz w:val="24"/>
          <w:szCs w:val="24"/>
          <w:lang w:eastAsia="en-GB"/>
        </w:rPr>
        <w:t>;</w:t>
      </w:r>
      <w:r w:rsidRPr="003258F9">
        <w:rPr>
          <w:rFonts w:cstheme="minorHAnsi"/>
          <w:sz w:val="24"/>
          <w:szCs w:val="24"/>
          <w:lang w:eastAsia="en-GB"/>
        </w:rPr>
        <w:t xml:space="preserve"> 2020). </w:t>
      </w:r>
      <w:r w:rsidR="00477A31" w:rsidRPr="003258F9">
        <w:rPr>
          <w:rFonts w:cstheme="minorHAnsi"/>
          <w:sz w:val="24"/>
          <w:szCs w:val="24"/>
          <w:lang w:eastAsia="en-GB"/>
        </w:rPr>
        <w:t>The combination of low political trust and anti-immigration attitudes has been dubbed ‘the cocktail of right-wing populism’ and was a strong predictor of voting for Brexit in the EU referendum (Iakhnis et al</w:t>
      </w:r>
      <w:r w:rsidR="00DA7B73" w:rsidRPr="003258F9">
        <w:rPr>
          <w:rFonts w:cstheme="minorHAnsi"/>
          <w:sz w:val="24"/>
          <w:szCs w:val="24"/>
          <w:lang w:eastAsia="en-GB"/>
        </w:rPr>
        <w:t>.</w:t>
      </w:r>
      <w:r w:rsidR="00477A31" w:rsidRPr="003258F9">
        <w:rPr>
          <w:rFonts w:cstheme="minorHAnsi"/>
          <w:sz w:val="24"/>
          <w:szCs w:val="24"/>
          <w:lang w:eastAsia="en-GB"/>
        </w:rPr>
        <w:t xml:space="preserve"> 2018). </w:t>
      </w:r>
      <w:r w:rsidR="009727DB" w:rsidRPr="003258F9">
        <w:rPr>
          <w:rFonts w:cstheme="minorHAnsi"/>
          <w:sz w:val="24"/>
          <w:szCs w:val="24"/>
          <w:lang w:eastAsia="en-GB"/>
        </w:rPr>
        <w:t xml:space="preserve">If these have shared roots in geography, the spatial polarisation observed in many advanced democracies becomes both easier to explain, and tougher to solve. </w:t>
      </w:r>
    </w:p>
    <w:p w14:paraId="25D07200" w14:textId="67B69774" w:rsidR="00E03E58" w:rsidRDefault="004E2066" w:rsidP="00E03E58">
      <w:pPr>
        <w:spacing w:line="480" w:lineRule="auto"/>
        <w:rPr>
          <w:rFonts w:cstheme="minorHAnsi"/>
          <w:sz w:val="24"/>
          <w:szCs w:val="24"/>
          <w:lang w:eastAsia="en-GB"/>
        </w:rPr>
      </w:pPr>
      <w:r w:rsidRPr="003258F9">
        <w:rPr>
          <w:rFonts w:cstheme="minorHAnsi"/>
          <w:sz w:val="24"/>
          <w:szCs w:val="24"/>
          <w:lang w:eastAsia="en-GB"/>
        </w:rPr>
        <w:t xml:space="preserve">Recent studies have produced an increasingly more detailed description and explanation of discontent in left-behind places, with </w:t>
      </w:r>
      <w:r w:rsidR="00BA1B8E" w:rsidRPr="003258F9">
        <w:rPr>
          <w:rFonts w:cstheme="minorHAnsi"/>
          <w:sz w:val="24"/>
          <w:szCs w:val="24"/>
          <w:lang w:eastAsia="en-GB"/>
        </w:rPr>
        <w:t xml:space="preserve">compelling insights into their roots in economic and cultural change. To this, </w:t>
      </w:r>
      <w:r w:rsidR="00FE66B8" w:rsidRPr="003258F9">
        <w:rPr>
          <w:rFonts w:cstheme="minorHAnsi"/>
          <w:sz w:val="24"/>
          <w:szCs w:val="24"/>
          <w:lang w:eastAsia="en-GB"/>
        </w:rPr>
        <w:t xml:space="preserve">drawing on classic literature on trust, social </w:t>
      </w:r>
      <w:r w:rsidR="003302B8" w:rsidRPr="003258F9">
        <w:rPr>
          <w:rFonts w:cstheme="minorHAnsi"/>
          <w:sz w:val="24"/>
          <w:szCs w:val="24"/>
          <w:lang w:eastAsia="en-GB"/>
        </w:rPr>
        <w:t>capital,</w:t>
      </w:r>
      <w:r w:rsidR="00FE66B8" w:rsidRPr="003258F9">
        <w:rPr>
          <w:rFonts w:cstheme="minorHAnsi"/>
          <w:sz w:val="24"/>
          <w:szCs w:val="24"/>
          <w:lang w:eastAsia="en-GB"/>
        </w:rPr>
        <w:t xml:space="preserve"> and social networks, </w:t>
      </w:r>
      <w:r w:rsidR="00BA1B8E" w:rsidRPr="003258F9">
        <w:rPr>
          <w:rFonts w:cstheme="minorHAnsi"/>
          <w:sz w:val="24"/>
          <w:szCs w:val="24"/>
          <w:lang w:eastAsia="en-GB"/>
        </w:rPr>
        <w:t xml:space="preserve">we add a </w:t>
      </w:r>
      <w:r w:rsidR="00BA1B8E" w:rsidRPr="003258F9">
        <w:rPr>
          <w:rFonts w:cstheme="minorHAnsi"/>
          <w:i/>
          <w:iCs/>
          <w:sz w:val="24"/>
          <w:szCs w:val="24"/>
          <w:lang w:eastAsia="en-GB"/>
        </w:rPr>
        <w:t xml:space="preserve">social </w:t>
      </w:r>
      <w:r w:rsidR="00BA1B8E" w:rsidRPr="003258F9">
        <w:rPr>
          <w:rFonts w:cstheme="minorHAnsi"/>
          <w:sz w:val="24"/>
          <w:szCs w:val="24"/>
          <w:lang w:eastAsia="en-GB"/>
        </w:rPr>
        <w:t xml:space="preserve">model, </w:t>
      </w:r>
      <w:r w:rsidR="00FE66B8" w:rsidRPr="003258F9">
        <w:rPr>
          <w:rFonts w:cstheme="minorHAnsi"/>
          <w:sz w:val="24"/>
          <w:szCs w:val="24"/>
          <w:lang w:eastAsia="en-GB"/>
        </w:rPr>
        <w:t xml:space="preserve">using big data insights from Facebook friendships to show </w:t>
      </w:r>
      <w:r w:rsidR="00BA1B8E" w:rsidRPr="003258F9">
        <w:rPr>
          <w:rFonts w:cstheme="minorHAnsi"/>
          <w:sz w:val="24"/>
          <w:szCs w:val="24"/>
          <w:lang w:eastAsia="en-GB"/>
        </w:rPr>
        <w:t>how different patterns of connections within and across geographies affect trust</w:t>
      </w:r>
      <w:r w:rsidR="00FE66B8" w:rsidRPr="003258F9">
        <w:rPr>
          <w:rFonts w:cstheme="minorHAnsi"/>
          <w:sz w:val="24"/>
          <w:szCs w:val="24"/>
          <w:lang w:eastAsia="en-GB"/>
        </w:rPr>
        <w:t>. It is beyond the scope of this paper to show how these factors intersect and reinforce one anoth</w:t>
      </w:r>
      <w:r w:rsidR="00E86FC1" w:rsidRPr="003258F9">
        <w:rPr>
          <w:rFonts w:cstheme="minorHAnsi"/>
          <w:sz w:val="24"/>
          <w:szCs w:val="24"/>
          <w:lang w:eastAsia="en-GB"/>
        </w:rPr>
        <w:t xml:space="preserve">er, though cultural and economic factors are increasingly understood to have intimate connections. At the very least, however, we can speculate that if left-behind places feel culturally estranged and alienated, economically deprived, </w:t>
      </w:r>
      <w:r w:rsidR="003302B8" w:rsidRPr="003258F9">
        <w:rPr>
          <w:rFonts w:cstheme="minorHAnsi"/>
          <w:sz w:val="24"/>
          <w:szCs w:val="24"/>
          <w:lang w:eastAsia="en-GB"/>
        </w:rPr>
        <w:t>neglected,</w:t>
      </w:r>
      <w:r w:rsidR="00E86FC1" w:rsidRPr="003258F9">
        <w:rPr>
          <w:rFonts w:cstheme="minorHAnsi"/>
          <w:sz w:val="24"/>
          <w:szCs w:val="24"/>
          <w:lang w:eastAsia="en-GB"/>
        </w:rPr>
        <w:t xml:space="preserve"> and hopeless; </w:t>
      </w:r>
      <w:r w:rsidR="00E86FC1" w:rsidRPr="003258F9">
        <w:rPr>
          <w:rFonts w:cstheme="minorHAnsi"/>
          <w:i/>
          <w:iCs/>
          <w:sz w:val="24"/>
          <w:szCs w:val="24"/>
          <w:lang w:eastAsia="en-GB"/>
        </w:rPr>
        <w:t xml:space="preserve">and </w:t>
      </w:r>
      <w:r w:rsidR="00E86FC1" w:rsidRPr="003258F9">
        <w:rPr>
          <w:rFonts w:cstheme="minorHAnsi"/>
          <w:sz w:val="24"/>
          <w:szCs w:val="24"/>
          <w:lang w:eastAsia="en-GB"/>
        </w:rPr>
        <w:t>isolated from the ‘centre’ of society, this is a potentially dangerous combination for European and other democracies, particularly in our current moment of systemic disruption and crisis.</w:t>
      </w:r>
    </w:p>
    <w:p w14:paraId="62DD21C4" w14:textId="77777777" w:rsidR="00170FB4" w:rsidRPr="003258F9" w:rsidRDefault="00170FB4" w:rsidP="00E03E58">
      <w:pPr>
        <w:spacing w:line="480" w:lineRule="auto"/>
        <w:rPr>
          <w:rFonts w:cstheme="minorHAnsi"/>
          <w:sz w:val="24"/>
          <w:szCs w:val="24"/>
          <w:lang w:eastAsia="en-GB"/>
        </w:rPr>
      </w:pPr>
    </w:p>
    <w:p w14:paraId="2E52BD4A" w14:textId="77777777" w:rsidR="00FD7B9F" w:rsidRPr="00FD7B9F" w:rsidRDefault="00FD7B9F" w:rsidP="00FD7B9F">
      <w:pPr>
        <w:pStyle w:val="Heading1"/>
        <w:rPr>
          <w:rFonts w:cstheme="minorHAnsi"/>
          <w:sz w:val="24"/>
        </w:rPr>
      </w:pPr>
      <w:r w:rsidRPr="00FD7B9F">
        <w:rPr>
          <w:rFonts w:cstheme="minorHAnsi"/>
          <w:sz w:val="24"/>
        </w:rPr>
        <w:t>Acknowledgments</w:t>
      </w:r>
    </w:p>
    <w:p w14:paraId="37348079" w14:textId="3B2E5148" w:rsidR="00FD7B9F" w:rsidRPr="00FD7B9F" w:rsidRDefault="00FD7B9F" w:rsidP="00FD7B9F">
      <w:pPr>
        <w:spacing w:line="480" w:lineRule="auto"/>
        <w:rPr>
          <w:rFonts w:cstheme="minorHAnsi"/>
          <w:sz w:val="24"/>
          <w:szCs w:val="24"/>
        </w:rPr>
      </w:pPr>
      <w:r w:rsidRPr="00FD7B9F">
        <w:rPr>
          <w:rFonts w:cstheme="minorHAnsi"/>
          <w:sz w:val="24"/>
          <w:szCs w:val="24"/>
        </w:rPr>
        <w:t xml:space="preserve">This research was conducted as part of the Trust and Trustworthiness in National and Global Governance (TrustGov)' project, supported by Economic and Social Research Council (ESRC) award ES/S009809/1, and the British Academy award PF22\220092, “The Revival of the </w:t>
      </w:r>
      <w:r w:rsidRPr="00FD7B9F">
        <w:rPr>
          <w:rFonts w:cstheme="minorHAnsi"/>
          <w:sz w:val="24"/>
          <w:szCs w:val="24"/>
        </w:rPr>
        <w:lastRenderedPageBreak/>
        <w:t xml:space="preserve">Urban-Rural Divide in Western Europe? A comparative study of the geography of discontent and political representation”. We thank Mike Bailey, Research Science Manager at Meta for his help in understanding the Social Connectedness Index, and the Meta Data </w:t>
      </w:r>
      <w:proofErr w:type="gramStart"/>
      <w:r w:rsidRPr="00FD7B9F">
        <w:rPr>
          <w:rFonts w:cstheme="minorHAnsi"/>
          <w:sz w:val="24"/>
          <w:szCs w:val="24"/>
        </w:rPr>
        <w:t>For</w:t>
      </w:r>
      <w:proofErr w:type="gramEnd"/>
      <w:r w:rsidRPr="00FD7B9F">
        <w:rPr>
          <w:rFonts w:cstheme="minorHAnsi"/>
          <w:sz w:val="24"/>
          <w:szCs w:val="24"/>
        </w:rPr>
        <w:t xml:space="preserve"> Good team for making this important resource available. We give thanks to organisers and discussants of the Cambridge Journal of Nations and Regions mini-conference on 'Left behind places and what can be done about them' held in September 2022</w:t>
      </w:r>
      <w:r w:rsidR="00FA3ABB">
        <w:rPr>
          <w:rFonts w:cstheme="minorHAnsi"/>
          <w:sz w:val="24"/>
          <w:szCs w:val="24"/>
        </w:rPr>
        <w:t xml:space="preserve"> and the Lausanne Workshop on ‘</w:t>
      </w:r>
      <w:r w:rsidR="00FA3ABB" w:rsidRPr="00FA3ABB">
        <w:rPr>
          <w:rFonts w:cstheme="minorHAnsi"/>
          <w:sz w:val="24"/>
          <w:szCs w:val="24"/>
        </w:rPr>
        <w:t>Regional inequalities in labour markets and politics</w:t>
      </w:r>
      <w:r w:rsidR="00FA3ABB">
        <w:rPr>
          <w:rFonts w:cstheme="minorHAnsi"/>
          <w:sz w:val="24"/>
          <w:szCs w:val="24"/>
        </w:rPr>
        <w:t>’ in September 2023</w:t>
      </w:r>
      <w:r w:rsidRPr="00FD7B9F">
        <w:rPr>
          <w:rFonts w:cstheme="minorHAnsi"/>
          <w:sz w:val="24"/>
          <w:szCs w:val="24"/>
        </w:rPr>
        <w:t>. We are also grateful to the anonymous reviewers.</w:t>
      </w:r>
    </w:p>
    <w:p w14:paraId="6CFFF968" w14:textId="77777777" w:rsidR="00734DE1" w:rsidRPr="003258F9" w:rsidRDefault="00734DE1">
      <w:pPr>
        <w:rPr>
          <w:rFonts w:eastAsia="Times New Roman" w:cstheme="minorHAnsi"/>
          <w:b/>
          <w:bCs/>
          <w:kern w:val="32"/>
          <w:sz w:val="28"/>
          <w:szCs w:val="24"/>
          <w:lang w:eastAsia="en-GB"/>
        </w:rPr>
      </w:pPr>
      <w:r w:rsidRPr="003258F9">
        <w:rPr>
          <w:rFonts w:cstheme="minorHAnsi"/>
        </w:rPr>
        <w:br w:type="page"/>
      </w:r>
    </w:p>
    <w:p w14:paraId="7416935C" w14:textId="27546DAB" w:rsidR="00F307A2" w:rsidRPr="003258F9" w:rsidRDefault="00F307A2" w:rsidP="00E03E58">
      <w:pPr>
        <w:pStyle w:val="Heading1"/>
        <w:rPr>
          <w:rFonts w:cstheme="minorHAnsi"/>
        </w:rPr>
      </w:pPr>
      <w:r w:rsidRPr="003258F9">
        <w:rPr>
          <w:rFonts w:cstheme="minorHAnsi"/>
        </w:rPr>
        <w:lastRenderedPageBreak/>
        <w:t>Endnotes</w:t>
      </w:r>
    </w:p>
    <w:p w14:paraId="4789C196" w14:textId="4205D058" w:rsidR="00E71B34" w:rsidRPr="003258F9" w:rsidRDefault="00E71B34" w:rsidP="00266E93">
      <w:pPr>
        <w:rPr>
          <w:rFonts w:cstheme="minorHAnsi"/>
        </w:rPr>
        <w:sectPr w:rsidR="00E71B34" w:rsidRPr="003258F9" w:rsidSect="0076239C">
          <w:footerReference w:type="default" r:id="rId9"/>
          <w:endnotePr>
            <w:numFmt w:val="decimal"/>
          </w:endnotePr>
          <w:pgSz w:w="11906" w:h="16838"/>
          <w:pgMar w:top="1440" w:right="1440" w:bottom="1440" w:left="1440" w:header="709" w:footer="709" w:gutter="0"/>
          <w:lnNumType w:countBy="1" w:restart="continuous"/>
          <w:cols w:space="708"/>
          <w:docGrid w:linePitch="360"/>
        </w:sectPr>
      </w:pPr>
    </w:p>
    <w:p w14:paraId="172BA977" w14:textId="77777777" w:rsidR="003F6113" w:rsidRPr="003258F9" w:rsidRDefault="003F6113">
      <w:pPr>
        <w:rPr>
          <w:rFonts w:eastAsia="Times New Roman" w:cstheme="minorHAnsi"/>
          <w:b/>
          <w:bCs/>
          <w:kern w:val="32"/>
          <w:sz w:val="28"/>
          <w:szCs w:val="24"/>
          <w:lang w:eastAsia="en-GB"/>
        </w:rPr>
      </w:pPr>
      <w:r w:rsidRPr="003258F9">
        <w:rPr>
          <w:rFonts w:cstheme="minorHAnsi"/>
        </w:rPr>
        <w:lastRenderedPageBreak/>
        <w:br w:type="page"/>
      </w:r>
    </w:p>
    <w:p w14:paraId="39EDF16B" w14:textId="6DA72885" w:rsidR="008106E5" w:rsidRPr="003258F9" w:rsidRDefault="00F816B3" w:rsidP="00266E93">
      <w:pPr>
        <w:pStyle w:val="Heading1"/>
        <w:rPr>
          <w:rFonts w:cstheme="minorHAnsi"/>
        </w:rPr>
      </w:pPr>
      <w:r>
        <w:rPr>
          <w:rFonts w:cstheme="minorHAnsi"/>
        </w:rPr>
        <w:lastRenderedPageBreak/>
        <w:t>References</w:t>
      </w:r>
    </w:p>
    <w:p w14:paraId="78537387" w14:textId="4A59CA48" w:rsidR="008106E5" w:rsidRPr="003258F9" w:rsidRDefault="008106E5" w:rsidP="00266E93">
      <w:pPr>
        <w:spacing w:after="0" w:line="240" w:lineRule="auto"/>
        <w:ind w:left="284" w:hanging="284"/>
        <w:rPr>
          <w:rFonts w:cstheme="minorHAnsi"/>
          <w:sz w:val="24"/>
          <w:szCs w:val="24"/>
        </w:rPr>
      </w:pPr>
      <w:r w:rsidRPr="003258F9">
        <w:rPr>
          <w:rFonts w:cstheme="minorHAnsi"/>
          <w:sz w:val="24"/>
          <w:szCs w:val="24"/>
          <w:shd w:val="clear" w:color="auto" w:fill="FFFFFF"/>
        </w:rPr>
        <w:t>Adler, D</w:t>
      </w:r>
      <w:r w:rsidR="00F32099" w:rsidRPr="003258F9">
        <w:rPr>
          <w:rFonts w:cstheme="minorHAnsi"/>
          <w:sz w:val="24"/>
          <w:szCs w:val="24"/>
          <w:shd w:val="clear" w:color="auto" w:fill="FFFFFF"/>
        </w:rPr>
        <w:t>.</w:t>
      </w:r>
      <w:r w:rsidRPr="003258F9">
        <w:rPr>
          <w:rFonts w:cstheme="minorHAnsi"/>
          <w:sz w:val="24"/>
          <w:szCs w:val="24"/>
          <w:shd w:val="clear" w:color="auto" w:fill="FFFFFF"/>
        </w:rPr>
        <w:t xml:space="preserve"> and Ansell</w:t>
      </w:r>
      <w:r w:rsidR="00F32099" w:rsidRPr="003258F9">
        <w:rPr>
          <w:rFonts w:cstheme="minorHAnsi"/>
          <w:sz w:val="24"/>
          <w:szCs w:val="24"/>
          <w:shd w:val="clear" w:color="auto" w:fill="FFFFFF"/>
        </w:rPr>
        <w:t>, B</w:t>
      </w:r>
      <w:r w:rsidRPr="003258F9">
        <w:rPr>
          <w:rFonts w:cstheme="minorHAnsi"/>
          <w:sz w:val="24"/>
          <w:szCs w:val="24"/>
          <w:shd w:val="clear" w:color="auto" w:fill="FFFFFF"/>
        </w:rPr>
        <w:t>. (2020). Housing and populism. </w:t>
      </w:r>
      <w:r w:rsidRPr="003258F9">
        <w:rPr>
          <w:rFonts w:cstheme="minorHAnsi"/>
          <w:i/>
          <w:iCs/>
          <w:sz w:val="24"/>
          <w:szCs w:val="24"/>
          <w:shd w:val="clear" w:color="auto" w:fill="FFFFFF"/>
        </w:rPr>
        <w:t>West European Politics</w:t>
      </w:r>
      <w:r w:rsidR="00F32099" w:rsidRPr="003258F9">
        <w:rPr>
          <w:rFonts w:cstheme="minorHAnsi"/>
          <w:sz w:val="24"/>
          <w:szCs w:val="24"/>
          <w:shd w:val="clear" w:color="auto" w:fill="FFFFFF"/>
        </w:rPr>
        <w:t>,</w:t>
      </w:r>
      <w:r w:rsidRPr="003258F9">
        <w:rPr>
          <w:rFonts w:cstheme="minorHAnsi"/>
          <w:sz w:val="24"/>
          <w:szCs w:val="24"/>
          <w:shd w:val="clear" w:color="auto" w:fill="FFFFFF"/>
        </w:rPr>
        <w:t> </w:t>
      </w:r>
      <w:r w:rsidRPr="003258F9">
        <w:rPr>
          <w:rFonts w:cstheme="minorHAnsi"/>
          <w:i/>
          <w:iCs/>
          <w:sz w:val="24"/>
          <w:szCs w:val="24"/>
          <w:shd w:val="clear" w:color="auto" w:fill="FFFFFF"/>
        </w:rPr>
        <w:t>43</w:t>
      </w:r>
      <w:r w:rsidRPr="003258F9">
        <w:rPr>
          <w:rFonts w:cstheme="minorHAnsi"/>
          <w:sz w:val="24"/>
          <w:szCs w:val="24"/>
          <w:shd w:val="clear" w:color="auto" w:fill="FFFFFF"/>
        </w:rPr>
        <w:t>(2): 344-365.</w:t>
      </w:r>
    </w:p>
    <w:p w14:paraId="1A60960B" w14:textId="1457968B" w:rsidR="00F32099" w:rsidRPr="003258F9" w:rsidRDefault="008106E5" w:rsidP="008106E5">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t xml:space="preserve">Ansell, B. and Adler, D. (2019). Brexit and the Politics of Housing in Britain. </w:t>
      </w:r>
      <w:r w:rsidRPr="003258F9">
        <w:rPr>
          <w:rFonts w:eastAsia="Times New Roman" w:cstheme="minorHAnsi"/>
          <w:i/>
          <w:iCs/>
          <w:sz w:val="24"/>
          <w:szCs w:val="24"/>
        </w:rPr>
        <w:t>The Political Quarterly</w:t>
      </w:r>
      <w:r w:rsidRPr="003258F9">
        <w:rPr>
          <w:rFonts w:eastAsia="Times New Roman" w:cstheme="minorHAnsi"/>
          <w:sz w:val="24"/>
          <w:szCs w:val="24"/>
        </w:rPr>
        <w:t>, 90</w:t>
      </w:r>
      <w:r w:rsidR="00F32099" w:rsidRPr="003258F9">
        <w:rPr>
          <w:rFonts w:eastAsia="Times New Roman" w:cstheme="minorHAnsi"/>
          <w:sz w:val="24"/>
          <w:szCs w:val="24"/>
        </w:rPr>
        <w:t>:</w:t>
      </w:r>
      <w:r w:rsidRPr="003258F9">
        <w:rPr>
          <w:rFonts w:eastAsia="Times New Roman" w:cstheme="minorHAnsi"/>
          <w:sz w:val="24"/>
          <w:szCs w:val="24"/>
        </w:rPr>
        <w:t xml:space="preserve"> 105-116.</w:t>
      </w:r>
    </w:p>
    <w:p w14:paraId="4E4335C7" w14:textId="01E88E4C" w:rsidR="00F32099" w:rsidRPr="003258F9" w:rsidRDefault="00E31EC8" w:rsidP="00B03878">
      <w:pPr>
        <w:spacing w:before="100" w:beforeAutospacing="1" w:after="100" w:afterAutospacing="1" w:line="240" w:lineRule="auto"/>
        <w:ind w:left="284" w:hanging="284"/>
        <w:rPr>
          <w:rFonts w:cstheme="minorHAnsi"/>
          <w:sz w:val="24"/>
          <w:szCs w:val="24"/>
        </w:rPr>
      </w:pPr>
      <w:r w:rsidRPr="003258F9">
        <w:rPr>
          <w:rFonts w:eastAsia="Times New Roman" w:cstheme="minorHAnsi"/>
          <w:sz w:val="24"/>
          <w:szCs w:val="24"/>
        </w:rPr>
        <w:t xml:space="preserve">Autor, D., Dorn, D., Hanson, G. and </w:t>
      </w:r>
      <w:proofErr w:type="spellStart"/>
      <w:r w:rsidRPr="003258F9">
        <w:rPr>
          <w:rFonts w:eastAsia="Times New Roman" w:cstheme="minorHAnsi"/>
          <w:sz w:val="24"/>
          <w:szCs w:val="24"/>
        </w:rPr>
        <w:t>Majlesi</w:t>
      </w:r>
      <w:proofErr w:type="spellEnd"/>
      <w:r w:rsidRPr="003258F9">
        <w:rPr>
          <w:rFonts w:eastAsia="Times New Roman" w:cstheme="minorHAnsi"/>
          <w:sz w:val="24"/>
          <w:szCs w:val="24"/>
        </w:rPr>
        <w:t xml:space="preserve">, K. (2020). Importing Political Polarization? The Electoral Consequences of Rising Trade Exposure. </w:t>
      </w:r>
      <w:r w:rsidRPr="003258F9">
        <w:rPr>
          <w:rFonts w:eastAsia="Times New Roman" w:cstheme="minorHAnsi"/>
          <w:i/>
          <w:iCs/>
          <w:sz w:val="24"/>
          <w:szCs w:val="24"/>
        </w:rPr>
        <w:t>American Economic Review</w:t>
      </w:r>
      <w:r w:rsidRPr="003258F9">
        <w:rPr>
          <w:rFonts w:eastAsia="Times New Roman" w:cstheme="minorHAnsi"/>
          <w:sz w:val="24"/>
          <w:szCs w:val="24"/>
        </w:rPr>
        <w:t xml:space="preserve">, </w:t>
      </w:r>
      <w:r w:rsidRPr="003258F9">
        <w:rPr>
          <w:rFonts w:eastAsia="Times New Roman" w:cstheme="minorHAnsi"/>
          <w:i/>
          <w:iCs/>
          <w:sz w:val="24"/>
          <w:szCs w:val="24"/>
        </w:rPr>
        <w:t>110</w:t>
      </w:r>
      <w:r w:rsidRPr="003258F9">
        <w:rPr>
          <w:rFonts w:eastAsia="Times New Roman" w:cstheme="minorHAnsi"/>
          <w:sz w:val="24"/>
          <w:szCs w:val="24"/>
        </w:rPr>
        <w:t>(10): 3139-3183.</w:t>
      </w:r>
    </w:p>
    <w:p w14:paraId="4F25E880" w14:textId="7F3704EB" w:rsidR="008106E5" w:rsidRPr="003258F9" w:rsidRDefault="008106E5" w:rsidP="008106E5">
      <w:pPr>
        <w:spacing w:before="100" w:beforeAutospacing="1" w:after="100" w:afterAutospacing="1" w:line="240" w:lineRule="auto"/>
        <w:ind w:left="284" w:hanging="284"/>
        <w:rPr>
          <w:rFonts w:eastAsiaTheme="majorEastAsia" w:cstheme="minorHAnsi"/>
          <w:sz w:val="24"/>
          <w:szCs w:val="24"/>
          <w:lang w:eastAsia="en-GB"/>
        </w:rPr>
      </w:pPr>
      <w:r w:rsidRPr="003258F9">
        <w:rPr>
          <w:rFonts w:eastAsiaTheme="majorEastAsia" w:cstheme="minorHAnsi"/>
          <w:sz w:val="24"/>
          <w:szCs w:val="24"/>
          <w:lang w:eastAsia="en-GB"/>
        </w:rPr>
        <w:t>Baier, A. (2013). What is trust? </w:t>
      </w:r>
      <w:r w:rsidR="00F32099" w:rsidRPr="003258F9">
        <w:rPr>
          <w:rFonts w:cstheme="minorHAnsi"/>
          <w:sz w:val="24"/>
          <w:szCs w:val="24"/>
        </w:rPr>
        <w:t>I</w:t>
      </w:r>
      <w:r w:rsidRPr="003258F9">
        <w:rPr>
          <w:rFonts w:cstheme="minorHAnsi"/>
          <w:sz w:val="24"/>
          <w:szCs w:val="24"/>
        </w:rPr>
        <w:t xml:space="preserve">n D. Archard, M. Deveaux, N. Manson, D. Weinstock (Eds.) </w:t>
      </w:r>
      <w:r w:rsidRPr="003258F9">
        <w:rPr>
          <w:rFonts w:cstheme="minorHAnsi"/>
          <w:i/>
          <w:iCs/>
          <w:sz w:val="24"/>
          <w:szCs w:val="24"/>
        </w:rPr>
        <w:t>Reading Onora O’Neill</w:t>
      </w:r>
      <w:r w:rsidRPr="003258F9">
        <w:rPr>
          <w:rFonts w:cstheme="minorHAnsi"/>
          <w:sz w:val="24"/>
          <w:szCs w:val="24"/>
        </w:rPr>
        <w:t>. London: Routledge, pp. 185-195.</w:t>
      </w:r>
    </w:p>
    <w:p w14:paraId="1B0B81E8" w14:textId="12A1201E" w:rsidR="008106E5" w:rsidRPr="003258F9" w:rsidRDefault="008106E5" w:rsidP="008106E5">
      <w:pPr>
        <w:spacing w:before="100" w:beforeAutospacing="1" w:after="100" w:afterAutospacing="1" w:line="240" w:lineRule="auto"/>
        <w:ind w:left="284" w:hanging="284"/>
        <w:rPr>
          <w:rFonts w:cstheme="minorHAnsi"/>
          <w:sz w:val="24"/>
          <w:szCs w:val="24"/>
        </w:rPr>
      </w:pPr>
      <w:r w:rsidRPr="003258F9">
        <w:rPr>
          <w:rFonts w:cstheme="minorHAnsi"/>
          <w:sz w:val="24"/>
          <w:szCs w:val="24"/>
        </w:rPr>
        <w:t>Baccini, L</w:t>
      </w:r>
      <w:r w:rsidR="00F32099" w:rsidRPr="003258F9">
        <w:rPr>
          <w:rFonts w:cstheme="minorHAnsi"/>
          <w:sz w:val="24"/>
          <w:szCs w:val="24"/>
        </w:rPr>
        <w:t>.</w:t>
      </w:r>
      <w:r w:rsidRPr="003258F9">
        <w:rPr>
          <w:rFonts w:cstheme="minorHAnsi"/>
          <w:sz w:val="24"/>
          <w:szCs w:val="24"/>
        </w:rPr>
        <w:t xml:space="preserve"> and Weymouth</w:t>
      </w:r>
      <w:r w:rsidR="00F32099" w:rsidRPr="003258F9">
        <w:rPr>
          <w:rFonts w:cstheme="minorHAnsi"/>
          <w:sz w:val="24"/>
          <w:szCs w:val="24"/>
        </w:rPr>
        <w:t>, S</w:t>
      </w:r>
      <w:r w:rsidRPr="003258F9">
        <w:rPr>
          <w:rFonts w:cstheme="minorHAnsi"/>
          <w:sz w:val="24"/>
          <w:szCs w:val="24"/>
        </w:rPr>
        <w:t xml:space="preserve">. (2021). Gone For Good: Deindustrialization, White Voter Backlash, and US Presidential Voting. </w:t>
      </w:r>
      <w:r w:rsidRPr="003258F9">
        <w:rPr>
          <w:rFonts w:cstheme="minorHAnsi"/>
          <w:i/>
          <w:iCs/>
          <w:sz w:val="24"/>
          <w:szCs w:val="24"/>
        </w:rPr>
        <w:t>American Political Science Review</w:t>
      </w:r>
      <w:r w:rsidR="00F32099"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115</w:t>
      </w:r>
      <w:r w:rsidRPr="003258F9">
        <w:rPr>
          <w:rFonts w:cstheme="minorHAnsi"/>
          <w:sz w:val="24"/>
          <w:szCs w:val="24"/>
        </w:rPr>
        <w:t>(2): 550-567.</w:t>
      </w:r>
    </w:p>
    <w:p w14:paraId="3D687031" w14:textId="6B1CC441" w:rsidR="008106E5" w:rsidRPr="003258F9" w:rsidRDefault="008106E5" w:rsidP="00131A3D">
      <w:pPr>
        <w:spacing w:before="100" w:beforeAutospacing="1" w:after="100" w:afterAutospacing="1" w:line="240" w:lineRule="auto"/>
        <w:ind w:left="284" w:hanging="284"/>
        <w:rPr>
          <w:rFonts w:eastAsiaTheme="majorEastAsia" w:cstheme="minorHAnsi"/>
          <w:sz w:val="24"/>
          <w:szCs w:val="24"/>
          <w:lang w:eastAsia="en-GB"/>
        </w:rPr>
      </w:pPr>
      <w:r w:rsidRPr="003258F9">
        <w:rPr>
          <w:rFonts w:eastAsiaTheme="majorEastAsia" w:cstheme="minorHAnsi"/>
          <w:sz w:val="24"/>
          <w:szCs w:val="24"/>
          <w:lang w:eastAsia="en-GB"/>
        </w:rPr>
        <w:t>Bailey, M., Gupta, A., Hillenbrand, S., Kuchler, T., Richmond, R.</w:t>
      </w:r>
      <w:r w:rsidR="00D242D8" w:rsidRPr="003258F9">
        <w:rPr>
          <w:rFonts w:eastAsiaTheme="majorEastAsia" w:cstheme="minorHAnsi"/>
          <w:sz w:val="24"/>
          <w:szCs w:val="24"/>
          <w:lang w:eastAsia="en-GB"/>
        </w:rPr>
        <w:t xml:space="preserve"> and</w:t>
      </w:r>
      <w:r w:rsidRPr="003258F9">
        <w:rPr>
          <w:rFonts w:eastAsiaTheme="majorEastAsia" w:cstheme="minorHAnsi"/>
          <w:sz w:val="24"/>
          <w:szCs w:val="24"/>
          <w:lang w:eastAsia="en-GB"/>
        </w:rPr>
        <w:t xml:space="preserve"> Stroebel, J. (2021). International trade and social connectedness. </w:t>
      </w:r>
      <w:r w:rsidRPr="003258F9">
        <w:rPr>
          <w:rFonts w:eastAsiaTheme="majorEastAsia" w:cstheme="minorHAnsi"/>
          <w:i/>
          <w:iCs/>
          <w:sz w:val="24"/>
          <w:szCs w:val="24"/>
          <w:lang w:eastAsia="en-GB"/>
        </w:rPr>
        <w:t>Journal of International Economics</w:t>
      </w:r>
      <w:r w:rsidRPr="003258F9">
        <w:rPr>
          <w:rFonts w:eastAsiaTheme="majorEastAsia" w:cstheme="minorHAnsi"/>
          <w:sz w:val="24"/>
          <w:szCs w:val="24"/>
          <w:lang w:eastAsia="en-GB"/>
        </w:rPr>
        <w:t>, </w:t>
      </w:r>
      <w:r w:rsidRPr="003258F9">
        <w:rPr>
          <w:rFonts w:eastAsiaTheme="majorEastAsia" w:cstheme="minorHAnsi"/>
          <w:i/>
          <w:iCs/>
          <w:sz w:val="24"/>
          <w:szCs w:val="24"/>
          <w:lang w:eastAsia="en-GB"/>
        </w:rPr>
        <w:t>129</w:t>
      </w:r>
      <w:r w:rsidR="00D242D8" w:rsidRPr="003258F9">
        <w:rPr>
          <w:rFonts w:eastAsiaTheme="majorEastAsia" w:cstheme="minorHAnsi"/>
          <w:sz w:val="24"/>
          <w:szCs w:val="24"/>
          <w:lang w:eastAsia="en-GB"/>
        </w:rPr>
        <w:t>(</w:t>
      </w:r>
      <w:r w:rsidRPr="003258F9">
        <w:rPr>
          <w:rFonts w:eastAsiaTheme="majorEastAsia" w:cstheme="minorHAnsi"/>
          <w:sz w:val="24"/>
          <w:szCs w:val="24"/>
          <w:lang w:eastAsia="en-GB"/>
        </w:rPr>
        <w:t>103418</w:t>
      </w:r>
      <w:r w:rsidR="00D242D8" w:rsidRPr="003258F9">
        <w:rPr>
          <w:rFonts w:eastAsiaTheme="majorEastAsia" w:cstheme="minorHAnsi"/>
          <w:sz w:val="24"/>
          <w:szCs w:val="24"/>
          <w:lang w:eastAsia="en-GB"/>
        </w:rPr>
        <w:t>)</w:t>
      </w:r>
      <w:r w:rsidRPr="003258F9">
        <w:rPr>
          <w:rFonts w:eastAsiaTheme="majorEastAsia" w:cstheme="minorHAnsi"/>
          <w:sz w:val="24"/>
          <w:szCs w:val="24"/>
          <w:lang w:eastAsia="en-GB"/>
        </w:rPr>
        <w:t>.</w:t>
      </w:r>
    </w:p>
    <w:p w14:paraId="1BD7E686" w14:textId="725E9243" w:rsidR="008106E5" w:rsidRDefault="008106E5" w:rsidP="008106E5">
      <w:pPr>
        <w:spacing w:before="100" w:beforeAutospacing="1" w:after="100" w:afterAutospacing="1" w:line="240" w:lineRule="auto"/>
        <w:ind w:left="284" w:hanging="284"/>
        <w:rPr>
          <w:rFonts w:eastAsiaTheme="majorEastAsia" w:cstheme="minorHAnsi"/>
          <w:sz w:val="24"/>
          <w:szCs w:val="24"/>
          <w:lang w:eastAsia="en-GB"/>
        </w:rPr>
      </w:pPr>
      <w:r w:rsidRPr="003258F9">
        <w:rPr>
          <w:rFonts w:eastAsiaTheme="majorEastAsia" w:cstheme="minorHAnsi"/>
          <w:sz w:val="24"/>
          <w:szCs w:val="24"/>
          <w:lang w:eastAsia="en-GB"/>
        </w:rPr>
        <w:t xml:space="preserve">Bailey, M., Cao, R., Kuchler, T., Stroebel, J. and Wong, A. (2018). Social Connectedness: Measurement, Determinants, and Effects. </w:t>
      </w:r>
      <w:r w:rsidRPr="003258F9">
        <w:rPr>
          <w:rFonts w:eastAsiaTheme="majorEastAsia" w:cstheme="minorHAnsi"/>
          <w:i/>
          <w:iCs/>
          <w:sz w:val="24"/>
          <w:szCs w:val="24"/>
          <w:lang w:eastAsia="en-GB"/>
        </w:rPr>
        <w:t>Journal of Economic Perspectives</w:t>
      </w:r>
      <w:r w:rsidRPr="003258F9">
        <w:rPr>
          <w:rFonts w:eastAsiaTheme="majorEastAsia" w:cstheme="minorHAnsi"/>
          <w:sz w:val="24"/>
          <w:szCs w:val="24"/>
          <w:lang w:eastAsia="en-GB"/>
        </w:rPr>
        <w:t xml:space="preserve">, </w:t>
      </w:r>
      <w:r w:rsidRPr="003258F9">
        <w:rPr>
          <w:rFonts w:eastAsiaTheme="majorEastAsia" w:cstheme="minorHAnsi"/>
          <w:i/>
          <w:iCs/>
          <w:sz w:val="24"/>
          <w:szCs w:val="24"/>
          <w:lang w:eastAsia="en-GB"/>
        </w:rPr>
        <w:t>32</w:t>
      </w:r>
      <w:r w:rsidRPr="003258F9">
        <w:rPr>
          <w:rFonts w:eastAsiaTheme="majorEastAsia" w:cstheme="minorHAnsi"/>
          <w:sz w:val="24"/>
          <w:szCs w:val="24"/>
          <w:lang w:eastAsia="en-GB"/>
        </w:rPr>
        <w:t>(3): 259-280.</w:t>
      </w:r>
    </w:p>
    <w:p w14:paraId="311E0F26" w14:textId="4CEBDD64" w:rsidR="002F30B2" w:rsidRPr="003258F9" w:rsidRDefault="002F30B2" w:rsidP="008106E5">
      <w:pPr>
        <w:spacing w:before="100" w:beforeAutospacing="1" w:after="100" w:afterAutospacing="1" w:line="240" w:lineRule="auto"/>
        <w:ind w:left="284" w:hanging="284"/>
        <w:rPr>
          <w:rFonts w:eastAsiaTheme="majorEastAsia" w:cstheme="minorHAnsi"/>
          <w:sz w:val="24"/>
          <w:szCs w:val="24"/>
          <w:lang w:eastAsia="en-GB"/>
        </w:rPr>
      </w:pPr>
      <w:r w:rsidRPr="002F30B2">
        <w:rPr>
          <w:rFonts w:eastAsiaTheme="majorEastAsia" w:cstheme="minorHAnsi"/>
          <w:sz w:val="24"/>
          <w:szCs w:val="24"/>
          <w:lang w:eastAsia="en-GB"/>
        </w:rPr>
        <w:t xml:space="preserve">Bailey, M., Johnston, D., </w:t>
      </w:r>
      <w:proofErr w:type="spellStart"/>
      <w:r w:rsidRPr="002F30B2">
        <w:rPr>
          <w:rFonts w:eastAsiaTheme="majorEastAsia" w:cstheme="minorHAnsi"/>
          <w:sz w:val="24"/>
          <w:szCs w:val="24"/>
          <w:lang w:eastAsia="en-GB"/>
        </w:rPr>
        <w:t>Kuchler</w:t>
      </w:r>
      <w:proofErr w:type="spellEnd"/>
      <w:r w:rsidRPr="002F30B2">
        <w:rPr>
          <w:rFonts w:eastAsiaTheme="majorEastAsia" w:cstheme="minorHAnsi"/>
          <w:sz w:val="24"/>
          <w:szCs w:val="24"/>
          <w:lang w:eastAsia="en-GB"/>
        </w:rPr>
        <w:t xml:space="preserve">, T., Russel, D., State, B., &amp; </w:t>
      </w:r>
      <w:proofErr w:type="spellStart"/>
      <w:r w:rsidRPr="002F30B2">
        <w:rPr>
          <w:rFonts w:eastAsiaTheme="majorEastAsia" w:cstheme="minorHAnsi"/>
          <w:sz w:val="24"/>
          <w:szCs w:val="24"/>
          <w:lang w:eastAsia="en-GB"/>
        </w:rPr>
        <w:t>Stroebel</w:t>
      </w:r>
      <w:proofErr w:type="spellEnd"/>
      <w:r w:rsidRPr="002F30B2">
        <w:rPr>
          <w:rFonts w:eastAsiaTheme="majorEastAsia" w:cstheme="minorHAnsi"/>
          <w:sz w:val="24"/>
          <w:szCs w:val="24"/>
          <w:lang w:eastAsia="en-GB"/>
        </w:rPr>
        <w:t xml:space="preserve">, J. (2020). The determinants of social connectedness in Europe. In </w:t>
      </w:r>
      <w:r w:rsidRPr="00803772">
        <w:rPr>
          <w:rFonts w:eastAsiaTheme="majorEastAsia" w:cstheme="minorHAnsi"/>
          <w:i/>
          <w:iCs/>
          <w:sz w:val="24"/>
          <w:szCs w:val="24"/>
          <w:lang w:eastAsia="en-GB"/>
        </w:rPr>
        <w:t xml:space="preserve">Social Informatics: 12th International Conference, </w:t>
      </w:r>
      <w:proofErr w:type="spellStart"/>
      <w:r w:rsidRPr="00803772">
        <w:rPr>
          <w:rFonts w:eastAsiaTheme="majorEastAsia" w:cstheme="minorHAnsi"/>
          <w:i/>
          <w:iCs/>
          <w:sz w:val="24"/>
          <w:szCs w:val="24"/>
          <w:lang w:eastAsia="en-GB"/>
        </w:rPr>
        <w:t>SocInfo</w:t>
      </w:r>
      <w:proofErr w:type="spellEnd"/>
      <w:r w:rsidRPr="00803772">
        <w:rPr>
          <w:rFonts w:eastAsiaTheme="majorEastAsia" w:cstheme="minorHAnsi"/>
          <w:i/>
          <w:iCs/>
          <w:sz w:val="24"/>
          <w:szCs w:val="24"/>
          <w:lang w:eastAsia="en-GB"/>
        </w:rPr>
        <w:t xml:space="preserve"> 2020, Pisa, Italy, October 6–9, 2020, Proceedings 12</w:t>
      </w:r>
      <w:r w:rsidRPr="002F30B2">
        <w:rPr>
          <w:rFonts w:eastAsiaTheme="majorEastAsia" w:cstheme="minorHAnsi"/>
          <w:sz w:val="24"/>
          <w:szCs w:val="24"/>
          <w:lang w:eastAsia="en-GB"/>
        </w:rPr>
        <w:t xml:space="preserve"> (pp. 1-14). Springer International Publishing.</w:t>
      </w:r>
    </w:p>
    <w:p w14:paraId="045B59B7" w14:textId="6E3BC8A0" w:rsidR="008106E5" w:rsidRPr="003258F9" w:rsidRDefault="008106E5" w:rsidP="008106E5">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t>Becker, S. O., Fetzer, T.</w:t>
      </w:r>
      <w:r w:rsidR="00D242D8" w:rsidRPr="003258F9">
        <w:rPr>
          <w:rFonts w:eastAsia="Times New Roman" w:cstheme="minorHAnsi"/>
          <w:sz w:val="24"/>
          <w:szCs w:val="24"/>
        </w:rPr>
        <w:t xml:space="preserve"> and</w:t>
      </w:r>
      <w:r w:rsidRPr="003258F9">
        <w:rPr>
          <w:rFonts w:eastAsia="Times New Roman" w:cstheme="minorHAnsi"/>
          <w:sz w:val="24"/>
          <w:szCs w:val="24"/>
        </w:rPr>
        <w:t xml:space="preserve"> Novy, D. (2017). Who voted for Brexit? A comprehensive district-level analysis. </w:t>
      </w:r>
      <w:r w:rsidRPr="003258F9">
        <w:rPr>
          <w:rFonts w:eastAsia="Times New Roman" w:cstheme="minorHAnsi"/>
          <w:i/>
          <w:iCs/>
          <w:sz w:val="24"/>
          <w:szCs w:val="24"/>
        </w:rPr>
        <w:t>Economic Policy</w:t>
      </w:r>
      <w:r w:rsidRPr="003258F9">
        <w:rPr>
          <w:rFonts w:eastAsia="Times New Roman" w:cstheme="minorHAnsi"/>
          <w:sz w:val="24"/>
          <w:szCs w:val="24"/>
        </w:rPr>
        <w:t xml:space="preserve">, </w:t>
      </w:r>
      <w:r w:rsidRPr="003258F9">
        <w:rPr>
          <w:rFonts w:eastAsia="Times New Roman" w:cstheme="minorHAnsi"/>
          <w:i/>
          <w:iCs/>
          <w:sz w:val="24"/>
          <w:szCs w:val="24"/>
        </w:rPr>
        <w:t>32</w:t>
      </w:r>
      <w:r w:rsidRPr="003258F9">
        <w:rPr>
          <w:rFonts w:eastAsia="Times New Roman" w:cstheme="minorHAnsi"/>
          <w:sz w:val="24"/>
          <w:szCs w:val="24"/>
        </w:rPr>
        <w:t>(92</w:t>
      </w:r>
      <w:r w:rsidR="00F32099" w:rsidRPr="003258F9">
        <w:rPr>
          <w:rFonts w:eastAsia="Times New Roman" w:cstheme="minorHAnsi"/>
          <w:sz w:val="24"/>
          <w:szCs w:val="24"/>
        </w:rPr>
        <w:t xml:space="preserve">): </w:t>
      </w:r>
      <w:r w:rsidRPr="003258F9">
        <w:rPr>
          <w:rFonts w:eastAsia="Times New Roman" w:cstheme="minorHAnsi"/>
          <w:sz w:val="24"/>
          <w:szCs w:val="24"/>
        </w:rPr>
        <w:t>601</w:t>
      </w:r>
      <w:r w:rsidR="00F32099" w:rsidRPr="003258F9">
        <w:rPr>
          <w:rFonts w:eastAsia="Times New Roman" w:cstheme="minorHAnsi"/>
          <w:sz w:val="24"/>
          <w:szCs w:val="24"/>
        </w:rPr>
        <w:t>-</w:t>
      </w:r>
      <w:r w:rsidRPr="003258F9">
        <w:rPr>
          <w:rFonts w:eastAsia="Times New Roman" w:cstheme="minorHAnsi"/>
          <w:sz w:val="24"/>
          <w:szCs w:val="24"/>
        </w:rPr>
        <w:t xml:space="preserve">650. </w:t>
      </w:r>
    </w:p>
    <w:p w14:paraId="068CA2EE" w14:textId="02610AC3" w:rsidR="005A5642" w:rsidRPr="003258F9" w:rsidRDefault="005A5642" w:rsidP="008106E5">
      <w:pPr>
        <w:spacing w:before="100" w:beforeAutospacing="1" w:after="100" w:afterAutospacing="1" w:line="240" w:lineRule="auto"/>
        <w:ind w:left="284" w:hanging="284"/>
        <w:rPr>
          <w:rFonts w:eastAsia="Times New Roman" w:cstheme="minorHAnsi"/>
          <w:sz w:val="24"/>
          <w:szCs w:val="24"/>
          <w:lang w:eastAsia="en-GB"/>
        </w:rPr>
      </w:pPr>
      <w:r w:rsidRPr="003258F9">
        <w:rPr>
          <w:rFonts w:eastAsia="Times New Roman" w:cstheme="minorHAnsi"/>
          <w:sz w:val="24"/>
          <w:szCs w:val="24"/>
          <w:lang w:eastAsia="en-GB"/>
        </w:rPr>
        <w:t>Bélanger, É., &amp; Nadeau, R. (2005). Political trust and the vote in multiparty elections: The Canadian case. </w:t>
      </w:r>
      <w:r w:rsidRPr="003258F9">
        <w:rPr>
          <w:rFonts w:eastAsia="Times New Roman" w:cstheme="minorHAnsi"/>
          <w:i/>
          <w:iCs/>
          <w:sz w:val="24"/>
          <w:szCs w:val="24"/>
          <w:lang w:eastAsia="en-GB"/>
        </w:rPr>
        <w:t>European journal of political research</w:t>
      </w:r>
      <w:r w:rsidRPr="003258F9">
        <w:rPr>
          <w:rFonts w:eastAsia="Times New Roman" w:cstheme="minorHAnsi"/>
          <w:sz w:val="24"/>
          <w:szCs w:val="24"/>
          <w:lang w:eastAsia="en-GB"/>
        </w:rPr>
        <w:t>, </w:t>
      </w:r>
      <w:r w:rsidRPr="003258F9">
        <w:rPr>
          <w:rFonts w:eastAsia="Times New Roman" w:cstheme="minorHAnsi"/>
          <w:i/>
          <w:iCs/>
          <w:sz w:val="24"/>
          <w:szCs w:val="24"/>
          <w:lang w:eastAsia="en-GB"/>
        </w:rPr>
        <w:t>44</w:t>
      </w:r>
      <w:r w:rsidRPr="003258F9">
        <w:rPr>
          <w:rFonts w:eastAsia="Times New Roman" w:cstheme="minorHAnsi"/>
          <w:sz w:val="24"/>
          <w:szCs w:val="24"/>
          <w:lang w:eastAsia="en-GB"/>
        </w:rPr>
        <w:t>(1), 121-146.</w:t>
      </w:r>
    </w:p>
    <w:p w14:paraId="5FE67B22" w14:textId="683920E8" w:rsidR="0096277F" w:rsidRPr="003258F9" w:rsidRDefault="0096277F" w:rsidP="008106E5">
      <w:pPr>
        <w:spacing w:before="100" w:beforeAutospacing="1" w:after="100" w:afterAutospacing="1" w:line="240" w:lineRule="auto"/>
        <w:ind w:left="284" w:hanging="284"/>
        <w:rPr>
          <w:rFonts w:eastAsia="Times New Roman" w:cstheme="minorHAnsi"/>
          <w:sz w:val="24"/>
          <w:szCs w:val="24"/>
          <w:lang w:eastAsia="en-GB"/>
        </w:rPr>
      </w:pPr>
      <w:r w:rsidRPr="003258F9">
        <w:rPr>
          <w:rFonts w:eastAsia="Times New Roman" w:cstheme="minorHAnsi"/>
          <w:sz w:val="24"/>
          <w:szCs w:val="24"/>
          <w:lang w:eastAsia="en-GB"/>
        </w:rPr>
        <w:lastRenderedPageBreak/>
        <w:t>Berning, C. C., &amp; Ziller, C. (2017). Social trust and radical right-wing populist party preferences. </w:t>
      </w:r>
      <w:r w:rsidRPr="003258F9">
        <w:rPr>
          <w:rFonts w:eastAsia="Times New Roman" w:cstheme="minorHAnsi"/>
          <w:i/>
          <w:iCs/>
          <w:sz w:val="24"/>
          <w:szCs w:val="24"/>
          <w:lang w:eastAsia="en-GB"/>
        </w:rPr>
        <w:t xml:space="preserve">Acta </w:t>
      </w:r>
      <w:proofErr w:type="spellStart"/>
      <w:r w:rsidRPr="003258F9">
        <w:rPr>
          <w:rFonts w:eastAsia="Times New Roman" w:cstheme="minorHAnsi"/>
          <w:i/>
          <w:iCs/>
          <w:sz w:val="24"/>
          <w:szCs w:val="24"/>
          <w:lang w:eastAsia="en-GB"/>
        </w:rPr>
        <w:t>Politica</w:t>
      </w:r>
      <w:proofErr w:type="spellEnd"/>
      <w:r w:rsidRPr="003258F9">
        <w:rPr>
          <w:rFonts w:eastAsia="Times New Roman" w:cstheme="minorHAnsi"/>
          <w:sz w:val="24"/>
          <w:szCs w:val="24"/>
          <w:lang w:eastAsia="en-GB"/>
        </w:rPr>
        <w:t>, </w:t>
      </w:r>
      <w:r w:rsidRPr="003258F9">
        <w:rPr>
          <w:rFonts w:eastAsia="Times New Roman" w:cstheme="minorHAnsi"/>
          <w:i/>
          <w:iCs/>
          <w:sz w:val="24"/>
          <w:szCs w:val="24"/>
          <w:lang w:eastAsia="en-GB"/>
        </w:rPr>
        <w:t>52</w:t>
      </w:r>
      <w:r w:rsidRPr="003258F9">
        <w:rPr>
          <w:rFonts w:eastAsia="Times New Roman" w:cstheme="minorHAnsi"/>
          <w:sz w:val="24"/>
          <w:szCs w:val="24"/>
          <w:lang w:eastAsia="en-GB"/>
        </w:rPr>
        <w:t>, 198-217.</w:t>
      </w:r>
    </w:p>
    <w:p w14:paraId="3F8D7F99" w14:textId="1B93BB9B" w:rsidR="008106E5" w:rsidRPr="003258F9" w:rsidRDefault="008106E5" w:rsidP="008106E5">
      <w:pPr>
        <w:spacing w:before="100" w:beforeAutospacing="1" w:after="100" w:afterAutospacing="1" w:line="240" w:lineRule="auto"/>
        <w:ind w:left="284" w:hanging="284"/>
        <w:rPr>
          <w:rFonts w:eastAsia="Times New Roman" w:cstheme="minorHAnsi"/>
          <w:sz w:val="24"/>
          <w:szCs w:val="24"/>
        </w:rPr>
      </w:pPr>
      <w:proofErr w:type="spellStart"/>
      <w:r w:rsidRPr="003258F9">
        <w:rPr>
          <w:rFonts w:eastAsia="Times New Roman" w:cstheme="minorHAnsi"/>
          <w:sz w:val="24"/>
          <w:szCs w:val="24"/>
        </w:rPr>
        <w:t>Bolet</w:t>
      </w:r>
      <w:proofErr w:type="spellEnd"/>
      <w:r w:rsidRPr="003258F9">
        <w:rPr>
          <w:rFonts w:eastAsia="Times New Roman" w:cstheme="minorHAnsi"/>
          <w:sz w:val="24"/>
          <w:szCs w:val="24"/>
        </w:rPr>
        <w:t>, D. (2021). Drinking alone: local socio-cultural degradation and radical right support—the case of British pub closures. </w:t>
      </w:r>
      <w:r w:rsidRPr="003258F9">
        <w:rPr>
          <w:rFonts w:eastAsia="Times New Roman" w:cstheme="minorHAnsi"/>
          <w:i/>
          <w:iCs/>
          <w:sz w:val="24"/>
          <w:szCs w:val="24"/>
        </w:rPr>
        <w:t>Comparative Political Studies</w:t>
      </w:r>
      <w:r w:rsidR="00F32099" w:rsidRPr="003258F9">
        <w:rPr>
          <w:rFonts w:eastAsia="Times New Roman" w:cstheme="minorHAnsi"/>
          <w:sz w:val="24"/>
          <w:szCs w:val="24"/>
        </w:rPr>
        <w:t>,</w:t>
      </w:r>
      <w:r w:rsidRPr="003258F9">
        <w:rPr>
          <w:rFonts w:eastAsia="Times New Roman" w:cstheme="minorHAnsi"/>
          <w:i/>
          <w:iCs/>
          <w:sz w:val="24"/>
          <w:szCs w:val="24"/>
        </w:rPr>
        <w:t xml:space="preserve"> 54</w:t>
      </w:r>
      <w:r w:rsidRPr="003258F9">
        <w:rPr>
          <w:rFonts w:eastAsia="Times New Roman" w:cstheme="minorHAnsi"/>
          <w:sz w:val="24"/>
          <w:szCs w:val="24"/>
        </w:rPr>
        <w:t>(9)</w:t>
      </w:r>
      <w:r w:rsidR="00F32099" w:rsidRPr="003258F9">
        <w:rPr>
          <w:rFonts w:eastAsia="Times New Roman" w:cstheme="minorHAnsi"/>
          <w:sz w:val="24"/>
          <w:szCs w:val="24"/>
        </w:rPr>
        <w:t>:</w:t>
      </w:r>
      <w:r w:rsidRPr="003258F9">
        <w:rPr>
          <w:rFonts w:eastAsia="Times New Roman" w:cstheme="minorHAnsi"/>
          <w:i/>
          <w:iCs/>
          <w:sz w:val="24"/>
          <w:szCs w:val="24"/>
        </w:rPr>
        <w:t xml:space="preserve"> </w:t>
      </w:r>
      <w:r w:rsidRPr="003258F9">
        <w:rPr>
          <w:rFonts w:eastAsia="Times New Roman" w:cstheme="minorHAnsi"/>
          <w:sz w:val="24"/>
          <w:szCs w:val="24"/>
        </w:rPr>
        <w:t xml:space="preserve">1653-1692. </w:t>
      </w:r>
    </w:p>
    <w:p w14:paraId="3264DA50" w14:textId="00DA4719" w:rsidR="008106E5" w:rsidRPr="003258F9" w:rsidRDefault="008106E5" w:rsidP="008106E5">
      <w:pPr>
        <w:spacing w:before="100" w:beforeAutospacing="1" w:after="100" w:afterAutospacing="1" w:line="240" w:lineRule="auto"/>
        <w:ind w:left="284" w:hanging="284"/>
        <w:rPr>
          <w:rFonts w:cstheme="minorHAnsi"/>
          <w:sz w:val="24"/>
          <w:szCs w:val="24"/>
        </w:rPr>
      </w:pPr>
      <w:r w:rsidRPr="003258F9">
        <w:rPr>
          <w:rFonts w:cstheme="minorHAnsi"/>
          <w:sz w:val="24"/>
          <w:szCs w:val="24"/>
        </w:rPr>
        <w:t>Broz, J.L</w:t>
      </w:r>
      <w:r w:rsidR="00F32099" w:rsidRPr="003258F9">
        <w:rPr>
          <w:rFonts w:cstheme="minorHAnsi"/>
          <w:sz w:val="24"/>
          <w:szCs w:val="24"/>
        </w:rPr>
        <w:t>.</w:t>
      </w:r>
      <w:r w:rsidRPr="003258F9">
        <w:rPr>
          <w:rFonts w:cstheme="minorHAnsi"/>
          <w:sz w:val="24"/>
          <w:szCs w:val="24"/>
        </w:rPr>
        <w:t>, Frieden,</w:t>
      </w:r>
      <w:r w:rsidR="00F32099" w:rsidRPr="003258F9">
        <w:rPr>
          <w:rFonts w:cstheme="minorHAnsi"/>
          <w:sz w:val="24"/>
          <w:szCs w:val="24"/>
        </w:rPr>
        <w:t xml:space="preserve"> J.</w:t>
      </w:r>
      <w:r w:rsidRPr="003258F9">
        <w:rPr>
          <w:rFonts w:cstheme="minorHAnsi"/>
          <w:sz w:val="24"/>
          <w:szCs w:val="24"/>
        </w:rPr>
        <w:t xml:space="preserve"> and Weymouth</w:t>
      </w:r>
      <w:r w:rsidR="00F32099" w:rsidRPr="003258F9">
        <w:rPr>
          <w:rFonts w:cstheme="minorHAnsi"/>
          <w:sz w:val="24"/>
          <w:szCs w:val="24"/>
        </w:rPr>
        <w:t>, S</w:t>
      </w:r>
      <w:r w:rsidRPr="003258F9">
        <w:rPr>
          <w:rFonts w:cstheme="minorHAnsi"/>
          <w:sz w:val="24"/>
          <w:szCs w:val="24"/>
        </w:rPr>
        <w:t xml:space="preserve">. </w:t>
      </w:r>
      <w:r w:rsidR="00F32099" w:rsidRPr="003258F9">
        <w:rPr>
          <w:rFonts w:cstheme="minorHAnsi"/>
          <w:sz w:val="24"/>
          <w:szCs w:val="24"/>
        </w:rPr>
        <w:t>(</w:t>
      </w:r>
      <w:r w:rsidRPr="003258F9">
        <w:rPr>
          <w:rFonts w:cstheme="minorHAnsi"/>
          <w:sz w:val="24"/>
          <w:szCs w:val="24"/>
        </w:rPr>
        <w:t>2021</w:t>
      </w:r>
      <w:r w:rsidR="00F32099" w:rsidRPr="003258F9">
        <w:rPr>
          <w:rFonts w:cstheme="minorHAnsi"/>
          <w:sz w:val="24"/>
          <w:szCs w:val="24"/>
        </w:rPr>
        <w:t>)</w:t>
      </w:r>
      <w:r w:rsidRPr="003258F9">
        <w:rPr>
          <w:rFonts w:cstheme="minorHAnsi"/>
          <w:sz w:val="24"/>
          <w:szCs w:val="24"/>
        </w:rPr>
        <w:t xml:space="preserve">. Populism in Place: The Economic Geography of the Globalization Backlash. </w:t>
      </w:r>
      <w:r w:rsidRPr="003258F9">
        <w:rPr>
          <w:rFonts w:cstheme="minorHAnsi"/>
          <w:i/>
          <w:iCs/>
          <w:sz w:val="24"/>
          <w:szCs w:val="24"/>
        </w:rPr>
        <w:t>International Organization</w:t>
      </w:r>
      <w:r w:rsidR="00F32099"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75</w:t>
      </w:r>
      <w:r w:rsidRPr="003258F9">
        <w:rPr>
          <w:rFonts w:cstheme="minorHAnsi"/>
          <w:sz w:val="24"/>
          <w:szCs w:val="24"/>
        </w:rPr>
        <w:t xml:space="preserve">(2): 464-494. </w:t>
      </w:r>
    </w:p>
    <w:p w14:paraId="6217FEB6" w14:textId="2DBB4B07" w:rsidR="008106E5" w:rsidRPr="003258F9" w:rsidRDefault="008106E5" w:rsidP="008106E5">
      <w:pPr>
        <w:spacing w:before="100" w:beforeAutospacing="1" w:after="100" w:afterAutospacing="1" w:line="240" w:lineRule="auto"/>
        <w:ind w:left="284" w:hanging="284"/>
        <w:rPr>
          <w:rFonts w:cstheme="minorHAnsi"/>
          <w:sz w:val="24"/>
          <w:szCs w:val="24"/>
        </w:rPr>
      </w:pPr>
      <w:r w:rsidRPr="003258F9">
        <w:rPr>
          <w:rFonts w:cstheme="minorHAnsi"/>
          <w:sz w:val="24"/>
          <w:szCs w:val="24"/>
        </w:rPr>
        <w:t>Carreras M</w:t>
      </w:r>
      <w:r w:rsidR="00F32099" w:rsidRPr="003258F9">
        <w:rPr>
          <w:rFonts w:cstheme="minorHAnsi"/>
          <w:sz w:val="24"/>
          <w:szCs w:val="24"/>
        </w:rPr>
        <w:t>.</w:t>
      </w:r>
      <w:r w:rsidRPr="003258F9">
        <w:rPr>
          <w:rFonts w:cstheme="minorHAnsi"/>
          <w:sz w:val="24"/>
          <w:szCs w:val="24"/>
        </w:rPr>
        <w:t xml:space="preserve">, </w:t>
      </w:r>
      <w:proofErr w:type="spellStart"/>
      <w:r w:rsidRPr="003258F9">
        <w:rPr>
          <w:rFonts w:cstheme="minorHAnsi"/>
          <w:sz w:val="24"/>
          <w:szCs w:val="24"/>
        </w:rPr>
        <w:t>Irepoglu</w:t>
      </w:r>
      <w:proofErr w:type="spellEnd"/>
      <w:r w:rsidRPr="003258F9">
        <w:rPr>
          <w:rFonts w:cstheme="minorHAnsi"/>
          <w:sz w:val="24"/>
          <w:szCs w:val="24"/>
        </w:rPr>
        <w:t xml:space="preserve"> Carreras</w:t>
      </w:r>
      <w:r w:rsidR="00F32099" w:rsidRPr="003258F9">
        <w:rPr>
          <w:rFonts w:cstheme="minorHAnsi"/>
          <w:sz w:val="24"/>
          <w:szCs w:val="24"/>
        </w:rPr>
        <w:t>, Y.</w:t>
      </w:r>
      <w:r w:rsidRPr="003258F9">
        <w:rPr>
          <w:rFonts w:cstheme="minorHAnsi"/>
          <w:sz w:val="24"/>
          <w:szCs w:val="24"/>
        </w:rPr>
        <w:t xml:space="preserve"> and Bowler</w:t>
      </w:r>
      <w:r w:rsidR="00F32099" w:rsidRPr="003258F9">
        <w:rPr>
          <w:rFonts w:cstheme="minorHAnsi"/>
          <w:sz w:val="24"/>
          <w:szCs w:val="24"/>
        </w:rPr>
        <w:t>, S</w:t>
      </w:r>
      <w:r w:rsidRPr="003258F9">
        <w:rPr>
          <w:rFonts w:cstheme="minorHAnsi"/>
          <w:sz w:val="24"/>
          <w:szCs w:val="24"/>
        </w:rPr>
        <w:t xml:space="preserve">. </w:t>
      </w:r>
      <w:r w:rsidR="00F32099" w:rsidRPr="003258F9">
        <w:rPr>
          <w:rFonts w:cstheme="minorHAnsi"/>
          <w:sz w:val="24"/>
          <w:szCs w:val="24"/>
        </w:rPr>
        <w:t>(</w:t>
      </w:r>
      <w:r w:rsidRPr="003258F9">
        <w:rPr>
          <w:rFonts w:cstheme="minorHAnsi"/>
          <w:sz w:val="24"/>
          <w:szCs w:val="24"/>
        </w:rPr>
        <w:t>2019</w:t>
      </w:r>
      <w:r w:rsidR="00F32099" w:rsidRPr="003258F9">
        <w:rPr>
          <w:rFonts w:cstheme="minorHAnsi"/>
          <w:sz w:val="24"/>
          <w:szCs w:val="24"/>
        </w:rPr>
        <w:t>)</w:t>
      </w:r>
      <w:r w:rsidRPr="003258F9">
        <w:rPr>
          <w:rFonts w:cstheme="minorHAnsi"/>
          <w:sz w:val="24"/>
          <w:szCs w:val="24"/>
        </w:rPr>
        <w:t xml:space="preserve">. Long-Term Economic Distress, Cultural Backlash, and Support for Brexit. </w:t>
      </w:r>
      <w:r w:rsidRPr="003258F9">
        <w:rPr>
          <w:rFonts w:cstheme="minorHAnsi"/>
          <w:i/>
          <w:iCs/>
          <w:sz w:val="24"/>
          <w:szCs w:val="24"/>
        </w:rPr>
        <w:t>Comparative Political Studies</w:t>
      </w:r>
      <w:r w:rsidR="00F32099" w:rsidRPr="003258F9">
        <w:rPr>
          <w:rFonts w:cstheme="minorHAnsi"/>
          <w:sz w:val="24"/>
          <w:szCs w:val="24"/>
        </w:rPr>
        <w:t>,</w:t>
      </w:r>
      <w:r w:rsidRPr="003258F9">
        <w:rPr>
          <w:rFonts w:cstheme="minorHAnsi"/>
          <w:i/>
          <w:iCs/>
          <w:sz w:val="24"/>
          <w:szCs w:val="24"/>
        </w:rPr>
        <w:t xml:space="preserve"> 52</w:t>
      </w:r>
      <w:r w:rsidRPr="003258F9">
        <w:rPr>
          <w:rFonts w:cstheme="minorHAnsi"/>
          <w:sz w:val="24"/>
          <w:szCs w:val="24"/>
        </w:rPr>
        <w:t xml:space="preserve">(9): 1396-1424. </w:t>
      </w:r>
    </w:p>
    <w:p w14:paraId="4D93692D" w14:textId="056AC30E" w:rsidR="008106E5" w:rsidRPr="003258F9" w:rsidRDefault="008106E5" w:rsidP="008106E5">
      <w:pPr>
        <w:spacing w:before="100" w:beforeAutospacing="1" w:after="100" w:afterAutospacing="1" w:line="240" w:lineRule="auto"/>
        <w:ind w:left="284" w:hanging="284"/>
        <w:rPr>
          <w:rFonts w:cstheme="minorHAnsi"/>
          <w:sz w:val="24"/>
          <w:szCs w:val="24"/>
        </w:rPr>
      </w:pPr>
      <w:r w:rsidRPr="003258F9">
        <w:rPr>
          <w:rFonts w:cstheme="minorHAnsi"/>
          <w:sz w:val="24"/>
          <w:szCs w:val="24"/>
        </w:rPr>
        <w:t xml:space="preserve">Carreras, M. </w:t>
      </w:r>
      <w:r w:rsidR="00F32099" w:rsidRPr="003258F9">
        <w:rPr>
          <w:rFonts w:cstheme="minorHAnsi"/>
          <w:sz w:val="24"/>
          <w:szCs w:val="24"/>
        </w:rPr>
        <w:t>(</w:t>
      </w:r>
      <w:r w:rsidRPr="003258F9">
        <w:rPr>
          <w:rFonts w:cstheme="minorHAnsi"/>
          <w:sz w:val="24"/>
          <w:szCs w:val="24"/>
        </w:rPr>
        <w:t>2019</w:t>
      </w:r>
      <w:r w:rsidR="00F32099" w:rsidRPr="003258F9">
        <w:rPr>
          <w:rFonts w:cstheme="minorHAnsi"/>
          <w:sz w:val="24"/>
          <w:szCs w:val="24"/>
        </w:rPr>
        <w:t>)</w:t>
      </w:r>
      <w:r w:rsidRPr="003258F9">
        <w:rPr>
          <w:rFonts w:cstheme="minorHAnsi"/>
          <w:sz w:val="24"/>
          <w:szCs w:val="24"/>
        </w:rPr>
        <w:t xml:space="preserve">. ‘What do we have to lose?’: Local economic decline, prospect theory, and support for Brexit. </w:t>
      </w:r>
      <w:r w:rsidRPr="003258F9">
        <w:rPr>
          <w:rFonts w:cstheme="minorHAnsi"/>
          <w:i/>
          <w:iCs/>
          <w:sz w:val="24"/>
          <w:szCs w:val="24"/>
        </w:rPr>
        <w:t>Electoral Studies</w:t>
      </w:r>
      <w:r w:rsidR="006E552D"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62</w:t>
      </w:r>
      <w:r w:rsidR="00D242D8" w:rsidRPr="003258F9">
        <w:rPr>
          <w:rFonts w:cstheme="minorHAnsi"/>
          <w:sz w:val="24"/>
          <w:szCs w:val="24"/>
        </w:rPr>
        <w:t>(</w:t>
      </w:r>
      <w:r w:rsidR="006E552D" w:rsidRPr="003258F9">
        <w:rPr>
          <w:rFonts w:cstheme="minorHAnsi"/>
          <w:sz w:val="24"/>
          <w:szCs w:val="24"/>
        </w:rPr>
        <w:t>102094</w:t>
      </w:r>
      <w:r w:rsidR="00D242D8" w:rsidRPr="003258F9">
        <w:rPr>
          <w:rFonts w:cstheme="minorHAnsi"/>
          <w:sz w:val="24"/>
          <w:szCs w:val="24"/>
        </w:rPr>
        <w:t>)</w:t>
      </w:r>
      <w:r w:rsidR="006E552D" w:rsidRPr="003258F9">
        <w:rPr>
          <w:rFonts w:cstheme="minorHAnsi"/>
          <w:sz w:val="24"/>
          <w:szCs w:val="24"/>
        </w:rPr>
        <w:t>.</w:t>
      </w:r>
      <w:r w:rsidRPr="003258F9">
        <w:rPr>
          <w:rFonts w:cstheme="minorHAnsi"/>
          <w:sz w:val="24"/>
          <w:szCs w:val="24"/>
        </w:rPr>
        <w:t xml:space="preserve"> </w:t>
      </w:r>
    </w:p>
    <w:p w14:paraId="2B36D41E" w14:textId="2DE6CC8A" w:rsidR="008106E5" w:rsidRPr="003258F9" w:rsidRDefault="008106E5" w:rsidP="008106E5">
      <w:pPr>
        <w:spacing w:before="100" w:beforeAutospacing="1" w:after="100" w:afterAutospacing="1" w:line="240" w:lineRule="auto"/>
        <w:ind w:left="284" w:hanging="284"/>
        <w:rPr>
          <w:rFonts w:cstheme="minorHAnsi"/>
          <w:sz w:val="24"/>
          <w:szCs w:val="24"/>
        </w:rPr>
      </w:pPr>
      <w:proofErr w:type="spellStart"/>
      <w:r w:rsidRPr="003258F9">
        <w:rPr>
          <w:rFonts w:cstheme="minorHAnsi"/>
          <w:sz w:val="24"/>
          <w:szCs w:val="24"/>
        </w:rPr>
        <w:t>Colantone</w:t>
      </w:r>
      <w:proofErr w:type="spellEnd"/>
      <w:r w:rsidRPr="003258F9">
        <w:rPr>
          <w:rFonts w:cstheme="minorHAnsi"/>
          <w:sz w:val="24"/>
          <w:szCs w:val="24"/>
        </w:rPr>
        <w:t>, I</w:t>
      </w:r>
      <w:r w:rsidR="00F32099" w:rsidRPr="003258F9">
        <w:rPr>
          <w:rFonts w:cstheme="minorHAnsi"/>
          <w:sz w:val="24"/>
          <w:szCs w:val="24"/>
        </w:rPr>
        <w:t>.</w:t>
      </w:r>
      <w:r w:rsidRPr="003258F9">
        <w:rPr>
          <w:rFonts w:cstheme="minorHAnsi"/>
          <w:sz w:val="24"/>
          <w:szCs w:val="24"/>
        </w:rPr>
        <w:t xml:space="preserve"> and Stanig, P. </w:t>
      </w:r>
      <w:r w:rsidR="006E552D" w:rsidRPr="003258F9">
        <w:rPr>
          <w:rFonts w:cstheme="minorHAnsi"/>
          <w:sz w:val="24"/>
          <w:szCs w:val="24"/>
        </w:rPr>
        <w:t>(</w:t>
      </w:r>
      <w:r w:rsidRPr="003258F9">
        <w:rPr>
          <w:rFonts w:cstheme="minorHAnsi"/>
          <w:sz w:val="24"/>
          <w:szCs w:val="24"/>
        </w:rPr>
        <w:t>2018a</w:t>
      </w:r>
      <w:r w:rsidR="006E552D" w:rsidRPr="003258F9">
        <w:rPr>
          <w:rFonts w:cstheme="minorHAnsi"/>
          <w:sz w:val="24"/>
          <w:szCs w:val="24"/>
        </w:rPr>
        <w:t>)</w:t>
      </w:r>
      <w:r w:rsidRPr="003258F9">
        <w:rPr>
          <w:rFonts w:cstheme="minorHAnsi"/>
          <w:sz w:val="24"/>
          <w:szCs w:val="24"/>
        </w:rPr>
        <w:t xml:space="preserve">. Global Competition and Brexit. </w:t>
      </w:r>
      <w:r w:rsidRPr="003258F9">
        <w:rPr>
          <w:rFonts w:cstheme="minorHAnsi"/>
          <w:i/>
          <w:iCs/>
          <w:sz w:val="24"/>
          <w:szCs w:val="24"/>
        </w:rPr>
        <w:t>American Political Science Review</w:t>
      </w:r>
      <w:r w:rsidR="006E552D"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112</w:t>
      </w:r>
      <w:r w:rsidRPr="003258F9">
        <w:rPr>
          <w:rFonts w:cstheme="minorHAnsi"/>
          <w:sz w:val="24"/>
          <w:szCs w:val="24"/>
        </w:rPr>
        <w:t>(2): 201-218.</w:t>
      </w:r>
    </w:p>
    <w:p w14:paraId="71744488" w14:textId="0A419FEE" w:rsidR="008106E5" w:rsidRPr="003258F9" w:rsidRDefault="008106E5" w:rsidP="0076239C">
      <w:pPr>
        <w:spacing w:before="100" w:beforeAutospacing="1" w:after="100" w:afterAutospacing="1" w:line="240" w:lineRule="auto"/>
        <w:ind w:left="284" w:hanging="284"/>
        <w:rPr>
          <w:rFonts w:cstheme="minorHAnsi"/>
          <w:sz w:val="24"/>
          <w:szCs w:val="24"/>
        </w:rPr>
      </w:pPr>
      <w:proofErr w:type="spellStart"/>
      <w:r w:rsidRPr="00803772">
        <w:rPr>
          <w:rFonts w:cstheme="minorHAnsi"/>
          <w:sz w:val="24"/>
          <w:szCs w:val="24"/>
        </w:rPr>
        <w:t>Colantone</w:t>
      </w:r>
      <w:proofErr w:type="spellEnd"/>
      <w:r w:rsidRPr="00803772">
        <w:rPr>
          <w:rFonts w:cstheme="minorHAnsi"/>
          <w:sz w:val="24"/>
          <w:szCs w:val="24"/>
        </w:rPr>
        <w:t>, I</w:t>
      </w:r>
      <w:r w:rsidR="006E552D" w:rsidRPr="00803772">
        <w:rPr>
          <w:rFonts w:cstheme="minorHAnsi"/>
          <w:sz w:val="24"/>
          <w:szCs w:val="24"/>
        </w:rPr>
        <w:t>.</w:t>
      </w:r>
      <w:r w:rsidRPr="00803772">
        <w:rPr>
          <w:rFonts w:cstheme="minorHAnsi"/>
          <w:sz w:val="24"/>
          <w:szCs w:val="24"/>
        </w:rPr>
        <w:t xml:space="preserve"> and </w:t>
      </w:r>
      <w:proofErr w:type="spellStart"/>
      <w:r w:rsidRPr="00803772">
        <w:rPr>
          <w:rFonts w:cstheme="minorHAnsi"/>
          <w:sz w:val="24"/>
          <w:szCs w:val="24"/>
        </w:rPr>
        <w:t>Stanig</w:t>
      </w:r>
      <w:proofErr w:type="spellEnd"/>
      <w:r w:rsidRPr="00803772">
        <w:rPr>
          <w:rFonts w:cstheme="minorHAnsi"/>
          <w:sz w:val="24"/>
          <w:szCs w:val="24"/>
        </w:rPr>
        <w:t xml:space="preserve">, P. </w:t>
      </w:r>
      <w:r w:rsidR="006E552D" w:rsidRPr="00803772">
        <w:rPr>
          <w:rFonts w:cstheme="minorHAnsi"/>
          <w:sz w:val="24"/>
          <w:szCs w:val="24"/>
        </w:rPr>
        <w:t>(</w:t>
      </w:r>
      <w:r w:rsidRPr="003258F9">
        <w:rPr>
          <w:rFonts w:cstheme="minorHAnsi"/>
          <w:sz w:val="24"/>
          <w:szCs w:val="24"/>
        </w:rPr>
        <w:t>2018b</w:t>
      </w:r>
      <w:r w:rsidR="006E552D" w:rsidRPr="003258F9">
        <w:rPr>
          <w:rFonts w:cstheme="minorHAnsi"/>
          <w:sz w:val="24"/>
          <w:szCs w:val="24"/>
        </w:rPr>
        <w:t>)</w:t>
      </w:r>
      <w:r w:rsidRPr="003258F9">
        <w:rPr>
          <w:rFonts w:cstheme="minorHAnsi"/>
          <w:sz w:val="24"/>
          <w:szCs w:val="24"/>
        </w:rPr>
        <w:t xml:space="preserve">. The Trade Origins of Economic Nationalism: Import Competition and Voting Behavior in Western Europe. </w:t>
      </w:r>
      <w:r w:rsidRPr="003258F9">
        <w:rPr>
          <w:rFonts w:cstheme="minorHAnsi"/>
          <w:i/>
          <w:iCs/>
          <w:sz w:val="24"/>
          <w:szCs w:val="24"/>
        </w:rPr>
        <w:t>American Journal of Political Science</w:t>
      </w:r>
      <w:r w:rsidRPr="003258F9">
        <w:rPr>
          <w:rFonts w:cstheme="minorHAnsi"/>
          <w:sz w:val="24"/>
          <w:szCs w:val="24"/>
        </w:rPr>
        <w:t xml:space="preserve"> 62(4): 936-953.</w:t>
      </w:r>
    </w:p>
    <w:p w14:paraId="14761A1B" w14:textId="4943C6E8" w:rsidR="008106E5" w:rsidRPr="003258F9" w:rsidRDefault="008106E5" w:rsidP="008106E5">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t xml:space="preserve">Cramer, K.J. (2016) </w:t>
      </w:r>
      <w:r w:rsidRPr="003258F9">
        <w:rPr>
          <w:rFonts w:eastAsia="Times New Roman" w:cstheme="minorHAnsi"/>
          <w:i/>
          <w:iCs/>
          <w:sz w:val="24"/>
          <w:szCs w:val="24"/>
        </w:rPr>
        <w:t>The Politics of Resentment. Rural Consciousness in Wisconsin and the Rise of Scott Walker</w:t>
      </w:r>
      <w:r w:rsidRPr="003258F9">
        <w:rPr>
          <w:rFonts w:eastAsia="Times New Roman" w:cstheme="minorHAnsi"/>
          <w:sz w:val="24"/>
          <w:szCs w:val="24"/>
        </w:rPr>
        <w:t>. Chicago: University of Chicago Press.</w:t>
      </w:r>
    </w:p>
    <w:p w14:paraId="71D3AF9E" w14:textId="673AB288" w:rsidR="00FD7C51" w:rsidRPr="003258F9" w:rsidRDefault="00FD7C51" w:rsidP="00B03878">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t xml:space="preserve">Cramer Walsh, K.J. (2012). Putting Inequality in Its Place: Rural Consciousness and the Power of Perspective. </w:t>
      </w:r>
      <w:r w:rsidRPr="003258F9">
        <w:rPr>
          <w:rFonts w:eastAsia="Times New Roman" w:cstheme="minorHAnsi"/>
          <w:i/>
          <w:iCs/>
          <w:sz w:val="24"/>
          <w:szCs w:val="24"/>
        </w:rPr>
        <w:t>American Political Science Review</w:t>
      </w:r>
      <w:r w:rsidRPr="003258F9">
        <w:rPr>
          <w:rFonts w:eastAsia="Times New Roman" w:cstheme="minorHAnsi"/>
          <w:sz w:val="24"/>
          <w:szCs w:val="24"/>
        </w:rPr>
        <w:t xml:space="preserve">, </w:t>
      </w:r>
      <w:r w:rsidRPr="003258F9">
        <w:rPr>
          <w:rFonts w:eastAsia="Times New Roman" w:cstheme="minorHAnsi"/>
          <w:i/>
          <w:iCs/>
          <w:sz w:val="24"/>
          <w:szCs w:val="24"/>
        </w:rPr>
        <w:t>106</w:t>
      </w:r>
      <w:r w:rsidRPr="003258F9">
        <w:rPr>
          <w:rFonts w:eastAsia="Times New Roman" w:cstheme="minorHAnsi"/>
          <w:sz w:val="24"/>
          <w:szCs w:val="24"/>
        </w:rPr>
        <w:t>(3): 517-532.</w:t>
      </w:r>
    </w:p>
    <w:p w14:paraId="744E209A" w14:textId="0511D448" w:rsidR="00D242D8" w:rsidRPr="003258F9" w:rsidRDefault="008106E5" w:rsidP="00B03878">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t>Crick, B. (2005). </w:t>
      </w:r>
      <w:r w:rsidRPr="003258F9">
        <w:rPr>
          <w:rFonts w:eastAsia="Times New Roman" w:cstheme="minorHAnsi"/>
          <w:i/>
          <w:iCs/>
          <w:sz w:val="24"/>
          <w:szCs w:val="24"/>
        </w:rPr>
        <w:t>In defence of politics</w:t>
      </w:r>
      <w:r w:rsidRPr="003258F9">
        <w:rPr>
          <w:rFonts w:eastAsia="Times New Roman" w:cstheme="minorHAnsi"/>
          <w:sz w:val="24"/>
          <w:szCs w:val="24"/>
        </w:rPr>
        <w:t xml:space="preserve">. </w:t>
      </w:r>
      <w:r w:rsidR="00BE42CC" w:rsidRPr="003258F9">
        <w:rPr>
          <w:rFonts w:eastAsia="Times New Roman" w:cstheme="minorHAnsi"/>
          <w:sz w:val="24"/>
          <w:szCs w:val="24"/>
        </w:rPr>
        <w:t xml:space="preserve">London: </w:t>
      </w:r>
      <w:r w:rsidRPr="003258F9">
        <w:rPr>
          <w:rFonts w:eastAsia="Times New Roman" w:cstheme="minorHAnsi"/>
          <w:sz w:val="24"/>
          <w:szCs w:val="24"/>
        </w:rPr>
        <w:t>A</w:t>
      </w:r>
      <w:r w:rsidR="00BE42CC" w:rsidRPr="003258F9">
        <w:rPr>
          <w:rFonts w:eastAsia="Times New Roman" w:cstheme="minorHAnsi"/>
          <w:sz w:val="24"/>
          <w:szCs w:val="24"/>
        </w:rPr>
        <w:t xml:space="preserve"> </w:t>
      </w:r>
      <w:r w:rsidRPr="003258F9">
        <w:rPr>
          <w:rFonts w:eastAsia="Times New Roman" w:cstheme="minorHAnsi"/>
          <w:sz w:val="24"/>
          <w:szCs w:val="24"/>
        </w:rPr>
        <w:t>&amp;</w:t>
      </w:r>
      <w:r w:rsidR="00BE42CC" w:rsidRPr="003258F9">
        <w:rPr>
          <w:rFonts w:eastAsia="Times New Roman" w:cstheme="minorHAnsi"/>
          <w:sz w:val="24"/>
          <w:szCs w:val="24"/>
        </w:rPr>
        <w:t xml:space="preserve"> </w:t>
      </w:r>
      <w:r w:rsidRPr="003258F9">
        <w:rPr>
          <w:rFonts w:eastAsia="Times New Roman" w:cstheme="minorHAnsi"/>
          <w:sz w:val="24"/>
          <w:szCs w:val="24"/>
        </w:rPr>
        <w:t>C Black.</w:t>
      </w:r>
    </w:p>
    <w:p w14:paraId="18098F1F" w14:textId="2169E434" w:rsidR="00B7502C" w:rsidRPr="003258F9" w:rsidRDefault="00B7502C" w:rsidP="00B03878">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t xml:space="preserve">Delhey, J., &amp; Newton, K. (2003). Who </w:t>
      </w:r>
      <w:proofErr w:type="gramStart"/>
      <w:r w:rsidRPr="003258F9">
        <w:rPr>
          <w:rFonts w:eastAsia="Times New Roman" w:cstheme="minorHAnsi"/>
          <w:sz w:val="24"/>
          <w:szCs w:val="24"/>
        </w:rPr>
        <w:t>trusts?:</w:t>
      </w:r>
      <w:proofErr w:type="gramEnd"/>
      <w:r w:rsidRPr="003258F9">
        <w:rPr>
          <w:rFonts w:eastAsia="Times New Roman" w:cstheme="minorHAnsi"/>
          <w:sz w:val="24"/>
          <w:szCs w:val="24"/>
        </w:rPr>
        <w:t xml:space="preserve"> The origins of social trust in seven societies. </w:t>
      </w:r>
      <w:r w:rsidRPr="003258F9">
        <w:rPr>
          <w:rFonts w:eastAsia="Times New Roman" w:cstheme="minorHAnsi"/>
          <w:i/>
          <w:iCs/>
          <w:sz w:val="24"/>
          <w:szCs w:val="24"/>
        </w:rPr>
        <w:t>European societies</w:t>
      </w:r>
      <w:r w:rsidRPr="003258F9">
        <w:rPr>
          <w:rFonts w:eastAsia="Times New Roman" w:cstheme="minorHAnsi"/>
          <w:sz w:val="24"/>
          <w:szCs w:val="24"/>
        </w:rPr>
        <w:t>, </w:t>
      </w:r>
      <w:r w:rsidRPr="003258F9">
        <w:rPr>
          <w:rFonts w:eastAsia="Times New Roman" w:cstheme="minorHAnsi"/>
          <w:i/>
          <w:iCs/>
          <w:sz w:val="24"/>
          <w:szCs w:val="24"/>
        </w:rPr>
        <w:t>5</w:t>
      </w:r>
      <w:r w:rsidRPr="003258F9">
        <w:rPr>
          <w:rFonts w:eastAsia="Times New Roman" w:cstheme="minorHAnsi"/>
          <w:sz w:val="24"/>
          <w:szCs w:val="24"/>
        </w:rPr>
        <w:t>(2), 93-137.</w:t>
      </w:r>
    </w:p>
    <w:p w14:paraId="4FE7B543" w14:textId="58A303D1" w:rsidR="0096277F" w:rsidRPr="003258F9" w:rsidRDefault="0096277F" w:rsidP="00B03878">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t xml:space="preserve">Delhey, J., &amp; Newton, K. (2005). Predicting cross-national levels of social trust: global pattern or Nordic </w:t>
      </w:r>
      <w:proofErr w:type="gramStart"/>
      <w:r w:rsidRPr="003258F9">
        <w:rPr>
          <w:rFonts w:eastAsia="Times New Roman" w:cstheme="minorHAnsi"/>
          <w:sz w:val="24"/>
          <w:szCs w:val="24"/>
        </w:rPr>
        <w:t>exceptionalism?.</w:t>
      </w:r>
      <w:proofErr w:type="gramEnd"/>
      <w:r w:rsidRPr="003258F9">
        <w:rPr>
          <w:rFonts w:eastAsia="Times New Roman" w:cstheme="minorHAnsi"/>
          <w:sz w:val="24"/>
          <w:szCs w:val="24"/>
        </w:rPr>
        <w:t> </w:t>
      </w:r>
      <w:r w:rsidRPr="003258F9">
        <w:rPr>
          <w:rFonts w:eastAsia="Times New Roman" w:cstheme="minorHAnsi"/>
          <w:i/>
          <w:iCs/>
          <w:sz w:val="24"/>
          <w:szCs w:val="24"/>
        </w:rPr>
        <w:t>European sociological review</w:t>
      </w:r>
      <w:r w:rsidRPr="003258F9">
        <w:rPr>
          <w:rFonts w:eastAsia="Times New Roman" w:cstheme="minorHAnsi"/>
          <w:sz w:val="24"/>
          <w:szCs w:val="24"/>
        </w:rPr>
        <w:t>, </w:t>
      </w:r>
      <w:r w:rsidRPr="003258F9">
        <w:rPr>
          <w:rFonts w:eastAsia="Times New Roman" w:cstheme="minorHAnsi"/>
          <w:i/>
          <w:iCs/>
          <w:sz w:val="24"/>
          <w:szCs w:val="24"/>
        </w:rPr>
        <w:t>21</w:t>
      </w:r>
      <w:r w:rsidRPr="003258F9">
        <w:rPr>
          <w:rFonts w:eastAsia="Times New Roman" w:cstheme="minorHAnsi"/>
          <w:sz w:val="24"/>
          <w:szCs w:val="24"/>
        </w:rPr>
        <w:t>(4), 311-327.</w:t>
      </w:r>
    </w:p>
    <w:p w14:paraId="68F48583" w14:textId="3BFBD914" w:rsidR="005A5642" w:rsidRPr="003258F9" w:rsidRDefault="005A5642" w:rsidP="00B03878">
      <w:pPr>
        <w:spacing w:before="100" w:beforeAutospacing="1" w:after="100" w:afterAutospacing="1" w:line="240" w:lineRule="auto"/>
        <w:ind w:left="284" w:hanging="284"/>
        <w:rPr>
          <w:rFonts w:eastAsia="Times New Roman" w:cstheme="minorHAnsi"/>
          <w:sz w:val="24"/>
          <w:szCs w:val="24"/>
        </w:rPr>
      </w:pPr>
      <w:r w:rsidRPr="003258F9">
        <w:rPr>
          <w:rFonts w:eastAsia="Times New Roman" w:cstheme="minorHAnsi"/>
          <w:sz w:val="24"/>
          <w:szCs w:val="24"/>
        </w:rPr>
        <w:lastRenderedPageBreak/>
        <w:t xml:space="preserve">Devine, D., Valgarðsson, V., Smith, J., Jennings, W., Scotto di Vettimo, M., Bunting, H., &amp; McKay, L. (2023). Political trust in the first year of the COVID-19 pandemic: a meta-analysis of 67 studies. </w:t>
      </w:r>
      <w:r w:rsidRPr="003258F9">
        <w:rPr>
          <w:rFonts w:eastAsia="Times New Roman" w:cstheme="minorHAnsi"/>
          <w:i/>
          <w:iCs/>
          <w:sz w:val="24"/>
          <w:szCs w:val="24"/>
        </w:rPr>
        <w:t>Journal of European Public Policy</w:t>
      </w:r>
      <w:r w:rsidRPr="003258F9">
        <w:rPr>
          <w:rFonts w:eastAsia="Times New Roman" w:cstheme="minorHAnsi"/>
          <w:sz w:val="24"/>
          <w:szCs w:val="24"/>
        </w:rPr>
        <w:t>, 1-23.</w:t>
      </w:r>
    </w:p>
    <w:p w14:paraId="40EDA1C3" w14:textId="74459EB7" w:rsidR="00DB4D64" w:rsidRPr="003258F9" w:rsidRDefault="008106E5" w:rsidP="00D242D8">
      <w:pPr>
        <w:spacing w:before="100" w:beforeAutospacing="1" w:after="100" w:afterAutospacing="1" w:line="240" w:lineRule="auto"/>
        <w:ind w:left="284" w:hanging="284"/>
        <w:rPr>
          <w:rFonts w:cstheme="minorHAnsi"/>
          <w:sz w:val="24"/>
          <w:szCs w:val="24"/>
        </w:rPr>
      </w:pPr>
      <w:r w:rsidRPr="003258F9">
        <w:rPr>
          <w:rFonts w:cstheme="minorHAnsi"/>
          <w:sz w:val="24"/>
          <w:szCs w:val="24"/>
        </w:rPr>
        <w:t>Dijkstra, L., Florczyk, A.J., Freire, S., Kemper, T., Melchiorri, M., Pesaresi, M.</w:t>
      </w:r>
      <w:r w:rsidR="00F32099" w:rsidRPr="003258F9">
        <w:rPr>
          <w:rFonts w:cstheme="minorHAnsi"/>
          <w:sz w:val="24"/>
          <w:szCs w:val="24"/>
        </w:rPr>
        <w:t xml:space="preserve"> and</w:t>
      </w:r>
      <w:r w:rsidRPr="003258F9">
        <w:rPr>
          <w:rFonts w:cstheme="minorHAnsi"/>
          <w:sz w:val="24"/>
          <w:szCs w:val="24"/>
        </w:rPr>
        <w:t xml:space="preserve"> </w:t>
      </w:r>
      <w:proofErr w:type="spellStart"/>
      <w:r w:rsidRPr="003258F9">
        <w:rPr>
          <w:rFonts w:cstheme="minorHAnsi"/>
          <w:sz w:val="24"/>
          <w:szCs w:val="24"/>
        </w:rPr>
        <w:t>Schiavina</w:t>
      </w:r>
      <w:proofErr w:type="spellEnd"/>
      <w:r w:rsidRPr="003258F9">
        <w:rPr>
          <w:rFonts w:cstheme="minorHAnsi"/>
          <w:sz w:val="24"/>
          <w:szCs w:val="24"/>
        </w:rPr>
        <w:t>, M. (2020). Applying the degree of urbanisation to the globe: A new harmonised definition reveals a different picture of global urbanisation. </w:t>
      </w:r>
      <w:r w:rsidRPr="003258F9">
        <w:rPr>
          <w:rFonts w:cstheme="minorHAnsi"/>
          <w:i/>
          <w:iCs/>
          <w:sz w:val="24"/>
          <w:szCs w:val="24"/>
        </w:rPr>
        <w:t>Journal of Urban Economics</w:t>
      </w:r>
      <w:r w:rsidRPr="003258F9">
        <w:rPr>
          <w:rFonts w:cstheme="minorHAnsi"/>
          <w:sz w:val="24"/>
          <w:szCs w:val="24"/>
        </w:rPr>
        <w:t>,</w:t>
      </w:r>
      <w:r w:rsidR="006E552D" w:rsidRPr="003258F9">
        <w:rPr>
          <w:rFonts w:cstheme="minorHAnsi"/>
          <w:sz w:val="24"/>
          <w:szCs w:val="24"/>
        </w:rPr>
        <w:t xml:space="preserve"> </w:t>
      </w:r>
      <w:r w:rsidR="006E552D" w:rsidRPr="003258F9">
        <w:rPr>
          <w:rFonts w:cstheme="minorHAnsi"/>
          <w:i/>
          <w:iCs/>
          <w:sz w:val="24"/>
          <w:szCs w:val="24"/>
        </w:rPr>
        <w:t>125</w:t>
      </w:r>
      <w:r w:rsidR="006E552D" w:rsidRPr="003258F9">
        <w:rPr>
          <w:rFonts w:cstheme="minorHAnsi"/>
          <w:sz w:val="24"/>
          <w:szCs w:val="24"/>
        </w:rPr>
        <w:t>(</w:t>
      </w:r>
      <w:r w:rsidRPr="003258F9">
        <w:rPr>
          <w:rFonts w:cstheme="minorHAnsi"/>
          <w:sz w:val="24"/>
          <w:szCs w:val="24"/>
        </w:rPr>
        <w:t>103312</w:t>
      </w:r>
      <w:r w:rsidR="006E552D" w:rsidRPr="003258F9">
        <w:rPr>
          <w:rFonts w:cstheme="minorHAnsi"/>
          <w:sz w:val="24"/>
          <w:szCs w:val="24"/>
        </w:rPr>
        <w:t>)</w:t>
      </w:r>
      <w:r w:rsidRPr="003258F9">
        <w:rPr>
          <w:rFonts w:cstheme="minorHAnsi"/>
          <w:sz w:val="24"/>
          <w:szCs w:val="24"/>
        </w:rPr>
        <w:t>.</w:t>
      </w:r>
    </w:p>
    <w:p w14:paraId="512D0C2E" w14:textId="74899F5E" w:rsidR="008106E5" w:rsidRPr="003258F9" w:rsidRDefault="008106E5" w:rsidP="00D242D8">
      <w:pPr>
        <w:ind w:left="284" w:hanging="284"/>
        <w:rPr>
          <w:rFonts w:cstheme="minorHAnsi"/>
          <w:sz w:val="24"/>
          <w:szCs w:val="24"/>
        </w:rPr>
      </w:pPr>
      <w:r w:rsidRPr="003258F9">
        <w:rPr>
          <w:rFonts w:cstheme="minorHAnsi"/>
          <w:sz w:val="24"/>
          <w:szCs w:val="24"/>
        </w:rPr>
        <w:t xml:space="preserve">Dijkstra, L., Poelman, H. </w:t>
      </w:r>
      <w:r w:rsidR="006E552D" w:rsidRPr="003258F9">
        <w:rPr>
          <w:rFonts w:cstheme="minorHAnsi"/>
          <w:sz w:val="24"/>
          <w:szCs w:val="24"/>
        </w:rPr>
        <w:t>and</w:t>
      </w:r>
      <w:r w:rsidRPr="003258F9">
        <w:rPr>
          <w:rFonts w:cstheme="minorHAnsi"/>
          <w:sz w:val="24"/>
          <w:szCs w:val="24"/>
        </w:rPr>
        <w:t xml:space="preserve"> Rodríguez-Pose, A. (2020). The geography of EU discontent. </w:t>
      </w:r>
      <w:r w:rsidRPr="003258F9">
        <w:rPr>
          <w:rFonts w:cstheme="minorHAnsi"/>
          <w:i/>
          <w:iCs/>
          <w:sz w:val="24"/>
          <w:szCs w:val="24"/>
        </w:rPr>
        <w:t>Regional Studies</w:t>
      </w:r>
      <w:r w:rsidRPr="003258F9">
        <w:rPr>
          <w:rFonts w:cstheme="minorHAnsi"/>
          <w:sz w:val="24"/>
          <w:szCs w:val="24"/>
        </w:rPr>
        <w:t xml:space="preserve">, </w:t>
      </w:r>
      <w:r w:rsidRPr="003258F9">
        <w:rPr>
          <w:rFonts w:cstheme="minorHAnsi"/>
          <w:i/>
          <w:iCs/>
          <w:sz w:val="24"/>
          <w:szCs w:val="24"/>
        </w:rPr>
        <w:t>54</w:t>
      </w:r>
      <w:r w:rsidRPr="003258F9">
        <w:rPr>
          <w:rFonts w:cstheme="minorHAnsi"/>
          <w:sz w:val="24"/>
          <w:szCs w:val="24"/>
        </w:rPr>
        <w:t>(6)</w:t>
      </w:r>
      <w:r w:rsidR="006E552D" w:rsidRPr="003258F9">
        <w:rPr>
          <w:rFonts w:cstheme="minorHAnsi"/>
          <w:sz w:val="24"/>
          <w:szCs w:val="24"/>
        </w:rPr>
        <w:t>:</w:t>
      </w:r>
      <w:r w:rsidRPr="003258F9">
        <w:rPr>
          <w:rFonts w:cstheme="minorHAnsi"/>
          <w:sz w:val="24"/>
          <w:szCs w:val="24"/>
        </w:rPr>
        <w:t xml:space="preserve"> 737</w:t>
      </w:r>
      <w:r w:rsidR="006E552D" w:rsidRPr="003258F9">
        <w:rPr>
          <w:rFonts w:cstheme="minorHAnsi"/>
          <w:sz w:val="24"/>
          <w:szCs w:val="24"/>
        </w:rPr>
        <w:t>-</w:t>
      </w:r>
      <w:r w:rsidRPr="003258F9">
        <w:rPr>
          <w:rFonts w:cstheme="minorHAnsi"/>
          <w:sz w:val="24"/>
          <w:szCs w:val="24"/>
        </w:rPr>
        <w:t xml:space="preserve">753. </w:t>
      </w:r>
    </w:p>
    <w:p w14:paraId="483930A7" w14:textId="300563BE" w:rsidR="008106E5" w:rsidRDefault="008106E5" w:rsidP="008106E5">
      <w:pPr>
        <w:ind w:left="284" w:hanging="284"/>
        <w:rPr>
          <w:rFonts w:cstheme="minorHAnsi"/>
          <w:sz w:val="24"/>
          <w:szCs w:val="24"/>
        </w:rPr>
      </w:pPr>
      <w:r w:rsidRPr="003258F9">
        <w:rPr>
          <w:rFonts w:cstheme="minorHAnsi"/>
          <w:sz w:val="24"/>
          <w:szCs w:val="24"/>
        </w:rPr>
        <w:t>Dissing, A.S., Lakon, C.M., Gerds, T.A., Rod, N.H.</w:t>
      </w:r>
      <w:r w:rsidR="00F32099" w:rsidRPr="003258F9">
        <w:rPr>
          <w:rFonts w:cstheme="minorHAnsi"/>
          <w:sz w:val="24"/>
          <w:szCs w:val="24"/>
        </w:rPr>
        <w:t xml:space="preserve"> and</w:t>
      </w:r>
      <w:r w:rsidRPr="003258F9">
        <w:rPr>
          <w:rFonts w:cstheme="minorHAnsi"/>
          <w:sz w:val="24"/>
          <w:szCs w:val="24"/>
        </w:rPr>
        <w:t xml:space="preserve"> Lund</w:t>
      </w:r>
      <w:r w:rsidR="00F32099" w:rsidRPr="003258F9">
        <w:rPr>
          <w:rFonts w:cstheme="minorHAnsi"/>
          <w:sz w:val="24"/>
          <w:szCs w:val="24"/>
        </w:rPr>
        <w:t>,</w:t>
      </w:r>
      <w:r w:rsidRPr="003258F9">
        <w:rPr>
          <w:rFonts w:cstheme="minorHAnsi"/>
          <w:sz w:val="24"/>
          <w:szCs w:val="24"/>
        </w:rPr>
        <w:t xml:space="preserve"> R. (2018). Measuring social integration and tie strength with smartphone and survey data. </w:t>
      </w:r>
      <w:r w:rsidRPr="003258F9">
        <w:rPr>
          <w:rFonts w:cstheme="minorHAnsi"/>
          <w:i/>
          <w:iCs/>
          <w:sz w:val="24"/>
          <w:szCs w:val="24"/>
        </w:rPr>
        <w:t>PLOS ONE</w:t>
      </w:r>
      <w:r w:rsidR="00F32099"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13</w:t>
      </w:r>
      <w:r w:rsidRPr="003258F9">
        <w:rPr>
          <w:rFonts w:cstheme="minorHAnsi"/>
          <w:sz w:val="24"/>
          <w:szCs w:val="24"/>
        </w:rPr>
        <w:t xml:space="preserve">(8): e0200678. </w:t>
      </w:r>
    </w:p>
    <w:p w14:paraId="59D04CC9" w14:textId="452670DD" w:rsidR="002F30B2" w:rsidRPr="003258F9" w:rsidRDefault="002F30B2" w:rsidP="008106E5">
      <w:pPr>
        <w:ind w:left="284" w:hanging="284"/>
        <w:rPr>
          <w:rFonts w:cstheme="minorHAnsi"/>
          <w:sz w:val="24"/>
          <w:szCs w:val="24"/>
        </w:rPr>
      </w:pPr>
      <w:r w:rsidRPr="002F30B2">
        <w:rPr>
          <w:rFonts w:cstheme="minorHAnsi"/>
          <w:sz w:val="24"/>
          <w:szCs w:val="24"/>
        </w:rPr>
        <w:t>Duggan,</w:t>
      </w:r>
      <w:r>
        <w:rPr>
          <w:rFonts w:cstheme="minorHAnsi"/>
          <w:sz w:val="24"/>
          <w:szCs w:val="24"/>
        </w:rPr>
        <w:t xml:space="preserve"> M.</w:t>
      </w:r>
      <w:r w:rsidRPr="002F30B2">
        <w:rPr>
          <w:rFonts w:cstheme="minorHAnsi"/>
          <w:sz w:val="24"/>
          <w:szCs w:val="24"/>
        </w:rPr>
        <w:t>, Ellison,</w:t>
      </w:r>
      <w:r>
        <w:rPr>
          <w:rFonts w:cstheme="minorHAnsi"/>
          <w:sz w:val="24"/>
          <w:szCs w:val="24"/>
        </w:rPr>
        <w:t xml:space="preserve"> N. B.</w:t>
      </w:r>
      <w:r w:rsidRPr="002F30B2">
        <w:rPr>
          <w:rFonts w:cstheme="minorHAnsi"/>
          <w:sz w:val="24"/>
          <w:szCs w:val="24"/>
        </w:rPr>
        <w:t xml:space="preserve"> </w:t>
      </w:r>
      <w:r>
        <w:rPr>
          <w:rFonts w:cstheme="minorHAnsi"/>
          <w:sz w:val="24"/>
          <w:szCs w:val="24"/>
        </w:rPr>
        <w:t>Lampe</w:t>
      </w:r>
      <w:r w:rsidRPr="002F30B2">
        <w:rPr>
          <w:rFonts w:cstheme="minorHAnsi"/>
          <w:sz w:val="24"/>
          <w:szCs w:val="24"/>
        </w:rPr>
        <w:t>,</w:t>
      </w:r>
      <w:r>
        <w:rPr>
          <w:rFonts w:cstheme="minorHAnsi"/>
          <w:sz w:val="24"/>
          <w:szCs w:val="24"/>
        </w:rPr>
        <w:t xml:space="preserve"> C.</w:t>
      </w:r>
      <w:r w:rsidRPr="002F30B2">
        <w:rPr>
          <w:rFonts w:cstheme="minorHAnsi"/>
          <w:sz w:val="24"/>
          <w:szCs w:val="24"/>
        </w:rPr>
        <w:t xml:space="preserve"> Lenhart, </w:t>
      </w:r>
      <w:r>
        <w:rPr>
          <w:rFonts w:cstheme="minorHAnsi"/>
          <w:sz w:val="24"/>
          <w:szCs w:val="24"/>
        </w:rPr>
        <w:t xml:space="preserve">A. </w:t>
      </w:r>
      <w:r w:rsidRPr="002F30B2">
        <w:rPr>
          <w:rFonts w:cstheme="minorHAnsi"/>
          <w:sz w:val="24"/>
          <w:szCs w:val="24"/>
        </w:rPr>
        <w:t>Madden</w:t>
      </w:r>
      <w:r>
        <w:rPr>
          <w:rFonts w:cstheme="minorHAnsi"/>
          <w:sz w:val="24"/>
          <w:szCs w:val="24"/>
        </w:rPr>
        <w:t>, M.</w:t>
      </w:r>
      <w:r w:rsidRPr="002F30B2">
        <w:rPr>
          <w:rFonts w:cstheme="minorHAnsi"/>
          <w:sz w:val="24"/>
          <w:szCs w:val="24"/>
        </w:rPr>
        <w:t xml:space="preserve"> </w:t>
      </w:r>
      <w:r>
        <w:rPr>
          <w:rFonts w:cstheme="minorHAnsi"/>
          <w:sz w:val="24"/>
          <w:szCs w:val="24"/>
        </w:rPr>
        <w:t>(</w:t>
      </w:r>
      <w:r w:rsidRPr="002F30B2">
        <w:rPr>
          <w:rFonts w:cstheme="minorHAnsi"/>
          <w:sz w:val="24"/>
          <w:szCs w:val="24"/>
        </w:rPr>
        <w:t>2015</w:t>
      </w:r>
      <w:r>
        <w:rPr>
          <w:rFonts w:cstheme="minorHAnsi"/>
          <w:sz w:val="24"/>
          <w:szCs w:val="24"/>
        </w:rPr>
        <w:t>)</w:t>
      </w:r>
      <w:r w:rsidRPr="002F30B2">
        <w:rPr>
          <w:rFonts w:cstheme="minorHAnsi"/>
          <w:sz w:val="24"/>
          <w:szCs w:val="24"/>
        </w:rPr>
        <w:t xml:space="preserve">. </w:t>
      </w:r>
      <w:r>
        <w:rPr>
          <w:rFonts w:cstheme="minorHAnsi"/>
          <w:sz w:val="24"/>
          <w:szCs w:val="24"/>
        </w:rPr>
        <w:t>‘</w:t>
      </w:r>
      <w:r w:rsidRPr="002F30B2">
        <w:rPr>
          <w:rFonts w:cstheme="minorHAnsi"/>
          <w:sz w:val="24"/>
          <w:szCs w:val="24"/>
        </w:rPr>
        <w:t>Social Media Update 2014</w:t>
      </w:r>
      <w:r>
        <w:rPr>
          <w:rFonts w:cstheme="minorHAnsi"/>
          <w:sz w:val="24"/>
          <w:szCs w:val="24"/>
        </w:rPr>
        <w:t>’.</w:t>
      </w:r>
      <w:r w:rsidRPr="002F30B2">
        <w:rPr>
          <w:rFonts w:cstheme="minorHAnsi"/>
          <w:sz w:val="24"/>
          <w:szCs w:val="24"/>
        </w:rPr>
        <w:t xml:space="preserve"> Pew Research </w:t>
      </w:r>
      <w:proofErr w:type="spellStart"/>
      <w:r w:rsidRPr="002F30B2">
        <w:rPr>
          <w:rFonts w:cstheme="minorHAnsi"/>
          <w:sz w:val="24"/>
          <w:szCs w:val="24"/>
        </w:rPr>
        <w:t>Center</w:t>
      </w:r>
      <w:proofErr w:type="spellEnd"/>
      <w:r>
        <w:rPr>
          <w:rFonts w:cstheme="minorHAnsi"/>
          <w:sz w:val="24"/>
          <w:szCs w:val="24"/>
        </w:rPr>
        <w:t xml:space="preserve">, </w:t>
      </w:r>
      <w:r w:rsidRPr="002F30B2">
        <w:rPr>
          <w:rFonts w:cstheme="minorHAnsi"/>
          <w:sz w:val="24"/>
          <w:szCs w:val="24"/>
        </w:rPr>
        <w:t>Washington, DC</w:t>
      </w:r>
      <w:r>
        <w:rPr>
          <w:rFonts w:cstheme="minorHAnsi"/>
          <w:sz w:val="24"/>
          <w:szCs w:val="24"/>
        </w:rPr>
        <w:t xml:space="preserve">. </w:t>
      </w:r>
    </w:p>
    <w:p w14:paraId="4B903E4D" w14:textId="118EFECB" w:rsidR="0096277F" w:rsidRPr="003258F9" w:rsidRDefault="0096277F" w:rsidP="008106E5">
      <w:pPr>
        <w:ind w:left="284" w:hanging="284"/>
        <w:rPr>
          <w:rFonts w:cstheme="minorHAnsi"/>
          <w:sz w:val="24"/>
          <w:szCs w:val="24"/>
        </w:rPr>
      </w:pPr>
      <w:r w:rsidRPr="003258F9">
        <w:rPr>
          <w:rFonts w:cstheme="minorHAnsi"/>
          <w:sz w:val="24"/>
          <w:szCs w:val="24"/>
        </w:rPr>
        <w:t>Enos, R. D. (2017). </w:t>
      </w:r>
      <w:r w:rsidRPr="003258F9">
        <w:rPr>
          <w:rFonts w:cstheme="minorHAnsi"/>
          <w:i/>
          <w:iCs/>
          <w:sz w:val="24"/>
          <w:szCs w:val="24"/>
        </w:rPr>
        <w:t>The space between us: Social geography and politics</w:t>
      </w:r>
      <w:r w:rsidRPr="003258F9">
        <w:rPr>
          <w:rFonts w:cstheme="minorHAnsi"/>
          <w:sz w:val="24"/>
          <w:szCs w:val="24"/>
        </w:rPr>
        <w:t>. Cambridge: Cambridge University Press.</w:t>
      </w:r>
    </w:p>
    <w:p w14:paraId="569B8453" w14:textId="66278C73" w:rsidR="008106E5" w:rsidRPr="003258F9" w:rsidRDefault="008106E5" w:rsidP="008106E5">
      <w:pPr>
        <w:ind w:left="284" w:hanging="284"/>
        <w:rPr>
          <w:rFonts w:cstheme="minorHAnsi"/>
          <w:sz w:val="24"/>
          <w:szCs w:val="24"/>
        </w:rPr>
      </w:pPr>
      <w:r w:rsidRPr="003258F9">
        <w:rPr>
          <w:rFonts w:cstheme="minorHAnsi"/>
          <w:sz w:val="24"/>
          <w:szCs w:val="24"/>
        </w:rPr>
        <w:t xml:space="preserve">Fetzer, T. (2019). Did Austerity Cause Brexit? </w:t>
      </w:r>
      <w:r w:rsidRPr="003258F9">
        <w:rPr>
          <w:rFonts w:cstheme="minorHAnsi"/>
          <w:i/>
          <w:iCs/>
          <w:sz w:val="24"/>
          <w:szCs w:val="24"/>
        </w:rPr>
        <w:t>American Economic Review</w:t>
      </w:r>
      <w:r w:rsidR="006E552D"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109</w:t>
      </w:r>
      <w:r w:rsidRPr="003258F9">
        <w:rPr>
          <w:rFonts w:cstheme="minorHAnsi"/>
          <w:sz w:val="24"/>
          <w:szCs w:val="24"/>
        </w:rPr>
        <w:t>(11): 3849-3886.</w:t>
      </w:r>
    </w:p>
    <w:p w14:paraId="16441031" w14:textId="65830322" w:rsidR="0096277F" w:rsidRPr="003258F9" w:rsidRDefault="0096277F" w:rsidP="008106E5">
      <w:pPr>
        <w:ind w:left="284" w:hanging="284"/>
        <w:rPr>
          <w:rFonts w:cstheme="minorHAnsi"/>
          <w:sz w:val="24"/>
          <w:szCs w:val="24"/>
        </w:rPr>
      </w:pPr>
      <w:r w:rsidRPr="003258F9">
        <w:rPr>
          <w:rFonts w:cstheme="minorHAnsi"/>
          <w:sz w:val="24"/>
          <w:szCs w:val="24"/>
        </w:rPr>
        <w:t>Fischer, C. S. (1973). On urban alienations and anomie: Powerlessness and social isolation. </w:t>
      </w:r>
      <w:r w:rsidRPr="003258F9">
        <w:rPr>
          <w:rFonts w:cstheme="minorHAnsi"/>
          <w:i/>
          <w:iCs/>
          <w:sz w:val="24"/>
          <w:szCs w:val="24"/>
        </w:rPr>
        <w:t>American sociological review</w:t>
      </w:r>
      <w:r w:rsidRPr="003258F9">
        <w:rPr>
          <w:rFonts w:cstheme="minorHAnsi"/>
          <w:sz w:val="24"/>
          <w:szCs w:val="24"/>
        </w:rPr>
        <w:t>, 311-326.</w:t>
      </w:r>
    </w:p>
    <w:p w14:paraId="6C9EB125" w14:textId="4F0CA384" w:rsidR="00151BC5" w:rsidRPr="003258F9" w:rsidRDefault="00151BC5" w:rsidP="008106E5">
      <w:pPr>
        <w:ind w:left="284" w:hanging="284"/>
        <w:rPr>
          <w:rFonts w:cstheme="minorHAnsi"/>
          <w:sz w:val="24"/>
          <w:szCs w:val="24"/>
        </w:rPr>
      </w:pPr>
      <w:r w:rsidRPr="003258F9">
        <w:rPr>
          <w:rFonts w:cstheme="minorHAnsi"/>
          <w:sz w:val="24"/>
          <w:szCs w:val="24"/>
        </w:rPr>
        <w:t xml:space="preserve">Fischer, C. (1982). </w:t>
      </w:r>
      <w:r w:rsidRPr="003258F9">
        <w:rPr>
          <w:rFonts w:cstheme="minorHAnsi"/>
          <w:i/>
          <w:iCs/>
          <w:sz w:val="24"/>
          <w:szCs w:val="24"/>
        </w:rPr>
        <w:t>To Dwell Among Friends: Personal Networks in Town and City</w:t>
      </w:r>
      <w:r w:rsidRPr="003258F9">
        <w:rPr>
          <w:rFonts w:cstheme="minorHAnsi"/>
          <w:sz w:val="24"/>
          <w:szCs w:val="24"/>
        </w:rPr>
        <w:t>. Chicago: University of Chicago Press.</w:t>
      </w:r>
    </w:p>
    <w:p w14:paraId="32E9F03F" w14:textId="10D0EA8F" w:rsidR="00B7502C" w:rsidRPr="003258F9" w:rsidRDefault="00B7502C" w:rsidP="008106E5">
      <w:pPr>
        <w:ind w:left="284" w:hanging="284"/>
        <w:rPr>
          <w:rFonts w:cstheme="minorHAnsi"/>
          <w:sz w:val="24"/>
          <w:szCs w:val="24"/>
        </w:rPr>
      </w:pPr>
      <w:r w:rsidRPr="003258F9">
        <w:rPr>
          <w:rFonts w:cstheme="minorHAnsi"/>
          <w:sz w:val="24"/>
          <w:szCs w:val="24"/>
        </w:rPr>
        <w:t>Fisman, R., &amp; Khanna, T. (1999). Is trust a historical residue? Information flows and trust levels. </w:t>
      </w:r>
      <w:r w:rsidRPr="003258F9">
        <w:rPr>
          <w:rFonts w:cstheme="minorHAnsi"/>
          <w:i/>
          <w:iCs/>
          <w:sz w:val="24"/>
          <w:szCs w:val="24"/>
        </w:rPr>
        <w:t>Journal of Economic Behavior &amp; Organization</w:t>
      </w:r>
      <w:r w:rsidRPr="003258F9">
        <w:rPr>
          <w:rFonts w:cstheme="minorHAnsi"/>
          <w:sz w:val="24"/>
          <w:szCs w:val="24"/>
        </w:rPr>
        <w:t>, </w:t>
      </w:r>
      <w:r w:rsidRPr="003258F9">
        <w:rPr>
          <w:rFonts w:cstheme="minorHAnsi"/>
          <w:i/>
          <w:iCs/>
          <w:sz w:val="24"/>
          <w:szCs w:val="24"/>
        </w:rPr>
        <w:t>38</w:t>
      </w:r>
      <w:r w:rsidRPr="003258F9">
        <w:rPr>
          <w:rFonts w:cstheme="minorHAnsi"/>
          <w:sz w:val="24"/>
          <w:szCs w:val="24"/>
        </w:rPr>
        <w:t>(1), 79-92.</w:t>
      </w:r>
    </w:p>
    <w:p w14:paraId="38AD609E" w14:textId="06952312" w:rsidR="008106E5" w:rsidRPr="003258F9" w:rsidRDefault="008106E5" w:rsidP="008106E5">
      <w:pPr>
        <w:ind w:left="284" w:hanging="284"/>
        <w:rPr>
          <w:rFonts w:cstheme="minorHAnsi"/>
          <w:sz w:val="24"/>
          <w:szCs w:val="24"/>
        </w:rPr>
      </w:pPr>
      <w:r w:rsidRPr="003258F9">
        <w:rPr>
          <w:rFonts w:cstheme="minorHAnsi"/>
          <w:sz w:val="24"/>
          <w:szCs w:val="24"/>
        </w:rPr>
        <w:t>Gest, J</w:t>
      </w:r>
      <w:r w:rsidR="006E552D" w:rsidRPr="003258F9">
        <w:rPr>
          <w:rFonts w:cstheme="minorHAnsi"/>
          <w:sz w:val="24"/>
          <w:szCs w:val="24"/>
        </w:rPr>
        <w:t>.</w:t>
      </w:r>
      <w:r w:rsidRPr="003258F9">
        <w:rPr>
          <w:rFonts w:cstheme="minorHAnsi"/>
          <w:sz w:val="24"/>
          <w:szCs w:val="24"/>
        </w:rPr>
        <w:t>, Reny</w:t>
      </w:r>
      <w:r w:rsidR="00D242D8" w:rsidRPr="003258F9">
        <w:rPr>
          <w:rFonts w:cstheme="minorHAnsi"/>
          <w:sz w:val="24"/>
          <w:szCs w:val="24"/>
        </w:rPr>
        <w:t>, T.</w:t>
      </w:r>
      <w:r w:rsidRPr="003258F9">
        <w:rPr>
          <w:rFonts w:cstheme="minorHAnsi"/>
          <w:sz w:val="24"/>
          <w:szCs w:val="24"/>
        </w:rPr>
        <w:t xml:space="preserve"> and Mayer</w:t>
      </w:r>
      <w:r w:rsidR="006E552D" w:rsidRPr="003258F9">
        <w:rPr>
          <w:rFonts w:cstheme="minorHAnsi"/>
          <w:sz w:val="24"/>
          <w:szCs w:val="24"/>
        </w:rPr>
        <w:t>, J</w:t>
      </w:r>
      <w:r w:rsidRPr="003258F9">
        <w:rPr>
          <w:rFonts w:cstheme="minorHAnsi"/>
          <w:sz w:val="24"/>
          <w:szCs w:val="24"/>
        </w:rPr>
        <w:t xml:space="preserve">. (2018). Roots of the Radical Right: Nostalgic Deprivation in the United States and Britain. </w:t>
      </w:r>
      <w:r w:rsidRPr="003258F9">
        <w:rPr>
          <w:rFonts w:cstheme="minorHAnsi"/>
          <w:i/>
          <w:iCs/>
          <w:sz w:val="24"/>
          <w:szCs w:val="24"/>
        </w:rPr>
        <w:t>Comparative Political Studies</w:t>
      </w:r>
      <w:r w:rsidR="006E552D"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51</w:t>
      </w:r>
      <w:r w:rsidRPr="003258F9">
        <w:rPr>
          <w:rFonts w:cstheme="minorHAnsi"/>
          <w:sz w:val="24"/>
          <w:szCs w:val="24"/>
        </w:rPr>
        <w:t xml:space="preserve">(13): 1694-1719. </w:t>
      </w:r>
    </w:p>
    <w:p w14:paraId="5CE241CA" w14:textId="469CD297" w:rsidR="008106E5" w:rsidRPr="003258F9" w:rsidRDefault="008106E5" w:rsidP="008106E5">
      <w:pPr>
        <w:ind w:left="284" w:hanging="284"/>
        <w:rPr>
          <w:rFonts w:cstheme="minorHAnsi"/>
          <w:sz w:val="24"/>
          <w:szCs w:val="24"/>
        </w:rPr>
      </w:pPr>
      <w:r w:rsidRPr="003258F9">
        <w:rPr>
          <w:rFonts w:cstheme="minorHAnsi"/>
          <w:sz w:val="24"/>
          <w:szCs w:val="24"/>
        </w:rPr>
        <w:t>Gidron, N</w:t>
      </w:r>
      <w:r w:rsidR="00F32099" w:rsidRPr="003258F9">
        <w:rPr>
          <w:rFonts w:cstheme="minorHAnsi"/>
          <w:sz w:val="24"/>
          <w:szCs w:val="24"/>
        </w:rPr>
        <w:t>.</w:t>
      </w:r>
      <w:r w:rsidRPr="003258F9">
        <w:rPr>
          <w:rFonts w:cstheme="minorHAnsi"/>
          <w:sz w:val="24"/>
          <w:szCs w:val="24"/>
        </w:rPr>
        <w:t xml:space="preserve"> and P</w:t>
      </w:r>
      <w:r w:rsidR="00F32099" w:rsidRPr="003258F9">
        <w:rPr>
          <w:rFonts w:cstheme="minorHAnsi"/>
          <w:sz w:val="24"/>
          <w:szCs w:val="24"/>
        </w:rPr>
        <w:t>.</w:t>
      </w:r>
      <w:r w:rsidRPr="003258F9">
        <w:rPr>
          <w:rFonts w:cstheme="minorHAnsi"/>
          <w:sz w:val="24"/>
          <w:szCs w:val="24"/>
        </w:rPr>
        <w:t xml:space="preserve">A. Hall. (2017). The politics of social status: economic and cultural roots of the populist right. </w:t>
      </w:r>
      <w:r w:rsidRPr="003258F9">
        <w:rPr>
          <w:rFonts w:cstheme="minorHAnsi"/>
          <w:i/>
          <w:iCs/>
          <w:sz w:val="24"/>
          <w:szCs w:val="24"/>
        </w:rPr>
        <w:t>British Journal of Sociology</w:t>
      </w:r>
      <w:r w:rsidRPr="003258F9">
        <w:rPr>
          <w:rFonts w:cstheme="minorHAnsi"/>
          <w:sz w:val="24"/>
          <w:szCs w:val="24"/>
        </w:rPr>
        <w:t xml:space="preserve"> </w:t>
      </w:r>
      <w:r w:rsidRPr="003258F9">
        <w:rPr>
          <w:rFonts w:cstheme="minorHAnsi"/>
          <w:i/>
          <w:iCs/>
          <w:sz w:val="24"/>
          <w:szCs w:val="24"/>
        </w:rPr>
        <w:t>68</w:t>
      </w:r>
      <w:r w:rsidRPr="003258F9">
        <w:rPr>
          <w:rFonts w:cstheme="minorHAnsi"/>
          <w:sz w:val="24"/>
          <w:szCs w:val="24"/>
        </w:rPr>
        <w:t>: S57-S84.</w:t>
      </w:r>
    </w:p>
    <w:p w14:paraId="4C20A01B" w14:textId="0947C034" w:rsidR="008106E5" w:rsidRPr="003258F9" w:rsidRDefault="008106E5" w:rsidP="008106E5">
      <w:pPr>
        <w:ind w:left="284" w:hanging="284"/>
        <w:rPr>
          <w:rFonts w:cstheme="minorHAnsi"/>
          <w:sz w:val="24"/>
          <w:szCs w:val="24"/>
        </w:rPr>
      </w:pPr>
      <w:r w:rsidRPr="003258F9">
        <w:rPr>
          <w:rFonts w:cstheme="minorHAnsi"/>
          <w:sz w:val="24"/>
          <w:szCs w:val="24"/>
        </w:rPr>
        <w:t>Gidron, N</w:t>
      </w:r>
      <w:r w:rsidR="00F32099" w:rsidRPr="003258F9">
        <w:rPr>
          <w:rFonts w:cstheme="minorHAnsi"/>
          <w:sz w:val="24"/>
          <w:szCs w:val="24"/>
        </w:rPr>
        <w:t>.</w:t>
      </w:r>
      <w:r w:rsidRPr="003258F9">
        <w:rPr>
          <w:rFonts w:cstheme="minorHAnsi"/>
          <w:sz w:val="24"/>
          <w:szCs w:val="24"/>
        </w:rPr>
        <w:t xml:space="preserve"> and P</w:t>
      </w:r>
      <w:r w:rsidR="00F32099" w:rsidRPr="003258F9">
        <w:rPr>
          <w:rFonts w:cstheme="minorHAnsi"/>
          <w:sz w:val="24"/>
          <w:szCs w:val="24"/>
        </w:rPr>
        <w:t>.</w:t>
      </w:r>
      <w:r w:rsidRPr="003258F9">
        <w:rPr>
          <w:rFonts w:cstheme="minorHAnsi"/>
          <w:sz w:val="24"/>
          <w:szCs w:val="24"/>
        </w:rPr>
        <w:t xml:space="preserve">A. Hall. (2020). Populism as a Problem of Social Integration. </w:t>
      </w:r>
      <w:r w:rsidRPr="003258F9">
        <w:rPr>
          <w:rFonts w:cstheme="minorHAnsi"/>
          <w:i/>
          <w:iCs/>
          <w:sz w:val="24"/>
          <w:szCs w:val="24"/>
        </w:rPr>
        <w:t>Comparative Political Studies</w:t>
      </w:r>
      <w:r w:rsidRPr="003258F9">
        <w:rPr>
          <w:rFonts w:cstheme="minorHAnsi"/>
          <w:sz w:val="24"/>
          <w:szCs w:val="24"/>
        </w:rPr>
        <w:t xml:space="preserve"> </w:t>
      </w:r>
      <w:r w:rsidRPr="003258F9">
        <w:rPr>
          <w:rFonts w:cstheme="minorHAnsi"/>
          <w:i/>
          <w:iCs/>
          <w:sz w:val="24"/>
          <w:szCs w:val="24"/>
        </w:rPr>
        <w:t>53</w:t>
      </w:r>
      <w:r w:rsidRPr="003258F9">
        <w:rPr>
          <w:rFonts w:cstheme="minorHAnsi"/>
          <w:sz w:val="24"/>
          <w:szCs w:val="24"/>
        </w:rPr>
        <w:t>(7): 1027-1059.</w:t>
      </w:r>
    </w:p>
    <w:p w14:paraId="1EDBA3C6" w14:textId="3038CCA2" w:rsidR="008106E5" w:rsidRPr="003258F9" w:rsidRDefault="008106E5" w:rsidP="008106E5">
      <w:pPr>
        <w:ind w:left="284" w:hanging="284"/>
        <w:rPr>
          <w:rFonts w:cstheme="minorHAnsi"/>
          <w:sz w:val="24"/>
          <w:szCs w:val="24"/>
        </w:rPr>
      </w:pPr>
      <w:r w:rsidRPr="003258F9">
        <w:rPr>
          <w:rFonts w:cstheme="minorHAnsi"/>
          <w:sz w:val="24"/>
          <w:szCs w:val="24"/>
        </w:rPr>
        <w:t xml:space="preserve">Granovetter, M.S. (1973). The Strength of Weak Ties. </w:t>
      </w:r>
      <w:r w:rsidRPr="003258F9">
        <w:rPr>
          <w:rFonts w:cstheme="minorHAnsi"/>
          <w:i/>
          <w:iCs/>
          <w:sz w:val="24"/>
          <w:szCs w:val="24"/>
        </w:rPr>
        <w:t>American Journal of Sociology</w:t>
      </w:r>
      <w:r w:rsidRPr="003258F9">
        <w:rPr>
          <w:rFonts w:cstheme="minorHAnsi"/>
          <w:sz w:val="24"/>
          <w:szCs w:val="24"/>
        </w:rPr>
        <w:t xml:space="preserve">, </w:t>
      </w:r>
      <w:r w:rsidRPr="003258F9">
        <w:rPr>
          <w:rFonts w:cstheme="minorHAnsi"/>
          <w:i/>
          <w:iCs/>
          <w:sz w:val="24"/>
          <w:szCs w:val="24"/>
        </w:rPr>
        <w:t>78</w:t>
      </w:r>
      <w:r w:rsidRPr="003258F9">
        <w:rPr>
          <w:rFonts w:cstheme="minorHAnsi"/>
          <w:sz w:val="24"/>
          <w:szCs w:val="24"/>
        </w:rPr>
        <w:t>(6)</w:t>
      </w:r>
      <w:r w:rsidR="006E552D" w:rsidRPr="003258F9">
        <w:rPr>
          <w:rFonts w:cstheme="minorHAnsi"/>
          <w:sz w:val="24"/>
          <w:szCs w:val="24"/>
        </w:rPr>
        <w:t>:</w:t>
      </w:r>
      <w:r w:rsidRPr="003258F9">
        <w:rPr>
          <w:rFonts w:cstheme="minorHAnsi"/>
          <w:sz w:val="24"/>
          <w:szCs w:val="24"/>
        </w:rPr>
        <w:t xml:space="preserve"> 1360</w:t>
      </w:r>
      <w:r w:rsidR="00D242D8" w:rsidRPr="003258F9">
        <w:rPr>
          <w:rFonts w:cstheme="minorHAnsi"/>
          <w:sz w:val="24"/>
          <w:szCs w:val="24"/>
        </w:rPr>
        <w:t>-</w:t>
      </w:r>
      <w:r w:rsidRPr="003258F9">
        <w:rPr>
          <w:rFonts w:cstheme="minorHAnsi"/>
          <w:sz w:val="24"/>
          <w:szCs w:val="24"/>
        </w:rPr>
        <w:t>1380.</w:t>
      </w:r>
    </w:p>
    <w:p w14:paraId="0CBB2C1E" w14:textId="525EB30D" w:rsidR="002D7FAD" w:rsidRPr="003258F9" w:rsidRDefault="002D7FAD" w:rsidP="008106E5">
      <w:pPr>
        <w:ind w:left="284" w:hanging="284"/>
        <w:rPr>
          <w:rFonts w:cstheme="minorHAnsi"/>
          <w:sz w:val="24"/>
          <w:szCs w:val="24"/>
        </w:rPr>
      </w:pPr>
      <w:r w:rsidRPr="003258F9">
        <w:rPr>
          <w:rFonts w:cstheme="minorHAnsi"/>
          <w:sz w:val="24"/>
          <w:szCs w:val="24"/>
        </w:rPr>
        <w:t xml:space="preserve">Granovetter, M. (1983). The Strength of Weak Ties: A Network Theory Revisited. </w:t>
      </w:r>
      <w:r w:rsidRPr="003258F9">
        <w:rPr>
          <w:rFonts w:cstheme="minorHAnsi"/>
          <w:i/>
          <w:iCs/>
          <w:sz w:val="24"/>
          <w:szCs w:val="24"/>
        </w:rPr>
        <w:t>Sociological Theory</w:t>
      </w:r>
      <w:r w:rsidRPr="003258F9">
        <w:rPr>
          <w:rFonts w:cstheme="minorHAnsi"/>
          <w:sz w:val="24"/>
          <w:szCs w:val="24"/>
        </w:rPr>
        <w:t>, 1: 201-233.</w:t>
      </w:r>
    </w:p>
    <w:p w14:paraId="1607D80F" w14:textId="7E212D5C" w:rsidR="002D7FAD" w:rsidRDefault="002D7FAD" w:rsidP="008106E5">
      <w:pPr>
        <w:ind w:left="284" w:hanging="284"/>
        <w:rPr>
          <w:rFonts w:cstheme="minorHAnsi"/>
          <w:sz w:val="24"/>
          <w:szCs w:val="24"/>
        </w:rPr>
      </w:pPr>
      <w:r w:rsidRPr="003258F9">
        <w:rPr>
          <w:rFonts w:cstheme="minorHAnsi"/>
          <w:sz w:val="24"/>
          <w:szCs w:val="24"/>
        </w:rPr>
        <w:lastRenderedPageBreak/>
        <w:t xml:space="preserve">Granovetter, M. (2005). The Impact of Social Structure on Economic Outcomes. </w:t>
      </w:r>
      <w:r w:rsidRPr="003258F9">
        <w:rPr>
          <w:rFonts w:cstheme="minorHAnsi"/>
          <w:i/>
          <w:iCs/>
          <w:sz w:val="24"/>
          <w:szCs w:val="24"/>
        </w:rPr>
        <w:t>Journal of Economic Perspectives</w:t>
      </w:r>
      <w:r w:rsidRPr="003258F9">
        <w:rPr>
          <w:rFonts w:cstheme="minorHAnsi"/>
          <w:sz w:val="24"/>
          <w:szCs w:val="24"/>
        </w:rPr>
        <w:t>, 19(1): 33-50.</w:t>
      </w:r>
    </w:p>
    <w:p w14:paraId="59D61789" w14:textId="79597EAC" w:rsidR="002F30B2" w:rsidRPr="003258F9" w:rsidRDefault="002F30B2" w:rsidP="008106E5">
      <w:pPr>
        <w:ind w:left="284" w:hanging="284"/>
        <w:rPr>
          <w:rFonts w:cstheme="minorHAnsi"/>
          <w:sz w:val="24"/>
          <w:szCs w:val="24"/>
        </w:rPr>
      </w:pPr>
      <w:r w:rsidRPr="002F30B2">
        <w:rPr>
          <w:rFonts w:cstheme="minorHAnsi"/>
          <w:sz w:val="24"/>
          <w:szCs w:val="24"/>
        </w:rPr>
        <w:t>Hampton</w:t>
      </w:r>
      <w:r>
        <w:rPr>
          <w:rFonts w:cstheme="minorHAnsi"/>
          <w:sz w:val="24"/>
          <w:szCs w:val="24"/>
        </w:rPr>
        <w:t>, K.</w:t>
      </w:r>
      <w:r w:rsidRPr="002F30B2">
        <w:rPr>
          <w:rFonts w:cstheme="minorHAnsi"/>
          <w:sz w:val="24"/>
          <w:szCs w:val="24"/>
        </w:rPr>
        <w:t xml:space="preserve">, </w:t>
      </w:r>
      <w:r>
        <w:rPr>
          <w:rFonts w:cstheme="minorHAnsi"/>
          <w:sz w:val="24"/>
          <w:szCs w:val="24"/>
        </w:rPr>
        <w:t>Goulet, L.S.</w:t>
      </w:r>
      <w:r w:rsidRPr="002F30B2">
        <w:rPr>
          <w:rFonts w:cstheme="minorHAnsi"/>
          <w:sz w:val="24"/>
          <w:szCs w:val="24"/>
        </w:rPr>
        <w:t>, Rainie,</w:t>
      </w:r>
      <w:r>
        <w:rPr>
          <w:rFonts w:cstheme="minorHAnsi"/>
          <w:sz w:val="24"/>
          <w:szCs w:val="24"/>
        </w:rPr>
        <w:t xml:space="preserve"> L, and</w:t>
      </w:r>
      <w:r w:rsidRPr="002F30B2">
        <w:rPr>
          <w:rFonts w:cstheme="minorHAnsi"/>
          <w:sz w:val="24"/>
          <w:szCs w:val="24"/>
        </w:rPr>
        <w:t xml:space="preserve"> </w:t>
      </w:r>
      <w:r>
        <w:rPr>
          <w:rFonts w:cstheme="minorHAnsi"/>
          <w:sz w:val="24"/>
          <w:szCs w:val="24"/>
        </w:rPr>
        <w:t>Purcell, K</w:t>
      </w:r>
      <w:r w:rsidRPr="002F30B2">
        <w:rPr>
          <w:rFonts w:cstheme="minorHAnsi"/>
          <w:sz w:val="24"/>
          <w:szCs w:val="24"/>
        </w:rPr>
        <w:t xml:space="preserve">. </w:t>
      </w:r>
      <w:r>
        <w:rPr>
          <w:rFonts w:cstheme="minorHAnsi"/>
          <w:sz w:val="24"/>
          <w:szCs w:val="24"/>
        </w:rPr>
        <w:t>(</w:t>
      </w:r>
      <w:r w:rsidRPr="002F30B2">
        <w:rPr>
          <w:rFonts w:cstheme="minorHAnsi"/>
          <w:sz w:val="24"/>
          <w:szCs w:val="24"/>
        </w:rPr>
        <w:t>2011</w:t>
      </w:r>
      <w:r>
        <w:rPr>
          <w:rFonts w:cstheme="minorHAnsi"/>
          <w:sz w:val="24"/>
          <w:szCs w:val="24"/>
        </w:rPr>
        <w:t>)</w:t>
      </w:r>
      <w:r w:rsidRPr="002F30B2">
        <w:rPr>
          <w:rFonts w:cstheme="minorHAnsi"/>
          <w:sz w:val="24"/>
          <w:szCs w:val="24"/>
        </w:rPr>
        <w:t xml:space="preserve">. </w:t>
      </w:r>
      <w:r>
        <w:rPr>
          <w:rFonts w:cstheme="minorHAnsi"/>
          <w:sz w:val="24"/>
          <w:szCs w:val="24"/>
        </w:rPr>
        <w:t>‘</w:t>
      </w:r>
      <w:r w:rsidRPr="002F30B2">
        <w:rPr>
          <w:rFonts w:cstheme="minorHAnsi"/>
          <w:sz w:val="24"/>
          <w:szCs w:val="24"/>
        </w:rPr>
        <w:t>Social Networking Sites and Our Lives</w:t>
      </w:r>
      <w:r>
        <w:rPr>
          <w:rFonts w:cstheme="minorHAnsi"/>
          <w:sz w:val="24"/>
          <w:szCs w:val="24"/>
        </w:rPr>
        <w:t>’.</w:t>
      </w:r>
      <w:r w:rsidRPr="002F30B2">
        <w:rPr>
          <w:rFonts w:cstheme="minorHAnsi"/>
          <w:sz w:val="24"/>
          <w:szCs w:val="24"/>
        </w:rPr>
        <w:t xml:space="preserve"> Pew Internet and American Life Project, Washington, DC</w:t>
      </w:r>
      <w:r>
        <w:rPr>
          <w:rFonts w:cstheme="minorHAnsi"/>
          <w:sz w:val="24"/>
          <w:szCs w:val="24"/>
        </w:rPr>
        <w:t>.</w:t>
      </w:r>
    </w:p>
    <w:p w14:paraId="4267C553" w14:textId="2ABA36D9" w:rsidR="008106E5" w:rsidRPr="003258F9" w:rsidRDefault="008106E5" w:rsidP="008106E5">
      <w:pPr>
        <w:ind w:left="284" w:hanging="284"/>
        <w:rPr>
          <w:rFonts w:cstheme="minorHAnsi"/>
          <w:sz w:val="24"/>
          <w:szCs w:val="24"/>
        </w:rPr>
      </w:pPr>
      <w:r w:rsidRPr="003258F9">
        <w:rPr>
          <w:rFonts w:cstheme="minorHAnsi"/>
          <w:sz w:val="24"/>
          <w:szCs w:val="24"/>
        </w:rPr>
        <w:t xml:space="preserve">Hardin, R. (2006). </w:t>
      </w:r>
      <w:r w:rsidRPr="003258F9">
        <w:rPr>
          <w:rFonts w:cstheme="minorHAnsi"/>
          <w:i/>
          <w:iCs/>
          <w:sz w:val="24"/>
          <w:szCs w:val="24"/>
        </w:rPr>
        <w:t>Trust</w:t>
      </w:r>
      <w:r w:rsidRPr="003258F9">
        <w:rPr>
          <w:rFonts w:cstheme="minorHAnsi"/>
          <w:sz w:val="24"/>
          <w:szCs w:val="24"/>
        </w:rPr>
        <w:t>. London: Polity.</w:t>
      </w:r>
    </w:p>
    <w:p w14:paraId="353133A1" w14:textId="301A05FA" w:rsidR="00B03878" w:rsidRPr="003258F9" w:rsidRDefault="00B03878" w:rsidP="008106E5">
      <w:pPr>
        <w:ind w:left="284" w:hanging="284"/>
        <w:rPr>
          <w:rFonts w:cstheme="minorHAnsi"/>
          <w:sz w:val="24"/>
          <w:szCs w:val="24"/>
        </w:rPr>
      </w:pPr>
      <w:r w:rsidRPr="003258F9">
        <w:rPr>
          <w:rFonts w:cstheme="minorHAnsi"/>
          <w:sz w:val="24"/>
          <w:szCs w:val="24"/>
        </w:rPr>
        <w:t xml:space="preserve">Hetherington, M.J. (2005). </w:t>
      </w:r>
      <w:r w:rsidRPr="003258F9">
        <w:rPr>
          <w:rFonts w:cstheme="minorHAnsi"/>
          <w:i/>
          <w:iCs/>
          <w:sz w:val="24"/>
          <w:szCs w:val="24"/>
        </w:rPr>
        <w:t>Why trust matters: Declining political trust and the demise of American liberalism</w:t>
      </w:r>
      <w:r w:rsidRPr="003258F9">
        <w:rPr>
          <w:rFonts w:cstheme="minorHAnsi"/>
          <w:sz w:val="24"/>
          <w:szCs w:val="24"/>
        </w:rPr>
        <w:t>. Princeton, NJ: Princeton University Press.</w:t>
      </w:r>
    </w:p>
    <w:p w14:paraId="12ACEDA5" w14:textId="77777777" w:rsidR="0096277F" w:rsidRPr="003258F9" w:rsidRDefault="0096277F" w:rsidP="0096277F">
      <w:pPr>
        <w:ind w:left="284" w:hanging="284"/>
        <w:rPr>
          <w:rFonts w:cstheme="minorHAnsi"/>
          <w:sz w:val="24"/>
          <w:szCs w:val="24"/>
        </w:rPr>
      </w:pPr>
      <w:r w:rsidRPr="003258F9">
        <w:rPr>
          <w:rFonts w:cstheme="minorHAnsi"/>
          <w:sz w:val="24"/>
          <w:szCs w:val="24"/>
        </w:rPr>
        <w:t>Huijsmans, T. (2023). Place resentment in ‘the places that don’t matter’: explaining the geographic divide in populist and anti-immigration attitudes. </w:t>
      </w:r>
      <w:r w:rsidRPr="003258F9">
        <w:rPr>
          <w:rFonts w:cstheme="minorHAnsi"/>
          <w:i/>
          <w:iCs/>
          <w:sz w:val="24"/>
          <w:szCs w:val="24"/>
        </w:rPr>
        <w:t xml:space="preserve">Acta </w:t>
      </w:r>
      <w:proofErr w:type="spellStart"/>
      <w:r w:rsidRPr="003258F9">
        <w:rPr>
          <w:rFonts w:cstheme="minorHAnsi"/>
          <w:i/>
          <w:iCs/>
          <w:sz w:val="24"/>
          <w:szCs w:val="24"/>
        </w:rPr>
        <w:t>Politica</w:t>
      </w:r>
      <w:proofErr w:type="spellEnd"/>
      <w:r w:rsidRPr="003258F9">
        <w:rPr>
          <w:rFonts w:cstheme="minorHAnsi"/>
          <w:sz w:val="24"/>
          <w:szCs w:val="24"/>
        </w:rPr>
        <w:t>, </w:t>
      </w:r>
      <w:r w:rsidRPr="003258F9">
        <w:rPr>
          <w:rFonts w:cstheme="minorHAnsi"/>
          <w:i/>
          <w:iCs/>
          <w:sz w:val="24"/>
          <w:szCs w:val="24"/>
        </w:rPr>
        <w:t>58</w:t>
      </w:r>
      <w:r w:rsidRPr="003258F9">
        <w:rPr>
          <w:rFonts w:cstheme="minorHAnsi"/>
          <w:sz w:val="24"/>
          <w:szCs w:val="24"/>
        </w:rPr>
        <w:t>(2), 285-305.</w:t>
      </w:r>
    </w:p>
    <w:p w14:paraId="5FB54AE2" w14:textId="4B6D3689" w:rsidR="003F6113" w:rsidRPr="003258F9" w:rsidRDefault="003F6113" w:rsidP="008106E5">
      <w:pPr>
        <w:ind w:left="284" w:hanging="284"/>
        <w:rPr>
          <w:rFonts w:cstheme="minorHAnsi"/>
          <w:sz w:val="24"/>
          <w:szCs w:val="24"/>
        </w:rPr>
      </w:pPr>
      <w:r w:rsidRPr="003258F9">
        <w:rPr>
          <w:rFonts w:cstheme="minorHAnsi"/>
          <w:sz w:val="24"/>
          <w:szCs w:val="24"/>
        </w:rPr>
        <w:t xml:space="preserve">Huijsmans, T., </w:t>
      </w:r>
      <w:proofErr w:type="spellStart"/>
      <w:r w:rsidRPr="003258F9">
        <w:rPr>
          <w:rFonts w:cstheme="minorHAnsi"/>
          <w:sz w:val="24"/>
          <w:szCs w:val="24"/>
        </w:rPr>
        <w:t>Harteveld</w:t>
      </w:r>
      <w:proofErr w:type="spellEnd"/>
      <w:r w:rsidRPr="003258F9">
        <w:rPr>
          <w:rFonts w:cstheme="minorHAnsi"/>
          <w:sz w:val="24"/>
          <w:szCs w:val="24"/>
        </w:rPr>
        <w:t>, E., van der Brug, W.</w:t>
      </w:r>
      <w:r w:rsidR="00B03878" w:rsidRPr="003258F9">
        <w:rPr>
          <w:rFonts w:cstheme="minorHAnsi"/>
          <w:sz w:val="24"/>
          <w:szCs w:val="24"/>
        </w:rPr>
        <w:t xml:space="preserve"> and</w:t>
      </w:r>
      <w:r w:rsidRPr="003258F9">
        <w:rPr>
          <w:rFonts w:cstheme="minorHAnsi"/>
          <w:sz w:val="24"/>
          <w:szCs w:val="24"/>
        </w:rPr>
        <w:t xml:space="preserve"> </w:t>
      </w:r>
      <w:proofErr w:type="spellStart"/>
      <w:r w:rsidRPr="003258F9">
        <w:rPr>
          <w:rFonts w:cstheme="minorHAnsi"/>
          <w:sz w:val="24"/>
          <w:szCs w:val="24"/>
        </w:rPr>
        <w:t>Lancee</w:t>
      </w:r>
      <w:proofErr w:type="spellEnd"/>
      <w:r w:rsidRPr="003258F9">
        <w:rPr>
          <w:rFonts w:cstheme="minorHAnsi"/>
          <w:sz w:val="24"/>
          <w:szCs w:val="24"/>
        </w:rPr>
        <w:t>, B. (2021). Are cities ever more cosmopolitan? Studying trends in urban-rural divergence of cultural attitudes. </w:t>
      </w:r>
      <w:r w:rsidRPr="003258F9">
        <w:rPr>
          <w:rFonts w:cstheme="minorHAnsi"/>
          <w:i/>
          <w:iCs/>
          <w:sz w:val="24"/>
          <w:szCs w:val="24"/>
        </w:rPr>
        <w:t>Political Geography</w:t>
      </w:r>
      <w:r w:rsidRPr="003258F9">
        <w:rPr>
          <w:rFonts w:cstheme="minorHAnsi"/>
          <w:sz w:val="24"/>
          <w:szCs w:val="24"/>
        </w:rPr>
        <w:t>, </w:t>
      </w:r>
      <w:r w:rsidRPr="003258F9">
        <w:rPr>
          <w:rFonts w:cstheme="minorHAnsi"/>
          <w:i/>
          <w:iCs/>
          <w:sz w:val="24"/>
          <w:szCs w:val="24"/>
        </w:rPr>
        <w:t>86</w:t>
      </w:r>
      <w:r w:rsidR="00D242D8" w:rsidRPr="003258F9">
        <w:rPr>
          <w:rFonts w:cstheme="minorHAnsi"/>
          <w:sz w:val="24"/>
          <w:szCs w:val="24"/>
        </w:rPr>
        <w:t>(</w:t>
      </w:r>
      <w:r w:rsidRPr="003258F9">
        <w:rPr>
          <w:rFonts w:cstheme="minorHAnsi"/>
          <w:sz w:val="24"/>
          <w:szCs w:val="24"/>
        </w:rPr>
        <w:t>102353</w:t>
      </w:r>
      <w:r w:rsidR="00D242D8" w:rsidRPr="003258F9">
        <w:rPr>
          <w:rFonts w:cstheme="minorHAnsi"/>
          <w:sz w:val="24"/>
          <w:szCs w:val="24"/>
        </w:rPr>
        <w:t>)</w:t>
      </w:r>
      <w:r w:rsidRPr="003258F9">
        <w:rPr>
          <w:rFonts w:cstheme="minorHAnsi"/>
          <w:sz w:val="24"/>
          <w:szCs w:val="24"/>
        </w:rPr>
        <w:t>.</w:t>
      </w:r>
    </w:p>
    <w:p w14:paraId="37D1FC16" w14:textId="1A99019F" w:rsidR="0096277F" w:rsidRPr="003258F9" w:rsidRDefault="0096277F" w:rsidP="008106E5">
      <w:pPr>
        <w:ind w:left="284" w:hanging="284"/>
        <w:rPr>
          <w:rFonts w:cstheme="minorHAnsi"/>
          <w:sz w:val="24"/>
          <w:szCs w:val="24"/>
        </w:rPr>
      </w:pPr>
      <w:r w:rsidRPr="003258F9">
        <w:rPr>
          <w:rFonts w:cstheme="minorHAnsi"/>
          <w:sz w:val="24"/>
          <w:szCs w:val="24"/>
        </w:rPr>
        <w:t xml:space="preserve">House, J. S., &amp; Wolf, S. (1978). Effects of urban residence on interpersonal trust and helping </w:t>
      </w:r>
      <w:proofErr w:type="spellStart"/>
      <w:r w:rsidRPr="003258F9">
        <w:rPr>
          <w:rFonts w:cstheme="minorHAnsi"/>
          <w:sz w:val="24"/>
          <w:szCs w:val="24"/>
        </w:rPr>
        <w:t>behavior</w:t>
      </w:r>
      <w:proofErr w:type="spellEnd"/>
      <w:r w:rsidRPr="003258F9">
        <w:rPr>
          <w:rFonts w:cstheme="minorHAnsi"/>
          <w:sz w:val="24"/>
          <w:szCs w:val="24"/>
        </w:rPr>
        <w:t>. </w:t>
      </w:r>
      <w:r w:rsidRPr="003258F9">
        <w:rPr>
          <w:rFonts w:cstheme="minorHAnsi"/>
          <w:i/>
          <w:iCs/>
          <w:sz w:val="24"/>
          <w:szCs w:val="24"/>
        </w:rPr>
        <w:t>Journal of Personality and Social psychology</w:t>
      </w:r>
      <w:r w:rsidRPr="003258F9">
        <w:rPr>
          <w:rFonts w:cstheme="minorHAnsi"/>
          <w:sz w:val="24"/>
          <w:szCs w:val="24"/>
        </w:rPr>
        <w:t>, </w:t>
      </w:r>
      <w:r w:rsidRPr="003258F9">
        <w:rPr>
          <w:rFonts w:cstheme="minorHAnsi"/>
          <w:i/>
          <w:iCs/>
          <w:sz w:val="24"/>
          <w:szCs w:val="24"/>
        </w:rPr>
        <w:t>36</w:t>
      </w:r>
      <w:r w:rsidRPr="003258F9">
        <w:rPr>
          <w:rFonts w:cstheme="minorHAnsi"/>
          <w:sz w:val="24"/>
          <w:szCs w:val="24"/>
        </w:rPr>
        <w:t>(9), 1029.</w:t>
      </w:r>
    </w:p>
    <w:p w14:paraId="4CFC66F2" w14:textId="48673F66" w:rsidR="003F6113" w:rsidRPr="003258F9" w:rsidRDefault="003F6113" w:rsidP="008106E5">
      <w:pPr>
        <w:ind w:left="284" w:hanging="284"/>
        <w:rPr>
          <w:rFonts w:cstheme="minorHAnsi"/>
          <w:sz w:val="24"/>
          <w:szCs w:val="24"/>
        </w:rPr>
      </w:pPr>
      <w:r w:rsidRPr="003258F9">
        <w:rPr>
          <w:rFonts w:cstheme="minorHAnsi"/>
          <w:sz w:val="24"/>
          <w:szCs w:val="24"/>
        </w:rPr>
        <w:t>Iakhnis, E., Rathbun, B., Reifler, J.</w:t>
      </w:r>
      <w:r w:rsidR="00D242D8" w:rsidRPr="003258F9">
        <w:rPr>
          <w:rFonts w:cstheme="minorHAnsi"/>
          <w:sz w:val="24"/>
          <w:szCs w:val="24"/>
        </w:rPr>
        <w:t xml:space="preserve"> and</w:t>
      </w:r>
      <w:r w:rsidRPr="003258F9">
        <w:rPr>
          <w:rFonts w:cstheme="minorHAnsi"/>
          <w:sz w:val="24"/>
          <w:szCs w:val="24"/>
        </w:rPr>
        <w:t xml:space="preserve"> Scotto, T.J. (2018). Populist referendum: Was ‘Brexit’</w:t>
      </w:r>
      <w:r w:rsidR="00D242D8" w:rsidRPr="003258F9">
        <w:rPr>
          <w:rFonts w:cstheme="minorHAnsi"/>
          <w:sz w:val="24"/>
          <w:szCs w:val="24"/>
        </w:rPr>
        <w:t xml:space="preserve"> </w:t>
      </w:r>
      <w:r w:rsidRPr="003258F9">
        <w:rPr>
          <w:rFonts w:cstheme="minorHAnsi"/>
          <w:sz w:val="24"/>
          <w:szCs w:val="24"/>
        </w:rPr>
        <w:t xml:space="preserve">an expression of nativist and anti-elitist </w:t>
      </w:r>
      <w:proofErr w:type="gramStart"/>
      <w:r w:rsidRPr="003258F9">
        <w:rPr>
          <w:rFonts w:cstheme="minorHAnsi"/>
          <w:sz w:val="24"/>
          <w:szCs w:val="24"/>
        </w:rPr>
        <w:t>sentiment?.</w:t>
      </w:r>
      <w:proofErr w:type="gramEnd"/>
      <w:r w:rsidRPr="003258F9">
        <w:rPr>
          <w:rFonts w:cstheme="minorHAnsi"/>
          <w:sz w:val="24"/>
          <w:szCs w:val="24"/>
        </w:rPr>
        <w:t> </w:t>
      </w:r>
      <w:r w:rsidRPr="003258F9">
        <w:rPr>
          <w:rFonts w:cstheme="minorHAnsi"/>
          <w:i/>
          <w:iCs/>
          <w:sz w:val="24"/>
          <w:szCs w:val="24"/>
        </w:rPr>
        <w:t>Research &amp; Politics</w:t>
      </w:r>
      <w:r w:rsidRPr="003258F9">
        <w:rPr>
          <w:rFonts w:cstheme="minorHAnsi"/>
          <w:sz w:val="24"/>
          <w:szCs w:val="24"/>
        </w:rPr>
        <w:t>, </w:t>
      </w:r>
      <w:r w:rsidRPr="003258F9">
        <w:rPr>
          <w:rFonts w:cstheme="minorHAnsi"/>
          <w:i/>
          <w:iCs/>
          <w:sz w:val="24"/>
          <w:szCs w:val="24"/>
        </w:rPr>
        <w:t>5</w:t>
      </w:r>
      <w:r w:rsidRPr="003258F9">
        <w:rPr>
          <w:rFonts w:cstheme="minorHAnsi"/>
          <w:sz w:val="24"/>
          <w:szCs w:val="24"/>
        </w:rPr>
        <w:t>(2).</w:t>
      </w:r>
    </w:p>
    <w:p w14:paraId="3F37A3E0" w14:textId="1DC10B3F" w:rsidR="005655BF" w:rsidRPr="002F30B2" w:rsidRDefault="005655BF" w:rsidP="00B03878">
      <w:pPr>
        <w:ind w:left="284" w:hanging="284"/>
        <w:rPr>
          <w:rFonts w:cstheme="minorHAnsi"/>
          <w:sz w:val="24"/>
          <w:szCs w:val="24"/>
        </w:rPr>
      </w:pPr>
      <w:r>
        <w:rPr>
          <w:rFonts w:cstheme="minorHAnsi"/>
          <w:sz w:val="24"/>
          <w:szCs w:val="24"/>
        </w:rPr>
        <w:t>Internet World Stats</w:t>
      </w:r>
      <w:r w:rsidR="002F30B2">
        <w:rPr>
          <w:rFonts w:cstheme="minorHAnsi"/>
          <w:sz w:val="24"/>
          <w:szCs w:val="24"/>
        </w:rPr>
        <w:t xml:space="preserve">: Usage and Population Statistics. </w:t>
      </w:r>
      <w:r w:rsidR="002F30B2" w:rsidRPr="00803772">
        <w:rPr>
          <w:rFonts w:cstheme="minorHAnsi"/>
          <w:i/>
          <w:iCs/>
          <w:sz w:val="24"/>
          <w:szCs w:val="24"/>
          <w:lang w:val="it-IT"/>
        </w:rPr>
        <w:t>Europe.</w:t>
      </w:r>
      <w:r w:rsidR="002F30B2" w:rsidRPr="00803772">
        <w:rPr>
          <w:rFonts w:cstheme="minorHAnsi"/>
          <w:sz w:val="24"/>
          <w:szCs w:val="24"/>
          <w:lang w:val="it-IT"/>
        </w:rPr>
        <w:t xml:space="preserve"> </w:t>
      </w:r>
      <w:hyperlink r:id="rId10" w:history="1">
        <w:r w:rsidR="002F30B2" w:rsidRPr="00803772">
          <w:rPr>
            <w:rStyle w:val="Hyperlink"/>
            <w:rFonts w:cstheme="minorHAnsi"/>
            <w:sz w:val="24"/>
            <w:szCs w:val="24"/>
          </w:rPr>
          <w:t>https://www.internetworldstats.com/europa2.htm</w:t>
        </w:r>
      </w:hyperlink>
      <w:r w:rsidR="002F30B2" w:rsidRPr="00803772">
        <w:rPr>
          <w:rFonts w:cstheme="minorHAnsi"/>
          <w:sz w:val="24"/>
          <w:szCs w:val="24"/>
        </w:rPr>
        <w:t xml:space="preserve">. </w:t>
      </w:r>
      <w:r w:rsidR="002F30B2">
        <w:rPr>
          <w:rFonts w:cstheme="minorHAnsi"/>
          <w:sz w:val="24"/>
          <w:szCs w:val="24"/>
        </w:rPr>
        <w:t xml:space="preserve">Last accessed 14/11/2023. </w:t>
      </w:r>
    </w:p>
    <w:p w14:paraId="42588472" w14:textId="27D55C03" w:rsidR="00B03878" w:rsidRPr="003258F9" w:rsidRDefault="00B03878" w:rsidP="00B03878">
      <w:pPr>
        <w:ind w:left="284" w:hanging="284"/>
        <w:rPr>
          <w:rFonts w:cstheme="minorHAnsi"/>
          <w:sz w:val="24"/>
          <w:szCs w:val="24"/>
        </w:rPr>
      </w:pPr>
      <w:r w:rsidRPr="003258F9">
        <w:rPr>
          <w:rFonts w:cstheme="minorHAnsi"/>
          <w:sz w:val="24"/>
          <w:szCs w:val="24"/>
        </w:rPr>
        <w:t>Jacobs, A.M. and Matthews, J.S. (2012). Why Do Citizens Discount the Future? Public Opinion and the Timing of Policy Consequences.</w:t>
      </w:r>
      <w:r w:rsidRPr="003258F9">
        <w:rPr>
          <w:rFonts w:cstheme="minorHAnsi"/>
          <w:i/>
          <w:iCs/>
          <w:sz w:val="24"/>
          <w:szCs w:val="24"/>
        </w:rPr>
        <w:t xml:space="preserve"> British Journal of Political Science</w:t>
      </w:r>
      <w:r w:rsidRPr="003258F9">
        <w:rPr>
          <w:rFonts w:cstheme="minorHAnsi"/>
          <w:sz w:val="24"/>
          <w:szCs w:val="24"/>
        </w:rPr>
        <w:t xml:space="preserve">, </w:t>
      </w:r>
      <w:r w:rsidRPr="003258F9">
        <w:rPr>
          <w:rFonts w:cstheme="minorHAnsi"/>
          <w:i/>
          <w:iCs/>
          <w:sz w:val="24"/>
          <w:szCs w:val="24"/>
        </w:rPr>
        <w:t>42</w:t>
      </w:r>
      <w:r w:rsidRPr="003258F9">
        <w:rPr>
          <w:rFonts w:cstheme="minorHAnsi"/>
          <w:sz w:val="24"/>
          <w:szCs w:val="24"/>
        </w:rPr>
        <w:t xml:space="preserve">(4): 903-935. </w:t>
      </w:r>
    </w:p>
    <w:p w14:paraId="104CA17A" w14:textId="2EE26A3B" w:rsidR="00B03878" w:rsidRPr="003258F9" w:rsidRDefault="00B03878" w:rsidP="008106E5">
      <w:pPr>
        <w:ind w:left="284" w:hanging="284"/>
        <w:rPr>
          <w:rFonts w:cstheme="minorHAnsi"/>
          <w:sz w:val="24"/>
          <w:szCs w:val="24"/>
        </w:rPr>
      </w:pPr>
      <w:r w:rsidRPr="003258F9">
        <w:rPr>
          <w:rFonts w:cstheme="minorHAnsi"/>
          <w:sz w:val="24"/>
          <w:szCs w:val="24"/>
        </w:rPr>
        <w:t xml:space="preserve">Jennings, W., McKay, L. and Stoker, G. (2021). The Politics of Levelling Up. </w:t>
      </w:r>
      <w:r w:rsidRPr="003258F9">
        <w:rPr>
          <w:rFonts w:cstheme="minorHAnsi"/>
          <w:i/>
          <w:iCs/>
          <w:sz w:val="24"/>
          <w:szCs w:val="24"/>
        </w:rPr>
        <w:t>Political Quarterly</w:t>
      </w:r>
      <w:r w:rsidRPr="003258F9">
        <w:rPr>
          <w:rFonts w:cstheme="minorHAnsi"/>
          <w:sz w:val="24"/>
          <w:szCs w:val="24"/>
        </w:rPr>
        <w:t xml:space="preserve">, </w:t>
      </w:r>
      <w:r w:rsidRPr="003258F9">
        <w:rPr>
          <w:rFonts w:cstheme="minorHAnsi"/>
          <w:i/>
          <w:iCs/>
          <w:sz w:val="24"/>
          <w:szCs w:val="24"/>
        </w:rPr>
        <w:t>92</w:t>
      </w:r>
      <w:r w:rsidRPr="003258F9">
        <w:rPr>
          <w:rFonts w:cstheme="minorHAnsi"/>
          <w:sz w:val="24"/>
          <w:szCs w:val="24"/>
        </w:rPr>
        <w:t>(2): 302-311.</w:t>
      </w:r>
    </w:p>
    <w:p w14:paraId="2209D67F" w14:textId="77777777" w:rsidR="008106E5" w:rsidRPr="003258F9" w:rsidRDefault="008106E5" w:rsidP="008106E5">
      <w:pPr>
        <w:ind w:left="284" w:hanging="284"/>
        <w:rPr>
          <w:rFonts w:cstheme="minorHAnsi"/>
          <w:sz w:val="24"/>
          <w:szCs w:val="24"/>
        </w:rPr>
      </w:pPr>
      <w:bookmarkStart w:id="12" w:name="_Hlk121257767"/>
      <w:r w:rsidRPr="003258F9">
        <w:rPr>
          <w:rFonts w:cstheme="minorHAnsi"/>
          <w:sz w:val="24"/>
          <w:szCs w:val="24"/>
        </w:rPr>
        <w:t xml:space="preserve">Jones, K. (2013). Distrusting the Trustworthy. Chapter in D. Archard, M. Deveaux, N. Manson, D. Weinstock (Eds.) </w:t>
      </w:r>
      <w:r w:rsidRPr="003258F9">
        <w:rPr>
          <w:rFonts w:cstheme="minorHAnsi"/>
          <w:i/>
          <w:iCs/>
          <w:sz w:val="24"/>
          <w:szCs w:val="24"/>
        </w:rPr>
        <w:t>Reading Onora O’Neill</w:t>
      </w:r>
      <w:r w:rsidRPr="003258F9">
        <w:rPr>
          <w:rFonts w:cstheme="minorHAnsi"/>
          <w:sz w:val="24"/>
          <w:szCs w:val="24"/>
        </w:rPr>
        <w:t>. London: Routledge.</w:t>
      </w:r>
    </w:p>
    <w:bookmarkEnd w:id="12"/>
    <w:p w14:paraId="6E769BB4" w14:textId="55CB140F" w:rsidR="008106E5" w:rsidRPr="003258F9" w:rsidRDefault="008106E5" w:rsidP="008106E5">
      <w:pPr>
        <w:ind w:left="284" w:hanging="284"/>
        <w:rPr>
          <w:rFonts w:cstheme="minorHAnsi"/>
          <w:sz w:val="24"/>
          <w:szCs w:val="24"/>
        </w:rPr>
      </w:pPr>
      <w:r w:rsidRPr="003258F9">
        <w:rPr>
          <w:rFonts w:cstheme="minorHAnsi"/>
          <w:sz w:val="24"/>
          <w:szCs w:val="24"/>
        </w:rPr>
        <w:t xml:space="preserve">Kenny, M. </w:t>
      </w:r>
      <w:r w:rsidR="00D242D8" w:rsidRPr="003258F9">
        <w:rPr>
          <w:rFonts w:cstheme="minorHAnsi"/>
          <w:sz w:val="24"/>
          <w:szCs w:val="24"/>
        </w:rPr>
        <w:t xml:space="preserve">and </w:t>
      </w:r>
      <w:r w:rsidRPr="003258F9">
        <w:rPr>
          <w:rFonts w:cstheme="minorHAnsi"/>
          <w:sz w:val="24"/>
          <w:szCs w:val="24"/>
        </w:rPr>
        <w:t xml:space="preserve">Luca, D. (2021). The urban-rural polarisation of political disenchantment: an investigation of social and political attitudes in 30 European countries. </w:t>
      </w:r>
      <w:r w:rsidRPr="003258F9">
        <w:rPr>
          <w:rFonts w:cstheme="minorHAnsi"/>
          <w:i/>
          <w:iCs/>
          <w:sz w:val="24"/>
          <w:szCs w:val="24"/>
        </w:rPr>
        <w:t>Cambridge Journal of Regions, Economy and Society,</w:t>
      </w:r>
      <w:r w:rsidRPr="003258F9">
        <w:rPr>
          <w:rFonts w:cstheme="minorHAnsi"/>
          <w:sz w:val="24"/>
          <w:szCs w:val="24"/>
        </w:rPr>
        <w:t xml:space="preserve"> </w:t>
      </w:r>
      <w:r w:rsidRPr="003258F9">
        <w:rPr>
          <w:rFonts w:cstheme="minorHAnsi"/>
          <w:i/>
          <w:iCs/>
          <w:sz w:val="24"/>
          <w:szCs w:val="24"/>
        </w:rPr>
        <w:t>14</w:t>
      </w:r>
      <w:r w:rsidRPr="003258F9">
        <w:rPr>
          <w:rFonts w:cstheme="minorHAnsi"/>
          <w:sz w:val="24"/>
          <w:szCs w:val="24"/>
        </w:rPr>
        <w:t>(3)</w:t>
      </w:r>
      <w:r w:rsidR="00D242D8" w:rsidRPr="003258F9">
        <w:rPr>
          <w:rFonts w:cstheme="minorHAnsi"/>
          <w:sz w:val="24"/>
          <w:szCs w:val="24"/>
        </w:rPr>
        <w:t>:</w:t>
      </w:r>
      <w:r w:rsidRPr="003258F9">
        <w:rPr>
          <w:rFonts w:cstheme="minorHAnsi"/>
          <w:sz w:val="24"/>
          <w:szCs w:val="24"/>
        </w:rPr>
        <w:t xml:space="preserve"> 565-582.</w:t>
      </w:r>
    </w:p>
    <w:p w14:paraId="6282BB7C" w14:textId="3444F615" w:rsidR="00B03878" w:rsidRPr="003258F9" w:rsidRDefault="00B03878" w:rsidP="008106E5">
      <w:pPr>
        <w:ind w:left="284" w:hanging="284"/>
        <w:rPr>
          <w:rFonts w:cstheme="minorHAnsi"/>
          <w:sz w:val="24"/>
          <w:szCs w:val="24"/>
        </w:rPr>
      </w:pPr>
      <w:r w:rsidRPr="003258F9">
        <w:rPr>
          <w:rFonts w:cstheme="minorHAnsi"/>
          <w:sz w:val="24"/>
          <w:szCs w:val="24"/>
        </w:rPr>
        <w:lastRenderedPageBreak/>
        <w:t xml:space="preserve">Kriesi, H., Grande, E., Lachat, R., Dolezal, M., </w:t>
      </w:r>
      <w:proofErr w:type="spellStart"/>
      <w:r w:rsidRPr="003258F9">
        <w:rPr>
          <w:rFonts w:cstheme="minorHAnsi"/>
          <w:sz w:val="24"/>
          <w:szCs w:val="24"/>
        </w:rPr>
        <w:t>Bornschier</w:t>
      </w:r>
      <w:proofErr w:type="spellEnd"/>
      <w:r w:rsidRPr="003258F9">
        <w:rPr>
          <w:rFonts w:cstheme="minorHAnsi"/>
          <w:sz w:val="24"/>
          <w:szCs w:val="24"/>
        </w:rPr>
        <w:t xml:space="preserve">, S. and Frey, T. (2006), Globalization and the transformation of the national political space: Six European countries compared. </w:t>
      </w:r>
      <w:r w:rsidRPr="003258F9">
        <w:rPr>
          <w:rFonts w:cstheme="minorHAnsi"/>
          <w:i/>
          <w:iCs/>
          <w:sz w:val="24"/>
          <w:szCs w:val="24"/>
        </w:rPr>
        <w:t>European Journal of Political Research</w:t>
      </w:r>
      <w:r w:rsidRPr="003258F9">
        <w:rPr>
          <w:rFonts w:cstheme="minorHAnsi"/>
          <w:sz w:val="24"/>
          <w:szCs w:val="24"/>
        </w:rPr>
        <w:t xml:space="preserve">, </w:t>
      </w:r>
      <w:r w:rsidRPr="003258F9">
        <w:rPr>
          <w:rFonts w:cstheme="minorHAnsi"/>
          <w:i/>
          <w:iCs/>
          <w:sz w:val="24"/>
          <w:szCs w:val="24"/>
        </w:rPr>
        <w:t>45</w:t>
      </w:r>
      <w:r w:rsidRPr="003258F9">
        <w:rPr>
          <w:rFonts w:cstheme="minorHAnsi"/>
          <w:sz w:val="24"/>
          <w:szCs w:val="24"/>
        </w:rPr>
        <w:t>(6): 921-956.</w:t>
      </w:r>
    </w:p>
    <w:p w14:paraId="54EC2678" w14:textId="7F49964B" w:rsidR="008106E5" w:rsidRPr="003258F9" w:rsidRDefault="008106E5" w:rsidP="008106E5">
      <w:pPr>
        <w:ind w:left="284" w:hanging="284"/>
        <w:rPr>
          <w:rFonts w:cstheme="minorHAnsi"/>
          <w:sz w:val="24"/>
          <w:szCs w:val="24"/>
        </w:rPr>
      </w:pPr>
      <w:r w:rsidRPr="003258F9">
        <w:rPr>
          <w:rFonts w:cstheme="minorHAnsi"/>
          <w:sz w:val="24"/>
          <w:szCs w:val="24"/>
        </w:rPr>
        <w:t xml:space="preserve">Kuchler, T., Russel, D. </w:t>
      </w:r>
      <w:r w:rsidR="006E552D" w:rsidRPr="003258F9">
        <w:rPr>
          <w:rFonts w:cstheme="minorHAnsi"/>
          <w:sz w:val="24"/>
          <w:szCs w:val="24"/>
        </w:rPr>
        <w:t>and</w:t>
      </w:r>
      <w:r w:rsidRPr="003258F9">
        <w:rPr>
          <w:rFonts w:cstheme="minorHAnsi"/>
          <w:sz w:val="24"/>
          <w:szCs w:val="24"/>
        </w:rPr>
        <w:t xml:space="preserve"> Stroebel, J. (2022). The geographic spread of COVID-19 correlates with the structure of social networks as measured by Facebook. </w:t>
      </w:r>
      <w:r w:rsidRPr="003258F9">
        <w:rPr>
          <w:rFonts w:cstheme="minorHAnsi"/>
          <w:i/>
          <w:iCs/>
          <w:sz w:val="24"/>
          <w:szCs w:val="24"/>
        </w:rPr>
        <w:t>Journal of Urban Economics</w:t>
      </w:r>
      <w:r w:rsidRPr="003258F9">
        <w:rPr>
          <w:rFonts w:cstheme="minorHAnsi"/>
          <w:sz w:val="24"/>
          <w:szCs w:val="24"/>
        </w:rPr>
        <w:t>, </w:t>
      </w:r>
      <w:r w:rsidRPr="003258F9">
        <w:rPr>
          <w:rFonts w:cstheme="minorHAnsi"/>
          <w:i/>
          <w:iCs/>
          <w:sz w:val="24"/>
          <w:szCs w:val="24"/>
        </w:rPr>
        <w:t>127</w:t>
      </w:r>
      <w:r w:rsidR="006E552D" w:rsidRPr="003258F9">
        <w:rPr>
          <w:rFonts w:cstheme="minorHAnsi"/>
          <w:sz w:val="24"/>
          <w:szCs w:val="24"/>
        </w:rPr>
        <w:t>(</w:t>
      </w:r>
      <w:r w:rsidRPr="003258F9">
        <w:rPr>
          <w:rFonts w:cstheme="minorHAnsi"/>
          <w:sz w:val="24"/>
          <w:szCs w:val="24"/>
        </w:rPr>
        <w:t>103314</w:t>
      </w:r>
      <w:r w:rsidR="006E552D" w:rsidRPr="003258F9">
        <w:rPr>
          <w:rFonts w:cstheme="minorHAnsi"/>
          <w:sz w:val="24"/>
          <w:szCs w:val="24"/>
        </w:rPr>
        <w:t>)</w:t>
      </w:r>
      <w:r w:rsidRPr="003258F9">
        <w:rPr>
          <w:rFonts w:cstheme="minorHAnsi"/>
          <w:sz w:val="24"/>
          <w:szCs w:val="24"/>
        </w:rPr>
        <w:t>.</w:t>
      </w:r>
    </w:p>
    <w:p w14:paraId="44BF1DD8" w14:textId="4517B322" w:rsidR="003F6113" w:rsidRPr="003258F9" w:rsidRDefault="003F6113" w:rsidP="008106E5">
      <w:pPr>
        <w:ind w:left="284" w:hanging="284"/>
        <w:rPr>
          <w:rFonts w:cstheme="minorHAnsi"/>
          <w:sz w:val="24"/>
          <w:szCs w:val="24"/>
        </w:rPr>
      </w:pPr>
      <w:r w:rsidRPr="003258F9">
        <w:rPr>
          <w:rFonts w:cstheme="minorHAnsi"/>
          <w:sz w:val="24"/>
          <w:szCs w:val="24"/>
        </w:rPr>
        <w:t>Kyriazi, A., &amp; Miró, J. (2022). Towards a socially fair green transition in the EU? An analysis of the Just Transition Fund using the Multiple Streams Framework. </w:t>
      </w:r>
      <w:r w:rsidRPr="003258F9">
        <w:rPr>
          <w:rFonts w:cstheme="minorHAnsi"/>
          <w:i/>
          <w:iCs/>
          <w:sz w:val="24"/>
          <w:szCs w:val="24"/>
        </w:rPr>
        <w:t>Comparative European Politics</w:t>
      </w:r>
      <w:r w:rsidRPr="003258F9">
        <w:rPr>
          <w:rFonts w:cstheme="minorHAnsi"/>
          <w:sz w:val="24"/>
          <w:szCs w:val="24"/>
        </w:rPr>
        <w:t>, 1-21.</w:t>
      </w:r>
    </w:p>
    <w:p w14:paraId="6A40F5A8" w14:textId="393F4B57" w:rsidR="008106E5" w:rsidRPr="003258F9" w:rsidRDefault="008106E5" w:rsidP="008106E5">
      <w:pPr>
        <w:ind w:left="284" w:hanging="284"/>
        <w:rPr>
          <w:rFonts w:cstheme="minorHAnsi"/>
          <w:sz w:val="24"/>
          <w:szCs w:val="24"/>
        </w:rPr>
      </w:pPr>
      <w:r w:rsidRPr="003258F9">
        <w:rPr>
          <w:rFonts w:cstheme="minorHAnsi"/>
          <w:sz w:val="24"/>
          <w:szCs w:val="24"/>
        </w:rPr>
        <w:t>Lee, N</w:t>
      </w:r>
      <w:r w:rsidR="00F32099" w:rsidRPr="003258F9">
        <w:rPr>
          <w:rFonts w:cstheme="minorHAnsi"/>
          <w:sz w:val="24"/>
          <w:szCs w:val="24"/>
        </w:rPr>
        <w:t>.</w:t>
      </w:r>
      <w:r w:rsidRPr="003258F9">
        <w:rPr>
          <w:rFonts w:cstheme="minorHAnsi"/>
          <w:sz w:val="24"/>
          <w:szCs w:val="24"/>
        </w:rPr>
        <w:t>, Morris,</w:t>
      </w:r>
      <w:r w:rsidR="00F32099" w:rsidRPr="003258F9">
        <w:rPr>
          <w:rFonts w:cstheme="minorHAnsi"/>
          <w:sz w:val="24"/>
          <w:szCs w:val="24"/>
        </w:rPr>
        <w:t xml:space="preserve"> K.</w:t>
      </w:r>
      <w:r w:rsidRPr="003258F9">
        <w:rPr>
          <w:rFonts w:cstheme="minorHAnsi"/>
          <w:sz w:val="24"/>
          <w:szCs w:val="24"/>
        </w:rPr>
        <w:t xml:space="preserve"> and Kemeny</w:t>
      </w:r>
      <w:r w:rsidR="00F32099" w:rsidRPr="003258F9">
        <w:rPr>
          <w:rFonts w:cstheme="minorHAnsi"/>
          <w:sz w:val="24"/>
          <w:szCs w:val="24"/>
        </w:rPr>
        <w:t>, T</w:t>
      </w:r>
      <w:r w:rsidRPr="003258F9">
        <w:rPr>
          <w:rFonts w:cstheme="minorHAnsi"/>
          <w:sz w:val="24"/>
          <w:szCs w:val="24"/>
        </w:rPr>
        <w:t xml:space="preserve">. </w:t>
      </w:r>
      <w:r w:rsidR="00F32099" w:rsidRPr="003258F9">
        <w:rPr>
          <w:rFonts w:cstheme="minorHAnsi"/>
          <w:sz w:val="24"/>
          <w:szCs w:val="24"/>
        </w:rPr>
        <w:t>(</w:t>
      </w:r>
      <w:r w:rsidRPr="003258F9">
        <w:rPr>
          <w:rFonts w:cstheme="minorHAnsi"/>
          <w:sz w:val="24"/>
          <w:szCs w:val="24"/>
        </w:rPr>
        <w:t>2018</w:t>
      </w:r>
      <w:r w:rsidR="00F32099" w:rsidRPr="003258F9">
        <w:rPr>
          <w:rFonts w:cstheme="minorHAnsi"/>
          <w:sz w:val="24"/>
          <w:szCs w:val="24"/>
        </w:rPr>
        <w:t>)</w:t>
      </w:r>
      <w:r w:rsidRPr="003258F9">
        <w:rPr>
          <w:rFonts w:cstheme="minorHAnsi"/>
          <w:sz w:val="24"/>
          <w:szCs w:val="24"/>
        </w:rPr>
        <w:t xml:space="preserve">. Immobility and the Brexit vote. </w:t>
      </w:r>
      <w:r w:rsidRPr="003258F9">
        <w:rPr>
          <w:rFonts w:cstheme="minorHAnsi"/>
          <w:i/>
          <w:iCs/>
          <w:sz w:val="24"/>
          <w:szCs w:val="24"/>
        </w:rPr>
        <w:t>Cambridge Journal of Regions, Economy and Society</w:t>
      </w:r>
      <w:r w:rsidR="00F32099" w:rsidRPr="003258F9">
        <w:rPr>
          <w:rFonts w:cstheme="minorHAnsi"/>
          <w:sz w:val="24"/>
          <w:szCs w:val="24"/>
        </w:rPr>
        <w:t>,</w:t>
      </w:r>
      <w:r w:rsidRPr="003258F9">
        <w:rPr>
          <w:rFonts w:cstheme="minorHAnsi"/>
          <w:sz w:val="24"/>
          <w:szCs w:val="24"/>
        </w:rPr>
        <w:t xml:space="preserve"> </w:t>
      </w:r>
      <w:r w:rsidRPr="003258F9">
        <w:rPr>
          <w:rFonts w:cstheme="minorHAnsi"/>
          <w:i/>
          <w:iCs/>
          <w:sz w:val="24"/>
          <w:szCs w:val="24"/>
        </w:rPr>
        <w:t>11</w:t>
      </w:r>
      <w:r w:rsidRPr="003258F9">
        <w:rPr>
          <w:rFonts w:cstheme="minorHAnsi"/>
          <w:sz w:val="24"/>
          <w:szCs w:val="24"/>
        </w:rPr>
        <w:t>(1): 143-163.</w:t>
      </w:r>
    </w:p>
    <w:p w14:paraId="3709F8CB" w14:textId="5F00B246" w:rsidR="00B7502C" w:rsidRPr="003258F9" w:rsidRDefault="00B7502C" w:rsidP="008106E5">
      <w:pPr>
        <w:ind w:left="284" w:hanging="284"/>
        <w:rPr>
          <w:rFonts w:cstheme="minorHAnsi"/>
          <w:sz w:val="24"/>
          <w:szCs w:val="24"/>
        </w:rPr>
      </w:pPr>
      <w:r w:rsidRPr="003258F9">
        <w:rPr>
          <w:rFonts w:cstheme="minorHAnsi"/>
          <w:sz w:val="24"/>
          <w:szCs w:val="24"/>
        </w:rPr>
        <w:t>Braithwaite, V., &amp; Levi, M. (Eds.). (1998). </w:t>
      </w:r>
      <w:r w:rsidRPr="003258F9">
        <w:rPr>
          <w:rFonts w:cstheme="minorHAnsi"/>
          <w:i/>
          <w:iCs/>
          <w:sz w:val="24"/>
          <w:szCs w:val="24"/>
        </w:rPr>
        <w:t>Trust and governance</w:t>
      </w:r>
      <w:r w:rsidRPr="003258F9">
        <w:rPr>
          <w:rFonts w:cstheme="minorHAnsi"/>
          <w:sz w:val="24"/>
          <w:szCs w:val="24"/>
        </w:rPr>
        <w:t>. New York: Russell Sage Foundation.</w:t>
      </w:r>
    </w:p>
    <w:p w14:paraId="591D11FD" w14:textId="3E890568" w:rsidR="008106E5" w:rsidRPr="003258F9" w:rsidRDefault="008106E5" w:rsidP="008106E5">
      <w:pPr>
        <w:ind w:left="284" w:hanging="284"/>
        <w:rPr>
          <w:rFonts w:eastAsia="Times New Roman" w:cstheme="minorHAnsi"/>
          <w:sz w:val="24"/>
          <w:szCs w:val="24"/>
        </w:rPr>
      </w:pPr>
      <w:r w:rsidRPr="003258F9">
        <w:rPr>
          <w:rFonts w:eastAsia="Times New Roman" w:cstheme="minorHAnsi"/>
          <w:sz w:val="24"/>
          <w:szCs w:val="24"/>
        </w:rPr>
        <w:t xml:space="preserve">Levi, M. and Stoker, L. (2000). Political Trust and Trustworthiness. </w:t>
      </w:r>
      <w:r w:rsidRPr="003258F9">
        <w:rPr>
          <w:rFonts w:eastAsia="Times New Roman" w:cstheme="minorHAnsi"/>
          <w:i/>
          <w:iCs/>
          <w:sz w:val="24"/>
          <w:szCs w:val="24"/>
        </w:rPr>
        <w:t>Annual Review of Political Science,</w:t>
      </w:r>
      <w:r w:rsidRPr="003258F9">
        <w:rPr>
          <w:rFonts w:eastAsia="Times New Roman" w:cstheme="minorHAnsi"/>
          <w:sz w:val="24"/>
          <w:szCs w:val="24"/>
        </w:rPr>
        <w:t xml:space="preserve"> </w:t>
      </w:r>
      <w:r w:rsidRPr="003258F9">
        <w:rPr>
          <w:rFonts w:eastAsia="Times New Roman" w:cstheme="minorHAnsi"/>
          <w:i/>
          <w:iCs/>
          <w:sz w:val="24"/>
          <w:szCs w:val="24"/>
        </w:rPr>
        <w:t>3</w:t>
      </w:r>
      <w:r w:rsidRPr="003258F9">
        <w:rPr>
          <w:rFonts w:eastAsia="Times New Roman" w:cstheme="minorHAnsi"/>
          <w:sz w:val="24"/>
          <w:szCs w:val="24"/>
        </w:rPr>
        <w:t>(1): 475-507.</w:t>
      </w:r>
    </w:p>
    <w:p w14:paraId="4B47ED3A" w14:textId="36D93D2C" w:rsidR="008106E5" w:rsidRPr="003258F9" w:rsidRDefault="008106E5" w:rsidP="008106E5">
      <w:pPr>
        <w:ind w:left="284" w:hanging="284"/>
        <w:rPr>
          <w:rFonts w:eastAsia="Times New Roman" w:cstheme="minorHAnsi"/>
          <w:sz w:val="24"/>
          <w:szCs w:val="24"/>
        </w:rPr>
      </w:pPr>
      <w:r w:rsidRPr="003258F9">
        <w:rPr>
          <w:rFonts w:eastAsia="Times New Roman" w:cstheme="minorHAnsi"/>
          <w:sz w:val="24"/>
          <w:szCs w:val="24"/>
        </w:rPr>
        <w:t xml:space="preserve">Levi, M. (2019). Trustworthy Government and Legitimating Beliefs. </w:t>
      </w:r>
      <w:r w:rsidRPr="003258F9">
        <w:rPr>
          <w:rFonts w:eastAsia="Times New Roman" w:cstheme="minorHAnsi"/>
          <w:i/>
          <w:iCs/>
          <w:sz w:val="24"/>
          <w:szCs w:val="24"/>
        </w:rPr>
        <w:t>Nomos</w:t>
      </w:r>
      <w:r w:rsidRPr="003258F9">
        <w:rPr>
          <w:rFonts w:eastAsia="Times New Roman" w:cstheme="minorHAnsi"/>
          <w:sz w:val="24"/>
          <w:szCs w:val="24"/>
        </w:rPr>
        <w:t>, 61: 362-384.</w:t>
      </w:r>
    </w:p>
    <w:p w14:paraId="470C99ED" w14:textId="25423AA1" w:rsidR="004A759F" w:rsidRPr="003258F9" w:rsidRDefault="004A759F" w:rsidP="008106E5">
      <w:pPr>
        <w:ind w:left="284" w:hanging="284"/>
        <w:rPr>
          <w:rFonts w:eastAsia="Times New Roman" w:cstheme="minorHAnsi"/>
          <w:sz w:val="24"/>
          <w:szCs w:val="24"/>
        </w:rPr>
      </w:pPr>
      <w:r w:rsidRPr="003258F9">
        <w:rPr>
          <w:rFonts w:eastAsia="Times New Roman" w:cstheme="minorHAnsi"/>
          <w:sz w:val="24"/>
          <w:szCs w:val="24"/>
        </w:rPr>
        <w:t xml:space="preserve">Lin, Y.-R., Kennedy, R. and Lazer, D. (2017). The geography of money and politics: Population density, social networks, and political contributions. </w:t>
      </w:r>
      <w:r w:rsidRPr="003258F9">
        <w:rPr>
          <w:rFonts w:eastAsia="Times New Roman" w:cstheme="minorHAnsi"/>
          <w:i/>
          <w:iCs/>
          <w:sz w:val="24"/>
          <w:szCs w:val="24"/>
        </w:rPr>
        <w:t>Research &amp; Politics, 4</w:t>
      </w:r>
      <w:r w:rsidRPr="003258F9">
        <w:rPr>
          <w:rFonts w:eastAsia="Times New Roman" w:cstheme="minorHAnsi"/>
          <w:sz w:val="24"/>
          <w:szCs w:val="24"/>
        </w:rPr>
        <w:t xml:space="preserve">(4). </w:t>
      </w:r>
      <w:hyperlink r:id="rId11" w:history="1">
        <w:r w:rsidRPr="003258F9">
          <w:rPr>
            <w:rStyle w:val="Hyperlink"/>
            <w:rFonts w:eastAsia="Times New Roman" w:cstheme="minorHAnsi"/>
            <w:color w:val="auto"/>
            <w:sz w:val="24"/>
            <w:szCs w:val="24"/>
          </w:rPr>
          <w:t>https://doi.org/10.1177/2053168017742015</w:t>
        </w:r>
      </w:hyperlink>
      <w:r w:rsidRPr="003258F9">
        <w:rPr>
          <w:rFonts w:eastAsia="Times New Roman" w:cstheme="minorHAnsi"/>
          <w:sz w:val="24"/>
          <w:szCs w:val="24"/>
        </w:rPr>
        <w:t xml:space="preserve"> </w:t>
      </w:r>
    </w:p>
    <w:p w14:paraId="2E60E2C4" w14:textId="3F36DB59" w:rsidR="008106E5" w:rsidRPr="003258F9" w:rsidRDefault="008106E5" w:rsidP="008106E5">
      <w:pPr>
        <w:ind w:left="284" w:hanging="284"/>
        <w:rPr>
          <w:rFonts w:eastAsia="Times New Roman" w:cstheme="minorHAnsi"/>
          <w:sz w:val="24"/>
          <w:szCs w:val="24"/>
        </w:rPr>
      </w:pPr>
      <w:r w:rsidRPr="003258F9">
        <w:rPr>
          <w:rFonts w:eastAsia="Times New Roman" w:cstheme="minorHAnsi"/>
          <w:sz w:val="24"/>
          <w:szCs w:val="24"/>
        </w:rPr>
        <w:t>Lipset S.M.</w:t>
      </w:r>
      <w:r w:rsidR="006E552D" w:rsidRPr="003258F9">
        <w:rPr>
          <w:rFonts w:eastAsia="Times New Roman" w:cstheme="minorHAnsi"/>
          <w:sz w:val="24"/>
          <w:szCs w:val="24"/>
        </w:rPr>
        <w:t xml:space="preserve"> and</w:t>
      </w:r>
      <w:r w:rsidRPr="003258F9">
        <w:rPr>
          <w:rFonts w:eastAsia="Times New Roman" w:cstheme="minorHAnsi"/>
          <w:sz w:val="24"/>
          <w:szCs w:val="24"/>
        </w:rPr>
        <w:t xml:space="preserve"> Rokkan, S. (1967). Cleavage structures, party systems, and voter alignments: an introduction. In </w:t>
      </w:r>
      <w:r w:rsidRPr="003258F9">
        <w:rPr>
          <w:rFonts w:eastAsia="Times New Roman" w:cstheme="minorHAnsi"/>
          <w:i/>
          <w:iCs/>
          <w:sz w:val="24"/>
          <w:szCs w:val="24"/>
        </w:rPr>
        <w:t>Party Systems and Voter Alignments: Cross-National Perspectives</w:t>
      </w:r>
      <w:r w:rsidRPr="003258F9">
        <w:rPr>
          <w:rFonts w:eastAsia="Times New Roman" w:cstheme="minorHAnsi"/>
          <w:sz w:val="24"/>
          <w:szCs w:val="24"/>
        </w:rPr>
        <w:t>, ed. S. Rokkan, S.M. Lipset, pp. 1</w:t>
      </w:r>
      <w:r w:rsidR="006E552D" w:rsidRPr="003258F9">
        <w:rPr>
          <w:rFonts w:eastAsia="Times New Roman" w:cstheme="minorHAnsi"/>
          <w:sz w:val="24"/>
          <w:szCs w:val="24"/>
        </w:rPr>
        <w:t>-</w:t>
      </w:r>
      <w:r w:rsidRPr="003258F9">
        <w:rPr>
          <w:rFonts w:eastAsia="Times New Roman" w:cstheme="minorHAnsi"/>
          <w:sz w:val="24"/>
          <w:szCs w:val="24"/>
        </w:rPr>
        <w:t>64. New York, NY: Free Press.</w:t>
      </w:r>
    </w:p>
    <w:p w14:paraId="3689CD8F" w14:textId="74081201" w:rsidR="008A06E2" w:rsidRPr="003258F9" w:rsidRDefault="008A06E2" w:rsidP="008106E5">
      <w:pPr>
        <w:ind w:left="284" w:hanging="284"/>
        <w:rPr>
          <w:rFonts w:eastAsia="Times New Roman" w:cstheme="minorHAnsi"/>
          <w:sz w:val="24"/>
          <w:szCs w:val="24"/>
        </w:rPr>
      </w:pPr>
      <w:r w:rsidRPr="003258F9">
        <w:rPr>
          <w:rFonts w:eastAsia="Times New Roman" w:cstheme="minorHAnsi"/>
          <w:sz w:val="24"/>
          <w:szCs w:val="24"/>
        </w:rPr>
        <w:t xml:space="preserve">Los, B., McCann, P., </w:t>
      </w:r>
      <w:proofErr w:type="spellStart"/>
      <w:r w:rsidRPr="003258F9">
        <w:rPr>
          <w:rFonts w:eastAsia="Times New Roman" w:cstheme="minorHAnsi"/>
          <w:sz w:val="24"/>
          <w:szCs w:val="24"/>
        </w:rPr>
        <w:t>Springford</w:t>
      </w:r>
      <w:proofErr w:type="spellEnd"/>
      <w:r w:rsidRPr="003258F9">
        <w:rPr>
          <w:rFonts w:eastAsia="Times New Roman" w:cstheme="minorHAnsi"/>
          <w:sz w:val="24"/>
          <w:szCs w:val="24"/>
        </w:rPr>
        <w:t>, J.</w:t>
      </w:r>
      <w:r w:rsidR="0076239C" w:rsidRPr="003258F9">
        <w:rPr>
          <w:rFonts w:eastAsia="Times New Roman" w:cstheme="minorHAnsi"/>
          <w:sz w:val="24"/>
          <w:szCs w:val="24"/>
        </w:rPr>
        <w:t xml:space="preserve"> and</w:t>
      </w:r>
      <w:r w:rsidRPr="003258F9">
        <w:rPr>
          <w:rFonts w:eastAsia="Times New Roman" w:cstheme="minorHAnsi"/>
          <w:sz w:val="24"/>
          <w:szCs w:val="24"/>
        </w:rPr>
        <w:t xml:space="preserve"> Thissen, M. (2017). The mismatch between local voting and the local economic consequences of Brexit. </w:t>
      </w:r>
      <w:r w:rsidRPr="003258F9">
        <w:rPr>
          <w:rFonts w:eastAsia="Times New Roman" w:cstheme="minorHAnsi"/>
          <w:i/>
          <w:iCs/>
          <w:sz w:val="24"/>
          <w:szCs w:val="24"/>
        </w:rPr>
        <w:t xml:space="preserve">Regional </w:t>
      </w:r>
      <w:r w:rsidR="0076239C" w:rsidRPr="003258F9">
        <w:rPr>
          <w:rFonts w:eastAsia="Times New Roman" w:cstheme="minorHAnsi"/>
          <w:i/>
          <w:iCs/>
          <w:sz w:val="24"/>
          <w:szCs w:val="24"/>
        </w:rPr>
        <w:t>S</w:t>
      </w:r>
      <w:r w:rsidRPr="003258F9">
        <w:rPr>
          <w:rFonts w:eastAsia="Times New Roman" w:cstheme="minorHAnsi"/>
          <w:i/>
          <w:iCs/>
          <w:sz w:val="24"/>
          <w:szCs w:val="24"/>
        </w:rPr>
        <w:t>tudies</w:t>
      </w:r>
      <w:r w:rsidRPr="003258F9">
        <w:rPr>
          <w:rFonts w:eastAsia="Times New Roman" w:cstheme="minorHAnsi"/>
          <w:sz w:val="24"/>
          <w:szCs w:val="24"/>
        </w:rPr>
        <w:t>, </w:t>
      </w:r>
      <w:r w:rsidRPr="003258F9">
        <w:rPr>
          <w:rFonts w:eastAsia="Times New Roman" w:cstheme="minorHAnsi"/>
          <w:i/>
          <w:iCs/>
          <w:sz w:val="24"/>
          <w:szCs w:val="24"/>
        </w:rPr>
        <w:t>51</w:t>
      </w:r>
      <w:r w:rsidRPr="003258F9">
        <w:rPr>
          <w:rFonts w:eastAsia="Times New Roman" w:cstheme="minorHAnsi"/>
          <w:sz w:val="24"/>
          <w:szCs w:val="24"/>
        </w:rPr>
        <w:t>(5)</w:t>
      </w:r>
      <w:r w:rsidR="0076239C" w:rsidRPr="003258F9">
        <w:rPr>
          <w:rFonts w:eastAsia="Times New Roman" w:cstheme="minorHAnsi"/>
          <w:sz w:val="24"/>
          <w:szCs w:val="24"/>
        </w:rPr>
        <w:t>:</w:t>
      </w:r>
      <w:r w:rsidRPr="003258F9">
        <w:rPr>
          <w:rFonts w:eastAsia="Times New Roman" w:cstheme="minorHAnsi"/>
          <w:sz w:val="24"/>
          <w:szCs w:val="24"/>
        </w:rPr>
        <w:t xml:space="preserve"> 786-799.</w:t>
      </w:r>
    </w:p>
    <w:p w14:paraId="55E835D2" w14:textId="706F1086" w:rsidR="008106E5" w:rsidRPr="003258F9" w:rsidRDefault="008106E5" w:rsidP="008106E5">
      <w:pPr>
        <w:ind w:left="284" w:hanging="284"/>
        <w:rPr>
          <w:rFonts w:cstheme="minorHAnsi"/>
          <w:sz w:val="24"/>
          <w:szCs w:val="24"/>
        </w:rPr>
      </w:pPr>
      <w:r w:rsidRPr="003258F9">
        <w:rPr>
          <w:rFonts w:cstheme="minorHAnsi"/>
          <w:sz w:val="24"/>
          <w:szCs w:val="24"/>
        </w:rPr>
        <w:t>Luca, D.</w:t>
      </w:r>
      <w:r w:rsidR="006E552D" w:rsidRPr="003258F9">
        <w:rPr>
          <w:rFonts w:cstheme="minorHAnsi"/>
          <w:sz w:val="24"/>
          <w:szCs w:val="24"/>
        </w:rPr>
        <w:t>,</w:t>
      </w:r>
      <w:r w:rsidRPr="003258F9">
        <w:rPr>
          <w:rFonts w:cstheme="minorHAnsi"/>
          <w:sz w:val="24"/>
          <w:szCs w:val="24"/>
        </w:rPr>
        <w:t xml:space="preserve"> Terrero-Davila, J. Stein, J.</w:t>
      </w:r>
      <w:r w:rsidR="006E552D" w:rsidRPr="003258F9">
        <w:rPr>
          <w:rFonts w:cstheme="minorHAnsi"/>
          <w:sz w:val="24"/>
          <w:szCs w:val="24"/>
        </w:rPr>
        <w:t xml:space="preserve"> and</w:t>
      </w:r>
      <w:r w:rsidRPr="003258F9">
        <w:rPr>
          <w:rFonts w:cstheme="minorHAnsi"/>
          <w:sz w:val="24"/>
          <w:szCs w:val="24"/>
        </w:rPr>
        <w:t xml:space="preserve"> Lee, N. (2022). </w:t>
      </w:r>
      <w:r w:rsidRPr="003258F9">
        <w:rPr>
          <w:rFonts w:cstheme="minorHAnsi"/>
          <w:i/>
          <w:iCs/>
          <w:sz w:val="24"/>
          <w:szCs w:val="24"/>
        </w:rPr>
        <w:t>Progressive cities: urban-rural polarisation of social values and economic development around the world.</w:t>
      </w:r>
      <w:r w:rsidRPr="003258F9">
        <w:rPr>
          <w:rFonts w:cstheme="minorHAnsi"/>
          <w:sz w:val="24"/>
          <w:szCs w:val="24"/>
        </w:rPr>
        <w:t xml:space="preserve"> International Inequalities Institute Working Papers (74). </w:t>
      </w:r>
      <w:r w:rsidR="006E552D" w:rsidRPr="003258F9">
        <w:rPr>
          <w:rFonts w:cstheme="minorHAnsi"/>
          <w:sz w:val="24"/>
          <w:szCs w:val="24"/>
        </w:rPr>
        <w:t xml:space="preserve">London: </w:t>
      </w:r>
      <w:r w:rsidRPr="003258F9">
        <w:rPr>
          <w:rFonts w:cstheme="minorHAnsi"/>
          <w:sz w:val="24"/>
          <w:szCs w:val="24"/>
        </w:rPr>
        <w:t>London School of Economics.</w:t>
      </w:r>
    </w:p>
    <w:p w14:paraId="44BFAF60" w14:textId="7128AE76" w:rsidR="003F6113" w:rsidRPr="003258F9" w:rsidRDefault="003F6113" w:rsidP="008106E5">
      <w:pPr>
        <w:ind w:left="284" w:hanging="284"/>
        <w:rPr>
          <w:rFonts w:cstheme="minorHAnsi"/>
          <w:sz w:val="24"/>
          <w:szCs w:val="24"/>
        </w:rPr>
      </w:pPr>
      <w:r w:rsidRPr="003258F9">
        <w:rPr>
          <w:rFonts w:cstheme="minorHAnsi"/>
          <w:sz w:val="24"/>
          <w:szCs w:val="24"/>
        </w:rPr>
        <w:t>MacKinnon, D., Kempton, L., O’Brien, P., Ormerod, E., Pike, A.</w:t>
      </w:r>
      <w:r w:rsidR="00D242D8" w:rsidRPr="003258F9">
        <w:rPr>
          <w:rFonts w:cstheme="minorHAnsi"/>
          <w:sz w:val="24"/>
          <w:szCs w:val="24"/>
        </w:rPr>
        <w:t xml:space="preserve"> and</w:t>
      </w:r>
      <w:r w:rsidRPr="003258F9">
        <w:rPr>
          <w:rFonts w:cstheme="minorHAnsi"/>
          <w:sz w:val="24"/>
          <w:szCs w:val="24"/>
        </w:rPr>
        <w:t xml:space="preserve"> Tomaney, J. (2022). Reframing urban and regional ‘development’</w:t>
      </w:r>
      <w:r w:rsidR="00D242D8" w:rsidRPr="003258F9">
        <w:rPr>
          <w:rFonts w:cstheme="minorHAnsi"/>
          <w:sz w:val="24"/>
          <w:szCs w:val="24"/>
        </w:rPr>
        <w:t xml:space="preserve"> </w:t>
      </w:r>
      <w:r w:rsidRPr="003258F9">
        <w:rPr>
          <w:rFonts w:cstheme="minorHAnsi"/>
          <w:sz w:val="24"/>
          <w:szCs w:val="24"/>
        </w:rPr>
        <w:t>for ‘left behind’</w:t>
      </w:r>
      <w:r w:rsidR="00D242D8" w:rsidRPr="003258F9">
        <w:rPr>
          <w:rFonts w:cstheme="minorHAnsi"/>
          <w:sz w:val="24"/>
          <w:szCs w:val="24"/>
        </w:rPr>
        <w:t xml:space="preserve"> </w:t>
      </w:r>
      <w:r w:rsidRPr="003258F9">
        <w:rPr>
          <w:rFonts w:cstheme="minorHAnsi"/>
          <w:sz w:val="24"/>
          <w:szCs w:val="24"/>
        </w:rPr>
        <w:t>places. </w:t>
      </w:r>
      <w:r w:rsidRPr="003258F9">
        <w:rPr>
          <w:rFonts w:cstheme="minorHAnsi"/>
          <w:i/>
          <w:iCs/>
          <w:sz w:val="24"/>
          <w:szCs w:val="24"/>
        </w:rPr>
        <w:t>Cambridge Journal of Regions, Economy and Society</w:t>
      </w:r>
      <w:r w:rsidRPr="003258F9">
        <w:rPr>
          <w:rFonts w:cstheme="minorHAnsi"/>
          <w:sz w:val="24"/>
          <w:szCs w:val="24"/>
        </w:rPr>
        <w:t>, </w:t>
      </w:r>
      <w:r w:rsidRPr="003258F9">
        <w:rPr>
          <w:rFonts w:cstheme="minorHAnsi"/>
          <w:i/>
          <w:iCs/>
          <w:sz w:val="24"/>
          <w:szCs w:val="24"/>
        </w:rPr>
        <w:t>15</w:t>
      </w:r>
      <w:r w:rsidRPr="003258F9">
        <w:rPr>
          <w:rFonts w:cstheme="minorHAnsi"/>
          <w:sz w:val="24"/>
          <w:szCs w:val="24"/>
        </w:rPr>
        <w:t>(1)</w:t>
      </w:r>
      <w:r w:rsidR="00D242D8" w:rsidRPr="003258F9">
        <w:rPr>
          <w:rFonts w:cstheme="minorHAnsi"/>
          <w:sz w:val="24"/>
          <w:szCs w:val="24"/>
        </w:rPr>
        <w:t>:</w:t>
      </w:r>
      <w:r w:rsidRPr="003258F9">
        <w:rPr>
          <w:rFonts w:cstheme="minorHAnsi"/>
          <w:sz w:val="24"/>
          <w:szCs w:val="24"/>
        </w:rPr>
        <w:t xml:space="preserve"> 39-56.</w:t>
      </w:r>
    </w:p>
    <w:p w14:paraId="772621DA" w14:textId="40B9E1C6" w:rsidR="009A5C36" w:rsidRPr="003258F9" w:rsidRDefault="008106E5" w:rsidP="008106E5">
      <w:pPr>
        <w:ind w:left="284" w:hanging="284"/>
        <w:rPr>
          <w:rFonts w:cstheme="minorHAnsi"/>
        </w:rPr>
      </w:pPr>
      <w:r w:rsidRPr="003258F9">
        <w:rPr>
          <w:rFonts w:eastAsia="Times New Roman" w:cstheme="minorHAnsi"/>
          <w:sz w:val="24"/>
          <w:szCs w:val="24"/>
          <w:lang w:eastAsia="en-GB"/>
        </w:rPr>
        <w:t>Mayer, R.C., Davis, J.H.</w:t>
      </w:r>
      <w:r w:rsidR="006E552D" w:rsidRPr="003258F9">
        <w:rPr>
          <w:rFonts w:eastAsia="Times New Roman" w:cstheme="minorHAnsi"/>
          <w:sz w:val="24"/>
          <w:szCs w:val="24"/>
          <w:lang w:eastAsia="en-GB"/>
        </w:rPr>
        <w:t xml:space="preserve"> and</w:t>
      </w:r>
      <w:r w:rsidRPr="003258F9">
        <w:rPr>
          <w:rFonts w:eastAsia="Times New Roman" w:cstheme="minorHAnsi"/>
          <w:sz w:val="24"/>
          <w:szCs w:val="24"/>
          <w:lang w:eastAsia="en-GB"/>
        </w:rPr>
        <w:t xml:space="preserve"> </w:t>
      </w:r>
      <w:proofErr w:type="spellStart"/>
      <w:r w:rsidRPr="003258F9">
        <w:rPr>
          <w:rFonts w:eastAsia="Times New Roman" w:cstheme="minorHAnsi"/>
          <w:sz w:val="24"/>
          <w:szCs w:val="24"/>
          <w:lang w:eastAsia="en-GB"/>
        </w:rPr>
        <w:t>Schoorman</w:t>
      </w:r>
      <w:proofErr w:type="spellEnd"/>
      <w:r w:rsidRPr="003258F9">
        <w:rPr>
          <w:rFonts w:eastAsia="Times New Roman" w:cstheme="minorHAnsi"/>
          <w:sz w:val="24"/>
          <w:szCs w:val="24"/>
          <w:lang w:eastAsia="en-GB"/>
        </w:rPr>
        <w:t>, F.D. (1995). An integrative model of organizational trust. </w:t>
      </w:r>
      <w:r w:rsidRPr="003258F9">
        <w:rPr>
          <w:rFonts w:eastAsia="Times New Roman" w:cstheme="minorHAnsi"/>
          <w:i/>
          <w:iCs/>
          <w:sz w:val="24"/>
          <w:szCs w:val="24"/>
          <w:lang w:eastAsia="en-GB"/>
        </w:rPr>
        <w:t>Academy of management review</w:t>
      </w:r>
      <w:r w:rsidRPr="003258F9">
        <w:rPr>
          <w:rFonts w:eastAsia="Times New Roman" w:cstheme="minorHAnsi"/>
          <w:sz w:val="24"/>
          <w:szCs w:val="24"/>
          <w:lang w:eastAsia="en-GB"/>
        </w:rPr>
        <w:t>, </w:t>
      </w:r>
      <w:r w:rsidRPr="003258F9">
        <w:rPr>
          <w:rFonts w:eastAsia="Times New Roman" w:cstheme="minorHAnsi"/>
          <w:i/>
          <w:iCs/>
          <w:sz w:val="24"/>
          <w:szCs w:val="24"/>
          <w:lang w:eastAsia="en-GB"/>
        </w:rPr>
        <w:t>20</w:t>
      </w:r>
      <w:r w:rsidRPr="003258F9">
        <w:rPr>
          <w:rFonts w:eastAsia="Times New Roman" w:cstheme="minorHAnsi"/>
          <w:sz w:val="24"/>
          <w:szCs w:val="24"/>
          <w:lang w:eastAsia="en-GB"/>
        </w:rPr>
        <w:t>(3)</w:t>
      </w:r>
      <w:r w:rsidR="006E552D" w:rsidRPr="003258F9">
        <w:rPr>
          <w:rFonts w:eastAsia="Times New Roman" w:cstheme="minorHAnsi"/>
          <w:sz w:val="24"/>
          <w:szCs w:val="24"/>
          <w:lang w:eastAsia="en-GB"/>
        </w:rPr>
        <w:t>:</w:t>
      </w:r>
      <w:r w:rsidRPr="003258F9">
        <w:rPr>
          <w:rFonts w:eastAsia="Times New Roman" w:cstheme="minorHAnsi"/>
          <w:sz w:val="24"/>
          <w:szCs w:val="24"/>
          <w:lang w:eastAsia="en-GB"/>
        </w:rPr>
        <w:t xml:space="preserve"> 709-734.</w:t>
      </w:r>
      <w:r w:rsidR="009A5C36" w:rsidRPr="003258F9">
        <w:rPr>
          <w:rFonts w:cstheme="minorHAnsi"/>
        </w:rPr>
        <w:t xml:space="preserve"> </w:t>
      </w:r>
    </w:p>
    <w:p w14:paraId="287B71A1" w14:textId="57C365EB" w:rsidR="003F6113" w:rsidRPr="003258F9" w:rsidRDefault="003F6113" w:rsidP="008106E5">
      <w:pPr>
        <w:ind w:left="284" w:hanging="284"/>
        <w:rPr>
          <w:rFonts w:eastAsia="Times New Roman" w:cstheme="minorHAnsi"/>
          <w:sz w:val="24"/>
          <w:szCs w:val="24"/>
          <w:lang w:eastAsia="en-GB"/>
        </w:rPr>
      </w:pPr>
      <w:r w:rsidRPr="003258F9">
        <w:rPr>
          <w:rFonts w:eastAsia="Times New Roman" w:cstheme="minorHAnsi"/>
          <w:sz w:val="24"/>
          <w:szCs w:val="24"/>
          <w:lang w:eastAsia="en-GB"/>
        </w:rPr>
        <w:lastRenderedPageBreak/>
        <w:t>Maxwell, R. (2019). Cosmopolitan immigration attitudes in large European cities: Contextual or compositional effects? </w:t>
      </w:r>
      <w:r w:rsidRPr="003258F9">
        <w:rPr>
          <w:rFonts w:eastAsia="Times New Roman" w:cstheme="minorHAnsi"/>
          <w:i/>
          <w:iCs/>
          <w:sz w:val="24"/>
          <w:szCs w:val="24"/>
          <w:lang w:eastAsia="en-GB"/>
        </w:rPr>
        <w:t>American Political Science Review</w:t>
      </w:r>
      <w:r w:rsidRPr="003258F9">
        <w:rPr>
          <w:rFonts w:eastAsia="Times New Roman" w:cstheme="minorHAnsi"/>
          <w:sz w:val="24"/>
          <w:szCs w:val="24"/>
          <w:lang w:eastAsia="en-GB"/>
        </w:rPr>
        <w:t>, </w:t>
      </w:r>
      <w:r w:rsidRPr="003258F9">
        <w:rPr>
          <w:rFonts w:eastAsia="Times New Roman" w:cstheme="minorHAnsi"/>
          <w:i/>
          <w:iCs/>
          <w:sz w:val="24"/>
          <w:szCs w:val="24"/>
          <w:lang w:eastAsia="en-GB"/>
        </w:rPr>
        <w:t>113</w:t>
      </w:r>
      <w:r w:rsidRPr="003258F9">
        <w:rPr>
          <w:rFonts w:eastAsia="Times New Roman" w:cstheme="minorHAnsi"/>
          <w:sz w:val="24"/>
          <w:szCs w:val="24"/>
          <w:lang w:eastAsia="en-GB"/>
        </w:rPr>
        <w:t>(2)</w:t>
      </w:r>
      <w:r w:rsidR="00D242D8" w:rsidRPr="003258F9">
        <w:rPr>
          <w:rFonts w:eastAsia="Times New Roman" w:cstheme="minorHAnsi"/>
          <w:sz w:val="24"/>
          <w:szCs w:val="24"/>
          <w:lang w:eastAsia="en-GB"/>
        </w:rPr>
        <w:t>:</w:t>
      </w:r>
      <w:r w:rsidRPr="003258F9">
        <w:rPr>
          <w:rFonts w:eastAsia="Times New Roman" w:cstheme="minorHAnsi"/>
          <w:sz w:val="24"/>
          <w:szCs w:val="24"/>
          <w:lang w:eastAsia="en-GB"/>
        </w:rPr>
        <w:t xml:space="preserve"> 456-474.</w:t>
      </w:r>
    </w:p>
    <w:p w14:paraId="7B910BC1" w14:textId="6C144DFE" w:rsidR="003F6113" w:rsidRPr="003258F9" w:rsidRDefault="003F6113" w:rsidP="008106E5">
      <w:pPr>
        <w:ind w:left="284" w:hanging="284"/>
        <w:rPr>
          <w:rFonts w:eastAsia="Times New Roman" w:cstheme="minorHAnsi"/>
          <w:sz w:val="24"/>
          <w:szCs w:val="24"/>
          <w:lang w:eastAsia="en-GB"/>
        </w:rPr>
      </w:pPr>
      <w:r w:rsidRPr="003258F9">
        <w:rPr>
          <w:rFonts w:eastAsia="Times New Roman" w:cstheme="minorHAnsi"/>
          <w:sz w:val="24"/>
          <w:szCs w:val="24"/>
          <w:lang w:eastAsia="en-GB"/>
        </w:rPr>
        <w:t>Maxwell, R. (2020). Geographic divides and cosmopolitanism: Evidence from Switzerland</w:t>
      </w:r>
      <w:r w:rsidR="00D242D8" w:rsidRPr="003258F9">
        <w:rPr>
          <w:rFonts w:eastAsia="Times New Roman" w:cstheme="minorHAnsi"/>
          <w:sz w:val="24"/>
          <w:szCs w:val="24"/>
          <w:lang w:eastAsia="en-GB"/>
        </w:rPr>
        <w:t xml:space="preserve">. </w:t>
      </w:r>
      <w:r w:rsidRPr="003258F9">
        <w:rPr>
          <w:rFonts w:eastAsia="Times New Roman" w:cstheme="minorHAnsi"/>
          <w:i/>
          <w:iCs/>
          <w:sz w:val="24"/>
          <w:szCs w:val="24"/>
          <w:lang w:eastAsia="en-GB"/>
        </w:rPr>
        <w:t>Comparative Political Studies</w:t>
      </w:r>
      <w:r w:rsidRPr="003258F9">
        <w:rPr>
          <w:rFonts w:eastAsia="Times New Roman" w:cstheme="minorHAnsi"/>
          <w:sz w:val="24"/>
          <w:szCs w:val="24"/>
          <w:lang w:eastAsia="en-GB"/>
        </w:rPr>
        <w:t>, </w:t>
      </w:r>
      <w:r w:rsidRPr="003258F9">
        <w:rPr>
          <w:rFonts w:eastAsia="Times New Roman" w:cstheme="minorHAnsi"/>
          <w:i/>
          <w:iCs/>
          <w:sz w:val="24"/>
          <w:szCs w:val="24"/>
          <w:lang w:eastAsia="en-GB"/>
        </w:rPr>
        <w:t>53</w:t>
      </w:r>
      <w:r w:rsidRPr="003258F9">
        <w:rPr>
          <w:rFonts w:eastAsia="Times New Roman" w:cstheme="minorHAnsi"/>
          <w:sz w:val="24"/>
          <w:szCs w:val="24"/>
          <w:lang w:eastAsia="en-GB"/>
        </w:rPr>
        <w:t>(13)</w:t>
      </w:r>
      <w:r w:rsidR="00D242D8" w:rsidRPr="003258F9">
        <w:rPr>
          <w:rFonts w:eastAsia="Times New Roman" w:cstheme="minorHAnsi"/>
          <w:sz w:val="24"/>
          <w:szCs w:val="24"/>
          <w:lang w:eastAsia="en-GB"/>
        </w:rPr>
        <w:t>:</w:t>
      </w:r>
      <w:r w:rsidRPr="003258F9">
        <w:rPr>
          <w:rFonts w:eastAsia="Times New Roman" w:cstheme="minorHAnsi"/>
          <w:sz w:val="24"/>
          <w:szCs w:val="24"/>
          <w:lang w:eastAsia="en-GB"/>
        </w:rPr>
        <w:t xml:space="preserve"> 2061-2090.</w:t>
      </w:r>
    </w:p>
    <w:p w14:paraId="5B9A391A" w14:textId="0C0F2A25" w:rsidR="003F6113" w:rsidRPr="003258F9" w:rsidRDefault="003F6113" w:rsidP="008106E5">
      <w:pPr>
        <w:ind w:left="284" w:hanging="284"/>
        <w:rPr>
          <w:rFonts w:eastAsia="Times New Roman" w:cstheme="minorHAnsi"/>
          <w:sz w:val="24"/>
          <w:szCs w:val="24"/>
          <w:lang w:eastAsia="en-GB"/>
        </w:rPr>
      </w:pPr>
      <w:r w:rsidRPr="003258F9">
        <w:rPr>
          <w:rFonts w:eastAsia="Times New Roman" w:cstheme="minorHAnsi"/>
          <w:sz w:val="24"/>
          <w:szCs w:val="24"/>
          <w:lang w:eastAsia="en-GB"/>
        </w:rPr>
        <w:t xml:space="preserve">McCann, P. </w:t>
      </w:r>
      <w:r w:rsidR="00D242D8" w:rsidRPr="003258F9">
        <w:rPr>
          <w:rFonts w:eastAsia="Times New Roman" w:cstheme="minorHAnsi"/>
          <w:sz w:val="24"/>
          <w:szCs w:val="24"/>
          <w:lang w:eastAsia="en-GB"/>
        </w:rPr>
        <w:t>and</w:t>
      </w:r>
      <w:r w:rsidRPr="003258F9">
        <w:rPr>
          <w:rFonts w:eastAsia="Times New Roman" w:cstheme="minorHAnsi"/>
          <w:sz w:val="24"/>
          <w:szCs w:val="24"/>
          <w:lang w:eastAsia="en-GB"/>
        </w:rPr>
        <w:t xml:space="preserve"> Ortega-Argilés, R. (2021). The UK ‘geography of discontent’: narratives, Brexit and inter-regional ‘levelling up’. </w:t>
      </w:r>
      <w:r w:rsidRPr="003258F9">
        <w:rPr>
          <w:rFonts w:eastAsia="Times New Roman" w:cstheme="minorHAnsi"/>
          <w:i/>
          <w:iCs/>
          <w:sz w:val="24"/>
          <w:szCs w:val="24"/>
          <w:lang w:eastAsia="en-GB"/>
        </w:rPr>
        <w:t>Cambridge Journal of Regions, Economy and Society</w:t>
      </w:r>
      <w:r w:rsidRPr="003258F9">
        <w:rPr>
          <w:rFonts w:eastAsia="Times New Roman" w:cstheme="minorHAnsi"/>
          <w:sz w:val="24"/>
          <w:szCs w:val="24"/>
          <w:lang w:eastAsia="en-GB"/>
        </w:rPr>
        <w:t>, </w:t>
      </w:r>
      <w:r w:rsidRPr="003258F9">
        <w:rPr>
          <w:rFonts w:eastAsia="Times New Roman" w:cstheme="minorHAnsi"/>
          <w:i/>
          <w:iCs/>
          <w:sz w:val="24"/>
          <w:szCs w:val="24"/>
          <w:lang w:eastAsia="en-GB"/>
        </w:rPr>
        <w:t>14</w:t>
      </w:r>
      <w:r w:rsidRPr="003258F9">
        <w:rPr>
          <w:rFonts w:eastAsia="Times New Roman" w:cstheme="minorHAnsi"/>
          <w:sz w:val="24"/>
          <w:szCs w:val="24"/>
          <w:lang w:eastAsia="en-GB"/>
        </w:rPr>
        <w:t>(3)</w:t>
      </w:r>
      <w:r w:rsidR="00D242D8" w:rsidRPr="003258F9">
        <w:rPr>
          <w:rFonts w:eastAsia="Times New Roman" w:cstheme="minorHAnsi"/>
          <w:sz w:val="24"/>
          <w:szCs w:val="24"/>
          <w:lang w:eastAsia="en-GB"/>
        </w:rPr>
        <w:t>:</w:t>
      </w:r>
      <w:r w:rsidRPr="003258F9">
        <w:rPr>
          <w:rFonts w:eastAsia="Times New Roman" w:cstheme="minorHAnsi"/>
          <w:sz w:val="24"/>
          <w:szCs w:val="24"/>
          <w:lang w:eastAsia="en-GB"/>
        </w:rPr>
        <w:t xml:space="preserve"> 545-564.</w:t>
      </w:r>
    </w:p>
    <w:p w14:paraId="73C37AEF" w14:textId="005EA467" w:rsidR="003F6113" w:rsidRPr="003258F9" w:rsidRDefault="003F6113" w:rsidP="008106E5">
      <w:pPr>
        <w:ind w:left="284" w:hanging="284"/>
        <w:rPr>
          <w:rFonts w:eastAsia="Times New Roman" w:cstheme="minorHAnsi"/>
          <w:sz w:val="24"/>
          <w:szCs w:val="24"/>
          <w:lang w:eastAsia="en-GB"/>
        </w:rPr>
      </w:pPr>
      <w:r w:rsidRPr="003258F9">
        <w:rPr>
          <w:rFonts w:eastAsia="Times New Roman" w:cstheme="minorHAnsi"/>
          <w:sz w:val="24"/>
          <w:szCs w:val="24"/>
          <w:lang w:eastAsia="en-GB"/>
        </w:rPr>
        <w:t>McKay, L., Jennings, W.</w:t>
      </w:r>
      <w:r w:rsidR="00D242D8" w:rsidRPr="003258F9">
        <w:rPr>
          <w:rFonts w:eastAsia="Times New Roman" w:cstheme="minorHAnsi"/>
          <w:sz w:val="24"/>
          <w:szCs w:val="24"/>
          <w:lang w:eastAsia="en-GB"/>
        </w:rPr>
        <w:t xml:space="preserve"> and</w:t>
      </w:r>
      <w:r w:rsidRPr="003258F9">
        <w:rPr>
          <w:rFonts w:eastAsia="Times New Roman" w:cstheme="minorHAnsi"/>
          <w:sz w:val="24"/>
          <w:szCs w:val="24"/>
          <w:lang w:eastAsia="en-GB"/>
        </w:rPr>
        <w:t xml:space="preserve"> Stoker, G. (2021). Political Trust in the “Places That Don't Matter”. </w:t>
      </w:r>
      <w:r w:rsidRPr="003258F9">
        <w:rPr>
          <w:rFonts w:eastAsia="Times New Roman" w:cstheme="minorHAnsi"/>
          <w:i/>
          <w:iCs/>
          <w:sz w:val="24"/>
          <w:szCs w:val="24"/>
          <w:lang w:eastAsia="en-GB"/>
        </w:rPr>
        <w:t>Frontiers in Political Science</w:t>
      </w:r>
      <w:r w:rsidRPr="003258F9">
        <w:rPr>
          <w:rFonts w:eastAsia="Times New Roman" w:cstheme="minorHAnsi"/>
          <w:sz w:val="24"/>
          <w:szCs w:val="24"/>
          <w:lang w:eastAsia="en-GB"/>
        </w:rPr>
        <w:t>, </w:t>
      </w:r>
      <w:r w:rsidRPr="003258F9">
        <w:rPr>
          <w:rFonts w:eastAsia="Times New Roman" w:cstheme="minorHAnsi"/>
          <w:i/>
          <w:iCs/>
          <w:sz w:val="24"/>
          <w:szCs w:val="24"/>
          <w:lang w:eastAsia="en-GB"/>
        </w:rPr>
        <w:t>3</w:t>
      </w:r>
      <w:r w:rsidR="00D242D8" w:rsidRPr="003258F9">
        <w:rPr>
          <w:rFonts w:eastAsia="Times New Roman" w:cstheme="minorHAnsi"/>
          <w:sz w:val="24"/>
          <w:szCs w:val="24"/>
          <w:lang w:eastAsia="en-GB"/>
        </w:rPr>
        <w:t>(</w:t>
      </w:r>
      <w:r w:rsidRPr="003258F9">
        <w:rPr>
          <w:rFonts w:eastAsia="Times New Roman" w:cstheme="minorHAnsi"/>
          <w:sz w:val="24"/>
          <w:szCs w:val="24"/>
          <w:lang w:eastAsia="en-GB"/>
        </w:rPr>
        <w:t>642236</w:t>
      </w:r>
      <w:r w:rsidR="00D242D8" w:rsidRPr="003258F9">
        <w:rPr>
          <w:rFonts w:eastAsia="Times New Roman" w:cstheme="minorHAnsi"/>
          <w:sz w:val="24"/>
          <w:szCs w:val="24"/>
          <w:lang w:eastAsia="en-GB"/>
        </w:rPr>
        <w:t>)</w:t>
      </w:r>
      <w:r w:rsidRPr="003258F9">
        <w:rPr>
          <w:rFonts w:eastAsia="Times New Roman" w:cstheme="minorHAnsi"/>
          <w:sz w:val="24"/>
          <w:szCs w:val="24"/>
          <w:lang w:eastAsia="en-GB"/>
        </w:rPr>
        <w:t>.</w:t>
      </w:r>
    </w:p>
    <w:p w14:paraId="7B7C8E26" w14:textId="26A5CC51" w:rsidR="008106E5" w:rsidRPr="003258F9" w:rsidRDefault="008106E5" w:rsidP="008106E5">
      <w:pPr>
        <w:ind w:left="284" w:hanging="284"/>
        <w:rPr>
          <w:rFonts w:cstheme="minorHAnsi"/>
          <w:sz w:val="24"/>
          <w:szCs w:val="24"/>
        </w:rPr>
      </w:pPr>
      <w:r w:rsidRPr="003258F9">
        <w:rPr>
          <w:rFonts w:cstheme="minorHAnsi"/>
          <w:sz w:val="24"/>
          <w:szCs w:val="24"/>
        </w:rPr>
        <w:t xml:space="preserve">Mitsch, F., Lee, N. </w:t>
      </w:r>
      <w:r w:rsidR="006E552D" w:rsidRPr="003258F9">
        <w:rPr>
          <w:rFonts w:cstheme="minorHAnsi"/>
          <w:sz w:val="24"/>
          <w:szCs w:val="24"/>
        </w:rPr>
        <w:t xml:space="preserve">and </w:t>
      </w:r>
      <w:r w:rsidRPr="003258F9">
        <w:rPr>
          <w:rFonts w:cstheme="minorHAnsi"/>
          <w:sz w:val="24"/>
          <w:szCs w:val="24"/>
        </w:rPr>
        <w:t xml:space="preserve">Ralph-Morrow, E. (2021). Faith no more? The divergence of political trust between urban and rural Europe. </w:t>
      </w:r>
      <w:r w:rsidRPr="003258F9">
        <w:rPr>
          <w:rFonts w:cstheme="minorHAnsi"/>
          <w:i/>
          <w:iCs/>
          <w:sz w:val="24"/>
          <w:szCs w:val="24"/>
        </w:rPr>
        <w:t>Political Geography</w:t>
      </w:r>
      <w:r w:rsidRPr="003258F9">
        <w:rPr>
          <w:rFonts w:cstheme="minorHAnsi"/>
          <w:sz w:val="24"/>
          <w:szCs w:val="24"/>
        </w:rPr>
        <w:t xml:space="preserve">, 89(102426). </w:t>
      </w:r>
    </w:p>
    <w:p w14:paraId="419BFDEB" w14:textId="1DC59EA1" w:rsidR="0096277F" w:rsidRPr="003258F9" w:rsidRDefault="0096277F" w:rsidP="008106E5">
      <w:pPr>
        <w:ind w:left="284" w:hanging="284"/>
        <w:rPr>
          <w:rFonts w:cstheme="minorHAnsi"/>
          <w:sz w:val="24"/>
          <w:szCs w:val="24"/>
        </w:rPr>
      </w:pPr>
      <w:r w:rsidRPr="003258F9">
        <w:rPr>
          <w:rFonts w:cstheme="minorHAnsi"/>
          <w:sz w:val="24"/>
          <w:szCs w:val="24"/>
        </w:rPr>
        <w:t>Munis, B. K. (2022). Us over here versus them over there… literally: Measuring place resentment in American politics. </w:t>
      </w:r>
      <w:r w:rsidRPr="003258F9">
        <w:rPr>
          <w:rFonts w:cstheme="minorHAnsi"/>
          <w:i/>
          <w:iCs/>
          <w:sz w:val="24"/>
          <w:szCs w:val="24"/>
        </w:rPr>
        <w:t>Political Behavior</w:t>
      </w:r>
      <w:r w:rsidRPr="003258F9">
        <w:rPr>
          <w:rFonts w:cstheme="minorHAnsi"/>
          <w:sz w:val="24"/>
          <w:szCs w:val="24"/>
        </w:rPr>
        <w:t>, </w:t>
      </w:r>
      <w:r w:rsidRPr="003258F9">
        <w:rPr>
          <w:rFonts w:cstheme="minorHAnsi"/>
          <w:i/>
          <w:iCs/>
          <w:sz w:val="24"/>
          <w:szCs w:val="24"/>
        </w:rPr>
        <w:t>44</w:t>
      </w:r>
      <w:r w:rsidRPr="003258F9">
        <w:rPr>
          <w:rFonts w:cstheme="minorHAnsi"/>
          <w:sz w:val="24"/>
          <w:szCs w:val="24"/>
        </w:rPr>
        <w:t>(3), 1057-1078.</w:t>
      </w:r>
    </w:p>
    <w:p w14:paraId="6798F4E7" w14:textId="20EB6C11" w:rsidR="00F32099" w:rsidRPr="003258F9" w:rsidRDefault="00F32099" w:rsidP="008106E5">
      <w:pPr>
        <w:ind w:left="284" w:hanging="284"/>
        <w:rPr>
          <w:rFonts w:cstheme="minorHAnsi"/>
          <w:sz w:val="24"/>
          <w:szCs w:val="24"/>
        </w:rPr>
      </w:pPr>
      <w:r w:rsidRPr="003258F9">
        <w:rPr>
          <w:rFonts w:cstheme="minorHAnsi"/>
          <w:sz w:val="24"/>
          <w:szCs w:val="24"/>
        </w:rPr>
        <w:t xml:space="preserve">Newton, K., and Zmerli, S. (2011). Three forms of trust and their association. </w:t>
      </w:r>
      <w:r w:rsidRPr="003258F9">
        <w:rPr>
          <w:rFonts w:cstheme="minorHAnsi"/>
          <w:i/>
          <w:iCs/>
          <w:sz w:val="24"/>
          <w:szCs w:val="24"/>
        </w:rPr>
        <w:t>European Political Science Review</w:t>
      </w:r>
      <w:r w:rsidRPr="003258F9">
        <w:rPr>
          <w:rFonts w:cstheme="minorHAnsi"/>
          <w:sz w:val="24"/>
          <w:szCs w:val="24"/>
        </w:rPr>
        <w:t xml:space="preserve">, </w:t>
      </w:r>
      <w:r w:rsidRPr="003258F9">
        <w:rPr>
          <w:rFonts w:cstheme="minorHAnsi"/>
          <w:i/>
          <w:iCs/>
          <w:sz w:val="24"/>
          <w:szCs w:val="24"/>
        </w:rPr>
        <w:t>3</w:t>
      </w:r>
      <w:r w:rsidRPr="003258F9">
        <w:rPr>
          <w:rFonts w:cstheme="minorHAnsi"/>
          <w:sz w:val="24"/>
          <w:szCs w:val="24"/>
        </w:rPr>
        <w:t>(2)</w:t>
      </w:r>
      <w:r w:rsidR="006E552D" w:rsidRPr="003258F9">
        <w:rPr>
          <w:rFonts w:cstheme="minorHAnsi"/>
          <w:sz w:val="24"/>
          <w:szCs w:val="24"/>
        </w:rPr>
        <w:t>:</w:t>
      </w:r>
      <w:r w:rsidRPr="003258F9">
        <w:rPr>
          <w:rFonts w:cstheme="minorHAnsi"/>
          <w:sz w:val="24"/>
          <w:szCs w:val="24"/>
        </w:rPr>
        <w:t xml:space="preserve"> 169</w:t>
      </w:r>
      <w:r w:rsidR="006E552D" w:rsidRPr="003258F9">
        <w:rPr>
          <w:rFonts w:cstheme="minorHAnsi"/>
          <w:sz w:val="24"/>
          <w:szCs w:val="24"/>
        </w:rPr>
        <w:t>-</w:t>
      </w:r>
      <w:r w:rsidRPr="003258F9">
        <w:rPr>
          <w:rFonts w:cstheme="minorHAnsi"/>
          <w:sz w:val="24"/>
          <w:szCs w:val="24"/>
        </w:rPr>
        <w:t>200.</w:t>
      </w:r>
    </w:p>
    <w:p w14:paraId="16A60BBD" w14:textId="2A12DB05" w:rsidR="008106E5" w:rsidRPr="003258F9" w:rsidRDefault="008106E5" w:rsidP="008106E5">
      <w:pPr>
        <w:ind w:left="284" w:hanging="284"/>
        <w:rPr>
          <w:rFonts w:cstheme="minorHAnsi"/>
          <w:sz w:val="24"/>
          <w:szCs w:val="24"/>
          <w:shd w:val="clear" w:color="auto" w:fill="FFFFFF"/>
        </w:rPr>
      </w:pPr>
      <w:r w:rsidRPr="003258F9">
        <w:rPr>
          <w:rFonts w:cstheme="minorHAnsi"/>
          <w:sz w:val="24"/>
          <w:szCs w:val="24"/>
          <w:shd w:val="clear" w:color="auto" w:fill="FFFFFF"/>
        </w:rPr>
        <w:t>Norris, P</w:t>
      </w:r>
      <w:r w:rsidR="006E552D" w:rsidRPr="003258F9">
        <w:rPr>
          <w:rFonts w:cstheme="minorHAnsi"/>
          <w:sz w:val="24"/>
          <w:szCs w:val="24"/>
          <w:shd w:val="clear" w:color="auto" w:fill="FFFFFF"/>
        </w:rPr>
        <w:t>.</w:t>
      </w:r>
      <w:r w:rsidRPr="003258F9">
        <w:rPr>
          <w:rFonts w:cstheme="minorHAnsi"/>
          <w:sz w:val="24"/>
          <w:szCs w:val="24"/>
          <w:shd w:val="clear" w:color="auto" w:fill="FFFFFF"/>
        </w:rPr>
        <w:t xml:space="preserve"> and Inglehart</w:t>
      </w:r>
      <w:r w:rsidR="006E552D" w:rsidRPr="003258F9">
        <w:rPr>
          <w:rFonts w:cstheme="minorHAnsi"/>
          <w:sz w:val="24"/>
          <w:szCs w:val="24"/>
          <w:shd w:val="clear" w:color="auto" w:fill="FFFFFF"/>
        </w:rPr>
        <w:t>, R</w:t>
      </w:r>
      <w:r w:rsidRPr="003258F9">
        <w:rPr>
          <w:rFonts w:cstheme="minorHAnsi"/>
          <w:sz w:val="24"/>
          <w:szCs w:val="24"/>
          <w:shd w:val="clear" w:color="auto" w:fill="FFFFFF"/>
        </w:rPr>
        <w:t>. 2019. </w:t>
      </w:r>
      <w:r w:rsidRPr="003258F9">
        <w:rPr>
          <w:rFonts w:cstheme="minorHAnsi"/>
          <w:i/>
          <w:iCs/>
          <w:sz w:val="24"/>
          <w:szCs w:val="24"/>
          <w:shd w:val="clear" w:color="auto" w:fill="FFFFFF"/>
        </w:rPr>
        <w:t>Cultural backlash: Trump, Brexit, and authoritarian populism</w:t>
      </w:r>
      <w:r w:rsidRPr="003258F9">
        <w:rPr>
          <w:rFonts w:cstheme="minorHAnsi"/>
          <w:sz w:val="24"/>
          <w:szCs w:val="24"/>
          <w:shd w:val="clear" w:color="auto" w:fill="FFFFFF"/>
        </w:rPr>
        <w:t xml:space="preserve">. </w:t>
      </w:r>
      <w:r w:rsidR="006E552D" w:rsidRPr="003258F9">
        <w:rPr>
          <w:rFonts w:cstheme="minorHAnsi"/>
          <w:sz w:val="24"/>
          <w:szCs w:val="24"/>
          <w:shd w:val="clear" w:color="auto" w:fill="FFFFFF"/>
        </w:rPr>
        <w:t xml:space="preserve">Cambridge: </w:t>
      </w:r>
      <w:r w:rsidRPr="003258F9">
        <w:rPr>
          <w:rFonts w:cstheme="minorHAnsi"/>
          <w:sz w:val="24"/>
          <w:szCs w:val="24"/>
          <w:shd w:val="clear" w:color="auto" w:fill="FFFFFF"/>
        </w:rPr>
        <w:t>Cambridge University Press.</w:t>
      </w:r>
    </w:p>
    <w:p w14:paraId="306905E4" w14:textId="47E457B1" w:rsidR="00BA1739" w:rsidRPr="003258F9" w:rsidRDefault="00BA1739" w:rsidP="008106E5">
      <w:pPr>
        <w:ind w:left="284" w:hanging="284"/>
        <w:rPr>
          <w:rFonts w:cstheme="minorHAnsi"/>
          <w:sz w:val="24"/>
          <w:szCs w:val="24"/>
          <w:shd w:val="clear" w:color="auto" w:fill="FFFFFF"/>
        </w:rPr>
      </w:pPr>
      <w:r w:rsidRPr="003258F9">
        <w:rPr>
          <w:rFonts w:cstheme="minorHAnsi"/>
          <w:sz w:val="24"/>
          <w:szCs w:val="24"/>
          <w:shd w:val="clear" w:color="auto" w:fill="FFFFFF"/>
        </w:rPr>
        <w:t>Norris, P. (2022). </w:t>
      </w:r>
      <w:r w:rsidRPr="003258F9">
        <w:rPr>
          <w:rFonts w:cstheme="minorHAnsi"/>
          <w:i/>
          <w:iCs/>
          <w:sz w:val="24"/>
          <w:szCs w:val="24"/>
          <w:shd w:val="clear" w:color="auto" w:fill="FFFFFF"/>
        </w:rPr>
        <w:t xml:space="preserve">In praise of </w:t>
      </w:r>
      <w:proofErr w:type="spellStart"/>
      <w:r w:rsidRPr="003258F9">
        <w:rPr>
          <w:rFonts w:cstheme="minorHAnsi"/>
          <w:i/>
          <w:iCs/>
          <w:sz w:val="24"/>
          <w:szCs w:val="24"/>
          <w:shd w:val="clear" w:color="auto" w:fill="FFFFFF"/>
        </w:rPr>
        <w:t>skepticism</w:t>
      </w:r>
      <w:proofErr w:type="spellEnd"/>
      <w:r w:rsidRPr="003258F9">
        <w:rPr>
          <w:rFonts w:cstheme="minorHAnsi"/>
          <w:i/>
          <w:iCs/>
          <w:sz w:val="24"/>
          <w:szCs w:val="24"/>
          <w:shd w:val="clear" w:color="auto" w:fill="FFFFFF"/>
        </w:rPr>
        <w:t>: Trust but verify</w:t>
      </w:r>
      <w:r w:rsidRPr="003258F9">
        <w:rPr>
          <w:rFonts w:cstheme="minorHAnsi"/>
          <w:sz w:val="24"/>
          <w:szCs w:val="24"/>
          <w:shd w:val="clear" w:color="auto" w:fill="FFFFFF"/>
        </w:rPr>
        <w:t>. Oxford University Press.</w:t>
      </w:r>
    </w:p>
    <w:p w14:paraId="762F6918" w14:textId="7B9A6E8D" w:rsidR="00F0188F" w:rsidRPr="003258F9" w:rsidRDefault="00F0188F" w:rsidP="008106E5">
      <w:pPr>
        <w:ind w:left="284" w:hanging="284"/>
        <w:rPr>
          <w:rFonts w:cstheme="minorHAnsi"/>
          <w:sz w:val="24"/>
          <w:szCs w:val="24"/>
          <w:shd w:val="clear" w:color="auto" w:fill="FFFFFF"/>
        </w:rPr>
      </w:pPr>
      <w:r w:rsidRPr="003258F9">
        <w:rPr>
          <w:rFonts w:cstheme="minorHAnsi"/>
          <w:sz w:val="24"/>
          <w:szCs w:val="24"/>
          <w:shd w:val="clear" w:color="auto" w:fill="FFFFFF"/>
        </w:rPr>
        <w:t xml:space="preserve">Pike, A., </w:t>
      </w:r>
      <w:proofErr w:type="spellStart"/>
      <w:r w:rsidRPr="003258F9">
        <w:rPr>
          <w:rFonts w:cstheme="minorHAnsi"/>
          <w:sz w:val="24"/>
          <w:szCs w:val="24"/>
          <w:shd w:val="clear" w:color="auto" w:fill="FFFFFF"/>
        </w:rPr>
        <w:t>Béal</w:t>
      </w:r>
      <w:proofErr w:type="spellEnd"/>
      <w:r w:rsidRPr="003258F9">
        <w:rPr>
          <w:rFonts w:cstheme="minorHAnsi"/>
          <w:sz w:val="24"/>
          <w:szCs w:val="24"/>
          <w:shd w:val="clear" w:color="auto" w:fill="FFFFFF"/>
        </w:rPr>
        <w:t xml:space="preserve">, V., Cauchi-Duval, N., Franklin, R., Kinossian, N., Lang, T., Leibert, T., MacKinnon, D., Rousseau, M., Royer, J., Servillo, L., Tomaney, J. and Velthuis, S. (2023) ‘Left behind places’: a geographical etymology, </w:t>
      </w:r>
      <w:r w:rsidRPr="003258F9">
        <w:rPr>
          <w:rFonts w:cstheme="minorHAnsi"/>
          <w:i/>
          <w:iCs/>
          <w:sz w:val="24"/>
          <w:szCs w:val="24"/>
          <w:shd w:val="clear" w:color="auto" w:fill="FFFFFF"/>
        </w:rPr>
        <w:t>Regional Studies</w:t>
      </w:r>
      <w:r w:rsidRPr="003258F9">
        <w:rPr>
          <w:rFonts w:cstheme="minorHAnsi"/>
          <w:sz w:val="24"/>
          <w:szCs w:val="24"/>
          <w:shd w:val="clear" w:color="auto" w:fill="FFFFFF"/>
        </w:rPr>
        <w:t xml:space="preserve">, </w:t>
      </w:r>
      <w:proofErr w:type="spellStart"/>
      <w:r w:rsidRPr="003258F9">
        <w:rPr>
          <w:rFonts w:cstheme="minorHAnsi"/>
          <w:sz w:val="24"/>
          <w:szCs w:val="24"/>
          <w:shd w:val="clear" w:color="auto" w:fill="FFFFFF"/>
        </w:rPr>
        <w:t>doi</w:t>
      </w:r>
      <w:proofErr w:type="spellEnd"/>
      <w:r w:rsidRPr="003258F9">
        <w:rPr>
          <w:rFonts w:cstheme="minorHAnsi"/>
          <w:sz w:val="24"/>
          <w:szCs w:val="24"/>
          <w:shd w:val="clear" w:color="auto" w:fill="FFFFFF"/>
        </w:rPr>
        <w:t>:</w:t>
      </w:r>
      <w:r w:rsidR="00FC2C16" w:rsidRPr="003258F9">
        <w:rPr>
          <w:rFonts w:cstheme="minorHAnsi"/>
          <w:sz w:val="24"/>
          <w:szCs w:val="24"/>
          <w:shd w:val="clear" w:color="auto" w:fill="FFFFFF"/>
        </w:rPr>
        <w:t xml:space="preserve"> </w:t>
      </w:r>
      <w:r w:rsidRPr="003258F9">
        <w:rPr>
          <w:rFonts w:cstheme="minorHAnsi"/>
          <w:sz w:val="24"/>
          <w:szCs w:val="24"/>
          <w:shd w:val="clear" w:color="auto" w:fill="FFFFFF"/>
        </w:rPr>
        <w:t>10.1080/00343404.2023.2167972</w:t>
      </w:r>
    </w:p>
    <w:p w14:paraId="790A520C" w14:textId="30D0A47D" w:rsidR="00B7502C" w:rsidRPr="003258F9" w:rsidRDefault="00B7502C" w:rsidP="008106E5">
      <w:pPr>
        <w:ind w:left="284" w:hanging="284"/>
        <w:rPr>
          <w:rFonts w:cstheme="minorHAnsi"/>
          <w:sz w:val="24"/>
          <w:szCs w:val="24"/>
          <w:shd w:val="clear" w:color="auto" w:fill="FFFFFF"/>
        </w:rPr>
      </w:pPr>
      <w:r w:rsidRPr="003258F9">
        <w:rPr>
          <w:rFonts w:cstheme="minorHAnsi"/>
          <w:sz w:val="24"/>
          <w:szCs w:val="24"/>
          <w:shd w:val="clear" w:color="auto" w:fill="FFFFFF"/>
        </w:rPr>
        <w:t>Putnam, R. D. (2000). </w:t>
      </w:r>
      <w:r w:rsidRPr="003258F9">
        <w:rPr>
          <w:rFonts w:cstheme="minorHAnsi"/>
          <w:i/>
          <w:iCs/>
          <w:sz w:val="24"/>
          <w:szCs w:val="24"/>
          <w:shd w:val="clear" w:color="auto" w:fill="FFFFFF"/>
        </w:rPr>
        <w:t>Bowling alone: The collapse and revival of American community</w:t>
      </w:r>
      <w:r w:rsidRPr="003258F9">
        <w:rPr>
          <w:rFonts w:cstheme="minorHAnsi"/>
          <w:sz w:val="24"/>
          <w:szCs w:val="24"/>
          <w:shd w:val="clear" w:color="auto" w:fill="FFFFFF"/>
        </w:rPr>
        <w:t>. New York: Simon and Schuster.</w:t>
      </w:r>
    </w:p>
    <w:p w14:paraId="0794C2C7" w14:textId="60E57425" w:rsidR="00FB0306" w:rsidRPr="003258F9" w:rsidRDefault="00FB0306" w:rsidP="008106E5">
      <w:pPr>
        <w:ind w:left="284" w:hanging="284"/>
        <w:rPr>
          <w:rFonts w:cstheme="minorHAnsi"/>
          <w:sz w:val="24"/>
          <w:szCs w:val="24"/>
          <w:shd w:val="clear" w:color="auto" w:fill="FFFFFF"/>
        </w:rPr>
      </w:pPr>
      <w:proofErr w:type="spellStart"/>
      <w:r w:rsidRPr="003258F9">
        <w:rPr>
          <w:rFonts w:cstheme="minorHAnsi"/>
          <w:sz w:val="24"/>
          <w:szCs w:val="24"/>
          <w:shd w:val="clear" w:color="auto" w:fill="FFFFFF"/>
        </w:rPr>
        <w:t>Rooduijn</w:t>
      </w:r>
      <w:proofErr w:type="spellEnd"/>
      <w:r w:rsidRPr="003258F9">
        <w:rPr>
          <w:rFonts w:cstheme="minorHAnsi"/>
          <w:sz w:val="24"/>
          <w:szCs w:val="24"/>
          <w:shd w:val="clear" w:color="auto" w:fill="FFFFFF"/>
        </w:rPr>
        <w:t>, M. (2018). What unites the voter bases of populist parties? Comparing the electorates of 15 populist parties. </w:t>
      </w:r>
      <w:r w:rsidRPr="003258F9">
        <w:rPr>
          <w:rFonts w:cstheme="minorHAnsi"/>
          <w:i/>
          <w:iCs/>
          <w:sz w:val="24"/>
          <w:szCs w:val="24"/>
          <w:shd w:val="clear" w:color="auto" w:fill="FFFFFF"/>
        </w:rPr>
        <w:t>European Political Science Review</w:t>
      </w:r>
      <w:r w:rsidRPr="003258F9">
        <w:rPr>
          <w:rFonts w:cstheme="minorHAnsi"/>
          <w:sz w:val="24"/>
          <w:szCs w:val="24"/>
          <w:shd w:val="clear" w:color="auto" w:fill="FFFFFF"/>
        </w:rPr>
        <w:t>, </w:t>
      </w:r>
      <w:r w:rsidRPr="003258F9">
        <w:rPr>
          <w:rFonts w:cstheme="minorHAnsi"/>
          <w:i/>
          <w:iCs/>
          <w:sz w:val="24"/>
          <w:szCs w:val="24"/>
          <w:shd w:val="clear" w:color="auto" w:fill="FFFFFF"/>
        </w:rPr>
        <w:t>10</w:t>
      </w:r>
      <w:r w:rsidRPr="003258F9">
        <w:rPr>
          <w:rFonts w:cstheme="minorHAnsi"/>
          <w:sz w:val="24"/>
          <w:szCs w:val="24"/>
          <w:shd w:val="clear" w:color="auto" w:fill="FFFFFF"/>
        </w:rPr>
        <w:t>(3)</w:t>
      </w:r>
      <w:r w:rsidR="0076239C" w:rsidRPr="003258F9">
        <w:rPr>
          <w:rFonts w:cstheme="minorHAnsi"/>
          <w:sz w:val="24"/>
          <w:szCs w:val="24"/>
          <w:shd w:val="clear" w:color="auto" w:fill="FFFFFF"/>
        </w:rPr>
        <w:t>:</w:t>
      </w:r>
      <w:r w:rsidRPr="003258F9">
        <w:rPr>
          <w:rFonts w:cstheme="minorHAnsi"/>
          <w:sz w:val="24"/>
          <w:szCs w:val="24"/>
          <w:shd w:val="clear" w:color="auto" w:fill="FFFFFF"/>
        </w:rPr>
        <w:t xml:space="preserve"> 351-368.</w:t>
      </w:r>
    </w:p>
    <w:p w14:paraId="7B1CFCBE" w14:textId="67BE8050" w:rsidR="008106E5" w:rsidRPr="003258F9" w:rsidRDefault="008106E5" w:rsidP="008106E5">
      <w:pPr>
        <w:ind w:left="284" w:hanging="284"/>
        <w:rPr>
          <w:rFonts w:cstheme="minorHAnsi"/>
          <w:sz w:val="24"/>
          <w:szCs w:val="24"/>
        </w:rPr>
      </w:pPr>
      <w:r w:rsidRPr="003258F9">
        <w:rPr>
          <w:rFonts w:cstheme="minorHAnsi"/>
          <w:sz w:val="24"/>
          <w:szCs w:val="24"/>
        </w:rPr>
        <w:t xml:space="preserve">Rodríguez-Pose, A. (2018). The revenge of the places that don’t matter (and what to do about it). </w:t>
      </w:r>
      <w:r w:rsidRPr="003258F9">
        <w:rPr>
          <w:rFonts w:cstheme="minorHAnsi"/>
          <w:i/>
          <w:iCs/>
          <w:sz w:val="24"/>
          <w:szCs w:val="24"/>
        </w:rPr>
        <w:t>Cambridge Journal of Regions, Economy and Society</w:t>
      </w:r>
      <w:r w:rsidRPr="003258F9">
        <w:rPr>
          <w:rFonts w:cstheme="minorHAnsi"/>
          <w:sz w:val="24"/>
          <w:szCs w:val="24"/>
        </w:rPr>
        <w:t xml:space="preserve">, </w:t>
      </w:r>
      <w:r w:rsidRPr="003258F9">
        <w:rPr>
          <w:rFonts w:cstheme="minorHAnsi"/>
          <w:i/>
          <w:iCs/>
          <w:sz w:val="24"/>
          <w:szCs w:val="24"/>
        </w:rPr>
        <w:t>11</w:t>
      </w:r>
      <w:r w:rsidRPr="003258F9">
        <w:rPr>
          <w:rFonts w:cstheme="minorHAnsi"/>
          <w:sz w:val="24"/>
          <w:szCs w:val="24"/>
        </w:rPr>
        <w:t>(1)</w:t>
      </w:r>
      <w:r w:rsidR="006E552D" w:rsidRPr="003258F9">
        <w:rPr>
          <w:rFonts w:cstheme="minorHAnsi"/>
          <w:sz w:val="24"/>
          <w:szCs w:val="24"/>
        </w:rPr>
        <w:t>:</w:t>
      </w:r>
      <w:r w:rsidRPr="003258F9">
        <w:rPr>
          <w:rFonts w:cstheme="minorHAnsi"/>
          <w:sz w:val="24"/>
          <w:szCs w:val="24"/>
        </w:rPr>
        <w:t xml:space="preserve"> 189</w:t>
      </w:r>
      <w:r w:rsidR="006E552D" w:rsidRPr="003258F9">
        <w:rPr>
          <w:rFonts w:cstheme="minorHAnsi"/>
          <w:sz w:val="24"/>
          <w:szCs w:val="24"/>
        </w:rPr>
        <w:t>-</w:t>
      </w:r>
      <w:r w:rsidRPr="003258F9">
        <w:rPr>
          <w:rFonts w:cstheme="minorHAnsi"/>
          <w:sz w:val="24"/>
          <w:szCs w:val="24"/>
        </w:rPr>
        <w:t xml:space="preserve">209. </w:t>
      </w:r>
    </w:p>
    <w:p w14:paraId="084938D4" w14:textId="683F5BE4" w:rsidR="003F6113" w:rsidRPr="003258F9" w:rsidRDefault="003F6113" w:rsidP="008106E5">
      <w:pPr>
        <w:ind w:left="284" w:hanging="284"/>
        <w:rPr>
          <w:rFonts w:cstheme="minorHAnsi"/>
          <w:sz w:val="24"/>
          <w:szCs w:val="24"/>
        </w:rPr>
      </w:pPr>
      <w:r w:rsidRPr="003258F9">
        <w:rPr>
          <w:rFonts w:cstheme="minorHAnsi"/>
          <w:sz w:val="24"/>
          <w:szCs w:val="24"/>
        </w:rPr>
        <w:t>Rodríguez-Pose, A., Lee, N.</w:t>
      </w:r>
      <w:r w:rsidR="00D242D8" w:rsidRPr="003258F9">
        <w:rPr>
          <w:rFonts w:cstheme="minorHAnsi"/>
          <w:sz w:val="24"/>
          <w:szCs w:val="24"/>
        </w:rPr>
        <w:t xml:space="preserve"> and</w:t>
      </w:r>
      <w:r w:rsidRPr="003258F9">
        <w:rPr>
          <w:rFonts w:cstheme="minorHAnsi"/>
          <w:sz w:val="24"/>
          <w:szCs w:val="24"/>
        </w:rPr>
        <w:t xml:space="preserve"> Lipp, C. (2021). Golfing with Trump. Social capital, decline, inequality, and the rise of populism in the US. </w:t>
      </w:r>
      <w:r w:rsidRPr="003258F9">
        <w:rPr>
          <w:rFonts w:cstheme="minorHAnsi"/>
          <w:i/>
          <w:iCs/>
          <w:sz w:val="24"/>
          <w:szCs w:val="24"/>
        </w:rPr>
        <w:t>Cambridge Journal of Regions, Economy and Society</w:t>
      </w:r>
      <w:r w:rsidRPr="003258F9">
        <w:rPr>
          <w:rFonts w:cstheme="minorHAnsi"/>
          <w:sz w:val="24"/>
          <w:szCs w:val="24"/>
        </w:rPr>
        <w:t>, </w:t>
      </w:r>
      <w:r w:rsidRPr="003258F9">
        <w:rPr>
          <w:rFonts w:cstheme="minorHAnsi"/>
          <w:i/>
          <w:iCs/>
          <w:sz w:val="24"/>
          <w:szCs w:val="24"/>
        </w:rPr>
        <w:t>14</w:t>
      </w:r>
      <w:r w:rsidRPr="003258F9">
        <w:rPr>
          <w:rFonts w:cstheme="minorHAnsi"/>
          <w:sz w:val="24"/>
          <w:szCs w:val="24"/>
        </w:rPr>
        <w:t>(3)</w:t>
      </w:r>
      <w:r w:rsidR="00D242D8" w:rsidRPr="003258F9">
        <w:rPr>
          <w:rFonts w:cstheme="minorHAnsi"/>
          <w:sz w:val="24"/>
          <w:szCs w:val="24"/>
        </w:rPr>
        <w:t>:</w:t>
      </w:r>
      <w:r w:rsidRPr="003258F9">
        <w:rPr>
          <w:rFonts w:cstheme="minorHAnsi"/>
          <w:sz w:val="24"/>
          <w:szCs w:val="24"/>
        </w:rPr>
        <w:t xml:space="preserve"> 457-481.</w:t>
      </w:r>
    </w:p>
    <w:p w14:paraId="31B718C0" w14:textId="7B6E0C2F" w:rsidR="008106E5" w:rsidRPr="003258F9" w:rsidRDefault="008106E5" w:rsidP="008106E5">
      <w:pPr>
        <w:ind w:left="284" w:hanging="284"/>
        <w:rPr>
          <w:rFonts w:cstheme="minorHAnsi"/>
          <w:sz w:val="24"/>
          <w:szCs w:val="24"/>
        </w:rPr>
      </w:pPr>
      <w:r w:rsidRPr="003258F9">
        <w:rPr>
          <w:rFonts w:cstheme="minorHAnsi"/>
          <w:sz w:val="24"/>
          <w:szCs w:val="24"/>
        </w:rPr>
        <w:lastRenderedPageBreak/>
        <w:t>Rokkan, S. (1999). </w:t>
      </w:r>
      <w:r w:rsidRPr="003258F9">
        <w:rPr>
          <w:rFonts w:cstheme="minorHAnsi"/>
          <w:i/>
          <w:iCs/>
          <w:sz w:val="24"/>
          <w:szCs w:val="24"/>
        </w:rPr>
        <w:t>State formation, nation-building, and mass politics in Europe: the theory of Stein Rokkan: based on his collected works</w:t>
      </w:r>
      <w:r w:rsidRPr="003258F9">
        <w:rPr>
          <w:rFonts w:cstheme="minorHAnsi"/>
          <w:sz w:val="24"/>
          <w:szCs w:val="24"/>
        </w:rPr>
        <w:t xml:space="preserve">. </w:t>
      </w:r>
      <w:r w:rsidR="006E552D" w:rsidRPr="003258F9">
        <w:rPr>
          <w:rFonts w:cstheme="minorHAnsi"/>
          <w:sz w:val="24"/>
          <w:szCs w:val="24"/>
        </w:rPr>
        <w:t xml:space="preserve">Oxford: </w:t>
      </w:r>
      <w:r w:rsidRPr="003258F9">
        <w:rPr>
          <w:rFonts w:cstheme="minorHAnsi"/>
          <w:sz w:val="24"/>
          <w:szCs w:val="24"/>
        </w:rPr>
        <w:t>Clarendon Press.</w:t>
      </w:r>
    </w:p>
    <w:p w14:paraId="47D6675A" w14:textId="34D79237" w:rsidR="0096277F" w:rsidRPr="003258F9" w:rsidRDefault="0096277F" w:rsidP="008106E5">
      <w:pPr>
        <w:ind w:left="284" w:hanging="284"/>
        <w:rPr>
          <w:rFonts w:cstheme="minorHAnsi"/>
          <w:sz w:val="24"/>
          <w:szCs w:val="24"/>
        </w:rPr>
      </w:pPr>
      <w:r w:rsidRPr="003258F9">
        <w:rPr>
          <w:rFonts w:cstheme="minorHAnsi"/>
          <w:sz w:val="24"/>
          <w:szCs w:val="24"/>
        </w:rPr>
        <w:t>Runciman, W. G. (1966). Relative deprivation and social justice: A study of attitudes to social inequality in twentieth-century England. London: Routledge</w:t>
      </w:r>
    </w:p>
    <w:p w14:paraId="4D11130F" w14:textId="3384AEF2" w:rsidR="00B7502C" w:rsidRPr="003258F9" w:rsidRDefault="00B7502C" w:rsidP="008106E5">
      <w:pPr>
        <w:ind w:left="284" w:hanging="284"/>
        <w:rPr>
          <w:rFonts w:cstheme="minorHAnsi"/>
          <w:sz w:val="24"/>
          <w:szCs w:val="24"/>
        </w:rPr>
      </w:pPr>
      <w:r w:rsidRPr="003258F9">
        <w:rPr>
          <w:rFonts w:cstheme="minorHAnsi"/>
          <w:sz w:val="24"/>
          <w:szCs w:val="24"/>
        </w:rPr>
        <w:t>Sørensen, J. F. (2012). Testing the hypothesis of higher social capital in rural areas: the case of Denmark. </w:t>
      </w:r>
      <w:r w:rsidRPr="003258F9">
        <w:rPr>
          <w:rFonts w:cstheme="minorHAnsi"/>
          <w:i/>
          <w:iCs/>
          <w:sz w:val="24"/>
          <w:szCs w:val="24"/>
        </w:rPr>
        <w:t>Regional Studies</w:t>
      </w:r>
      <w:r w:rsidRPr="003258F9">
        <w:rPr>
          <w:rFonts w:cstheme="minorHAnsi"/>
          <w:sz w:val="24"/>
          <w:szCs w:val="24"/>
        </w:rPr>
        <w:t>, </w:t>
      </w:r>
      <w:r w:rsidRPr="003258F9">
        <w:rPr>
          <w:rFonts w:cstheme="minorHAnsi"/>
          <w:i/>
          <w:iCs/>
          <w:sz w:val="24"/>
          <w:szCs w:val="24"/>
        </w:rPr>
        <w:t>46</w:t>
      </w:r>
      <w:r w:rsidRPr="003258F9">
        <w:rPr>
          <w:rFonts w:cstheme="minorHAnsi"/>
          <w:sz w:val="24"/>
          <w:szCs w:val="24"/>
        </w:rPr>
        <w:t>(7), 873-891.</w:t>
      </w:r>
    </w:p>
    <w:p w14:paraId="7699CF54" w14:textId="0C799E25" w:rsidR="00151BC5" w:rsidRPr="003258F9" w:rsidRDefault="00151BC5" w:rsidP="008106E5">
      <w:pPr>
        <w:ind w:left="284" w:hanging="284"/>
        <w:rPr>
          <w:rFonts w:cstheme="minorHAnsi"/>
          <w:sz w:val="24"/>
          <w:szCs w:val="24"/>
        </w:rPr>
      </w:pPr>
      <w:r w:rsidRPr="003258F9">
        <w:rPr>
          <w:rFonts w:cstheme="minorHAnsi"/>
          <w:sz w:val="24"/>
          <w:szCs w:val="24"/>
        </w:rPr>
        <w:t xml:space="preserve">Sørensen, J.F.L. (2016) Rural-Urban Differences in Bonding and Bridging Social Capital. </w:t>
      </w:r>
      <w:r w:rsidRPr="003258F9">
        <w:rPr>
          <w:rFonts w:cstheme="minorHAnsi"/>
          <w:i/>
          <w:iCs/>
          <w:sz w:val="24"/>
          <w:szCs w:val="24"/>
        </w:rPr>
        <w:t>Regional Studies</w:t>
      </w:r>
      <w:r w:rsidRPr="003258F9">
        <w:rPr>
          <w:rFonts w:cstheme="minorHAnsi"/>
          <w:sz w:val="24"/>
          <w:szCs w:val="24"/>
        </w:rPr>
        <w:t xml:space="preserve">, </w:t>
      </w:r>
      <w:r w:rsidRPr="003258F9">
        <w:rPr>
          <w:rFonts w:cstheme="minorHAnsi"/>
          <w:i/>
          <w:iCs/>
          <w:sz w:val="24"/>
          <w:szCs w:val="24"/>
        </w:rPr>
        <w:t>50</w:t>
      </w:r>
      <w:r w:rsidRPr="003258F9">
        <w:rPr>
          <w:rFonts w:cstheme="minorHAnsi"/>
          <w:sz w:val="24"/>
          <w:szCs w:val="24"/>
        </w:rPr>
        <w:t>(3): 391-410.</w:t>
      </w:r>
    </w:p>
    <w:p w14:paraId="583D5650" w14:textId="3D1CC14E" w:rsidR="008106E5" w:rsidRPr="003258F9" w:rsidRDefault="008106E5" w:rsidP="008106E5">
      <w:pPr>
        <w:ind w:left="284" w:hanging="284"/>
        <w:rPr>
          <w:rFonts w:eastAsia="Times New Roman" w:cstheme="minorHAnsi"/>
          <w:sz w:val="24"/>
          <w:szCs w:val="24"/>
        </w:rPr>
      </w:pPr>
      <w:r w:rsidRPr="003258F9">
        <w:rPr>
          <w:rFonts w:eastAsia="Times New Roman" w:cstheme="minorHAnsi"/>
          <w:sz w:val="24"/>
          <w:szCs w:val="24"/>
        </w:rPr>
        <w:t>Stein, J., Buck, M.</w:t>
      </w:r>
      <w:r w:rsidR="006E552D" w:rsidRPr="003258F9">
        <w:rPr>
          <w:rFonts w:eastAsia="Times New Roman" w:cstheme="minorHAnsi"/>
          <w:sz w:val="24"/>
          <w:szCs w:val="24"/>
        </w:rPr>
        <w:t xml:space="preserve"> and</w:t>
      </w:r>
      <w:r w:rsidRPr="003258F9">
        <w:rPr>
          <w:rFonts w:eastAsia="Times New Roman" w:cstheme="minorHAnsi"/>
          <w:sz w:val="24"/>
          <w:szCs w:val="24"/>
        </w:rPr>
        <w:t xml:space="preserve"> Bjørnå, H. (2021). The centre–periphery dimension and trust in politicians: the case of Norway. </w:t>
      </w:r>
      <w:r w:rsidRPr="003258F9">
        <w:rPr>
          <w:rFonts w:eastAsia="Times New Roman" w:cstheme="minorHAnsi"/>
          <w:i/>
          <w:iCs/>
          <w:sz w:val="24"/>
          <w:szCs w:val="24"/>
        </w:rPr>
        <w:t>Territory, Politics, Governance</w:t>
      </w:r>
      <w:r w:rsidRPr="003258F9">
        <w:rPr>
          <w:rFonts w:eastAsia="Times New Roman" w:cstheme="minorHAnsi"/>
          <w:sz w:val="24"/>
          <w:szCs w:val="24"/>
        </w:rPr>
        <w:t>, 9(1)</w:t>
      </w:r>
      <w:r w:rsidR="006E552D" w:rsidRPr="003258F9">
        <w:rPr>
          <w:rFonts w:eastAsia="Times New Roman" w:cstheme="minorHAnsi"/>
          <w:sz w:val="24"/>
          <w:szCs w:val="24"/>
        </w:rPr>
        <w:t>:</w:t>
      </w:r>
      <w:r w:rsidRPr="003258F9">
        <w:rPr>
          <w:rFonts w:eastAsia="Times New Roman" w:cstheme="minorHAnsi"/>
          <w:sz w:val="24"/>
          <w:szCs w:val="24"/>
        </w:rPr>
        <w:t xml:space="preserve"> 37-55. </w:t>
      </w:r>
    </w:p>
    <w:p w14:paraId="61A4C54A" w14:textId="2EEA484D" w:rsidR="008106E5" w:rsidRPr="003258F9" w:rsidRDefault="008106E5" w:rsidP="008106E5">
      <w:pPr>
        <w:ind w:left="284" w:hanging="284"/>
        <w:rPr>
          <w:rFonts w:eastAsia="Times New Roman" w:cstheme="minorHAnsi"/>
          <w:sz w:val="24"/>
          <w:szCs w:val="24"/>
          <w:lang w:eastAsia="en-GB"/>
        </w:rPr>
      </w:pPr>
      <w:r w:rsidRPr="003258F9">
        <w:rPr>
          <w:rFonts w:eastAsia="Times New Roman" w:cstheme="minorHAnsi"/>
          <w:sz w:val="24"/>
          <w:szCs w:val="24"/>
          <w:lang w:eastAsia="en-GB"/>
        </w:rPr>
        <w:t xml:space="preserve">Valgarðsson, V., Stoker, G., Devine, D., Gaskell, J. and Jennings, W. (2022). Political Disengagement. </w:t>
      </w:r>
      <w:r w:rsidR="006E552D" w:rsidRPr="003258F9">
        <w:rPr>
          <w:rFonts w:eastAsia="Times New Roman" w:cstheme="minorHAnsi"/>
          <w:sz w:val="24"/>
          <w:szCs w:val="24"/>
          <w:lang w:eastAsia="en-GB"/>
        </w:rPr>
        <w:t>I</w:t>
      </w:r>
      <w:r w:rsidRPr="003258F9">
        <w:rPr>
          <w:rFonts w:eastAsia="Times New Roman" w:cstheme="minorHAnsi"/>
          <w:sz w:val="24"/>
          <w:szCs w:val="24"/>
          <w:lang w:eastAsia="en-GB"/>
        </w:rPr>
        <w:t xml:space="preserve">n Marco </w:t>
      </w:r>
      <w:proofErr w:type="spellStart"/>
      <w:r w:rsidRPr="003258F9">
        <w:rPr>
          <w:rFonts w:eastAsia="Times New Roman" w:cstheme="minorHAnsi"/>
          <w:sz w:val="24"/>
          <w:szCs w:val="24"/>
          <w:lang w:eastAsia="en-GB"/>
        </w:rPr>
        <w:t>Giugni</w:t>
      </w:r>
      <w:proofErr w:type="spellEnd"/>
      <w:r w:rsidRPr="003258F9">
        <w:rPr>
          <w:rFonts w:eastAsia="Times New Roman" w:cstheme="minorHAnsi"/>
          <w:sz w:val="24"/>
          <w:szCs w:val="24"/>
          <w:lang w:eastAsia="en-GB"/>
        </w:rPr>
        <w:t xml:space="preserve"> and Maria Grasso (Eds.) </w:t>
      </w:r>
      <w:r w:rsidRPr="003258F9">
        <w:rPr>
          <w:rFonts w:eastAsia="Times New Roman" w:cstheme="minorHAnsi"/>
          <w:i/>
          <w:iCs/>
          <w:sz w:val="24"/>
          <w:szCs w:val="24"/>
          <w:lang w:eastAsia="en-GB"/>
        </w:rPr>
        <w:t>The Oxford Handbook of Political Participation</w:t>
      </w:r>
      <w:r w:rsidRPr="003258F9">
        <w:rPr>
          <w:rFonts w:eastAsia="Times New Roman" w:cstheme="minorHAnsi"/>
          <w:sz w:val="24"/>
          <w:szCs w:val="24"/>
          <w:lang w:eastAsia="en-GB"/>
        </w:rPr>
        <w:t>. Oxford: Oxford University Press.</w:t>
      </w:r>
    </w:p>
    <w:p w14:paraId="03916BE5" w14:textId="2844DCAF" w:rsidR="00462C06" w:rsidRPr="003258F9" w:rsidRDefault="005A5642" w:rsidP="00803772">
      <w:pPr>
        <w:rPr>
          <w:rFonts w:cstheme="minorHAnsi"/>
        </w:rPr>
      </w:pPr>
      <w:r w:rsidRPr="003258F9">
        <w:rPr>
          <w:rFonts w:eastAsia="Times New Roman" w:cstheme="minorHAnsi"/>
          <w:sz w:val="24"/>
          <w:szCs w:val="24"/>
          <w:lang w:eastAsia="en-GB"/>
        </w:rPr>
        <w:t xml:space="preserve">Welch, M. R., Rivera, R. E., Conway, B. P., </w:t>
      </w:r>
      <w:proofErr w:type="spellStart"/>
      <w:r w:rsidRPr="003258F9">
        <w:rPr>
          <w:rFonts w:eastAsia="Times New Roman" w:cstheme="minorHAnsi"/>
          <w:sz w:val="24"/>
          <w:szCs w:val="24"/>
          <w:lang w:eastAsia="en-GB"/>
        </w:rPr>
        <w:t>Yonkoski</w:t>
      </w:r>
      <w:proofErr w:type="spellEnd"/>
      <w:r w:rsidRPr="003258F9">
        <w:rPr>
          <w:rFonts w:eastAsia="Times New Roman" w:cstheme="minorHAnsi"/>
          <w:sz w:val="24"/>
          <w:szCs w:val="24"/>
          <w:lang w:eastAsia="en-GB"/>
        </w:rPr>
        <w:t>, J., Lupton, P. M., &amp; Giancola, R. (2005). Determinants and consequences of social trust. </w:t>
      </w:r>
      <w:r w:rsidRPr="003258F9">
        <w:rPr>
          <w:rFonts w:eastAsia="Times New Roman" w:cstheme="minorHAnsi"/>
          <w:i/>
          <w:iCs/>
          <w:sz w:val="24"/>
          <w:szCs w:val="24"/>
          <w:lang w:eastAsia="en-GB"/>
        </w:rPr>
        <w:t>Sociological inquiry</w:t>
      </w:r>
      <w:r w:rsidRPr="003258F9">
        <w:rPr>
          <w:rFonts w:eastAsia="Times New Roman" w:cstheme="minorHAnsi"/>
          <w:sz w:val="24"/>
          <w:szCs w:val="24"/>
          <w:lang w:eastAsia="en-GB"/>
        </w:rPr>
        <w:t>, </w:t>
      </w:r>
      <w:r w:rsidRPr="003258F9">
        <w:rPr>
          <w:rFonts w:eastAsia="Times New Roman" w:cstheme="minorHAnsi"/>
          <w:i/>
          <w:iCs/>
          <w:sz w:val="24"/>
          <w:szCs w:val="24"/>
          <w:lang w:eastAsia="en-GB"/>
        </w:rPr>
        <w:t>75</w:t>
      </w:r>
      <w:r w:rsidRPr="003258F9">
        <w:rPr>
          <w:rFonts w:eastAsia="Times New Roman" w:cstheme="minorHAnsi"/>
          <w:sz w:val="24"/>
          <w:szCs w:val="24"/>
          <w:lang w:eastAsia="en-GB"/>
        </w:rPr>
        <w:t>(4), 453-473.</w:t>
      </w:r>
    </w:p>
    <w:sectPr w:rsidR="00462C06" w:rsidRPr="003258F9" w:rsidSect="0076239C">
      <w:pgSz w:w="16838" w:h="11906"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4E9B" w14:textId="77777777" w:rsidR="00CF0170" w:rsidRDefault="00CF0170" w:rsidP="00B573BF">
      <w:pPr>
        <w:spacing w:after="0" w:line="240" w:lineRule="auto"/>
      </w:pPr>
      <w:r>
        <w:separator/>
      </w:r>
    </w:p>
  </w:endnote>
  <w:endnote w:type="continuationSeparator" w:id="0">
    <w:p w14:paraId="56A67DEC" w14:textId="77777777" w:rsidR="00CF0170" w:rsidRDefault="00CF0170" w:rsidP="00B573BF">
      <w:pPr>
        <w:spacing w:after="0" w:line="240" w:lineRule="auto"/>
      </w:pPr>
      <w:r>
        <w:continuationSeparator/>
      </w:r>
    </w:p>
  </w:endnote>
  <w:endnote w:type="continuationNotice" w:id="1">
    <w:p w14:paraId="5BF7005F" w14:textId="77777777" w:rsidR="00CF0170" w:rsidRDefault="00CF0170">
      <w:pPr>
        <w:spacing w:after="0" w:line="240" w:lineRule="auto"/>
      </w:pPr>
    </w:p>
  </w:endnote>
  <w:endnote w:id="2">
    <w:p w14:paraId="0FF55A7D" w14:textId="77777777" w:rsidR="009C5DD5" w:rsidRPr="00F816B3" w:rsidRDefault="009C5DD5" w:rsidP="00F816B3">
      <w:pPr>
        <w:pStyle w:val="EndnoteText"/>
        <w:spacing w:after="240" w:line="276" w:lineRule="auto"/>
        <w:rPr>
          <w:rFonts w:cstheme="minorHAnsi"/>
          <w:sz w:val="22"/>
          <w:szCs w:val="22"/>
        </w:rPr>
      </w:pPr>
      <w:r w:rsidRPr="00F816B3">
        <w:rPr>
          <w:rStyle w:val="EndnoteReference"/>
          <w:rFonts w:cstheme="minorHAnsi"/>
          <w:sz w:val="22"/>
          <w:szCs w:val="22"/>
        </w:rPr>
        <w:endnoteRef/>
      </w:r>
      <w:r w:rsidRPr="00F816B3">
        <w:rPr>
          <w:rFonts w:cstheme="minorHAnsi"/>
          <w:sz w:val="22"/>
          <w:szCs w:val="22"/>
        </w:rPr>
        <w:t xml:space="preserve"> For the purposes of this study, we do not offer a specific definition of ‘left-behind’. As MacKinnon et al. (2022) discuss, ‘it is often not precisely clear who, what or where is left-behind’. Discussions of the left-behind, we note, encompass less dense, rural, peripheral, physically isolated, or economically lagging areas. Previous work (McKay et al. 2021) has discussed how socio-cultural discontents better explain the political discontent of less dense/rural areas (which may or may not be lagging) and socio-economic discontents better explain the political discontent of economically lagging places (which may or may not be rural). This study, we suggest, speaks to both (though perhaps more to the density axis) and additionally to the centre-periphery axis.</w:t>
      </w:r>
    </w:p>
  </w:endnote>
  <w:endnote w:id="3">
    <w:p w14:paraId="170B3F8B" w14:textId="24B683FB" w:rsidR="000129EA" w:rsidRPr="00F816B3" w:rsidRDefault="000129EA" w:rsidP="00F816B3">
      <w:pPr>
        <w:pStyle w:val="EndnoteText"/>
        <w:keepLines/>
        <w:spacing w:after="240" w:line="276" w:lineRule="auto"/>
        <w:rPr>
          <w:rFonts w:cstheme="minorHAnsi"/>
          <w:sz w:val="22"/>
          <w:szCs w:val="22"/>
        </w:rPr>
      </w:pPr>
      <w:r w:rsidRPr="00F816B3">
        <w:rPr>
          <w:rStyle w:val="EndnoteReference"/>
          <w:rFonts w:cstheme="minorHAnsi"/>
          <w:sz w:val="22"/>
          <w:szCs w:val="22"/>
        </w:rPr>
        <w:endnoteRef/>
      </w:r>
      <w:r w:rsidRPr="00F816B3">
        <w:rPr>
          <w:rFonts w:cstheme="minorHAnsi"/>
          <w:sz w:val="22"/>
          <w:szCs w:val="22"/>
        </w:rPr>
        <w:t xml:space="preserve"> Given the use of population-weighting, these measures therefore represent the probability of connecting with a stylized urban/capital resident that is representative of the set of urban/capital regions that exist in a country.</w:t>
      </w:r>
    </w:p>
  </w:endnote>
  <w:endnote w:id="4">
    <w:p w14:paraId="259172EB" w14:textId="77777777" w:rsidR="000129EA" w:rsidRPr="00F816B3" w:rsidRDefault="000129EA" w:rsidP="00F816B3">
      <w:pPr>
        <w:pStyle w:val="EndnoteText"/>
        <w:keepLines/>
        <w:spacing w:after="240" w:line="276" w:lineRule="auto"/>
        <w:rPr>
          <w:rFonts w:cstheme="minorHAnsi"/>
          <w:sz w:val="22"/>
          <w:szCs w:val="22"/>
        </w:rPr>
      </w:pPr>
      <w:r w:rsidRPr="00F816B3">
        <w:rPr>
          <w:rStyle w:val="EndnoteReference"/>
          <w:rFonts w:cstheme="minorHAnsi"/>
          <w:sz w:val="22"/>
          <w:szCs w:val="22"/>
        </w:rPr>
        <w:endnoteRef/>
      </w:r>
      <w:r w:rsidRPr="00F816B3">
        <w:rPr>
          <w:rFonts w:cstheme="minorHAnsi"/>
          <w:sz w:val="22"/>
          <w:szCs w:val="22"/>
        </w:rPr>
        <w:t xml:space="preserve"> The data used for these maps is slightly more extensive than that used in the regression analysis. First, it includes countries (such as Germany) not used in the regression analysis. Second, due to limited identifiers, we will actually measure connections at NUTS-2 regions in some countries. We map all the data at NUTS-3 level to show the most detailed possible picture for Europe as a whole. For the urban measure, one country (Slovenia) could not be mapped because no areas were identified as ‘predominantly urban’. The ‘metropolitan capital regions’ for countries outside the European Union are not currently recorded and as such we have no data on capital connections for countries such as Turkey.</w:t>
      </w:r>
    </w:p>
  </w:endnote>
  <w:endnote w:id="5">
    <w:p w14:paraId="5859D081" w14:textId="60CF833A" w:rsidR="003A7CC0" w:rsidRPr="00F816B3" w:rsidRDefault="003A7CC0" w:rsidP="00F816B3">
      <w:pPr>
        <w:pStyle w:val="EndnoteText"/>
        <w:tabs>
          <w:tab w:val="left" w:pos="1418"/>
        </w:tabs>
        <w:spacing w:line="276" w:lineRule="auto"/>
        <w:rPr>
          <w:rFonts w:cstheme="minorHAnsi"/>
          <w:sz w:val="22"/>
          <w:szCs w:val="22"/>
        </w:rPr>
      </w:pPr>
      <w:r w:rsidRPr="00F816B3">
        <w:rPr>
          <w:rStyle w:val="EndnoteReference"/>
          <w:rFonts w:cstheme="minorHAnsi"/>
          <w:sz w:val="18"/>
          <w:szCs w:val="18"/>
        </w:rPr>
        <w:endnoteRef/>
      </w:r>
      <w:r w:rsidRPr="00F816B3">
        <w:rPr>
          <w:rFonts w:cstheme="minorHAnsi"/>
          <w:sz w:val="18"/>
          <w:szCs w:val="18"/>
        </w:rPr>
        <w:t xml:space="preserve"> </w:t>
      </w:r>
      <w:r w:rsidRPr="00F816B3">
        <w:rPr>
          <w:rFonts w:cstheme="minorHAnsi"/>
          <w:sz w:val="22"/>
          <w:szCs w:val="22"/>
        </w:rPr>
        <w:t>We also correlate social connection indicators to economy and net migration data, as low net migration (i.e. population outflows) can be an indicators of ‘left-behindness’. NUTS2 regions alone (where the net migration data is available), we also find that urban connections are correlated to higher net migration (</w:t>
      </w:r>
      <w:r w:rsidRPr="00F816B3">
        <w:rPr>
          <w:rFonts w:cstheme="minorHAnsi"/>
          <w:i/>
          <w:iCs/>
          <w:sz w:val="22"/>
          <w:szCs w:val="22"/>
        </w:rPr>
        <w:t>r</w:t>
      </w:r>
      <w:r w:rsidRPr="00F816B3">
        <w:rPr>
          <w:rFonts w:cstheme="minorHAnsi"/>
          <w:sz w:val="22"/>
          <w:szCs w:val="22"/>
        </w:rPr>
        <w:t>=.16, n=207) but ‘own region’ connections are correlated to lower net migration (</w:t>
      </w:r>
      <w:r w:rsidRPr="00F816B3">
        <w:rPr>
          <w:rFonts w:cstheme="minorHAnsi"/>
          <w:i/>
          <w:iCs/>
          <w:sz w:val="22"/>
          <w:szCs w:val="22"/>
        </w:rPr>
        <w:t>r</w:t>
      </w:r>
      <w:r w:rsidRPr="00F816B3">
        <w:rPr>
          <w:rFonts w:cstheme="minorHAnsi"/>
          <w:sz w:val="22"/>
          <w:szCs w:val="22"/>
        </w:rPr>
        <w:t>=.22, n=282).</w:t>
      </w:r>
    </w:p>
    <w:p w14:paraId="13EA23DC" w14:textId="77777777" w:rsidR="003A7CC0" w:rsidRPr="00F816B3" w:rsidRDefault="003A7CC0" w:rsidP="00F816B3">
      <w:pPr>
        <w:pStyle w:val="EndnoteText"/>
        <w:tabs>
          <w:tab w:val="left" w:pos="1418"/>
        </w:tabs>
        <w:spacing w:line="276" w:lineRule="auto"/>
        <w:rPr>
          <w:rFonts w:cstheme="minorHAnsi"/>
          <w:sz w:val="18"/>
          <w:szCs w:val="18"/>
        </w:rPr>
      </w:pPr>
    </w:p>
  </w:endnote>
  <w:endnote w:id="6">
    <w:p w14:paraId="4B2EE75B" w14:textId="432F6573" w:rsidR="003536AF" w:rsidRPr="00F816B3" w:rsidRDefault="003536AF" w:rsidP="00F816B3">
      <w:pPr>
        <w:spacing w:after="240" w:line="276" w:lineRule="auto"/>
        <w:rPr>
          <w:rFonts w:cstheme="minorHAnsi"/>
        </w:rPr>
      </w:pPr>
      <w:r w:rsidRPr="00F816B3">
        <w:rPr>
          <w:rStyle w:val="EndnoteReference"/>
          <w:rFonts w:cstheme="minorHAnsi"/>
        </w:rPr>
        <w:endnoteRef/>
      </w:r>
      <w:r w:rsidRPr="00F816B3">
        <w:rPr>
          <w:rFonts w:cstheme="minorHAnsi"/>
        </w:rPr>
        <w:t xml:space="preserve"> </w:t>
      </w:r>
      <w:r w:rsidR="00291E45" w:rsidRPr="00F816B3">
        <w:rPr>
          <w:rFonts w:cstheme="minorHAnsi"/>
        </w:rPr>
        <w:t xml:space="preserve">We test each regression model </w:t>
      </w:r>
      <w:r w:rsidRPr="00F816B3">
        <w:rPr>
          <w:rFonts w:cstheme="minorHAnsi"/>
        </w:rPr>
        <w:t xml:space="preserve">for various indicators of multicollinearity, </w:t>
      </w:r>
      <w:r w:rsidR="00291E45" w:rsidRPr="00F816B3">
        <w:rPr>
          <w:rFonts w:cstheme="minorHAnsi"/>
        </w:rPr>
        <w:t xml:space="preserve">including Variance Inflation Factors &gt; 4 and high correlations (r &gt;.5) between coefficients on predictors, and find no cause for concern. </w:t>
      </w:r>
    </w:p>
  </w:endnote>
  <w:endnote w:id="7">
    <w:p w14:paraId="254B7EF8" w14:textId="54E025C5" w:rsidR="00990BBA" w:rsidRPr="006D51F6" w:rsidRDefault="00990BBA" w:rsidP="00F816B3">
      <w:pPr>
        <w:pStyle w:val="EndnoteText"/>
        <w:spacing w:after="240" w:line="276" w:lineRule="auto"/>
        <w:rPr>
          <w:sz w:val="24"/>
          <w:szCs w:val="24"/>
        </w:rPr>
      </w:pPr>
      <w:r w:rsidRPr="00F816B3">
        <w:rPr>
          <w:rStyle w:val="EndnoteReference"/>
          <w:rFonts w:cstheme="minorHAnsi"/>
          <w:sz w:val="22"/>
          <w:szCs w:val="22"/>
        </w:rPr>
        <w:endnoteRef/>
      </w:r>
      <w:r w:rsidRPr="00F816B3">
        <w:rPr>
          <w:rFonts w:cstheme="minorHAnsi"/>
          <w:sz w:val="22"/>
          <w:szCs w:val="22"/>
        </w:rPr>
        <w:t xml:space="preserve"> Specifically, Tables A</w:t>
      </w:r>
      <w:r w:rsidR="00F37CA2" w:rsidRPr="00F816B3">
        <w:rPr>
          <w:rFonts w:cstheme="minorHAnsi"/>
          <w:sz w:val="22"/>
          <w:szCs w:val="22"/>
        </w:rPr>
        <w:t>2</w:t>
      </w:r>
      <w:r w:rsidR="006D51F6" w:rsidRPr="00F816B3">
        <w:rPr>
          <w:rFonts w:cstheme="minorHAnsi"/>
          <w:sz w:val="22"/>
          <w:szCs w:val="22"/>
        </w:rPr>
        <w:t xml:space="preserve"> to </w:t>
      </w:r>
      <w:r w:rsidRPr="00F816B3">
        <w:rPr>
          <w:rFonts w:cstheme="minorHAnsi"/>
          <w:sz w:val="22"/>
          <w:szCs w:val="22"/>
        </w:rPr>
        <w:t>A</w:t>
      </w:r>
      <w:r w:rsidR="00F37CA2" w:rsidRPr="00F816B3">
        <w:rPr>
          <w:rFonts w:cstheme="minorHAnsi"/>
          <w:sz w:val="22"/>
          <w:szCs w:val="22"/>
        </w:rPr>
        <w:t>4</w:t>
      </w:r>
      <w:r w:rsidRPr="00F816B3">
        <w:rPr>
          <w:rFonts w:cstheme="minorHAnsi"/>
          <w:sz w:val="22"/>
          <w:szCs w:val="22"/>
        </w:rPr>
        <w:t xml:space="preserve"> show that</w:t>
      </w:r>
      <w:r w:rsidR="00705CE1" w:rsidRPr="00F816B3">
        <w:rPr>
          <w:rFonts w:cstheme="minorHAnsi"/>
          <w:sz w:val="22"/>
          <w:szCs w:val="22"/>
        </w:rPr>
        <w:t xml:space="preserve"> (in the full models)</w:t>
      </w:r>
      <w:r w:rsidRPr="00F816B3">
        <w:rPr>
          <w:rFonts w:cstheme="minorHAnsi"/>
          <w:sz w:val="22"/>
          <w:szCs w:val="22"/>
        </w:rPr>
        <w:t xml:space="preserve"> </w:t>
      </w:r>
      <w:r w:rsidR="00705CE1" w:rsidRPr="00F816B3">
        <w:rPr>
          <w:rFonts w:cstheme="minorHAnsi"/>
          <w:sz w:val="22"/>
          <w:szCs w:val="22"/>
        </w:rPr>
        <w:t xml:space="preserve">particular social trust is associated with older and ethnic majority groups, whereas the opposite was true for general social and political trust. The same pattern was found among women. Higher income was associated with all three types of trust. Higher levels of education were linked to political and general social trust, but not with particular social trust.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0"/>
        <w:szCs w:val="20"/>
      </w:rPr>
      <w:id w:val="1904412884"/>
      <w:docPartObj>
        <w:docPartGallery w:val="Page Numbers (Bottom of Page)"/>
        <w:docPartUnique/>
      </w:docPartObj>
    </w:sdtPr>
    <w:sdtEndPr>
      <w:rPr>
        <w:noProof/>
      </w:rPr>
    </w:sdtEndPr>
    <w:sdtContent>
      <w:p w14:paraId="64C4D43C" w14:textId="4F317E2A" w:rsidR="000E0D67" w:rsidRPr="000E0D67" w:rsidRDefault="000E0D67">
        <w:pPr>
          <w:pStyle w:val="Footer"/>
          <w:jc w:val="right"/>
          <w:rPr>
            <w:rFonts w:ascii="Garamond" w:hAnsi="Garamond"/>
            <w:sz w:val="20"/>
            <w:szCs w:val="20"/>
          </w:rPr>
        </w:pPr>
        <w:r w:rsidRPr="000E0D67">
          <w:rPr>
            <w:rFonts w:ascii="Garamond" w:hAnsi="Garamond"/>
            <w:sz w:val="20"/>
            <w:szCs w:val="20"/>
          </w:rPr>
          <w:fldChar w:fldCharType="begin"/>
        </w:r>
        <w:r w:rsidRPr="000E0D67">
          <w:rPr>
            <w:rFonts w:ascii="Garamond" w:hAnsi="Garamond"/>
            <w:sz w:val="20"/>
            <w:szCs w:val="20"/>
          </w:rPr>
          <w:instrText xml:space="preserve"> PAGE   \* MERGEFORMAT </w:instrText>
        </w:r>
        <w:r w:rsidRPr="000E0D67">
          <w:rPr>
            <w:rFonts w:ascii="Garamond" w:hAnsi="Garamond"/>
            <w:sz w:val="20"/>
            <w:szCs w:val="20"/>
          </w:rPr>
          <w:fldChar w:fldCharType="separate"/>
        </w:r>
        <w:r w:rsidRPr="000E0D67">
          <w:rPr>
            <w:rFonts w:ascii="Garamond" w:hAnsi="Garamond"/>
            <w:noProof/>
            <w:sz w:val="20"/>
            <w:szCs w:val="20"/>
          </w:rPr>
          <w:t>2</w:t>
        </w:r>
        <w:r w:rsidRPr="000E0D67">
          <w:rPr>
            <w:rFonts w:ascii="Garamond" w:hAnsi="Garamond"/>
            <w:noProof/>
            <w:sz w:val="20"/>
            <w:szCs w:val="20"/>
          </w:rPr>
          <w:fldChar w:fldCharType="end"/>
        </w:r>
      </w:p>
    </w:sdtContent>
  </w:sdt>
  <w:p w14:paraId="7422DBB4" w14:textId="77777777" w:rsidR="000E0D67" w:rsidRPr="000E0D67" w:rsidRDefault="000E0D67" w:rsidP="000E0D67">
    <w:pPr>
      <w:pStyle w:val="Footer"/>
      <w:jc w:val="right"/>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A6E2" w14:textId="77777777" w:rsidR="00CF0170" w:rsidRDefault="00CF0170" w:rsidP="00B573BF">
      <w:pPr>
        <w:spacing w:after="0" w:line="240" w:lineRule="auto"/>
      </w:pPr>
      <w:r>
        <w:separator/>
      </w:r>
    </w:p>
  </w:footnote>
  <w:footnote w:type="continuationSeparator" w:id="0">
    <w:p w14:paraId="571A728A" w14:textId="77777777" w:rsidR="00CF0170" w:rsidRDefault="00CF0170" w:rsidP="00B573BF">
      <w:pPr>
        <w:spacing w:after="0" w:line="240" w:lineRule="auto"/>
      </w:pPr>
      <w:r>
        <w:continuationSeparator/>
      </w:r>
    </w:p>
  </w:footnote>
  <w:footnote w:type="continuationNotice" w:id="1">
    <w:p w14:paraId="6B0F4FD4" w14:textId="77777777" w:rsidR="00CF0170" w:rsidRDefault="00CF01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779"/>
    <w:multiLevelType w:val="hybridMultilevel"/>
    <w:tmpl w:val="84E02F46"/>
    <w:lvl w:ilvl="0" w:tplc="096A698E">
      <w:start w:val="1"/>
      <w:numFmt w:val="bullet"/>
      <w:lvlText w:val="•"/>
      <w:lvlJc w:val="left"/>
      <w:pPr>
        <w:tabs>
          <w:tab w:val="num" w:pos="720"/>
        </w:tabs>
        <w:ind w:left="720" w:hanging="360"/>
      </w:pPr>
      <w:rPr>
        <w:rFonts w:ascii="Arial" w:hAnsi="Arial" w:hint="default"/>
      </w:rPr>
    </w:lvl>
    <w:lvl w:ilvl="1" w:tplc="C6FC4780">
      <w:numFmt w:val="bullet"/>
      <w:lvlText w:val="•"/>
      <w:lvlJc w:val="left"/>
      <w:pPr>
        <w:tabs>
          <w:tab w:val="num" w:pos="1440"/>
        </w:tabs>
        <w:ind w:left="1440" w:hanging="360"/>
      </w:pPr>
      <w:rPr>
        <w:rFonts w:ascii="Arial" w:hAnsi="Arial" w:hint="default"/>
      </w:rPr>
    </w:lvl>
    <w:lvl w:ilvl="2" w:tplc="5E32069E" w:tentative="1">
      <w:start w:val="1"/>
      <w:numFmt w:val="bullet"/>
      <w:lvlText w:val="•"/>
      <w:lvlJc w:val="left"/>
      <w:pPr>
        <w:tabs>
          <w:tab w:val="num" w:pos="2160"/>
        </w:tabs>
        <w:ind w:left="2160" w:hanging="360"/>
      </w:pPr>
      <w:rPr>
        <w:rFonts w:ascii="Arial" w:hAnsi="Arial" w:hint="default"/>
      </w:rPr>
    </w:lvl>
    <w:lvl w:ilvl="3" w:tplc="43ACA0F8" w:tentative="1">
      <w:start w:val="1"/>
      <w:numFmt w:val="bullet"/>
      <w:lvlText w:val="•"/>
      <w:lvlJc w:val="left"/>
      <w:pPr>
        <w:tabs>
          <w:tab w:val="num" w:pos="2880"/>
        </w:tabs>
        <w:ind w:left="2880" w:hanging="360"/>
      </w:pPr>
      <w:rPr>
        <w:rFonts w:ascii="Arial" w:hAnsi="Arial" w:hint="default"/>
      </w:rPr>
    </w:lvl>
    <w:lvl w:ilvl="4" w:tplc="D8CEFE24" w:tentative="1">
      <w:start w:val="1"/>
      <w:numFmt w:val="bullet"/>
      <w:lvlText w:val="•"/>
      <w:lvlJc w:val="left"/>
      <w:pPr>
        <w:tabs>
          <w:tab w:val="num" w:pos="3600"/>
        </w:tabs>
        <w:ind w:left="3600" w:hanging="360"/>
      </w:pPr>
      <w:rPr>
        <w:rFonts w:ascii="Arial" w:hAnsi="Arial" w:hint="default"/>
      </w:rPr>
    </w:lvl>
    <w:lvl w:ilvl="5" w:tplc="6D5C04EA" w:tentative="1">
      <w:start w:val="1"/>
      <w:numFmt w:val="bullet"/>
      <w:lvlText w:val="•"/>
      <w:lvlJc w:val="left"/>
      <w:pPr>
        <w:tabs>
          <w:tab w:val="num" w:pos="4320"/>
        </w:tabs>
        <w:ind w:left="4320" w:hanging="360"/>
      </w:pPr>
      <w:rPr>
        <w:rFonts w:ascii="Arial" w:hAnsi="Arial" w:hint="default"/>
      </w:rPr>
    </w:lvl>
    <w:lvl w:ilvl="6" w:tplc="C5EA1DFA" w:tentative="1">
      <w:start w:val="1"/>
      <w:numFmt w:val="bullet"/>
      <w:lvlText w:val="•"/>
      <w:lvlJc w:val="left"/>
      <w:pPr>
        <w:tabs>
          <w:tab w:val="num" w:pos="5040"/>
        </w:tabs>
        <w:ind w:left="5040" w:hanging="360"/>
      </w:pPr>
      <w:rPr>
        <w:rFonts w:ascii="Arial" w:hAnsi="Arial" w:hint="default"/>
      </w:rPr>
    </w:lvl>
    <w:lvl w:ilvl="7" w:tplc="6512D83A" w:tentative="1">
      <w:start w:val="1"/>
      <w:numFmt w:val="bullet"/>
      <w:lvlText w:val="•"/>
      <w:lvlJc w:val="left"/>
      <w:pPr>
        <w:tabs>
          <w:tab w:val="num" w:pos="5760"/>
        </w:tabs>
        <w:ind w:left="5760" w:hanging="360"/>
      </w:pPr>
      <w:rPr>
        <w:rFonts w:ascii="Arial" w:hAnsi="Arial" w:hint="default"/>
      </w:rPr>
    </w:lvl>
    <w:lvl w:ilvl="8" w:tplc="EB081F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640AB6"/>
    <w:multiLevelType w:val="hybridMultilevel"/>
    <w:tmpl w:val="196A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D308B"/>
    <w:multiLevelType w:val="hybridMultilevel"/>
    <w:tmpl w:val="0AB40BAA"/>
    <w:lvl w:ilvl="0" w:tplc="CB5C11CE">
      <w:start w:val="1"/>
      <w:numFmt w:val="bullet"/>
      <w:lvlText w:val="•"/>
      <w:lvlJc w:val="left"/>
      <w:pPr>
        <w:tabs>
          <w:tab w:val="num" w:pos="720"/>
        </w:tabs>
        <w:ind w:left="720" w:hanging="360"/>
      </w:pPr>
      <w:rPr>
        <w:rFonts w:ascii="Arial" w:hAnsi="Arial" w:hint="default"/>
      </w:rPr>
    </w:lvl>
    <w:lvl w:ilvl="1" w:tplc="599ACCB8">
      <w:numFmt w:val="bullet"/>
      <w:lvlText w:val="•"/>
      <w:lvlJc w:val="left"/>
      <w:pPr>
        <w:tabs>
          <w:tab w:val="num" w:pos="1440"/>
        </w:tabs>
        <w:ind w:left="1440" w:hanging="360"/>
      </w:pPr>
      <w:rPr>
        <w:rFonts w:ascii="Arial" w:hAnsi="Arial" w:hint="default"/>
      </w:rPr>
    </w:lvl>
    <w:lvl w:ilvl="2" w:tplc="48566E18">
      <w:numFmt w:val="bullet"/>
      <w:lvlText w:val="•"/>
      <w:lvlJc w:val="left"/>
      <w:pPr>
        <w:tabs>
          <w:tab w:val="num" w:pos="2160"/>
        </w:tabs>
        <w:ind w:left="2160" w:hanging="360"/>
      </w:pPr>
      <w:rPr>
        <w:rFonts w:ascii="Arial" w:hAnsi="Arial" w:hint="default"/>
      </w:rPr>
    </w:lvl>
    <w:lvl w:ilvl="3" w:tplc="110EA436" w:tentative="1">
      <w:start w:val="1"/>
      <w:numFmt w:val="bullet"/>
      <w:lvlText w:val="•"/>
      <w:lvlJc w:val="left"/>
      <w:pPr>
        <w:tabs>
          <w:tab w:val="num" w:pos="2880"/>
        </w:tabs>
        <w:ind w:left="2880" w:hanging="360"/>
      </w:pPr>
      <w:rPr>
        <w:rFonts w:ascii="Arial" w:hAnsi="Arial" w:hint="default"/>
      </w:rPr>
    </w:lvl>
    <w:lvl w:ilvl="4" w:tplc="176E5A34" w:tentative="1">
      <w:start w:val="1"/>
      <w:numFmt w:val="bullet"/>
      <w:lvlText w:val="•"/>
      <w:lvlJc w:val="left"/>
      <w:pPr>
        <w:tabs>
          <w:tab w:val="num" w:pos="3600"/>
        </w:tabs>
        <w:ind w:left="3600" w:hanging="360"/>
      </w:pPr>
      <w:rPr>
        <w:rFonts w:ascii="Arial" w:hAnsi="Arial" w:hint="default"/>
      </w:rPr>
    </w:lvl>
    <w:lvl w:ilvl="5" w:tplc="E598AABA" w:tentative="1">
      <w:start w:val="1"/>
      <w:numFmt w:val="bullet"/>
      <w:lvlText w:val="•"/>
      <w:lvlJc w:val="left"/>
      <w:pPr>
        <w:tabs>
          <w:tab w:val="num" w:pos="4320"/>
        </w:tabs>
        <w:ind w:left="4320" w:hanging="360"/>
      </w:pPr>
      <w:rPr>
        <w:rFonts w:ascii="Arial" w:hAnsi="Arial" w:hint="default"/>
      </w:rPr>
    </w:lvl>
    <w:lvl w:ilvl="6" w:tplc="3AD45A6E" w:tentative="1">
      <w:start w:val="1"/>
      <w:numFmt w:val="bullet"/>
      <w:lvlText w:val="•"/>
      <w:lvlJc w:val="left"/>
      <w:pPr>
        <w:tabs>
          <w:tab w:val="num" w:pos="5040"/>
        </w:tabs>
        <w:ind w:left="5040" w:hanging="360"/>
      </w:pPr>
      <w:rPr>
        <w:rFonts w:ascii="Arial" w:hAnsi="Arial" w:hint="default"/>
      </w:rPr>
    </w:lvl>
    <w:lvl w:ilvl="7" w:tplc="B3EC0D46" w:tentative="1">
      <w:start w:val="1"/>
      <w:numFmt w:val="bullet"/>
      <w:lvlText w:val="•"/>
      <w:lvlJc w:val="left"/>
      <w:pPr>
        <w:tabs>
          <w:tab w:val="num" w:pos="5760"/>
        </w:tabs>
        <w:ind w:left="5760" w:hanging="360"/>
      </w:pPr>
      <w:rPr>
        <w:rFonts w:ascii="Arial" w:hAnsi="Arial" w:hint="default"/>
      </w:rPr>
    </w:lvl>
    <w:lvl w:ilvl="8" w:tplc="7924CF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F2594B"/>
    <w:multiLevelType w:val="hybridMultilevel"/>
    <w:tmpl w:val="9A5E87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B06D80"/>
    <w:multiLevelType w:val="hybridMultilevel"/>
    <w:tmpl w:val="0AE2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C578C"/>
    <w:multiLevelType w:val="hybridMultilevel"/>
    <w:tmpl w:val="EF0E7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D3FD4"/>
    <w:multiLevelType w:val="hybridMultilevel"/>
    <w:tmpl w:val="AE64A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45D12"/>
    <w:multiLevelType w:val="hybridMultilevel"/>
    <w:tmpl w:val="ACD63E42"/>
    <w:lvl w:ilvl="0" w:tplc="92B0026E">
      <w:start w:val="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46CE1"/>
    <w:multiLevelType w:val="hybridMultilevel"/>
    <w:tmpl w:val="6BFC01F4"/>
    <w:lvl w:ilvl="0" w:tplc="649049F2">
      <w:start w:val="1"/>
      <w:numFmt w:val="bullet"/>
      <w:lvlText w:val="•"/>
      <w:lvlJc w:val="left"/>
      <w:pPr>
        <w:tabs>
          <w:tab w:val="num" w:pos="720"/>
        </w:tabs>
        <w:ind w:left="720" w:hanging="360"/>
      </w:pPr>
      <w:rPr>
        <w:rFonts w:ascii="Arial" w:hAnsi="Arial" w:hint="default"/>
      </w:rPr>
    </w:lvl>
    <w:lvl w:ilvl="1" w:tplc="1FA8B3C0" w:tentative="1">
      <w:start w:val="1"/>
      <w:numFmt w:val="bullet"/>
      <w:lvlText w:val="•"/>
      <w:lvlJc w:val="left"/>
      <w:pPr>
        <w:tabs>
          <w:tab w:val="num" w:pos="1440"/>
        </w:tabs>
        <w:ind w:left="1440" w:hanging="360"/>
      </w:pPr>
      <w:rPr>
        <w:rFonts w:ascii="Arial" w:hAnsi="Arial" w:hint="default"/>
      </w:rPr>
    </w:lvl>
    <w:lvl w:ilvl="2" w:tplc="78A6F0CE" w:tentative="1">
      <w:start w:val="1"/>
      <w:numFmt w:val="bullet"/>
      <w:lvlText w:val="•"/>
      <w:lvlJc w:val="left"/>
      <w:pPr>
        <w:tabs>
          <w:tab w:val="num" w:pos="2160"/>
        </w:tabs>
        <w:ind w:left="2160" w:hanging="360"/>
      </w:pPr>
      <w:rPr>
        <w:rFonts w:ascii="Arial" w:hAnsi="Arial" w:hint="default"/>
      </w:rPr>
    </w:lvl>
    <w:lvl w:ilvl="3" w:tplc="A4C243FE" w:tentative="1">
      <w:start w:val="1"/>
      <w:numFmt w:val="bullet"/>
      <w:lvlText w:val="•"/>
      <w:lvlJc w:val="left"/>
      <w:pPr>
        <w:tabs>
          <w:tab w:val="num" w:pos="2880"/>
        </w:tabs>
        <w:ind w:left="2880" w:hanging="360"/>
      </w:pPr>
      <w:rPr>
        <w:rFonts w:ascii="Arial" w:hAnsi="Arial" w:hint="default"/>
      </w:rPr>
    </w:lvl>
    <w:lvl w:ilvl="4" w:tplc="F9C0D368" w:tentative="1">
      <w:start w:val="1"/>
      <w:numFmt w:val="bullet"/>
      <w:lvlText w:val="•"/>
      <w:lvlJc w:val="left"/>
      <w:pPr>
        <w:tabs>
          <w:tab w:val="num" w:pos="3600"/>
        </w:tabs>
        <w:ind w:left="3600" w:hanging="360"/>
      </w:pPr>
      <w:rPr>
        <w:rFonts w:ascii="Arial" w:hAnsi="Arial" w:hint="default"/>
      </w:rPr>
    </w:lvl>
    <w:lvl w:ilvl="5" w:tplc="EDC8DADA" w:tentative="1">
      <w:start w:val="1"/>
      <w:numFmt w:val="bullet"/>
      <w:lvlText w:val="•"/>
      <w:lvlJc w:val="left"/>
      <w:pPr>
        <w:tabs>
          <w:tab w:val="num" w:pos="4320"/>
        </w:tabs>
        <w:ind w:left="4320" w:hanging="360"/>
      </w:pPr>
      <w:rPr>
        <w:rFonts w:ascii="Arial" w:hAnsi="Arial" w:hint="default"/>
      </w:rPr>
    </w:lvl>
    <w:lvl w:ilvl="6" w:tplc="93861696" w:tentative="1">
      <w:start w:val="1"/>
      <w:numFmt w:val="bullet"/>
      <w:lvlText w:val="•"/>
      <w:lvlJc w:val="left"/>
      <w:pPr>
        <w:tabs>
          <w:tab w:val="num" w:pos="5040"/>
        </w:tabs>
        <w:ind w:left="5040" w:hanging="360"/>
      </w:pPr>
      <w:rPr>
        <w:rFonts w:ascii="Arial" w:hAnsi="Arial" w:hint="default"/>
      </w:rPr>
    </w:lvl>
    <w:lvl w:ilvl="7" w:tplc="01C89CEE" w:tentative="1">
      <w:start w:val="1"/>
      <w:numFmt w:val="bullet"/>
      <w:lvlText w:val="•"/>
      <w:lvlJc w:val="left"/>
      <w:pPr>
        <w:tabs>
          <w:tab w:val="num" w:pos="5760"/>
        </w:tabs>
        <w:ind w:left="5760" w:hanging="360"/>
      </w:pPr>
      <w:rPr>
        <w:rFonts w:ascii="Arial" w:hAnsi="Arial" w:hint="default"/>
      </w:rPr>
    </w:lvl>
    <w:lvl w:ilvl="8" w:tplc="FC0E30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535716"/>
    <w:multiLevelType w:val="hybridMultilevel"/>
    <w:tmpl w:val="130C25A6"/>
    <w:lvl w:ilvl="0" w:tplc="DA7A1DD4">
      <w:start w:val="1"/>
      <w:numFmt w:val="bullet"/>
      <w:lvlText w:val="•"/>
      <w:lvlJc w:val="left"/>
      <w:pPr>
        <w:tabs>
          <w:tab w:val="num" w:pos="720"/>
        </w:tabs>
        <w:ind w:left="720" w:hanging="360"/>
      </w:pPr>
      <w:rPr>
        <w:rFonts w:ascii="Arial" w:hAnsi="Arial" w:hint="default"/>
        <w:sz w:val="28"/>
        <w:szCs w:val="28"/>
      </w:rPr>
    </w:lvl>
    <w:lvl w:ilvl="1" w:tplc="62D282B2">
      <w:start w:val="1"/>
      <w:numFmt w:val="bullet"/>
      <w:lvlText w:val="•"/>
      <w:lvlJc w:val="left"/>
      <w:pPr>
        <w:tabs>
          <w:tab w:val="num" w:pos="1440"/>
        </w:tabs>
        <w:ind w:left="1440" w:hanging="360"/>
      </w:pPr>
      <w:rPr>
        <w:rFonts w:ascii="Arial" w:hAnsi="Arial" w:hint="default"/>
      </w:rPr>
    </w:lvl>
    <w:lvl w:ilvl="2" w:tplc="84D448C8" w:tentative="1">
      <w:start w:val="1"/>
      <w:numFmt w:val="bullet"/>
      <w:lvlText w:val="•"/>
      <w:lvlJc w:val="left"/>
      <w:pPr>
        <w:tabs>
          <w:tab w:val="num" w:pos="2160"/>
        </w:tabs>
        <w:ind w:left="2160" w:hanging="360"/>
      </w:pPr>
      <w:rPr>
        <w:rFonts w:ascii="Arial" w:hAnsi="Arial" w:hint="default"/>
      </w:rPr>
    </w:lvl>
    <w:lvl w:ilvl="3" w:tplc="A0A4591C" w:tentative="1">
      <w:start w:val="1"/>
      <w:numFmt w:val="bullet"/>
      <w:lvlText w:val="•"/>
      <w:lvlJc w:val="left"/>
      <w:pPr>
        <w:tabs>
          <w:tab w:val="num" w:pos="2880"/>
        </w:tabs>
        <w:ind w:left="2880" w:hanging="360"/>
      </w:pPr>
      <w:rPr>
        <w:rFonts w:ascii="Arial" w:hAnsi="Arial" w:hint="default"/>
      </w:rPr>
    </w:lvl>
    <w:lvl w:ilvl="4" w:tplc="F64C8DFA" w:tentative="1">
      <w:start w:val="1"/>
      <w:numFmt w:val="bullet"/>
      <w:lvlText w:val="•"/>
      <w:lvlJc w:val="left"/>
      <w:pPr>
        <w:tabs>
          <w:tab w:val="num" w:pos="3600"/>
        </w:tabs>
        <w:ind w:left="3600" w:hanging="360"/>
      </w:pPr>
      <w:rPr>
        <w:rFonts w:ascii="Arial" w:hAnsi="Arial" w:hint="default"/>
      </w:rPr>
    </w:lvl>
    <w:lvl w:ilvl="5" w:tplc="4B02FED4" w:tentative="1">
      <w:start w:val="1"/>
      <w:numFmt w:val="bullet"/>
      <w:lvlText w:val="•"/>
      <w:lvlJc w:val="left"/>
      <w:pPr>
        <w:tabs>
          <w:tab w:val="num" w:pos="4320"/>
        </w:tabs>
        <w:ind w:left="4320" w:hanging="360"/>
      </w:pPr>
      <w:rPr>
        <w:rFonts w:ascii="Arial" w:hAnsi="Arial" w:hint="default"/>
      </w:rPr>
    </w:lvl>
    <w:lvl w:ilvl="6" w:tplc="A7B2E2D2" w:tentative="1">
      <w:start w:val="1"/>
      <w:numFmt w:val="bullet"/>
      <w:lvlText w:val="•"/>
      <w:lvlJc w:val="left"/>
      <w:pPr>
        <w:tabs>
          <w:tab w:val="num" w:pos="5040"/>
        </w:tabs>
        <w:ind w:left="5040" w:hanging="360"/>
      </w:pPr>
      <w:rPr>
        <w:rFonts w:ascii="Arial" w:hAnsi="Arial" w:hint="default"/>
      </w:rPr>
    </w:lvl>
    <w:lvl w:ilvl="7" w:tplc="58B69724" w:tentative="1">
      <w:start w:val="1"/>
      <w:numFmt w:val="bullet"/>
      <w:lvlText w:val="•"/>
      <w:lvlJc w:val="left"/>
      <w:pPr>
        <w:tabs>
          <w:tab w:val="num" w:pos="5760"/>
        </w:tabs>
        <w:ind w:left="5760" w:hanging="360"/>
      </w:pPr>
      <w:rPr>
        <w:rFonts w:ascii="Arial" w:hAnsi="Arial" w:hint="default"/>
      </w:rPr>
    </w:lvl>
    <w:lvl w:ilvl="8" w:tplc="CDBC23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F35542"/>
    <w:multiLevelType w:val="hybridMultilevel"/>
    <w:tmpl w:val="0F1E6810"/>
    <w:lvl w:ilvl="0" w:tplc="CB68D772">
      <w:start w:val="1"/>
      <w:numFmt w:val="bullet"/>
      <w:lvlText w:val="•"/>
      <w:lvlJc w:val="left"/>
      <w:pPr>
        <w:tabs>
          <w:tab w:val="num" w:pos="720"/>
        </w:tabs>
        <w:ind w:left="720" w:hanging="360"/>
      </w:pPr>
      <w:rPr>
        <w:rFonts w:ascii="Arial" w:hAnsi="Arial" w:hint="default"/>
      </w:rPr>
    </w:lvl>
    <w:lvl w:ilvl="1" w:tplc="E398F46E">
      <w:numFmt w:val="bullet"/>
      <w:lvlText w:val="•"/>
      <w:lvlJc w:val="left"/>
      <w:pPr>
        <w:tabs>
          <w:tab w:val="num" w:pos="1440"/>
        </w:tabs>
        <w:ind w:left="1440" w:hanging="360"/>
      </w:pPr>
      <w:rPr>
        <w:rFonts w:ascii="Arial" w:hAnsi="Arial" w:hint="default"/>
      </w:rPr>
    </w:lvl>
    <w:lvl w:ilvl="2" w:tplc="B980D384" w:tentative="1">
      <w:start w:val="1"/>
      <w:numFmt w:val="bullet"/>
      <w:lvlText w:val="•"/>
      <w:lvlJc w:val="left"/>
      <w:pPr>
        <w:tabs>
          <w:tab w:val="num" w:pos="2160"/>
        </w:tabs>
        <w:ind w:left="2160" w:hanging="360"/>
      </w:pPr>
      <w:rPr>
        <w:rFonts w:ascii="Arial" w:hAnsi="Arial" w:hint="default"/>
      </w:rPr>
    </w:lvl>
    <w:lvl w:ilvl="3" w:tplc="1F2E75C4" w:tentative="1">
      <w:start w:val="1"/>
      <w:numFmt w:val="bullet"/>
      <w:lvlText w:val="•"/>
      <w:lvlJc w:val="left"/>
      <w:pPr>
        <w:tabs>
          <w:tab w:val="num" w:pos="2880"/>
        </w:tabs>
        <w:ind w:left="2880" w:hanging="360"/>
      </w:pPr>
      <w:rPr>
        <w:rFonts w:ascii="Arial" w:hAnsi="Arial" w:hint="default"/>
      </w:rPr>
    </w:lvl>
    <w:lvl w:ilvl="4" w:tplc="719CD630" w:tentative="1">
      <w:start w:val="1"/>
      <w:numFmt w:val="bullet"/>
      <w:lvlText w:val="•"/>
      <w:lvlJc w:val="left"/>
      <w:pPr>
        <w:tabs>
          <w:tab w:val="num" w:pos="3600"/>
        </w:tabs>
        <w:ind w:left="3600" w:hanging="360"/>
      </w:pPr>
      <w:rPr>
        <w:rFonts w:ascii="Arial" w:hAnsi="Arial" w:hint="default"/>
      </w:rPr>
    </w:lvl>
    <w:lvl w:ilvl="5" w:tplc="90AA54A4" w:tentative="1">
      <w:start w:val="1"/>
      <w:numFmt w:val="bullet"/>
      <w:lvlText w:val="•"/>
      <w:lvlJc w:val="left"/>
      <w:pPr>
        <w:tabs>
          <w:tab w:val="num" w:pos="4320"/>
        </w:tabs>
        <w:ind w:left="4320" w:hanging="360"/>
      </w:pPr>
      <w:rPr>
        <w:rFonts w:ascii="Arial" w:hAnsi="Arial" w:hint="default"/>
      </w:rPr>
    </w:lvl>
    <w:lvl w:ilvl="6" w:tplc="AC40BB36" w:tentative="1">
      <w:start w:val="1"/>
      <w:numFmt w:val="bullet"/>
      <w:lvlText w:val="•"/>
      <w:lvlJc w:val="left"/>
      <w:pPr>
        <w:tabs>
          <w:tab w:val="num" w:pos="5040"/>
        </w:tabs>
        <w:ind w:left="5040" w:hanging="360"/>
      </w:pPr>
      <w:rPr>
        <w:rFonts w:ascii="Arial" w:hAnsi="Arial" w:hint="default"/>
      </w:rPr>
    </w:lvl>
    <w:lvl w:ilvl="7" w:tplc="89AC32D0" w:tentative="1">
      <w:start w:val="1"/>
      <w:numFmt w:val="bullet"/>
      <w:lvlText w:val="•"/>
      <w:lvlJc w:val="left"/>
      <w:pPr>
        <w:tabs>
          <w:tab w:val="num" w:pos="5760"/>
        </w:tabs>
        <w:ind w:left="5760" w:hanging="360"/>
      </w:pPr>
      <w:rPr>
        <w:rFonts w:ascii="Arial" w:hAnsi="Arial" w:hint="default"/>
      </w:rPr>
    </w:lvl>
    <w:lvl w:ilvl="8" w:tplc="CFB274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216888"/>
    <w:multiLevelType w:val="hybridMultilevel"/>
    <w:tmpl w:val="CFBE5370"/>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7301734"/>
    <w:multiLevelType w:val="hybridMultilevel"/>
    <w:tmpl w:val="B582F256"/>
    <w:lvl w:ilvl="0" w:tplc="61CA096A">
      <w:start w:val="1"/>
      <w:numFmt w:val="bullet"/>
      <w:lvlText w:val="•"/>
      <w:lvlJc w:val="left"/>
      <w:pPr>
        <w:tabs>
          <w:tab w:val="num" w:pos="720"/>
        </w:tabs>
        <w:ind w:left="720" w:hanging="360"/>
      </w:pPr>
      <w:rPr>
        <w:rFonts w:ascii="Arial" w:hAnsi="Arial" w:hint="default"/>
      </w:rPr>
    </w:lvl>
    <w:lvl w:ilvl="1" w:tplc="9F9EF678">
      <w:numFmt w:val="bullet"/>
      <w:lvlText w:val="•"/>
      <w:lvlJc w:val="left"/>
      <w:pPr>
        <w:tabs>
          <w:tab w:val="num" w:pos="1440"/>
        </w:tabs>
        <w:ind w:left="1440" w:hanging="360"/>
      </w:pPr>
      <w:rPr>
        <w:rFonts w:ascii="Arial" w:hAnsi="Arial" w:hint="default"/>
      </w:rPr>
    </w:lvl>
    <w:lvl w:ilvl="2" w:tplc="DCBE2866" w:tentative="1">
      <w:start w:val="1"/>
      <w:numFmt w:val="bullet"/>
      <w:lvlText w:val="•"/>
      <w:lvlJc w:val="left"/>
      <w:pPr>
        <w:tabs>
          <w:tab w:val="num" w:pos="2160"/>
        </w:tabs>
        <w:ind w:left="2160" w:hanging="360"/>
      </w:pPr>
      <w:rPr>
        <w:rFonts w:ascii="Arial" w:hAnsi="Arial" w:hint="default"/>
      </w:rPr>
    </w:lvl>
    <w:lvl w:ilvl="3" w:tplc="30E4F75C" w:tentative="1">
      <w:start w:val="1"/>
      <w:numFmt w:val="bullet"/>
      <w:lvlText w:val="•"/>
      <w:lvlJc w:val="left"/>
      <w:pPr>
        <w:tabs>
          <w:tab w:val="num" w:pos="2880"/>
        </w:tabs>
        <w:ind w:left="2880" w:hanging="360"/>
      </w:pPr>
      <w:rPr>
        <w:rFonts w:ascii="Arial" w:hAnsi="Arial" w:hint="default"/>
      </w:rPr>
    </w:lvl>
    <w:lvl w:ilvl="4" w:tplc="05CE28F0" w:tentative="1">
      <w:start w:val="1"/>
      <w:numFmt w:val="bullet"/>
      <w:lvlText w:val="•"/>
      <w:lvlJc w:val="left"/>
      <w:pPr>
        <w:tabs>
          <w:tab w:val="num" w:pos="3600"/>
        </w:tabs>
        <w:ind w:left="3600" w:hanging="360"/>
      </w:pPr>
      <w:rPr>
        <w:rFonts w:ascii="Arial" w:hAnsi="Arial" w:hint="default"/>
      </w:rPr>
    </w:lvl>
    <w:lvl w:ilvl="5" w:tplc="E84E813C" w:tentative="1">
      <w:start w:val="1"/>
      <w:numFmt w:val="bullet"/>
      <w:lvlText w:val="•"/>
      <w:lvlJc w:val="left"/>
      <w:pPr>
        <w:tabs>
          <w:tab w:val="num" w:pos="4320"/>
        </w:tabs>
        <w:ind w:left="4320" w:hanging="360"/>
      </w:pPr>
      <w:rPr>
        <w:rFonts w:ascii="Arial" w:hAnsi="Arial" w:hint="default"/>
      </w:rPr>
    </w:lvl>
    <w:lvl w:ilvl="6" w:tplc="81564B8C" w:tentative="1">
      <w:start w:val="1"/>
      <w:numFmt w:val="bullet"/>
      <w:lvlText w:val="•"/>
      <w:lvlJc w:val="left"/>
      <w:pPr>
        <w:tabs>
          <w:tab w:val="num" w:pos="5040"/>
        </w:tabs>
        <w:ind w:left="5040" w:hanging="360"/>
      </w:pPr>
      <w:rPr>
        <w:rFonts w:ascii="Arial" w:hAnsi="Arial" w:hint="default"/>
      </w:rPr>
    </w:lvl>
    <w:lvl w:ilvl="7" w:tplc="C9D4740E" w:tentative="1">
      <w:start w:val="1"/>
      <w:numFmt w:val="bullet"/>
      <w:lvlText w:val="•"/>
      <w:lvlJc w:val="left"/>
      <w:pPr>
        <w:tabs>
          <w:tab w:val="num" w:pos="5760"/>
        </w:tabs>
        <w:ind w:left="5760" w:hanging="360"/>
      </w:pPr>
      <w:rPr>
        <w:rFonts w:ascii="Arial" w:hAnsi="Arial" w:hint="default"/>
      </w:rPr>
    </w:lvl>
    <w:lvl w:ilvl="8" w:tplc="A39058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6D44FD"/>
    <w:multiLevelType w:val="hybridMultilevel"/>
    <w:tmpl w:val="9D5080F4"/>
    <w:lvl w:ilvl="0" w:tplc="6E0C4C12">
      <w:start w:val="1"/>
      <w:numFmt w:val="bullet"/>
      <w:lvlText w:val="•"/>
      <w:lvlJc w:val="left"/>
      <w:pPr>
        <w:tabs>
          <w:tab w:val="num" w:pos="720"/>
        </w:tabs>
        <w:ind w:left="720" w:hanging="360"/>
      </w:pPr>
      <w:rPr>
        <w:rFonts w:ascii="Arial" w:hAnsi="Arial" w:hint="default"/>
      </w:rPr>
    </w:lvl>
    <w:lvl w:ilvl="1" w:tplc="B48C02EA">
      <w:numFmt w:val="bullet"/>
      <w:lvlText w:val="•"/>
      <w:lvlJc w:val="left"/>
      <w:pPr>
        <w:tabs>
          <w:tab w:val="num" w:pos="1440"/>
        </w:tabs>
        <w:ind w:left="1440" w:hanging="360"/>
      </w:pPr>
      <w:rPr>
        <w:rFonts w:ascii="Arial" w:hAnsi="Arial" w:hint="default"/>
      </w:rPr>
    </w:lvl>
    <w:lvl w:ilvl="2" w:tplc="247CFE84">
      <w:numFmt w:val="bullet"/>
      <w:lvlText w:val="•"/>
      <w:lvlJc w:val="left"/>
      <w:pPr>
        <w:tabs>
          <w:tab w:val="num" w:pos="2160"/>
        </w:tabs>
        <w:ind w:left="2160" w:hanging="360"/>
      </w:pPr>
      <w:rPr>
        <w:rFonts w:ascii="Arial" w:hAnsi="Arial" w:hint="default"/>
      </w:rPr>
    </w:lvl>
    <w:lvl w:ilvl="3" w:tplc="B53C5410" w:tentative="1">
      <w:start w:val="1"/>
      <w:numFmt w:val="bullet"/>
      <w:lvlText w:val="•"/>
      <w:lvlJc w:val="left"/>
      <w:pPr>
        <w:tabs>
          <w:tab w:val="num" w:pos="2880"/>
        </w:tabs>
        <w:ind w:left="2880" w:hanging="360"/>
      </w:pPr>
      <w:rPr>
        <w:rFonts w:ascii="Arial" w:hAnsi="Arial" w:hint="default"/>
      </w:rPr>
    </w:lvl>
    <w:lvl w:ilvl="4" w:tplc="66263D8C" w:tentative="1">
      <w:start w:val="1"/>
      <w:numFmt w:val="bullet"/>
      <w:lvlText w:val="•"/>
      <w:lvlJc w:val="left"/>
      <w:pPr>
        <w:tabs>
          <w:tab w:val="num" w:pos="3600"/>
        </w:tabs>
        <w:ind w:left="3600" w:hanging="360"/>
      </w:pPr>
      <w:rPr>
        <w:rFonts w:ascii="Arial" w:hAnsi="Arial" w:hint="default"/>
      </w:rPr>
    </w:lvl>
    <w:lvl w:ilvl="5" w:tplc="B45A7308" w:tentative="1">
      <w:start w:val="1"/>
      <w:numFmt w:val="bullet"/>
      <w:lvlText w:val="•"/>
      <w:lvlJc w:val="left"/>
      <w:pPr>
        <w:tabs>
          <w:tab w:val="num" w:pos="4320"/>
        </w:tabs>
        <w:ind w:left="4320" w:hanging="360"/>
      </w:pPr>
      <w:rPr>
        <w:rFonts w:ascii="Arial" w:hAnsi="Arial" w:hint="default"/>
      </w:rPr>
    </w:lvl>
    <w:lvl w:ilvl="6" w:tplc="9B30F7D2" w:tentative="1">
      <w:start w:val="1"/>
      <w:numFmt w:val="bullet"/>
      <w:lvlText w:val="•"/>
      <w:lvlJc w:val="left"/>
      <w:pPr>
        <w:tabs>
          <w:tab w:val="num" w:pos="5040"/>
        </w:tabs>
        <w:ind w:left="5040" w:hanging="360"/>
      </w:pPr>
      <w:rPr>
        <w:rFonts w:ascii="Arial" w:hAnsi="Arial" w:hint="default"/>
      </w:rPr>
    </w:lvl>
    <w:lvl w:ilvl="7" w:tplc="E3548CB8" w:tentative="1">
      <w:start w:val="1"/>
      <w:numFmt w:val="bullet"/>
      <w:lvlText w:val="•"/>
      <w:lvlJc w:val="left"/>
      <w:pPr>
        <w:tabs>
          <w:tab w:val="num" w:pos="5760"/>
        </w:tabs>
        <w:ind w:left="5760" w:hanging="360"/>
      </w:pPr>
      <w:rPr>
        <w:rFonts w:ascii="Arial" w:hAnsi="Arial" w:hint="default"/>
      </w:rPr>
    </w:lvl>
    <w:lvl w:ilvl="8" w:tplc="DF2C2A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165CBE"/>
    <w:multiLevelType w:val="hybridMultilevel"/>
    <w:tmpl w:val="1610E3D4"/>
    <w:lvl w:ilvl="0" w:tplc="7F462C68">
      <w:start w:val="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720032">
    <w:abstractNumId w:val="9"/>
  </w:num>
  <w:num w:numId="2" w16cid:durableId="948507141">
    <w:abstractNumId w:val="6"/>
  </w:num>
  <w:num w:numId="3" w16cid:durableId="6106483">
    <w:abstractNumId w:val="3"/>
  </w:num>
  <w:num w:numId="4" w16cid:durableId="498815985">
    <w:abstractNumId w:val="2"/>
  </w:num>
  <w:num w:numId="5" w16cid:durableId="518666921">
    <w:abstractNumId w:val="10"/>
  </w:num>
  <w:num w:numId="6" w16cid:durableId="1769350387">
    <w:abstractNumId w:val="13"/>
  </w:num>
  <w:num w:numId="7" w16cid:durableId="1071579506">
    <w:abstractNumId w:val="12"/>
  </w:num>
  <w:num w:numId="8" w16cid:durableId="153420361">
    <w:abstractNumId w:val="0"/>
  </w:num>
  <w:num w:numId="9" w16cid:durableId="2133475984">
    <w:abstractNumId w:val="8"/>
  </w:num>
  <w:num w:numId="10" w16cid:durableId="2000380596">
    <w:abstractNumId w:val="4"/>
  </w:num>
  <w:num w:numId="11" w16cid:durableId="1768502200">
    <w:abstractNumId w:val="1"/>
  </w:num>
  <w:num w:numId="12" w16cid:durableId="320934661">
    <w:abstractNumId w:val="7"/>
  </w:num>
  <w:num w:numId="13" w16cid:durableId="1505591052">
    <w:abstractNumId w:val="14"/>
  </w:num>
  <w:num w:numId="14" w16cid:durableId="1494566361">
    <w:abstractNumId w:val="5"/>
  </w:num>
  <w:num w:numId="15" w16cid:durableId="1267350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05"/>
    <w:rsid w:val="0000119B"/>
    <w:rsid w:val="00001D83"/>
    <w:rsid w:val="000068B0"/>
    <w:rsid w:val="000129EA"/>
    <w:rsid w:val="00020F91"/>
    <w:rsid w:val="00033AC6"/>
    <w:rsid w:val="00042475"/>
    <w:rsid w:val="00044455"/>
    <w:rsid w:val="0004752C"/>
    <w:rsid w:val="00057AD3"/>
    <w:rsid w:val="00065FB1"/>
    <w:rsid w:val="00072A89"/>
    <w:rsid w:val="00074253"/>
    <w:rsid w:val="000902B8"/>
    <w:rsid w:val="000A7E10"/>
    <w:rsid w:val="000B01A6"/>
    <w:rsid w:val="000B01AD"/>
    <w:rsid w:val="000B0C29"/>
    <w:rsid w:val="000B553F"/>
    <w:rsid w:val="000B6210"/>
    <w:rsid w:val="000C4B1F"/>
    <w:rsid w:val="000C579D"/>
    <w:rsid w:val="000D3F34"/>
    <w:rsid w:val="000E0D67"/>
    <w:rsid w:val="000E6919"/>
    <w:rsid w:val="000E7E4A"/>
    <w:rsid w:val="0010516E"/>
    <w:rsid w:val="00105CB6"/>
    <w:rsid w:val="00111369"/>
    <w:rsid w:val="00112FFC"/>
    <w:rsid w:val="00114A5E"/>
    <w:rsid w:val="00117B30"/>
    <w:rsid w:val="0012129D"/>
    <w:rsid w:val="00121680"/>
    <w:rsid w:val="00130580"/>
    <w:rsid w:val="0013165C"/>
    <w:rsid w:val="00131A3D"/>
    <w:rsid w:val="00131A7B"/>
    <w:rsid w:val="00143E7C"/>
    <w:rsid w:val="00151BC5"/>
    <w:rsid w:val="00151BF9"/>
    <w:rsid w:val="001560E8"/>
    <w:rsid w:val="00161455"/>
    <w:rsid w:val="00161D25"/>
    <w:rsid w:val="00163918"/>
    <w:rsid w:val="00164454"/>
    <w:rsid w:val="00165B80"/>
    <w:rsid w:val="00170FB4"/>
    <w:rsid w:val="00174E6F"/>
    <w:rsid w:val="00183DF4"/>
    <w:rsid w:val="001967B4"/>
    <w:rsid w:val="001B008A"/>
    <w:rsid w:val="001B10F6"/>
    <w:rsid w:val="001C4912"/>
    <w:rsid w:val="001C55EA"/>
    <w:rsid w:val="001D1048"/>
    <w:rsid w:val="001D542A"/>
    <w:rsid w:val="001D5725"/>
    <w:rsid w:val="001E262C"/>
    <w:rsid w:val="001E4CAF"/>
    <w:rsid w:val="001F748B"/>
    <w:rsid w:val="001F7A47"/>
    <w:rsid w:val="00205B58"/>
    <w:rsid w:val="0021488D"/>
    <w:rsid w:val="00217B78"/>
    <w:rsid w:val="00217E1B"/>
    <w:rsid w:val="002307C0"/>
    <w:rsid w:val="00233BC8"/>
    <w:rsid w:val="002360D5"/>
    <w:rsid w:val="002469A5"/>
    <w:rsid w:val="002507D8"/>
    <w:rsid w:val="00251974"/>
    <w:rsid w:val="002661CA"/>
    <w:rsid w:val="00266E93"/>
    <w:rsid w:val="0027525A"/>
    <w:rsid w:val="00285976"/>
    <w:rsid w:val="00287350"/>
    <w:rsid w:val="002875BA"/>
    <w:rsid w:val="00291E45"/>
    <w:rsid w:val="002A3039"/>
    <w:rsid w:val="002A4CFE"/>
    <w:rsid w:val="002A7BDF"/>
    <w:rsid w:val="002C1B89"/>
    <w:rsid w:val="002C320B"/>
    <w:rsid w:val="002D1B9F"/>
    <w:rsid w:val="002D3859"/>
    <w:rsid w:val="002D7FAD"/>
    <w:rsid w:val="002E0AEE"/>
    <w:rsid w:val="002E37A0"/>
    <w:rsid w:val="002E6CF9"/>
    <w:rsid w:val="002E6E00"/>
    <w:rsid w:val="002F277A"/>
    <w:rsid w:val="002F30B2"/>
    <w:rsid w:val="002F3A88"/>
    <w:rsid w:val="002F5734"/>
    <w:rsid w:val="002F5EE1"/>
    <w:rsid w:val="00301E97"/>
    <w:rsid w:val="00303AF7"/>
    <w:rsid w:val="003050FC"/>
    <w:rsid w:val="0030576A"/>
    <w:rsid w:val="0031149F"/>
    <w:rsid w:val="003136BA"/>
    <w:rsid w:val="00320E35"/>
    <w:rsid w:val="003258F9"/>
    <w:rsid w:val="003302B8"/>
    <w:rsid w:val="00330D25"/>
    <w:rsid w:val="00331DB9"/>
    <w:rsid w:val="00333347"/>
    <w:rsid w:val="00334336"/>
    <w:rsid w:val="00335CA0"/>
    <w:rsid w:val="00336D1C"/>
    <w:rsid w:val="00343BA6"/>
    <w:rsid w:val="003471F1"/>
    <w:rsid w:val="0035045C"/>
    <w:rsid w:val="00352407"/>
    <w:rsid w:val="003525A8"/>
    <w:rsid w:val="003536AF"/>
    <w:rsid w:val="00355C38"/>
    <w:rsid w:val="0035662A"/>
    <w:rsid w:val="003579A1"/>
    <w:rsid w:val="00362733"/>
    <w:rsid w:val="00362BBF"/>
    <w:rsid w:val="00365DC3"/>
    <w:rsid w:val="0037324F"/>
    <w:rsid w:val="00380F3E"/>
    <w:rsid w:val="00382369"/>
    <w:rsid w:val="00393B05"/>
    <w:rsid w:val="00394CAB"/>
    <w:rsid w:val="00396D7D"/>
    <w:rsid w:val="003A223E"/>
    <w:rsid w:val="003A7CC0"/>
    <w:rsid w:val="003C2FAD"/>
    <w:rsid w:val="003C4C6B"/>
    <w:rsid w:val="003E31BB"/>
    <w:rsid w:val="003E35B3"/>
    <w:rsid w:val="003E65EA"/>
    <w:rsid w:val="003F285E"/>
    <w:rsid w:val="003F6113"/>
    <w:rsid w:val="00403A96"/>
    <w:rsid w:val="00406962"/>
    <w:rsid w:val="004122E6"/>
    <w:rsid w:val="00412A58"/>
    <w:rsid w:val="0041445E"/>
    <w:rsid w:val="00414802"/>
    <w:rsid w:val="00415A5E"/>
    <w:rsid w:val="00416BDE"/>
    <w:rsid w:val="00422B10"/>
    <w:rsid w:val="00426908"/>
    <w:rsid w:val="00450644"/>
    <w:rsid w:val="00457696"/>
    <w:rsid w:val="00462C06"/>
    <w:rsid w:val="00467F37"/>
    <w:rsid w:val="004731C0"/>
    <w:rsid w:val="00475665"/>
    <w:rsid w:val="00475E13"/>
    <w:rsid w:val="00477697"/>
    <w:rsid w:val="00477A31"/>
    <w:rsid w:val="004A04F5"/>
    <w:rsid w:val="004A5608"/>
    <w:rsid w:val="004A759F"/>
    <w:rsid w:val="004B4428"/>
    <w:rsid w:val="004D486C"/>
    <w:rsid w:val="004E2066"/>
    <w:rsid w:val="004F696B"/>
    <w:rsid w:val="0050523F"/>
    <w:rsid w:val="00511264"/>
    <w:rsid w:val="0051338E"/>
    <w:rsid w:val="005214EC"/>
    <w:rsid w:val="00523F3F"/>
    <w:rsid w:val="00530903"/>
    <w:rsid w:val="00531093"/>
    <w:rsid w:val="005320E6"/>
    <w:rsid w:val="00537012"/>
    <w:rsid w:val="005506D7"/>
    <w:rsid w:val="00551B59"/>
    <w:rsid w:val="00554C9C"/>
    <w:rsid w:val="0056105E"/>
    <w:rsid w:val="005655BF"/>
    <w:rsid w:val="00566F87"/>
    <w:rsid w:val="005963DE"/>
    <w:rsid w:val="005971C5"/>
    <w:rsid w:val="005A08F3"/>
    <w:rsid w:val="005A5642"/>
    <w:rsid w:val="005B5CBF"/>
    <w:rsid w:val="005C2920"/>
    <w:rsid w:val="005C5532"/>
    <w:rsid w:val="005C64E0"/>
    <w:rsid w:val="005C6F40"/>
    <w:rsid w:val="005E2182"/>
    <w:rsid w:val="005E3C7A"/>
    <w:rsid w:val="005E6C2F"/>
    <w:rsid w:val="005F411D"/>
    <w:rsid w:val="005F56AB"/>
    <w:rsid w:val="006005B0"/>
    <w:rsid w:val="00600940"/>
    <w:rsid w:val="00601629"/>
    <w:rsid w:val="006034B1"/>
    <w:rsid w:val="00605D76"/>
    <w:rsid w:val="00611248"/>
    <w:rsid w:val="00611809"/>
    <w:rsid w:val="0061200B"/>
    <w:rsid w:val="00622D87"/>
    <w:rsid w:val="0063157A"/>
    <w:rsid w:val="00632F37"/>
    <w:rsid w:val="00637184"/>
    <w:rsid w:val="00640985"/>
    <w:rsid w:val="00647600"/>
    <w:rsid w:val="00652935"/>
    <w:rsid w:val="00654E88"/>
    <w:rsid w:val="00670601"/>
    <w:rsid w:val="0067690F"/>
    <w:rsid w:val="00676E41"/>
    <w:rsid w:val="00693AC9"/>
    <w:rsid w:val="006A1F73"/>
    <w:rsid w:val="006A2C59"/>
    <w:rsid w:val="006B27BB"/>
    <w:rsid w:val="006B4445"/>
    <w:rsid w:val="006B4E17"/>
    <w:rsid w:val="006B53D8"/>
    <w:rsid w:val="006C171E"/>
    <w:rsid w:val="006C2900"/>
    <w:rsid w:val="006C576E"/>
    <w:rsid w:val="006D40CC"/>
    <w:rsid w:val="006D51F6"/>
    <w:rsid w:val="006E06D6"/>
    <w:rsid w:val="006E552D"/>
    <w:rsid w:val="006F2927"/>
    <w:rsid w:val="006F63F0"/>
    <w:rsid w:val="00705CE1"/>
    <w:rsid w:val="007204C0"/>
    <w:rsid w:val="00723838"/>
    <w:rsid w:val="00734DE1"/>
    <w:rsid w:val="00736672"/>
    <w:rsid w:val="00743FF7"/>
    <w:rsid w:val="0074539C"/>
    <w:rsid w:val="007469FC"/>
    <w:rsid w:val="00747122"/>
    <w:rsid w:val="00751DC4"/>
    <w:rsid w:val="007543FF"/>
    <w:rsid w:val="0076239C"/>
    <w:rsid w:val="007628CE"/>
    <w:rsid w:val="00770DCF"/>
    <w:rsid w:val="00772115"/>
    <w:rsid w:val="00775401"/>
    <w:rsid w:val="00781DF6"/>
    <w:rsid w:val="007848A0"/>
    <w:rsid w:val="00792DB3"/>
    <w:rsid w:val="00796464"/>
    <w:rsid w:val="007A6C7A"/>
    <w:rsid w:val="007B0906"/>
    <w:rsid w:val="007B16DE"/>
    <w:rsid w:val="007B210C"/>
    <w:rsid w:val="007B6D98"/>
    <w:rsid w:val="007C3551"/>
    <w:rsid w:val="007C54A2"/>
    <w:rsid w:val="007D092B"/>
    <w:rsid w:val="007E6036"/>
    <w:rsid w:val="00803772"/>
    <w:rsid w:val="00804C4B"/>
    <w:rsid w:val="00805A2A"/>
    <w:rsid w:val="008106E5"/>
    <w:rsid w:val="00824D6C"/>
    <w:rsid w:val="008317AA"/>
    <w:rsid w:val="0084417B"/>
    <w:rsid w:val="00873CB9"/>
    <w:rsid w:val="0087710C"/>
    <w:rsid w:val="008840AA"/>
    <w:rsid w:val="008A01F7"/>
    <w:rsid w:val="008A06E2"/>
    <w:rsid w:val="008A0CA6"/>
    <w:rsid w:val="008A4B77"/>
    <w:rsid w:val="008B4D71"/>
    <w:rsid w:val="008D1B21"/>
    <w:rsid w:val="008D4769"/>
    <w:rsid w:val="008D720C"/>
    <w:rsid w:val="008E071E"/>
    <w:rsid w:val="008E3426"/>
    <w:rsid w:val="008F0166"/>
    <w:rsid w:val="00902803"/>
    <w:rsid w:val="009032AF"/>
    <w:rsid w:val="00903EF4"/>
    <w:rsid w:val="00905133"/>
    <w:rsid w:val="00907699"/>
    <w:rsid w:val="00917832"/>
    <w:rsid w:val="00923070"/>
    <w:rsid w:val="0092351E"/>
    <w:rsid w:val="009251D5"/>
    <w:rsid w:val="009366CE"/>
    <w:rsid w:val="009371CF"/>
    <w:rsid w:val="00940760"/>
    <w:rsid w:val="00956983"/>
    <w:rsid w:val="00956F44"/>
    <w:rsid w:val="00957A7D"/>
    <w:rsid w:val="009601F6"/>
    <w:rsid w:val="0096277F"/>
    <w:rsid w:val="009727DB"/>
    <w:rsid w:val="009745C9"/>
    <w:rsid w:val="00980243"/>
    <w:rsid w:val="009809D1"/>
    <w:rsid w:val="00982CE8"/>
    <w:rsid w:val="0098591F"/>
    <w:rsid w:val="00985C55"/>
    <w:rsid w:val="00990BBA"/>
    <w:rsid w:val="00996E82"/>
    <w:rsid w:val="009A0A1A"/>
    <w:rsid w:val="009A0E14"/>
    <w:rsid w:val="009A37AC"/>
    <w:rsid w:val="009A4FF3"/>
    <w:rsid w:val="009A5C36"/>
    <w:rsid w:val="009B0180"/>
    <w:rsid w:val="009B0270"/>
    <w:rsid w:val="009B19C4"/>
    <w:rsid w:val="009B1B1B"/>
    <w:rsid w:val="009B4603"/>
    <w:rsid w:val="009B7ABC"/>
    <w:rsid w:val="009C1A83"/>
    <w:rsid w:val="009C5DD5"/>
    <w:rsid w:val="009D19E5"/>
    <w:rsid w:val="009D4BAE"/>
    <w:rsid w:val="009E1FB3"/>
    <w:rsid w:val="009E221C"/>
    <w:rsid w:val="009E64E2"/>
    <w:rsid w:val="009F1656"/>
    <w:rsid w:val="00A028E6"/>
    <w:rsid w:val="00A02D47"/>
    <w:rsid w:val="00A039BE"/>
    <w:rsid w:val="00A03A9C"/>
    <w:rsid w:val="00A03C08"/>
    <w:rsid w:val="00A05BB4"/>
    <w:rsid w:val="00A11A4F"/>
    <w:rsid w:val="00A11FF6"/>
    <w:rsid w:val="00A13307"/>
    <w:rsid w:val="00A165D8"/>
    <w:rsid w:val="00A26501"/>
    <w:rsid w:val="00A34FC7"/>
    <w:rsid w:val="00A35917"/>
    <w:rsid w:val="00A44384"/>
    <w:rsid w:val="00A619D5"/>
    <w:rsid w:val="00A62EFE"/>
    <w:rsid w:val="00A6574B"/>
    <w:rsid w:val="00A704A5"/>
    <w:rsid w:val="00A72D26"/>
    <w:rsid w:val="00A776C0"/>
    <w:rsid w:val="00A84DFF"/>
    <w:rsid w:val="00A85135"/>
    <w:rsid w:val="00A86294"/>
    <w:rsid w:val="00A921AC"/>
    <w:rsid w:val="00AA0918"/>
    <w:rsid w:val="00AA3938"/>
    <w:rsid w:val="00AA434A"/>
    <w:rsid w:val="00AA4B26"/>
    <w:rsid w:val="00AA6444"/>
    <w:rsid w:val="00AB1CA9"/>
    <w:rsid w:val="00AC19FA"/>
    <w:rsid w:val="00AC7A05"/>
    <w:rsid w:val="00AC7CB9"/>
    <w:rsid w:val="00AD6BD0"/>
    <w:rsid w:val="00AD6E8C"/>
    <w:rsid w:val="00AF0D44"/>
    <w:rsid w:val="00AF15F3"/>
    <w:rsid w:val="00AF2FAA"/>
    <w:rsid w:val="00B01A42"/>
    <w:rsid w:val="00B03878"/>
    <w:rsid w:val="00B06CCD"/>
    <w:rsid w:val="00B17579"/>
    <w:rsid w:val="00B17A0F"/>
    <w:rsid w:val="00B17D2C"/>
    <w:rsid w:val="00B2060D"/>
    <w:rsid w:val="00B26C20"/>
    <w:rsid w:val="00B41F73"/>
    <w:rsid w:val="00B44351"/>
    <w:rsid w:val="00B503C9"/>
    <w:rsid w:val="00B54755"/>
    <w:rsid w:val="00B5594E"/>
    <w:rsid w:val="00B573BF"/>
    <w:rsid w:val="00B600AC"/>
    <w:rsid w:val="00B62DD6"/>
    <w:rsid w:val="00B65214"/>
    <w:rsid w:val="00B7502C"/>
    <w:rsid w:val="00B7514A"/>
    <w:rsid w:val="00B921F4"/>
    <w:rsid w:val="00B9244C"/>
    <w:rsid w:val="00B92DB2"/>
    <w:rsid w:val="00B9518E"/>
    <w:rsid w:val="00B96794"/>
    <w:rsid w:val="00B969CD"/>
    <w:rsid w:val="00B97350"/>
    <w:rsid w:val="00B97785"/>
    <w:rsid w:val="00BA1739"/>
    <w:rsid w:val="00BA1999"/>
    <w:rsid w:val="00BA1B8E"/>
    <w:rsid w:val="00BA306C"/>
    <w:rsid w:val="00BA5187"/>
    <w:rsid w:val="00BA549E"/>
    <w:rsid w:val="00BB58A1"/>
    <w:rsid w:val="00BC1C3E"/>
    <w:rsid w:val="00BC47D0"/>
    <w:rsid w:val="00BC6661"/>
    <w:rsid w:val="00BD71E8"/>
    <w:rsid w:val="00BE42CC"/>
    <w:rsid w:val="00BE6BB5"/>
    <w:rsid w:val="00BF4004"/>
    <w:rsid w:val="00C0665D"/>
    <w:rsid w:val="00C11518"/>
    <w:rsid w:val="00C123FE"/>
    <w:rsid w:val="00C12591"/>
    <w:rsid w:val="00C13226"/>
    <w:rsid w:val="00C15D46"/>
    <w:rsid w:val="00C22936"/>
    <w:rsid w:val="00C23884"/>
    <w:rsid w:val="00C41DC2"/>
    <w:rsid w:val="00C50650"/>
    <w:rsid w:val="00C53AFD"/>
    <w:rsid w:val="00C5476E"/>
    <w:rsid w:val="00C57914"/>
    <w:rsid w:val="00C62753"/>
    <w:rsid w:val="00C7284C"/>
    <w:rsid w:val="00C72BF0"/>
    <w:rsid w:val="00C91893"/>
    <w:rsid w:val="00CA60C7"/>
    <w:rsid w:val="00CA75B9"/>
    <w:rsid w:val="00CB3347"/>
    <w:rsid w:val="00CB5B57"/>
    <w:rsid w:val="00CB6CF0"/>
    <w:rsid w:val="00CC2DD0"/>
    <w:rsid w:val="00CC73BD"/>
    <w:rsid w:val="00CE452D"/>
    <w:rsid w:val="00CE77DF"/>
    <w:rsid w:val="00CF0170"/>
    <w:rsid w:val="00D016D4"/>
    <w:rsid w:val="00D046F7"/>
    <w:rsid w:val="00D05C41"/>
    <w:rsid w:val="00D12AFA"/>
    <w:rsid w:val="00D242D8"/>
    <w:rsid w:val="00D40F88"/>
    <w:rsid w:val="00D4205C"/>
    <w:rsid w:val="00D52346"/>
    <w:rsid w:val="00D616E9"/>
    <w:rsid w:val="00D617CA"/>
    <w:rsid w:val="00D61A1C"/>
    <w:rsid w:val="00D64344"/>
    <w:rsid w:val="00D67C5B"/>
    <w:rsid w:val="00D735D1"/>
    <w:rsid w:val="00D739E0"/>
    <w:rsid w:val="00D75EC0"/>
    <w:rsid w:val="00D80961"/>
    <w:rsid w:val="00DA08A8"/>
    <w:rsid w:val="00DA7B73"/>
    <w:rsid w:val="00DB4D64"/>
    <w:rsid w:val="00DC1E01"/>
    <w:rsid w:val="00DC78A4"/>
    <w:rsid w:val="00E03E58"/>
    <w:rsid w:val="00E12F07"/>
    <w:rsid w:val="00E14AF2"/>
    <w:rsid w:val="00E16FB4"/>
    <w:rsid w:val="00E22FB1"/>
    <w:rsid w:val="00E27552"/>
    <w:rsid w:val="00E30193"/>
    <w:rsid w:val="00E31EC8"/>
    <w:rsid w:val="00E42566"/>
    <w:rsid w:val="00E53479"/>
    <w:rsid w:val="00E612BB"/>
    <w:rsid w:val="00E63EBF"/>
    <w:rsid w:val="00E64552"/>
    <w:rsid w:val="00E64E0E"/>
    <w:rsid w:val="00E66B22"/>
    <w:rsid w:val="00E71B34"/>
    <w:rsid w:val="00E73609"/>
    <w:rsid w:val="00E82A8E"/>
    <w:rsid w:val="00E86E1A"/>
    <w:rsid w:val="00E86FC1"/>
    <w:rsid w:val="00E91EC0"/>
    <w:rsid w:val="00E93A77"/>
    <w:rsid w:val="00E97867"/>
    <w:rsid w:val="00EA2FA7"/>
    <w:rsid w:val="00EA6211"/>
    <w:rsid w:val="00EB0FEE"/>
    <w:rsid w:val="00EB2051"/>
    <w:rsid w:val="00EB3A57"/>
    <w:rsid w:val="00EB427C"/>
    <w:rsid w:val="00EB4350"/>
    <w:rsid w:val="00EB76CF"/>
    <w:rsid w:val="00EC50E3"/>
    <w:rsid w:val="00ED1B49"/>
    <w:rsid w:val="00EE7579"/>
    <w:rsid w:val="00EE7EB2"/>
    <w:rsid w:val="00EF3E83"/>
    <w:rsid w:val="00EF46F9"/>
    <w:rsid w:val="00EF75AB"/>
    <w:rsid w:val="00EF7AB1"/>
    <w:rsid w:val="00F00B89"/>
    <w:rsid w:val="00F0188F"/>
    <w:rsid w:val="00F05C25"/>
    <w:rsid w:val="00F07039"/>
    <w:rsid w:val="00F12E97"/>
    <w:rsid w:val="00F16EC3"/>
    <w:rsid w:val="00F2160F"/>
    <w:rsid w:val="00F2262C"/>
    <w:rsid w:val="00F25C2B"/>
    <w:rsid w:val="00F25CE2"/>
    <w:rsid w:val="00F30680"/>
    <w:rsid w:val="00F307A2"/>
    <w:rsid w:val="00F32099"/>
    <w:rsid w:val="00F35197"/>
    <w:rsid w:val="00F37CA2"/>
    <w:rsid w:val="00F40730"/>
    <w:rsid w:val="00F5500F"/>
    <w:rsid w:val="00F555E1"/>
    <w:rsid w:val="00F564E7"/>
    <w:rsid w:val="00F63788"/>
    <w:rsid w:val="00F776FA"/>
    <w:rsid w:val="00F816B3"/>
    <w:rsid w:val="00F9223D"/>
    <w:rsid w:val="00FA2057"/>
    <w:rsid w:val="00FA3ABB"/>
    <w:rsid w:val="00FA67DF"/>
    <w:rsid w:val="00FB0306"/>
    <w:rsid w:val="00FB13FF"/>
    <w:rsid w:val="00FB3D3F"/>
    <w:rsid w:val="00FB4E35"/>
    <w:rsid w:val="00FB5AFF"/>
    <w:rsid w:val="00FC2663"/>
    <w:rsid w:val="00FC2C16"/>
    <w:rsid w:val="00FC44D0"/>
    <w:rsid w:val="00FD256A"/>
    <w:rsid w:val="00FD7B9F"/>
    <w:rsid w:val="00FD7C51"/>
    <w:rsid w:val="00FE1AF5"/>
    <w:rsid w:val="00FE3374"/>
    <w:rsid w:val="00FE66B8"/>
    <w:rsid w:val="00FF3B62"/>
    <w:rsid w:val="00FF6E02"/>
    <w:rsid w:val="77A125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FF8BD"/>
  <w15:chartTrackingRefBased/>
  <w15:docId w15:val="{23398657-7DB2-4109-811F-61EE6BF2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35"/>
  </w:style>
  <w:style w:type="paragraph" w:styleId="Heading1">
    <w:name w:val="heading 1"/>
    <w:basedOn w:val="Normal"/>
    <w:next w:val="Normal"/>
    <w:link w:val="Heading1Char"/>
    <w:uiPriority w:val="9"/>
    <w:qFormat/>
    <w:rsid w:val="003258F9"/>
    <w:pPr>
      <w:keepNext/>
      <w:spacing w:after="0" w:line="480" w:lineRule="auto"/>
      <w:outlineLvl w:val="0"/>
    </w:pPr>
    <w:rPr>
      <w:rFonts w:eastAsia="Times New Roman" w:cs="Times New Roman"/>
      <w:b/>
      <w:bCs/>
      <w:kern w:val="32"/>
      <w:sz w:val="28"/>
      <w:szCs w:val="24"/>
      <w:lang w:eastAsia="en-GB"/>
    </w:rPr>
  </w:style>
  <w:style w:type="paragraph" w:styleId="Heading2">
    <w:name w:val="heading 2"/>
    <w:basedOn w:val="Normal"/>
    <w:next w:val="Normal"/>
    <w:link w:val="Heading2Char"/>
    <w:uiPriority w:val="9"/>
    <w:unhideWhenUsed/>
    <w:qFormat/>
    <w:rsid w:val="00285976"/>
    <w:pPr>
      <w:keepNext/>
      <w:spacing w:after="0" w:line="480" w:lineRule="auto"/>
      <w:outlineLvl w:val="1"/>
    </w:pPr>
    <w:rPr>
      <w:rFonts w:ascii="Garamond" w:eastAsia="Times New Roman" w:hAnsi="Garamond" w:cs="Times New Roman"/>
      <w:b/>
      <w:bCs/>
      <w:i/>
      <w:iCs/>
      <w:sz w:val="26"/>
      <w:szCs w:val="24"/>
      <w:lang w:eastAsia="en-GB"/>
    </w:rPr>
  </w:style>
  <w:style w:type="paragraph" w:styleId="Heading3">
    <w:name w:val="heading 3"/>
    <w:basedOn w:val="Normal"/>
    <w:next w:val="Normal"/>
    <w:link w:val="Heading3Char"/>
    <w:uiPriority w:val="9"/>
    <w:semiHidden/>
    <w:unhideWhenUsed/>
    <w:qFormat/>
    <w:rsid w:val="00B573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AFD"/>
    <w:rPr>
      <w:color w:val="0563C1" w:themeColor="hyperlink"/>
      <w:u w:val="single"/>
    </w:rPr>
  </w:style>
  <w:style w:type="character" w:styleId="UnresolvedMention">
    <w:name w:val="Unresolved Mention"/>
    <w:basedOn w:val="DefaultParagraphFont"/>
    <w:uiPriority w:val="99"/>
    <w:semiHidden/>
    <w:unhideWhenUsed/>
    <w:rsid w:val="00C53AFD"/>
    <w:rPr>
      <w:color w:val="605E5C"/>
      <w:shd w:val="clear" w:color="auto" w:fill="E1DFDD"/>
    </w:rPr>
  </w:style>
  <w:style w:type="character" w:styleId="CommentReference">
    <w:name w:val="annotation reference"/>
    <w:basedOn w:val="DefaultParagraphFont"/>
    <w:uiPriority w:val="99"/>
    <w:semiHidden/>
    <w:unhideWhenUsed/>
    <w:rsid w:val="00C0665D"/>
    <w:rPr>
      <w:sz w:val="16"/>
      <w:szCs w:val="16"/>
    </w:rPr>
  </w:style>
  <w:style w:type="paragraph" w:styleId="CommentText">
    <w:name w:val="annotation text"/>
    <w:basedOn w:val="Normal"/>
    <w:link w:val="CommentTextChar"/>
    <w:uiPriority w:val="99"/>
    <w:unhideWhenUsed/>
    <w:rsid w:val="00C0665D"/>
    <w:pPr>
      <w:spacing w:line="240" w:lineRule="auto"/>
    </w:pPr>
    <w:rPr>
      <w:sz w:val="20"/>
      <w:szCs w:val="20"/>
    </w:rPr>
  </w:style>
  <w:style w:type="character" w:customStyle="1" w:styleId="CommentTextChar">
    <w:name w:val="Comment Text Char"/>
    <w:basedOn w:val="DefaultParagraphFont"/>
    <w:link w:val="CommentText"/>
    <w:uiPriority w:val="99"/>
    <w:rsid w:val="00C0665D"/>
    <w:rPr>
      <w:sz w:val="20"/>
      <w:szCs w:val="20"/>
    </w:rPr>
  </w:style>
  <w:style w:type="character" w:customStyle="1" w:styleId="Heading1Char">
    <w:name w:val="Heading 1 Char"/>
    <w:basedOn w:val="DefaultParagraphFont"/>
    <w:link w:val="Heading1"/>
    <w:uiPriority w:val="9"/>
    <w:rsid w:val="003258F9"/>
    <w:rPr>
      <w:rFonts w:eastAsia="Times New Roman" w:cs="Times New Roman"/>
      <w:b/>
      <w:bCs/>
      <w:kern w:val="32"/>
      <w:sz w:val="28"/>
      <w:szCs w:val="24"/>
      <w:lang w:eastAsia="en-GB"/>
    </w:rPr>
  </w:style>
  <w:style w:type="character" w:customStyle="1" w:styleId="Heading2Char">
    <w:name w:val="Heading 2 Char"/>
    <w:basedOn w:val="DefaultParagraphFont"/>
    <w:link w:val="Heading2"/>
    <w:uiPriority w:val="9"/>
    <w:rsid w:val="00285976"/>
    <w:rPr>
      <w:rFonts w:ascii="Garamond" w:eastAsia="Times New Roman" w:hAnsi="Garamond" w:cs="Times New Roman"/>
      <w:b/>
      <w:bCs/>
      <w:i/>
      <w:iCs/>
      <w:sz w:val="26"/>
      <w:szCs w:val="24"/>
      <w:lang w:eastAsia="en-GB"/>
    </w:rPr>
  </w:style>
  <w:style w:type="paragraph" w:styleId="NormalWeb">
    <w:name w:val="Normal (Web)"/>
    <w:basedOn w:val="Normal"/>
    <w:uiPriority w:val="99"/>
    <w:unhideWhenUsed/>
    <w:rsid w:val="00462C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B573B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B57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3BF"/>
    <w:rPr>
      <w:sz w:val="20"/>
      <w:szCs w:val="20"/>
    </w:rPr>
  </w:style>
  <w:style w:type="character" w:styleId="FootnoteReference">
    <w:name w:val="footnote reference"/>
    <w:basedOn w:val="DefaultParagraphFont"/>
    <w:uiPriority w:val="99"/>
    <w:semiHidden/>
    <w:unhideWhenUsed/>
    <w:rsid w:val="00B573BF"/>
    <w:rPr>
      <w:vertAlign w:val="superscript"/>
    </w:rPr>
  </w:style>
  <w:style w:type="paragraph" w:styleId="Subtitle">
    <w:name w:val="Subtitle"/>
    <w:basedOn w:val="Normal"/>
    <w:next w:val="Normal"/>
    <w:link w:val="SubtitleChar"/>
    <w:uiPriority w:val="11"/>
    <w:qFormat/>
    <w:rsid w:val="00285976"/>
    <w:pPr>
      <w:numPr>
        <w:ilvl w:val="1"/>
      </w:numPr>
    </w:pPr>
    <w:rPr>
      <w:rFonts w:ascii="Garamond" w:eastAsiaTheme="minorEastAsia" w:hAnsi="Garamond"/>
      <w:color w:val="5A5A5A" w:themeColor="text1" w:themeTint="A5"/>
      <w:spacing w:val="15"/>
      <w:sz w:val="24"/>
    </w:rPr>
  </w:style>
  <w:style w:type="character" w:customStyle="1" w:styleId="SubtitleChar">
    <w:name w:val="Subtitle Char"/>
    <w:basedOn w:val="DefaultParagraphFont"/>
    <w:link w:val="Subtitle"/>
    <w:uiPriority w:val="11"/>
    <w:rsid w:val="00285976"/>
    <w:rPr>
      <w:rFonts w:ascii="Garamond" w:eastAsiaTheme="minorEastAsia" w:hAnsi="Garamond"/>
      <w:color w:val="5A5A5A" w:themeColor="text1" w:themeTint="A5"/>
      <w:spacing w:val="15"/>
      <w:sz w:val="24"/>
    </w:rPr>
  </w:style>
  <w:style w:type="paragraph" w:styleId="CommentSubject">
    <w:name w:val="annotation subject"/>
    <w:basedOn w:val="CommentText"/>
    <w:next w:val="CommentText"/>
    <w:link w:val="CommentSubjectChar"/>
    <w:uiPriority w:val="99"/>
    <w:semiHidden/>
    <w:unhideWhenUsed/>
    <w:rsid w:val="000E6919"/>
    <w:rPr>
      <w:b/>
      <w:bCs/>
    </w:rPr>
  </w:style>
  <w:style w:type="character" w:customStyle="1" w:styleId="CommentSubjectChar">
    <w:name w:val="Comment Subject Char"/>
    <w:basedOn w:val="CommentTextChar"/>
    <w:link w:val="CommentSubject"/>
    <w:uiPriority w:val="99"/>
    <w:semiHidden/>
    <w:rsid w:val="000E6919"/>
    <w:rPr>
      <w:b/>
      <w:bCs/>
      <w:sz w:val="20"/>
      <w:szCs w:val="20"/>
    </w:rPr>
  </w:style>
  <w:style w:type="paragraph" w:styleId="Header">
    <w:name w:val="header"/>
    <w:basedOn w:val="Normal"/>
    <w:link w:val="HeaderChar"/>
    <w:uiPriority w:val="99"/>
    <w:unhideWhenUsed/>
    <w:rsid w:val="000E0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D67"/>
  </w:style>
  <w:style w:type="paragraph" w:styleId="Footer">
    <w:name w:val="footer"/>
    <w:basedOn w:val="Normal"/>
    <w:link w:val="FooterChar"/>
    <w:uiPriority w:val="99"/>
    <w:unhideWhenUsed/>
    <w:rsid w:val="000E0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D67"/>
  </w:style>
  <w:style w:type="character" w:customStyle="1" w:styleId="authors">
    <w:name w:val="authors"/>
    <w:basedOn w:val="DefaultParagraphFont"/>
    <w:rsid w:val="006C171E"/>
  </w:style>
  <w:style w:type="character" w:customStyle="1" w:styleId="Date1">
    <w:name w:val="Date1"/>
    <w:basedOn w:val="DefaultParagraphFont"/>
    <w:rsid w:val="006C171E"/>
  </w:style>
  <w:style w:type="character" w:customStyle="1" w:styleId="arttitle">
    <w:name w:val="art_title"/>
    <w:basedOn w:val="DefaultParagraphFont"/>
    <w:rsid w:val="006C171E"/>
  </w:style>
  <w:style w:type="character" w:customStyle="1" w:styleId="serialtitle">
    <w:name w:val="serial_title"/>
    <w:basedOn w:val="DefaultParagraphFont"/>
    <w:rsid w:val="006C171E"/>
  </w:style>
  <w:style w:type="character" w:customStyle="1" w:styleId="volumeissue">
    <w:name w:val="volume_issue"/>
    <w:basedOn w:val="DefaultParagraphFont"/>
    <w:rsid w:val="006C171E"/>
  </w:style>
  <w:style w:type="character" w:customStyle="1" w:styleId="pagerange">
    <w:name w:val="page_range"/>
    <w:basedOn w:val="DefaultParagraphFont"/>
    <w:rsid w:val="006C171E"/>
  </w:style>
  <w:style w:type="character" w:customStyle="1" w:styleId="doilink">
    <w:name w:val="doi_link"/>
    <w:basedOn w:val="DefaultParagraphFont"/>
    <w:rsid w:val="006C171E"/>
  </w:style>
  <w:style w:type="paragraph" w:styleId="Revision">
    <w:name w:val="Revision"/>
    <w:hidden/>
    <w:uiPriority w:val="99"/>
    <w:semiHidden/>
    <w:rsid w:val="002360D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0129EA"/>
  </w:style>
  <w:style w:type="paragraph" w:styleId="EndnoteText">
    <w:name w:val="endnote text"/>
    <w:basedOn w:val="Normal"/>
    <w:link w:val="EndnoteTextChar"/>
    <w:uiPriority w:val="99"/>
    <w:semiHidden/>
    <w:unhideWhenUsed/>
    <w:rsid w:val="000129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9EA"/>
    <w:rPr>
      <w:sz w:val="20"/>
      <w:szCs w:val="20"/>
    </w:rPr>
  </w:style>
  <w:style w:type="character" w:styleId="EndnoteReference">
    <w:name w:val="endnote reference"/>
    <w:basedOn w:val="DefaultParagraphFont"/>
    <w:uiPriority w:val="99"/>
    <w:semiHidden/>
    <w:unhideWhenUsed/>
    <w:rsid w:val="000129EA"/>
    <w:rPr>
      <w:vertAlign w:val="superscript"/>
    </w:rPr>
  </w:style>
  <w:style w:type="paragraph" w:styleId="Title">
    <w:name w:val="Title"/>
    <w:basedOn w:val="Normal"/>
    <w:next w:val="Normal"/>
    <w:link w:val="TitleChar"/>
    <w:uiPriority w:val="10"/>
    <w:qFormat/>
    <w:rsid w:val="00F30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7A2"/>
    <w:rPr>
      <w:rFonts w:asciiTheme="majorHAnsi" w:eastAsiaTheme="majorEastAsia" w:hAnsiTheme="majorHAnsi" w:cstheme="majorBidi"/>
      <w:spacing w:val="-10"/>
      <w:kern w:val="28"/>
      <w:sz w:val="56"/>
      <w:szCs w:val="56"/>
    </w:rPr>
  </w:style>
  <w:style w:type="character" w:customStyle="1" w:styleId="year">
    <w:name w:val="year"/>
    <w:basedOn w:val="DefaultParagraphFont"/>
    <w:rsid w:val="00121680"/>
  </w:style>
  <w:style w:type="character" w:customStyle="1" w:styleId="Title1">
    <w:name w:val="Title1"/>
    <w:basedOn w:val="DefaultParagraphFont"/>
    <w:rsid w:val="00121680"/>
  </w:style>
  <w:style w:type="character" w:customStyle="1" w:styleId="journal">
    <w:name w:val="journal"/>
    <w:basedOn w:val="DefaultParagraphFont"/>
    <w:rsid w:val="00121680"/>
  </w:style>
  <w:style w:type="character" w:customStyle="1" w:styleId="vol">
    <w:name w:val="vol"/>
    <w:basedOn w:val="DefaultParagraphFont"/>
    <w:rsid w:val="00121680"/>
  </w:style>
  <w:style w:type="character" w:customStyle="1" w:styleId="pages">
    <w:name w:val="pages"/>
    <w:basedOn w:val="DefaultParagraphFont"/>
    <w:rsid w:val="00121680"/>
  </w:style>
  <w:style w:type="character" w:styleId="FollowedHyperlink">
    <w:name w:val="FollowedHyperlink"/>
    <w:basedOn w:val="DefaultParagraphFont"/>
    <w:uiPriority w:val="99"/>
    <w:semiHidden/>
    <w:unhideWhenUsed/>
    <w:rsid w:val="00B44351"/>
    <w:rPr>
      <w:color w:val="954F72" w:themeColor="followedHyperlink"/>
      <w:u w:val="single"/>
    </w:rPr>
  </w:style>
  <w:style w:type="paragraph" w:styleId="ListParagraph">
    <w:name w:val="List Paragraph"/>
    <w:basedOn w:val="Normal"/>
    <w:uiPriority w:val="34"/>
    <w:qFormat/>
    <w:rsid w:val="00F25C2B"/>
    <w:pPr>
      <w:ind w:left="720"/>
      <w:contextualSpacing/>
    </w:pPr>
  </w:style>
  <w:style w:type="numbering" w:customStyle="1" w:styleId="NoList1">
    <w:name w:val="No List1"/>
    <w:next w:val="NoList"/>
    <w:uiPriority w:val="99"/>
    <w:semiHidden/>
    <w:unhideWhenUsed/>
    <w:rsid w:val="00B97350"/>
  </w:style>
  <w:style w:type="table" w:customStyle="1" w:styleId="TableGrid1">
    <w:name w:val="Table Grid1"/>
    <w:basedOn w:val="TableNormal"/>
    <w:next w:val="TableGrid"/>
    <w:uiPriority w:val="59"/>
    <w:rsid w:val="00B973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99">
      <w:bodyDiv w:val="1"/>
      <w:marLeft w:val="0"/>
      <w:marRight w:val="0"/>
      <w:marTop w:val="0"/>
      <w:marBottom w:val="0"/>
      <w:divBdr>
        <w:top w:val="none" w:sz="0" w:space="0" w:color="auto"/>
        <w:left w:val="none" w:sz="0" w:space="0" w:color="auto"/>
        <w:bottom w:val="none" w:sz="0" w:space="0" w:color="auto"/>
        <w:right w:val="none" w:sz="0" w:space="0" w:color="auto"/>
      </w:divBdr>
      <w:divsChild>
        <w:div w:id="796949792">
          <w:marLeft w:val="0"/>
          <w:marRight w:val="0"/>
          <w:marTop w:val="0"/>
          <w:marBottom w:val="0"/>
          <w:divBdr>
            <w:top w:val="none" w:sz="0" w:space="0" w:color="auto"/>
            <w:left w:val="none" w:sz="0" w:space="0" w:color="auto"/>
            <w:bottom w:val="none" w:sz="0" w:space="0" w:color="auto"/>
            <w:right w:val="none" w:sz="0" w:space="0" w:color="auto"/>
          </w:divBdr>
        </w:div>
      </w:divsChild>
    </w:div>
    <w:div w:id="478496363">
      <w:bodyDiv w:val="1"/>
      <w:marLeft w:val="0"/>
      <w:marRight w:val="0"/>
      <w:marTop w:val="0"/>
      <w:marBottom w:val="0"/>
      <w:divBdr>
        <w:top w:val="none" w:sz="0" w:space="0" w:color="auto"/>
        <w:left w:val="none" w:sz="0" w:space="0" w:color="auto"/>
        <w:bottom w:val="none" w:sz="0" w:space="0" w:color="auto"/>
        <w:right w:val="none" w:sz="0" w:space="0" w:color="auto"/>
      </w:divBdr>
    </w:div>
    <w:div w:id="1354959333">
      <w:bodyDiv w:val="1"/>
      <w:marLeft w:val="0"/>
      <w:marRight w:val="0"/>
      <w:marTop w:val="0"/>
      <w:marBottom w:val="0"/>
      <w:divBdr>
        <w:top w:val="none" w:sz="0" w:space="0" w:color="auto"/>
        <w:left w:val="none" w:sz="0" w:space="0" w:color="auto"/>
        <w:bottom w:val="none" w:sz="0" w:space="0" w:color="auto"/>
        <w:right w:val="none" w:sz="0" w:space="0" w:color="auto"/>
      </w:divBdr>
      <w:divsChild>
        <w:div w:id="2058620244">
          <w:marLeft w:val="0"/>
          <w:marRight w:val="0"/>
          <w:marTop w:val="0"/>
          <w:marBottom w:val="0"/>
          <w:divBdr>
            <w:top w:val="none" w:sz="0" w:space="0" w:color="auto"/>
            <w:left w:val="none" w:sz="0" w:space="0" w:color="auto"/>
            <w:bottom w:val="none" w:sz="0" w:space="0" w:color="auto"/>
            <w:right w:val="none" w:sz="0" w:space="0" w:color="auto"/>
          </w:divBdr>
          <w:divsChild>
            <w:div w:id="12714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4237">
      <w:bodyDiv w:val="1"/>
      <w:marLeft w:val="0"/>
      <w:marRight w:val="0"/>
      <w:marTop w:val="0"/>
      <w:marBottom w:val="0"/>
      <w:divBdr>
        <w:top w:val="none" w:sz="0" w:space="0" w:color="auto"/>
        <w:left w:val="none" w:sz="0" w:space="0" w:color="auto"/>
        <w:bottom w:val="none" w:sz="0" w:space="0" w:color="auto"/>
        <w:right w:val="none" w:sz="0" w:space="0" w:color="auto"/>
      </w:divBdr>
    </w:div>
    <w:div w:id="18064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toker@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053168017742015" TargetMode="External"/><Relationship Id="rId5" Type="http://schemas.openxmlformats.org/officeDocument/2006/relationships/webSettings" Target="webSettings.xml"/><Relationship Id="rId10" Type="http://schemas.openxmlformats.org/officeDocument/2006/relationships/hyperlink" Target="https://www.internetworldstats.com/europa2.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3608-AA82-4C97-B17E-0EFE587B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10287</Words>
  <Characters>58638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Stoker</dc:creator>
  <cp:keywords/>
  <dc:description/>
  <cp:lastModifiedBy>Lawrence McKay</cp:lastModifiedBy>
  <cp:revision>3</cp:revision>
  <dcterms:created xsi:type="dcterms:W3CDTF">2023-11-29T14:06:00Z</dcterms:created>
  <dcterms:modified xsi:type="dcterms:W3CDTF">2023-11-29T14:06:00Z</dcterms:modified>
</cp:coreProperties>
</file>