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DB60B" w14:textId="30F3EA0A" w:rsidR="00BF77AF" w:rsidRPr="00794EC7" w:rsidRDefault="00FE22DB" w:rsidP="00BF77AF">
      <w:pPr>
        <w:jc w:val="center"/>
        <w:rPr>
          <w:rFonts w:cs="Arial"/>
          <w:b/>
          <w:bCs/>
          <w:sz w:val="36"/>
          <w:szCs w:val="36"/>
        </w:rPr>
      </w:pPr>
      <w:r w:rsidRPr="00794EC7">
        <w:rPr>
          <w:rFonts w:cs="Arial"/>
          <w:b/>
          <w:bCs/>
          <w:sz w:val="36"/>
          <w:szCs w:val="36"/>
        </w:rPr>
        <w:t xml:space="preserve">Human </w:t>
      </w:r>
      <w:r w:rsidR="00DA4EB9" w:rsidRPr="00794EC7">
        <w:rPr>
          <w:rFonts w:cs="Arial"/>
          <w:b/>
          <w:bCs/>
          <w:sz w:val="36"/>
          <w:szCs w:val="36"/>
        </w:rPr>
        <w:t xml:space="preserve">Milk Extracellular Vesicles Preserve </w:t>
      </w:r>
      <w:r w:rsidR="009719B7" w:rsidRPr="00794EC7">
        <w:rPr>
          <w:rFonts w:cs="Arial"/>
          <w:b/>
          <w:bCs/>
          <w:sz w:val="36"/>
          <w:szCs w:val="36"/>
        </w:rPr>
        <w:t xml:space="preserve">Bronchial </w:t>
      </w:r>
      <w:r w:rsidR="00DA4EB9" w:rsidRPr="00794EC7">
        <w:rPr>
          <w:rFonts w:cs="Arial"/>
          <w:b/>
          <w:bCs/>
          <w:sz w:val="36"/>
          <w:szCs w:val="36"/>
        </w:rPr>
        <w:t>Epithelial Barrier Integrity</w:t>
      </w:r>
    </w:p>
    <w:p w14:paraId="2AD2AB26" w14:textId="5622810D" w:rsidR="00FE22DB" w:rsidRPr="00794EC7" w:rsidRDefault="00DA4EB9" w:rsidP="00902F19">
      <w:pPr>
        <w:jc w:val="center"/>
        <w:rPr>
          <w:rFonts w:cs="Arial"/>
          <w:b/>
          <w:bCs/>
          <w:i/>
          <w:iCs/>
          <w:sz w:val="36"/>
          <w:szCs w:val="36"/>
        </w:rPr>
      </w:pPr>
      <w:r w:rsidRPr="00794EC7">
        <w:rPr>
          <w:rFonts w:cs="Arial"/>
          <w:b/>
          <w:bCs/>
          <w:sz w:val="36"/>
          <w:szCs w:val="36"/>
        </w:rPr>
        <w:t xml:space="preserve">and </w:t>
      </w:r>
      <w:r w:rsidR="0068172A" w:rsidRPr="00794EC7">
        <w:rPr>
          <w:rFonts w:cs="Arial"/>
          <w:b/>
          <w:bCs/>
          <w:sz w:val="36"/>
          <w:szCs w:val="36"/>
        </w:rPr>
        <w:t>Reduce TLR3-</w:t>
      </w:r>
      <w:r w:rsidR="00DB3F16" w:rsidRPr="00794EC7">
        <w:rPr>
          <w:rFonts w:cs="Arial"/>
          <w:b/>
          <w:bCs/>
          <w:sz w:val="36"/>
          <w:szCs w:val="36"/>
        </w:rPr>
        <w:t>I</w:t>
      </w:r>
      <w:r w:rsidR="0068172A" w:rsidRPr="00794EC7">
        <w:rPr>
          <w:rFonts w:cs="Arial"/>
          <w:b/>
          <w:bCs/>
          <w:sz w:val="36"/>
          <w:szCs w:val="36"/>
        </w:rPr>
        <w:t>nduced</w:t>
      </w:r>
      <w:r w:rsidR="00CC4C9E" w:rsidRPr="00794EC7">
        <w:rPr>
          <w:rFonts w:cs="Arial"/>
          <w:b/>
          <w:bCs/>
          <w:sz w:val="36"/>
          <w:szCs w:val="36"/>
        </w:rPr>
        <w:t xml:space="preserve"> </w:t>
      </w:r>
      <w:r w:rsidRPr="00794EC7">
        <w:rPr>
          <w:rFonts w:cs="Arial"/>
          <w:b/>
          <w:bCs/>
          <w:sz w:val="36"/>
          <w:szCs w:val="36"/>
        </w:rPr>
        <w:t>Inflammat</w:t>
      </w:r>
      <w:r w:rsidR="0068172A" w:rsidRPr="00794EC7">
        <w:rPr>
          <w:rFonts w:cs="Arial"/>
          <w:b/>
          <w:bCs/>
          <w:sz w:val="36"/>
          <w:szCs w:val="36"/>
        </w:rPr>
        <w:t>ion</w:t>
      </w:r>
      <w:r w:rsidR="00BF77AF" w:rsidRPr="00794EC7">
        <w:rPr>
          <w:rFonts w:cs="Arial"/>
          <w:b/>
          <w:bCs/>
          <w:sz w:val="36"/>
          <w:szCs w:val="36"/>
        </w:rPr>
        <w:t xml:space="preserve"> </w:t>
      </w:r>
      <w:r w:rsidR="00BF77AF" w:rsidRPr="00794EC7">
        <w:rPr>
          <w:rFonts w:cs="Arial"/>
          <w:b/>
          <w:bCs/>
          <w:i/>
          <w:iCs/>
          <w:sz w:val="36"/>
          <w:szCs w:val="36"/>
        </w:rPr>
        <w:t>in vitro</w:t>
      </w:r>
    </w:p>
    <w:p w14:paraId="6EFCA9D1" w14:textId="77777777" w:rsidR="00FE22DB" w:rsidRPr="00794EC7" w:rsidRDefault="00FE22DB" w:rsidP="00902F19">
      <w:pPr>
        <w:rPr>
          <w:rFonts w:cs="Arial"/>
        </w:rPr>
      </w:pPr>
    </w:p>
    <w:p w14:paraId="6E0BAF09" w14:textId="2CBF9F88" w:rsidR="00FE22DB" w:rsidRPr="00794EC7" w:rsidRDefault="00FE22DB" w:rsidP="00902F19">
      <w:pPr>
        <w:jc w:val="center"/>
        <w:rPr>
          <w:rFonts w:cs="Arial"/>
          <w:szCs w:val="20"/>
          <w:vertAlign w:val="superscript"/>
        </w:rPr>
      </w:pPr>
      <w:r w:rsidRPr="00794EC7">
        <w:rPr>
          <w:rFonts w:cs="Arial"/>
          <w:szCs w:val="20"/>
          <w:lang w:val="nl-NL"/>
        </w:rPr>
        <w:t xml:space="preserve">Karra. N. </w:t>
      </w:r>
      <w:r w:rsidRPr="00794EC7">
        <w:rPr>
          <w:rFonts w:cs="Arial"/>
          <w:szCs w:val="20"/>
          <w:vertAlign w:val="superscript"/>
          <w:lang w:val="nl-NL"/>
        </w:rPr>
        <w:t>a</w:t>
      </w:r>
      <w:r w:rsidRPr="00794EC7">
        <w:rPr>
          <w:rFonts w:cs="Arial"/>
          <w:szCs w:val="20"/>
          <w:lang w:val="nl-NL"/>
        </w:rPr>
        <w:t xml:space="preserve"> | Van Herwijnen.M.J.C</w:t>
      </w:r>
      <w:r w:rsidRPr="00794EC7">
        <w:rPr>
          <w:rFonts w:cs="Arial"/>
          <w:szCs w:val="20"/>
          <w:vertAlign w:val="superscript"/>
          <w:lang w:val="nl-NL"/>
        </w:rPr>
        <w:t xml:space="preserve"> </w:t>
      </w:r>
      <w:r w:rsidR="00667723" w:rsidRPr="00794EC7">
        <w:rPr>
          <w:rFonts w:cs="Arial"/>
          <w:szCs w:val="20"/>
          <w:vertAlign w:val="superscript"/>
          <w:lang w:val="nl-NL"/>
        </w:rPr>
        <w:t>b</w:t>
      </w:r>
      <w:r w:rsidRPr="00794EC7">
        <w:rPr>
          <w:rFonts w:cs="Arial"/>
          <w:szCs w:val="20"/>
          <w:lang w:val="nl-NL"/>
        </w:rPr>
        <w:t xml:space="preserve"> | Wauben. </w:t>
      </w:r>
      <w:r w:rsidRPr="00794EC7">
        <w:rPr>
          <w:rFonts w:cs="Arial"/>
          <w:szCs w:val="20"/>
        </w:rPr>
        <w:t xml:space="preserve">M.H.M </w:t>
      </w:r>
      <w:r w:rsidR="00667723" w:rsidRPr="00794EC7">
        <w:rPr>
          <w:rFonts w:cs="Arial"/>
          <w:szCs w:val="20"/>
          <w:vertAlign w:val="superscript"/>
        </w:rPr>
        <w:t>b</w:t>
      </w:r>
      <w:r w:rsidRPr="00794EC7">
        <w:rPr>
          <w:rFonts w:cs="Arial"/>
          <w:szCs w:val="20"/>
        </w:rPr>
        <w:t xml:space="preserve"> | Swindle. E.J. </w:t>
      </w:r>
      <w:r w:rsidR="00667723" w:rsidRPr="00794EC7">
        <w:rPr>
          <w:rFonts w:cs="Arial"/>
          <w:szCs w:val="20"/>
          <w:vertAlign w:val="superscript"/>
        </w:rPr>
        <w:t>c</w:t>
      </w:r>
      <w:r w:rsidRPr="00794EC7">
        <w:rPr>
          <w:rFonts w:cs="Arial"/>
          <w:szCs w:val="20"/>
          <w:vertAlign w:val="superscript"/>
        </w:rPr>
        <w:t>,</w:t>
      </w:r>
      <w:r w:rsidR="00667723" w:rsidRPr="00794EC7">
        <w:rPr>
          <w:rFonts w:cs="Arial"/>
          <w:szCs w:val="20"/>
          <w:vertAlign w:val="superscript"/>
        </w:rPr>
        <w:t>d</w:t>
      </w:r>
      <w:r w:rsidRPr="00794EC7">
        <w:rPr>
          <w:rFonts w:cs="Arial"/>
          <w:szCs w:val="20"/>
        </w:rPr>
        <w:t xml:space="preserve"> | Morgan. H. </w:t>
      </w:r>
      <w:r w:rsidRPr="00794EC7">
        <w:rPr>
          <w:rFonts w:cs="Arial"/>
          <w:szCs w:val="20"/>
          <w:vertAlign w:val="superscript"/>
        </w:rPr>
        <w:t>a,</w:t>
      </w:r>
      <w:r w:rsidR="00667723" w:rsidRPr="00794EC7">
        <w:rPr>
          <w:rFonts w:cs="Arial"/>
          <w:szCs w:val="20"/>
          <w:vertAlign w:val="superscript"/>
        </w:rPr>
        <w:t>d</w:t>
      </w:r>
    </w:p>
    <w:p w14:paraId="5146CCB4" w14:textId="77777777" w:rsidR="00FE22DB" w:rsidRPr="00794EC7" w:rsidRDefault="00FE22DB" w:rsidP="00902F19">
      <w:pPr>
        <w:jc w:val="center"/>
        <w:rPr>
          <w:rFonts w:cs="Arial"/>
          <w:szCs w:val="20"/>
          <w:vertAlign w:val="superscript"/>
        </w:rPr>
      </w:pPr>
    </w:p>
    <w:p w14:paraId="2427E68A" w14:textId="1EDE9E4A" w:rsidR="00FE22DB" w:rsidRPr="00794EC7" w:rsidRDefault="00FE22DB" w:rsidP="00902F19">
      <w:pPr>
        <w:autoSpaceDE w:val="0"/>
        <w:autoSpaceDN w:val="0"/>
        <w:adjustRightInd w:val="0"/>
        <w:jc w:val="center"/>
        <w:rPr>
          <w:rFonts w:cs="Arial"/>
          <w:szCs w:val="20"/>
        </w:rPr>
      </w:pPr>
      <w:r w:rsidRPr="00794EC7">
        <w:rPr>
          <w:rFonts w:cs="Arial"/>
          <w:szCs w:val="20"/>
          <w:vertAlign w:val="superscript"/>
        </w:rPr>
        <w:t xml:space="preserve">a </w:t>
      </w:r>
      <w:r w:rsidRPr="00794EC7">
        <w:rPr>
          <w:rFonts w:cs="Arial"/>
          <w:szCs w:val="20"/>
        </w:rPr>
        <w:t xml:space="preserve">Electronics and Computer Science, Faculty of Physical Sciences and Engineering, </w:t>
      </w:r>
      <w:r w:rsidR="00667723" w:rsidRPr="00794EC7">
        <w:rPr>
          <w:rFonts w:cs="Arial"/>
          <w:szCs w:val="20"/>
          <w:vertAlign w:val="superscript"/>
        </w:rPr>
        <w:t>c</w:t>
      </w:r>
      <w:r w:rsidRPr="00794EC7">
        <w:rPr>
          <w:rFonts w:cs="Arial"/>
          <w:szCs w:val="20"/>
        </w:rPr>
        <w:t xml:space="preserve"> Clinical and Experimental Sciences, Faculty of Medicine, </w:t>
      </w:r>
      <w:r w:rsidR="00667723" w:rsidRPr="00794EC7">
        <w:rPr>
          <w:rFonts w:cs="Arial"/>
          <w:szCs w:val="20"/>
          <w:vertAlign w:val="superscript"/>
        </w:rPr>
        <w:t>d</w:t>
      </w:r>
      <w:r w:rsidRPr="00794EC7">
        <w:rPr>
          <w:rFonts w:cs="Arial"/>
          <w:szCs w:val="20"/>
        </w:rPr>
        <w:t xml:space="preserve"> Institute for Life Sciences,</w:t>
      </w:r>
    </w:p>
    <w:p w14:paraId="29C40B1C" w14:textId="5D6B31B5" w:rsidR="00FE22DB" w:rsidRPr="00794EC7" w:rsidRDefault="00FE22DB" w:rsidP="00902F19">
      <w:pPr>
        <w:autoSpaceDE w:val="0"/>
        <w:autoSpaceDN w:val="0"/>
        <w:adjustRightInd w:val="0"/>
        <w:jc w:val="center"/>
        <w:rPr>
          <w:rFonts w:cs="Arial"/>
          <w:szCs w:val="20"/>
        </w:rPr>
      </w:pPr>
      <w:r w:rsidRPr="00794EC7">
        <w:rPr>
          <w:rFonts w:cs="Arial"/>
          <w:szCs w:val="20"/>
        </w:rPr>
        <w:t xml:space="preserve">University of Southampton. </w:t>
      </w:r>
      <w:r w:rsidR="00667723" w:rsidRPr="00794EC7">
        <w:rPr>
          <w:rFonts w:cs="Arial"/>
          <w:szCs w:val="20"/>
          <w:vertAlign w:val="superscript"/>
        </w:rPr>
        <w:t>b</w:t>
      </w:r>
      <w:r w:rsidRPr="00794EC7">
        <w:rPr>
          <w:rFonts w:cs="Arial"/>
          <w:szCs w:val="20"/>
        </w:rPr>
        <w:t xml:space="preserve"> Department of Biomolecular Health Sciences, Faculty of Veterinary Medicine, Utrecht University.</w:t>
      </w:r>
    </w:p>
    <w:p w14:paraId="60EAF5E1" w14:textId="77777777" w:rsidR="00FE22DB" w:rsidRPr="00794EC7" w:rsidRDefault="00FE22DB" w:rsidP="00902F19">
      <w:pPr>
        <w:autoSpaceDE w:val="0"/>
        <w:autoSpaceDN w:val="0"/>
        <w:adjustRightInd w:val="0"/>
        <w:jc w:val="center"/>
        <w:rPr>
          <w:rFonts w:cs="Arial"/>
          <w:b/>
          <w:szCs w:val="20"/>
        </w:rPr>
      </w:pPr>
      <w:r w:rsidRPr="00794EC7">
        <w:rPr>
          <w:rFonts w:cs="Arial"/>
          <w:b/>
          <w:szCs w:val="20"/>
        </w:rPr>
        <w:t>Corresponding Author: Hywel Morgan (hm@ecs.soton.ac.uk)</w:t>
      </w:r>
    </w:p>
    <w:p w14:paraId="30E7A83C" w14:textId="77777777" w:rsidR="00FE22DB" w:rsidRPr="00794EC7" w:rsidRDefault="00FE22DB" w:rsidP="00902F19">
      <w:pPr>
        <w:autoSpaceDE w:val="0"/>
        <w:autoSpaceDN w:val="0"/>
        <w:adjustRightInd w:val="0"/>
        <w:rPr>
          <w:rFonts w:cs="Arial"/>
          <w:b/>
          <w:szCs w:val="20"/>
        </w:rPr>
      </w:pPr>
    </w:p>
    <w:p w14:paraId="1175A8D5" w14:textId="52F2C26D" w:rsidR="00FE22DB" w:rsidRPr="00794EC7" w:rsidRDefault="00FE22DB" w:rsidP="00902F19"/>
    <w:p w14:paraId="1A46E763" w14:textId="0BD42E4D" w:rsidR="0014295B" w:rsidRPr="00794EC7" w:rsidRDefault="0014295B" w:rsidP="00902F19">
      <w:pPr>
        <w:pStyle w:val="Title"/>
      </w:pPr>
      <w:r w:rsidRPr="00794EC7">
        <w:t>Abstract</w:t>
      </w:r>
    </w:p>
    <w:p w14:paraId="28C8EC6F" w14:textId="07BBBCB7" w:rsidR="0014295B" w:rsidRPr="00794EC7" w:rsidRDefault="004C4861" w:rsidP="00902F19">
      <w:r w:rsidRPr="00794EC7">
        <w:t>B</w:t>
      </w:r>
      <w:r w:rsidR="00490557" w:rsidRPr="00794EC7">
        <w:t xml:space="preserve">reast milk </w:t>
      </w:r>
      <w:r w:rsidR="00AB1C32" w:rsidRPr="00794EC7">
        <w:t xml:space="preserve">is </w:t>
      </w:r>
      <w:r w:rsidRPr="00794EC7">
        <w:t>essential for</w:t>
      </w:r>
      <w:r w:rsidR="00AB1C32" w:rsidRPr="00794EC7">
        <w:t xml:space="preserve"> facilitating the growth and development of infants and for providing immune protection</w:t>
      </w:r>
      <w:r w:rsidRPr="00794EC7">
        <w:t xml:space="preserve"> against </w:t>
      </w:r>
      <w:r w:rsidR="0068172A" w:rsidRPr="00794EC7">
        <w:t xml:space="preserve">viral </w:t>
      </w:r>
      <w:r w:rsidRPr="00794EC7">
        <w:t>infections in</w:t>
      </w:r>
      <w:r w:rsidR="00902F19" w:rsidRPr="00794EC7">
        <w:t xml:space="preserve"> </w:t>
      </w:r>
      <w:r w:rsidR="00B74493" w:rsidRPr="00794EC7">
        <w:t xml:space="preserve">the </w:t>
      </w:r>
      <w:r w:rsidRPr="00794EC7">
        <w:t>infant</w:t>
      </w:r>
      <w:r w:rsidR="003B27E7" w:rsidRPr="00794EC7">
        <w:t>’</w:t>
      </w:r>
      <w:r w:rsidRPr="00794EC7">
        <w:t>s</w:t>
      </w:r>
      <w:r w:rsidR="003B27E7" w:rsidRPr="00794EC7">
        <w:t xml:space="preserve"> airways</w:t>
      </w:r>
      <w:r w:rsidR="00997DFC" w:rsidRPr="00794EC7">
        <w:t>.</w:t>
      </w:r>
      <w:r w:rsidR="00B36495" w:rsidRPr="00794EC7">
        <w:t xml:space="preserve"> </w:t>
      </w:r>
      <w:r w:rsidR="00997DFC" w:rsidRPr="00794EC7">
        <w:t>Yet, regulation of</w:t>
      </w:r>
      <w:r w:rsidR="00DB3F16" w:rsidRPr="00794EC7">
        <w:t xml:space="preserve"> </w:t>
      </w:r>
      <w:r w:rsidR="00997DFC" w:rsidRPr="00794EC7">
        <w:t xml:space="preserve">inflammation by </w:t>
      </w:r>
      <w:r w:rsidR="00D100BB" w:rsidRPr="00794EC7">
        <w:t xml:space="preserve">milk components </w:t>
      </w:r>
      <w:r w:rsidR="00CC4C9E" w:rsidRPr="00794EC7">
        <w:t>may be needed</w:t>
      </w:r>
      <w:r w:rsidR="00D100BB" w:rsidRPr="00794EC7">
        <w:t xml:space="preserve"> to reduce immune pathology. </w:t>
      </w:r>
      <w:r w:rsidR="00997DFC" w:rsidRPr="00794EC7">
        <w:t>While m</w:t>
      </w:r>
      <w:r w:rsidR="00D100BB" w:rsidRPr="00794EC7">
        <w:t>ilk-derived extracellular vesicles (EVs) are bestowed with immunomodulatory capacities</w:t>
      </w:r>
      <w:r w:rsidR="00CC4C9E" w:rsidRPr="00794EC7">
        <w:t xml:space="preserve">, </w:t>
      </w:r>
      <w:r w:rsidR="00B74493" w:rsidRPr="00794EC7">
        <w:t xml:space="preserve">their role in bronchial epithelial barrier function and inflammation </w:t>
      </w:r>
      <w:r w:rsidR="00866E74" w:rsidRPr="00794EC7">
        <w:t>has not</w:t>
      </w:r>
      <w:r w:rsidR="003B27E7" w:rsidRPr="00794EC7">
        <w:t xml:space="preserve"> yet</w:t>
      </w:r>
      <w:r w:rsidR="00866E74" w:rsidRPr="00794EC7">
        <w:t xml:space="preserve"> been </w:t>
      </w:r>
      <w:r w:rsidR="00CC4C9E" w:rsidRPr="00794EC7">
        <w:t>examined.</w:t>
      </w:r>
      <w:r w:rsidRPr="00794EC7">
        <w:t xml:space="preserve"> </w:t>
      </w:r>
      <w:r w:rsidR="002350CF" w:rsidRPr="00794EC7">
        <w:t>We hypothesi</w:t>
      </w:r>
      <w:r w:rsidR="0052753C" w:rsidRPr="00794EC7">
        <w:t>s</w:t>
      </w:r>
      <w:r w:rsidR="002350CF" w:rsidRPr="00794EC7">
        <w:t>e</w:t>
      </w:r>
      <w:r w:rsidR="00EF0240" w:rsidRPr="00794EC7">
        <w:t>d</w:t>
      </w:r>
      <w:r w:rsidR="002350CF" w:rsidRPr="00794EC7">
        <w:t xml:space="preserve"> that during feeding</w:t>
      </w:r>
      <w:r w:rsidR="003B27E7" w:rsidRPr="00794EC7">
        <w:t>,</w:t>
      </w:r>
      <w:r w:rsidR="002350CF" w:rsidRPr="00794EC7">
        <w:t xml:space="preserve"> milk is not only ingested, but aerosols containing milk EVs are inhaled and locally delivered </w:t>
      </w:r>
      <w:r w:rsidR="00CC4C9E" w:rsidRPr="00794EC7">
        <w:t xml:space="preserve">to </w:t>
      </w:r>
      <w:r w:rsidR="002350CF" w:rsidRPr="00794EC7">
        <w:t>the infant</w:t>
      </w:r>
      <w:r w:rsidR="003B27E7" w:rsidRPr="00794EC7">
        <w:t>’</w:t>
      </w:r>
      <w:r w:rsidR="002350CF" w:rsidRPr="00794EC7">
        <w:t>s ai</w:t>
      </w:r>
      <w:r w:rsidR="00433732" w:rsidRPr="00794EC7">
        <w:t>r</w:t>
      </w:r>
      <w:r w:rsidR="002350CF" w:rsidRPr="00794EC7">
        <w:t>ways</w:t>
      </w:r>
      <w:r w:rsidR="00EF0240" w:rsidRPr="00794EC7">
        <w:t xml:space="preserve"> to suppress aberrant inflammation</w:t>
      </w:r>
      <w:r w:rsidR="002350CF" w:rsidRPr="00794EC7">
        <w:t>.</w:t>
      </w:r>
      <w:r w:rsidR="003B27E7" w:rsidRPr="00794EC7">
        <w:t xml:space="preserve"> </w:t>
      </w:r>
      <w:r w:rsidR="00CC4C9E" w:rsidRPr="00794EC7">
        <w:t>A</w:t>
      </w:r>
      <w:r w:rsidR="00FE4461" w:rsidRPr="00794EC7">
        <w:rPr>
          <w:rFonts w:cs="Arial"/>
        </w:rPr>
        <w:t xml:space="preserve"> bronchial epithelial model </w:t>
      </w:r>
      <w:r w:rsidR="00866E74" w:rsidRPr="00794EC7">
        <w:rPr>
          <w:rFonts w:cs="Arial"/>
        </w:rPr>
        <w:t>of viral infection</w:t>
      </w:r>
      <w:r w:rsidR="00CC4C9E" w:rsidRPr="00794EC7">
        <w:rPr>
          <w:rFonts w:cs="Arial"/>
        </w:rPr>
        <w:t xml:space="preserve"> was used to</w:t>
      </w:r>
      <w:r w:rsidR="00CF7783" w:rsidRPr="00794EC7">
        <w:rPr>
          <w:rFonts w:cs="Arial"/>
        </w:rPr>
        <w:t xml:space="preserve"> explore the </w:t>
      </w:r>
      <w:r w:rsidR="00997DFC" w:rsidRPr="00794EC7">
        <w:rPr>
          <w:rFonts w:cs="Arial"/>
        </w:rPr>
        <w:t xml:space="preserve">direct </w:t>
      </w:r>
      <w:r w:rsidR="00CC4C9E" w:rsidRPr="00794EC7">
        <w:rPr>
          <w:rFonts w:cs="Arial"/>
        </w:rPr>
        <w:t xml:space="preserve">effect </w:t>
      </w:r>
      <w:r w:rsidR="00CF7783" w:rsidRPr="00794EC7">
        <w:rPr>
          <w:rFonts w:cs="Arial"/>
        </w:rPr>
        <w:t>of</w:t>
      </w:r>
      <w:r w:rsidR="00866E74" w:rsidRPr="00794EC7">
        <w:rPr>
          <w:rFonts w:cs="Arial"/>
        </w:rPr>
        <w:t xml:space="preserve"> </w:t>
      </w:r>
      <w:r w:rsidRPr="00794EC7">
        <w:rPr>
          <w:rFonts w:cs="Arial"/>
        </w:rPr>
        <w:t>milk EVs</w:t>
      </w:r>
      <w:r w:rsidR="00866E74" w:rsidRPr="00794EC7">
        <w:rPr>
          <w:rFonts w:cs="Arial"/>
        </w:rPr>
        <w:t xml:space="preserve"> </w:t>
      </w:r>
      <w:r w:rsidR="00CC4C9E" w:rsidRPr="00794EC7">
        <w:rPr>
          <w:rFonts w:cs="Arial"/>
        </w:rPr>
        <w:t xml:space="preserve">on </w:t>
      </w:r>
      <w:r w:rsidR="00CF7783" w:rsidRPr="00794EC7">
        <w:rPr>
          <w:rFonts w:cs="Arial"/>
        </w:rPr>
        <w:t>cellular</w:t>
      </w:r>
      <w:r w:rsidR="00866E74" w:rsidRPr="00794EC7">
        <w:rPr>
          <w:rFonts w:cs="Arial"/>
        </w:rPr>
        <w:t xml:space="preserve"> barrier function and </w:t>
      </w:r>
      <w:r w:rsidR="00CF7783" w:rsidRPr="00794EC7">
        <w:rPr>
          <w:rFonts w:cs="Arial"/>
        </w:rPr>
        <w:t xml:space="preserve">cytokine release during </w:t>
      </w:r>
      <w:r w:rsidR="00CC4C9E" w:rsidRPr="00794EC7">
        <w:rPr>
          <w:rFonts w:cs="Arial"/>
        </w:rPr>
        <w:t xml:space="preserve">stimulation with a </w:t>
      </w:r>
      <w:r w:rsidR="00CF7783" w:rsidRPr="00794EC7">
        <w:rPr>
          <w:rFonts w:cs="Arial"/>
        </w:rPr>
        <w:t xml:space="preserve">viral dsRNA analogue </w:t>
      </w:r>
      <w:r w:rsidR="00CC4C9E" w:rsidRPr="00794EC7">
        <w:rPr>
          <w:rFonts w:cs="Arial"/>
        </w:rPr>
        <w:t>(</w:t>
      </w:r>
      <w:r w:rsidR="002679E3" w:rsidRPr="00794EC7">
        <w:rPr>
          <w:rFonts w:cs="Arial"/>
        </w:rPr>
        <w:t>Poly</w:t>
      </w:r>
      <w:r w:rsidR="00CC4C9E" w:rsidRPr="00794EC7">
        <w:rPr>
          <w:rFonts w:cs="Arial"/>
        </w:rPr>
        <w:t xml:space="preserve"> I:C)</w:t>
      </w:r>
      <w:r w:rsidR="00866E74" w:rsidRPr="00794EC7">
        <w:rPr>
          <w:rFonts w:cs="Arial"/>
        </w:rPr>
        <w:t xml:space="preserve">. </w:t>
      </w:r>
      <w:r w:rsidR="00997DFC" w:rsidRPr="00794EC7">
        <w:rPr>
          <w:rFonts w:cs="Arial"/>
        </w:rPr>
        <w:t>We d</w:t>
      </w:r>
      <w:r w:rsidR="00D032D6" w:rsidRPr="00794EC7">
        <w:rPr>
          <w:rFonts w:cs="Arial"/>
        </w:rPr>
        <w:t>emonstrat</w:t>
      </w:r>
      <w:r w:rsidR="00997DFC" w:rsidRPr="00794EC7">
        <w:rPr>
          <w:rFonts w:cs="Arial"/>
        </w:rPr>
        <w:t>e</w:t>
      </w:r>
      <w:r w:rsidR="00D032D6" w:rsidRPr="00794EC7">
        <w:rPr>
          <w:rFonts w:cs="Arial"/>
        </w:rPr>
        <w:t xml:space="preserve"> that m</w:t>
      </w:r>
      <w:r w:rsidR="00090BE5" w:rsidRPr="00794EC7">
        <w:rPr>
          <w:rFonts w:cs="Arial"/>
        </w:rPr>
        <w:t xml:space="preserve">ilk </w:t>
      </w:r>
      <w:r w:rsidR="00CF7783" w:rsidRPr="00794EC7">
        <w:rPr>
          <w:rFonts w:cs="Arial"/>
        </w:rPr>
        <w:t>EVs</w:t>
      </w:r>
      <w:r w:rsidR="00FE4461" w:rsidRPr="00794EC7">
        <w:rPr>
          <w:rFonts w:cs="Arial"/>
        </w:rPr>
        <w:t xml:space="preserve"> </w:t>
      </w:r>
      <w:r w:rsidR="00CC4C9E" w:rsidRPr="00794EC7">
        <w:rPr>
          <w:rFonts w:cs="Arial"/>
        </w:rPr>
        <w:t>improve</w:t>
      </w:r>
      <w:r w:rsidR="00997DFC" w:rsidRPr="00794EC7">
        <w:rPr>
          <w:rFonts w:cs="Arial"/>
        </w:rPr>
        <w:t>d</w:t>
      </w:r>
      <w:r w:rsidR="00FE4461" w:rsidRPr="00794EC7">
        <w:rPr>
          <w:rFonts w:cs="Arial"/>
        </w:rPr>
        <w:t xml:space="preserve"> the dsRNA</w:t>
      </w:r>
      <w:r w:rsidR="00D032D6" w:rsidRPr="00794EC7">
        <w:rPr>
          <w:rFonts w:cs="Arial"/>
        </w:rPr>
        <w:t>-</w:t>
      </w:r>
      <w:r w:rsidR="00FE4461" w:rsidRPr="00794EC7">
        <w:rPr>
          <w:rFonts w:cs="Arial"/>
        </w:rPr>
        <w:t xml:space="preserve">mediated decrease in ionic barrier integrity, </w:t>
      </w:r>
      <w:r w:rsidR="004F6756" w:rsidRPr="00794EC7">
        <w:rPr>
          <w:rFonts w:cs="Arial"/>
        </w:rPr>
        <w:t>limit</w:t>
      </w:r>
      <w:r w:rsidR="00DB3F16" w:rsidRPr="00794EC7">
        <w:rPr>
          <w:rFonts w:cs="Arial"/>
        </w:rPr>
        <w:t>ed</w:t>
      </w:r>
      <w:r w:rsidR="004F6756" w:rsidRPr="00794EC7">
        <w:rPr>
          <w:rFonts w:cs="Arial"/>
        </w:rPr>
        <w:t xml:space="preserve"> tight junction re</w:t>
      </w:r>
      <w:r w:rsidR="00FE4461" w:rsidRPr="00794EC7">
        <w:rPr>
          <w:rFonts w:cs="Arial"/>
        </w:rPr>
        <w:t xml:space="preserve">organisation and </w:t>
      </w:r>
      <w:r w:rsidR="004F6756" w:rsidRPr="00794EC7">
        <w:rPr>
          <w:rFonts w:cs="Arial"/>
        </w:rPr>
        <w:t>reduc</w:t>
      </w:r>
      <w:r w:rsidR="00D032D6" w:rsidRPr="00794EC7">
        <w:rPr>
          <w:rFonts w:cs="Arial"/>
        </w:rPr>
        <w:t>e</w:t>
      </w:r>
      <w:r w:rsidR="00DB3F16" w:rsidRPr="00794EC7">
        <w:rPr>
          <w:rFonts w:cs="Arial"/>
        </w:rPr>
        <w:t>d</w:t>
      </w:r>
      <w:r w:rsidR="004F6756" w:rsidRPr="00794EC7">
        <w:rPr>
          <w:rFonts w:cs="Arial"/>
        </w:rPr>
        <w:t xml:space="preserve"> inflammatory </w:t>
      </w:r>
      <w:r w:rsidR="00FE4461" w:rsidRPr="00794EC7">
        <w:rPr>
          <w:rFonts w:cs="Arial"/>
        </w:rPr>
        <w:t xml:space="preserve">cytokine production </w:t>
      </w:r>
      <w:r w:rsidR="00D032D6" w:rsidRPr="00794EC7">
        <w:rPr>
          <w:rFonts w:cs="Arial"/>
        </w:rPr>
        <w:t>(</w:t>
      </w:r>
      <w:r w:rsidR="00FE4461" w:rsidRPr="00794EC7">
        <w:rPr>
          <w:rFonts w:cs="Arial"/>
        </w:rPr>
        <w:t>IL-6, IL-8 and TNF</w:t>
      </w:r>
      <w:r w:rsidR="009719B7" w:rsidRPr="00794EC7">
        <w:rPr>
          <w:rFonts w:cs="Arial"/>
        </w:rPr>
        <w:t>-</w:t>
      </w:r>
      <w:r w:rsidR="00FE4461" w:rsidRPr="00794EC7">
        <w:rPr>
          <w:rFonts w:eastAsia="Arial Unicode MS" w:cs="Arial"/>
        </w:rPr>
        <w:t>α</w:t>
      </w:r>
      <w:r w:rsidR="00D032D6" w:rsidRPr="00794EC7">
        <w:rPr>
          <w:rFonts w:eastAsia="Arial Unicode MS" w:cs="Arial"/>
        </w:rPr>
        <w:t>)</w:t>
      </w:r>
      <w:r w:rsidR="00FE4461" w:rsidRPr="00794EC7">
        <w:rPr>
          <w:rFonts w:cs="Arial"/>
        </w:rPr>
        <w:t xml:space="preserve">. </w:t>
      </w:r>
      <w:r w:rsidR="00CC4C9E" w:rsidRPr="00794EC7">
        <w:rPr>
          <w:rFonts w:cs="Arial"/>
        </w:rPr>
        <w:t>Th</w:t>
      </w:r>
      <w:r w:rsidR="00D032D6" w:rsidRPr="00794EC7">
        <w:rPr>
          <w:rFonts w:cs="Arial"/>
        </w:rPr>
        <w:t>is</w:t>
      </w:r>
      <w:r w:rsidR="004F6756" w:rsidRPr="00794EC7">
        <w:rPr>
          <w:rFonts w:cs="Arial"/>
        </w:rPr>
        <w:t xml:space="preserve"> protective</w:t>
      </w:r>
      <w:r w:rsidR="00FE4461" w:rsidRPr="00794EC7">
        <w:rPr>
          <w:rFonts w:cs="Arial"/>
        </w:rPr>
        <w:t xml:space="preserve"> response </w:t>
      </w:r>
      <w:r w:rsidR="00997DFC" w:rsidRPr="00794EC7">
        <w:rPr>
          <w:rFonts w:cs="Arial"/>
        </w:rPr>
        <w:t xml:space="preserve">was EV-mediated, </w:t>
      </w:r>
      <w:r w:rsidR="00FE4461" w:rsidRPr="00794EC7">
        <w:rPr>
          <w:rFonts w:cs="Arial"/>
        </w:rPr>
        <w:t>c</w:t>
      </w:r>
      <w:r w:rsidR="00D0345E" w:rsidRPr="00794EC7">
        <w:rPr>
          <w:rFonts w:cs="Arial"/>
        </w:rPr>
        <w:t>ould</w:t>
      </w:r>
      <w:r w:rsidR="00FE4461" w:rsidRPr="00794EC7">
        <w:rPr>
          <w:rFonts w:cs="Arial"/>
        </w:rPr>
        <w:t xml:space="preserve"> be successfully titrated </w:t>
      </w:r>
      <w:r w:rsidR="00ED15CA" w:rsidRPr="00794EC7">
        <w:rPr>
          <w:rFonts w:cs="Arial"/>
        </w:rPr>
        <w:t xml:space="preserve">and </w:t>
      </w:r>
      <w:r w:rsidR="00D032D6" w:rsidRPr="00794EC7">
        <w:rPr>
          <w:rFonts w:cs="Arial"/>
        </w:rPr>
        <w:t>exhibit</w:t>
      </w:r>
      <w:r w:rsidR="00D0345E" w:rsidRPr="00794EC7">
        <w:rPr>
          <w:rFonts w:cs="Arial"/>
        </w:rPr>
        <w:t>ed</w:t>
      </w:r>
      <w:r w:rsidR="00ED15CA" w:rsidRPr="00794EC7">
        <w:rPr>
          <w:rFonts w:cs="Arial"/>
        </w:rPr>
        <w:t xml:space="preserve"> a</w:t>
      </w:r>
      <w:r w:rsidR="00FE4461" w:rsidRPr="00794EC7">
        <w:rPr>
          <w:rFonts w:cs="Arial"/>
        </w:rPr>
        <w:t xml:space="preserve"> time-dependent </w:t>
      </w:r>
      <w:r w:rsidR="00ED15CA" w:rsidRPr="00794EC7">
        <w:rPr>
          <w:rFonts w:cs="Arial"/>
        </w:rPr>
        <w:t>response</w:t>
      </w:r>
      <w:r w:rsidR="00FE4461" w:rsidRPr="00794EC7">
        <w:rPr>
          <w:rFonts w:cs="Arial"/>
        </w:rPr>
        <w:t xml:space="preserve">. </w:t>
      </w:r>
      <w:r w:rsidR="00CF7783" w:rsidRPr="00794EC7">
        <w:rPr>
          <w:rFonts w:cs="Arial"/>
        </w:rPr>
        <w:t xml:space="preserve">The results </w:t>
      </w:r>
      <w:r w:rsidR="00090BE5" w:rsidRPr="00794EC7">
        <w:rPr>
          <w:rFonts w:cs="Arial"/>
        </w:rPr>
        <w:t xml:space="preserve">indicate </w:t>
      </w:r>
      <w:r w:rsidR="00CC4C9E" w:rsidRPr="00794EC7">
        <w:rPr>
          <w:rFonts w:cs="Arial"/>
        </w:rPr>
        <w:t>that</w:t>
      </w:r>
      <w:r w:rsidR="00CF7783" w:rsidRPr="00794EC7">
        <w:rPr>
          <w:rFonts w:cs="Arial"/>
        </w:rPr>
        <w:t xml:space="preserve"> </w:t>
      </w:r>
      <w:r w:rsidR="002E15B6" w:rsidRPr="00794EC7">
        <w:rPr>
          <w:rFonts w:cs="Arial"/>
        </w:rPr>
        <w:t>if</w:t>
      </w:r>
      <w:r w:rsidR="00CF7783" w:rsidRPr="00794EC7">
        <w:rPr>
          <w:rFonts w:cs="Arial"/>
        </w:rPr>
        <w:t xml:space="preserve"> EV-containing milk aerosols</w:t>
      </w:r>
      <w:r w:rsidR="002E15B6" w:rsidRPr="00794EC7">
        <w:rPr>
          <w:rFonts w:cs="Arial"/>
        </w:rPr>
        <w:t xml:space="preserve"> </w:t>
      </w:r>
      <w:r w:rsidR="003C40B1" w:rsidRPr="00794EC7">
        <w:rPr>
          <w:rFonts w:cs="Arial"/>
        </w:rPr>
        <w:t>are</w:t>
      </w:r>
      <w:r w:rsidR="002E15B6" w:rsidRPr="00794EC7">
        <w:rPr>
          <w:rFonts w:cs="Arial"/>
        </w:rPr>
        <w:t xml:space="preserve"> inhaled</w:t>
      </w:r>
      <w:r w:rsidR="00D0345E" w:rsidRPr="00794EC7">
        <w:rPr>
          <w:rFonts w:cs="Arial"/>
        </w:rPr>
        <w:t xml:space="preserve"> during feeding</w:t>
      </w:r>
      <w:r w:rsidR="00CC4C9E" w:rsidRPr="00794EC7">
        <w:rPr>
          <w:rFonts w:cs="Arial"/>
        </w:rPr>
        <w:t xml:space="preserve">, </w:t>
      </w:r>
      <w:r w:rsidR="002E15B6" w:rsidRPr="00794EC7">
        <w:rPr>
          <w:rFonts w:cs="Arial"/>
        </w:rPr>
        <w:t xml:space="preserve">this </w:t>
      </w:r>
      <w:r w:rsidR="00CC4C9E" w:rsidRPr="00794EC7">
        <w:rPr>
          <w:rFonts w:cs="Arial"/>
        </w:rPr>
        <w:t>may lead to protection of the a</w:t>
      </w:r>
      <w:r w:rsidR="00FE4461" w:rsidRPr="00794EC7">
        <w:rPr>
          <w:rFonts w:cs="Arial"/>
        </w:rPr>
        <w:t xml:space="preserve">irway </w:t>
      </w:r>
      <w:r w:rsidR="00CC4C9E" w:rsidRPr="00794EC7">
        <w:rPr>
          <w:rFonts w:cs="Arial"/>
        </w:rPr>
        <w:t xml:space="preserve">integrity </w:t>
      </w:r>
      <w:r w:rsidR="002350CF" w:rsidRPr="00794EC7">
        <w:rPr>
          <w:rFonts w:cs="Arial"/>
        </w:rPr>
        <w:t>from adverse inflammatory effects</w:t>
      </w:r>
      <w:r w:rsidR="00FE4461" w:rsidRPr="00794EC7">
        <w:rPr>
          <w:rFonts w:cs="Arial"/>
        </w:rPr>
        <w:t xml:space="preserve">. </w:t>
      </w:r>
    </w:p>
    <w:p w14:paraId="2DBE679B" w14:textId="77777777" w:rsidR="000319A1" w:rsidRPr="00794EC7" w:rsidRDefault="000319A1" w:rsidP="00902F19"/>
    <w:p w14:paraId="226167CE" w14:textId="52096669" w:rsidR="005D49CA" w:rsidRPr="00794EC7" w:rsidRDefault="005D49CA" w:rsidP="00902F19">
      <w:pPr>
        <w:pStyle w:val="Title"/>
      </w:pPr>
      <w:r w:rsidRPr="00794EC7">
        <w:t>Keywords</w:t>
      </w:r>
    </w:p>
    <w:p w14:paraId="4CA16205" w14:textId="484D69F3" w:rsidR="00CC5F24" w:rsidRPr="00794EC7" w:rsidRDefault="00DA4EB9" w:rsidP="00902F19">
      <w:r w:rsidRPr="00794EC7">
        <w:t>Extracellular Vesicles,</w:t>
      </w:r>
      <w:r w:rsidR="00B07F72" w:rsidRPr="00794EC7">
        <w:t xml:space="preserve"> Exosomes,</w:t>
      </w:r>
      <w:r w:rsidRPr="00794EC7">
        <w:t xml:space="preserve"> Anti-Inflammatory, Bronchial Epithelium, Barrier Integrity</w:t>
      </w:r>
      <w:r w:rsidR="006963BA" w:rsidRPr="00794EC7">
        <w:t xml:space="preserve">, </w:t>
      </w:r>
      <w:r w:rsidR="0007300E" w:rsidRPr="00794EC7">
        <w:t>M</w:t>
      </w:r>
      <w:r w:rsidR="006963BA" w:rsidRPr="00794EC7">
        <w:t>ilk</w:t>
      </w:r>
    </w:p>
    <w:p w14:paraId="42A7B207" w14:textId="77777777" w:rsidR="0014295B" w:rsidRPr="00794EC7" w:rsidRDefault="0014295B" w:rsidP="00902F19"/>
    <w:p w14:paraId="18B9EDD9" w14:textId="3F23274E" w:rsidR="0014295B" w:rsidRPr="00794EC7" w:rsidRDefault="0014295B" w:rsidP="00902F19">
      <w:pPr>
        <w:pStyle w:val="Title"/>
      </w:pPr>
      <w:r w:rsidRPr="00794EC7">
        <w:t>Introduction</w:t>
      </w:r>
    </w:p>
    <w:p w14:paraId="6D5FEA0E" w14:textId="4851CC12" w:rsidR="009722DF" w:rsidRPr="00794EC7" w:rsidRDefault="00FE22DB" w:rsidP="00902F19">
      <w:r w:rsidRPr="00794EC7">
        <w:t>The importance of breastfeeding is well established</w:t>
      </w:r>
      <w:r w:rsidR="00CC4C9E" w:rsidRPr="00794EC7">
        <w:t xml:space="preserve">; </w:t>
      </w:r>
      <w:r w:rsidR="00EB75CC" w:rsidRPr="00794EC7">
        <w:t>i</w:t>
      </w:r>
      <w:r w:rsidR="0070235F" w:rsidRPr="00794EC7">
        <w:t xml:space="preserve">t </w:t>
      </w:r>
      <w:r w:rsidR="0087601B" w:rsidRPr="00794EC7">
        <w:t>provides nutrition, facilitate</w:t>
      </w:r>
      <w:r w:rsidR="0012451B" w:rsidRPr="00794EC7">
        <w:t>s</w:t>
      </w:r>
      <w:r w:rsidR="0087601B" w:rsidRPr="00794EC7">
        <w:t xml:space="preserve"> growth and development, protect</w:t>
      </w:r>
      <w:r w:rsidR="0012451B" w:rsidRPr="00794EC7">
        <w:t xml:space="preserve">s </w:t>
      </w:r>
      <w:r w:rsidR="0087601B" w:rsidRPr="00794EC7">
        <w:t xml:space="preserve">the infant from infection whilst the adaptive immune system develops </w:t>
      </w:r>
      <w:r w:rsidR="0087601B" w:rsidRPr="00794EC7">
        <w:fldChar w:fldCharType="begin" w:fldLock="1"/>
      </w:r>
      <w:r w:rsidR="00222DF3" w:rsidRPr="00794EC7">
        <w:instrText>ADDIN CSL_CITATION {"citationItems":[{"id":"ITEM-1","itemData":{"DOI":"10.3390/nu12030745","ISBN":"1614722390","ISSN":"20726643","PMID":"32168961","abstract":"In the past few decades, interest in the therapeutic benefits of exosomes and extracellular vesicles (EVs) has grown exponentially. Exosomes/EVs are small particles which are produced and exocytosed by cells throughout the body. They are loaded with active regulatory and stimulatory molecules from the parent cell including miRNAs and enzymes, making them prime targets in therapeutics and diagnostics. Breast milk, known for years to have beneficial health effects, contains a population of EVs which may mediate its therapeutic effects. This review offers an update on the therapeutic potential of exosomes/EVs in disease, with a focus on EVs present in human breast milk and their remedial effect in the gastrointestinal disease necrotizing enterocolitis. Additionally, the relationship between EV miRNAs, health, and disease will be examined, along with the potential for EVs and their miRNAs to be engineered for targeted treatments.","author":[{"dropping-particle":"","family":"Galley","given":"Jeffrey D.","non-dropping-particle":"","parse-names":false,"suffix":""},{"dropping-particle":"","family":"Besner","given":"Gail E.","non-dropping-particle":"","parse-names":false,"suffix":""}],"container-title":"Nutrients","id":"ITEM-1","issue":"3","issued":{"date-parts":[["2020"]]},"title":"The therapeutic potential of breast milk-derived extracellular vesicles","type":"article-journal","volume":"12"},"uris":["http://www.mendeley.com/documents/?uuid=03a684f0-0cff-4cf0-b9f2-eaa6865be593"]},{"id":"ITEM-2","itemData":{"DOI":"10.3945/jn.110.133652","ISSN":"00223166","PMID":"21508211","abstract":"Human breast milk is the ideal nutrition for the newborn, and in addition to its nutritional contribution, necessary for infant growth and development, it contains various immune bioactive factors that confer some of the numerous beneficial effects of breastfeeding. The current study analyzed the concentrations of IgA, growth factors such as epidermal growth factor (EGF), TGFβ1, and TGFβ2, cytokines IL-6, IL-8, IL-10, IL-13, and TNFα, and TNF-receptor I (TNF-RI) in colostrum and transitional and mature milk from mothers with mature, premature, and very premature infants. Human milk samples were collected from mothers delivering at term (T), preterm (PT), and very preterm (VPT). Milk from all the mothers was collected at 3 different time points after delivery corresponding to colostrum and transitional and mature milk. After obtaining milk whey, IgA, EGF, TGFβ1, and TGFβ2 were determined by ELISA and IL-6, IL-8, IL-10, IL-13, TNFα and TNF-RI by cytometric bead array immunoassay. The colostrum of the PT group was extremely rich in most of the factors studied, but higher concentrations than in the T group were only found for IL-6 (P = 0.051), TGFβ1, and TGFβ2 (P &lt; 0.05). Conversely, the colostrum of the VPT group had lower concentrations of IgA, IL-8, IL-10, and TNFα than those in the T group (P &lt; 0.05). Results suggest that maternal lactogenic compensatory mechanisms accelerating the development of immature breast-fed preterm infants may take effect only after wk 30 of gestation. © 2011 American Society for Nutrition.","author":[{"dropping-particle":"","family":"Castellote","given":"Cristina","non-dropping-particle":"","parse-names":false,"suffix":""},{"dropping-particle":"","family":"Casillas","given":"Rosario","non-dropping-particle":"","parse-names":false,"suffix":""},{"dropping-particle":"","family":"Ramírez-Santana","given":"Carolina","non-dropping-particle":"","parse-names":false,"suffix":""},{"dropping-particle":"","family":"Pérez-Cano","given":"Francisco J.","non-dropping-particle":"","parse-names":false,"suffix":""},{"dropping-particle":"","family":"Castell","given":"Margarida","non-dropping-particle":"","parse-names":false,"suffix":""},{"dropping-particle":"","family":"Moretones","given":"M. Glòria","non-dropping-particle":"","parse-names":false,"suffix":""},{"dropping-particle":"","family":"López-Sabater","given":"M. Carmen","non-dropping-particle":"","parse-names":false,"suffix":""},{"dropping-particle":"","family":"Franch","given":"Àngels","non-dropping-particle":"","parse-names":false,"suffix":""}],"container-title":"Journal of Nutrition","id":"ITEM-2","issue":"6","issued":{"date-parts":[["2011"]]},"page":"1181-1187","title":"Premature delivery influences the immunological composition of colostrum and transitional and mature human milk","type":"article-journal","volume":"141"},"uris":["http://www.mendeley.com/documents/?uuid=b57f3c85-1140-4b58-9b3e-7bbda9f56809"]}],"mendeley":{"formattedCitation":"[1], [2]","plainTextFormattedCitation":"[1], [2]","previouslyFormattedCitation":"[1], [2]"},"properties":{"noteIndex":0},"schema":"https://github.com/citation-style-language/schema/raw/master/csl-citation.json"}</w:instrText>
      </w:r>
      <w:r w:rsidR="0087601B" w:rsidRPr="00794EC7">
        <w:fldChar w:fldCharType="separate"/>
      </w:r>
      <w:r w:rsidR="00222DF3" w:rsidRPr="00794EC7">
        <w:rPr>
          <w:noProof/>
        </w:rPr>
        <w:t>[1], [2]</w:t>
      </w:r>
      <w:r w:rsidR="0087601B" w:rsidRPr="00794EC7">
        <w:fldChar w:fldCharType="end"/>
      </w:r>
      <w:r w:rsidR="00CC4C9E" w:rsidRPr="00794EC7">
        <w:t xml:space="preserve">. It </w:t>
      </w:r>
      <w:r w:rsidR="0087601B" w:rsidRPr="00794EC7">
        <w:t xml:space="preserve"> also regulat</w:t>
      </w:r>
      <w:r w:rsidR="0012451B" w:rsidRPr="00794EC7">
        <w:t>es</w:t>
      </w:r>
      <w:r w:rsidR="0087601B" w:rsidRPr="00794EC7">
        <w:t xml:space="preserve"> inflammatory responses</w:t>
      </w:r>
      <w:r w:rsidR="0012451B" w:rsidRPr="00794EC7">
        <w:t xml:space="preserve"> </w:t>
      </w:r>
      <w:r w:rsidR="0012451B" w:rsidRPr="00794EC7">
        <w:fldChar w:fldCharType="begin" w:fldLock="1"/>
      </w:r>
      <w:r w:rsidR="0012451B"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12451B" w:rsidRPr="00794EC7">
        <w:rPr>
          <w:rFonts w:ascii="Cambria Math" w:hAnsi="Cambria Math" w:cs="Cambria Math"/>
        </w:rPr>
        <w:instrText>‐</w:instrText>
      </w:r>
      <w:r w:rsidR="0012451B"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12451B" w:rsidRPr="00794EC7">
        <w:rPr>
          <w:rFonts w:ascii="Cambria Math" w:hAnsi="Cambria Math" w:cs="Cambria Math"/>
        </w:rPr>
        <w:instrText>‐</w:instrText>
      </w:r>
      <w:r w:rsidR="0012451B"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12451B" w:rsidRPr="00794EC7">
        <w:fldChar w:fldCharType="separate"/>
      </w:r>
      <w:r w:rsidR="0012451B" w:rsidRPr="00794EC7">
        <w:rPr>
          <w:noProof/>
        </w:rPr>
        <w:t>[3]</w:t>
      </w:r>
      <w:r w:rsidR="0012451B" w:rsidRPr="00794EC7">
        <w:fldChar w:fldCharType="end"/>
      </w:r>
      <w:r w:rsidR="0012451B" w:rsidRPr="00794EC7">
        <w:t xml:space="preserve"> with a lower incidence of infectious morbidity and mortality in infants </w:t>
      </w:r>
      <w:r w:rsidR="0012451B" w:rsidRPr="00794EC7">
        <w:fldChar w:fldCharType="begin" w:fldLock="1"/>
      </w:r>
      <w:r w:rsidR="0012451B" w:rsidRPr="00794EC7">
        <w:instrText>ADDIN CSL_CITATION {"citationItems":[{"id":"ITEM-1","itemData":{"DOI":"10.1016/S0140-6736(15)01024-7","ISSN":"1474547X","PMID":"26869575","abstract":"The importance of breastfeeding in low-income and middle-income countries is well recognised, but less consensus exists about its importance in high-income countries. In low-income and middle-income countries, only 37% of children younger than 6 months of age are exclusively breastfed. With few exceptions, breastfeeding duration is shorter in high-income countries than in those that are resource-poor. Our meta-analyses indicate protection against child infections and malocclusion, increases in intelligence, and probable reductions in overweight and diabetes. We did not find associations with allergic disorders such as asthma or with blood pressure or cholesterol, and we noted an increase in tooth decay with longer periods of breastfeeding. For nursing women, breastfeeding gave protection against breast cancer and it improved birth spacing, and it might also protect against ovarian cancer and type 2 diabetes. The scaling up of breastfeeding to a near universal level could prevent 823 000 annual deaths in children younger than 5 years and 20 000 annual deaths from breast cancer. Recent epidemiological and biological findings from during the past decade expand on the known benefits of breastfeeding for women and children, whether they are rich or poor.","author":[{"dropping-particle":"","family":"Victora","given":"Cesar G.","non-dropping-particle":"","parse-names":false,"suffix":""},{"dropping-particle":"","family":"Bahl","given":"Rajiv","non-dropping-particle":"","parse-names":false,"suffix":""},{"dropping-particle":"","family":"Barros","given":"Aluísio J.D.","non-dropping-particle":"","parse-names":false,"suffix":""},{"dropping-particle":"","family":"França","given":"Giovanny V.A.","non-dropping-particle":"","parse-names":false,"suffix":""},{"dropping-particle":"","family":"Horton","given":"Susan","non-dropping-particle":"","parse-names":false,"suffix":""},{"dropping-particle":"","family":"Krasevec","given":"Julia","non-dropping-particle":"","parse-names":false,"suffix":""},{"dropping-particle":"","family":"Murch","given":"Simon","non-dropping-particle":"","parse-names":false,"suffix":""},{"dropping-particle":"","family":"Sankar","given":"Mari Jeeva","non-dropping-particle":"","parse-names":false,"suffix":""},{"dropping-particle":"","family":"Walker","given":"Neff","non-dropping-particle":"","parse-names":false,"suffix":""},{"dropping-particle":"","family":"Rollins","given":"Nigel C.","non-dropping-particle":"","parse-names":false,"suffix":""},{"dropping-particle":"","family":"Allen","given":"K.","non-dropping-particle":"","parse-names":false,"suffix":""},{"dropping-particle":"","family":"Dharmage","given":"S.","non-dropping-particle":"","parse-names":false,"suffix":""},{"dropping-particle":"","family":"Lodge","given":"C.","non-dropping-particle":"","parse-names":false,"suffix":""},{"dropping-particle":"","family":"Peres","given":"K. G.","non-dropping-particle":"","parse-names":false,"suffix":""},{"dropping-particle":"","family":"Bhandari","given":"N.","non-dropping-particle":"","parse-names":false,"suffix":""},{"dropping-particle":"","family":"Chowdhury","given":"Ranadip","non-dropping-particle":"","parse-names":false,"suffix":""},{"dropping-particle":"","family":"Sinha","given":"B.","non-dropping-particle":"","parse-names":false,"suffix":""},{"dropping-particle":"","family":"Taneja","given":"S.","non-dropping-particle":"","parse-names":false,"suffix":""},{"dropping-particle":"","family":"Giugliani","given":"Elsa","non-dropping-particle":"","parse-names":false,"suffix":""},{"dropping-particle":"","family":"Horta","given":"B.","non-dropping-particle":"","parse-names":false,"suffix":""},{"dropping-particle":"","family":"Maia","given":"F.","non-dropping-particle":"","parse-names":false,"suffix":""},{"dropping-particle":"","family":"Mola","given":"C. L.","non-dropping-particle":"de","parse-names":false,"suffix":""},{"dropping-particle":"","family":"Hajeebhoy","given":"N.","non-dropping-particle":"","parse-names":false,"suffix":""},{"dropping-particle":"","family":"Lutter","given":"C.","non-dropping-particle":"","parse-names":false,"suffix":""},{"dropping-particle":"","family":"Piwoz","given":"E.","non-dropping-particle":"","parse-names":false,"suffix":""},{"dropping-particle":"","family":"Martines","given":"J. C.","non-dropping-particle":"","parse-names":false,"suffix":""},{"dropping-particle":"","family":"Richter","given":"L.","non-dropping-particle":"","parse-names":false,"suffix":""}],"container-title":"The Lancet","id":"ITEM-1","issue":"10017","issued":{"date-parts":[["2016"]]},"page":"475-490","title":"Breastfeeding in the 21st century: Epidemiology, mechanisms, and lifelong effect","type":"article","volume":"387"},"uris":["http://www.mendeley.com/documents/?uuid=ce9bc4c0-1c2c-468f-86d5-29b6657f568d"]}],"mendeley":{"formattedCitation":"[4]","plainTextFormattedCitation":"[4]","previouslyFormattedCitation":"[4]"},"properties":{"noteIndex":0},"schema":"https://github.com/citation-style-language/schema/raw/master/csl-citation.json"}</w:instrText>
      </w:r>
      <w:r w:rsidR="0012451B" w:rsidRPr="00794EC7">
        <w:fldChar w:fldCharType="separate"/>
      </w:r>
      <w:r w:rsidR="0012451B" w:rsidRPr="00794EC7">
        <w:rPr>
          <w:noProof/>
        </w:rPr>
        <w:t>[4]</w:t>
      </w:r>
      <w:r w:rsidR="0012451B" w:rsidRPr="00794EC7">
        <w:fldChar w:fldCharType="end"/>
      </w:r>
      <w:r w:rsidR="00CC4C9E" w:rsidRPr="00794EC7">
        <w:t xml:space="preserve">. </w:t>
      </w:r>
      <w:r w:rsidR="00EB75CC" w:rsidRPr="00794EC7">
        <w:t>B</w:t>
      </w:r>
      <w:r w:rsidR="001417A3" w:rsidRPr="00794EC7">
        <w:t>reast milk contain</w:t>
      </w:r>
      <w:r w:rsidR="00EB75CC" w:rsidRPr="00794EC7">
        <w:t>s</w:t>
      </w:r>
      <w:r w:rsidR="001417A3" w:rsidRPr="00794EC7">
        <w:t xml:space="preserve"> a multitude of components</w:t>
      </w:r>
      <w:r w:rsidR="00EB75CC" w:rsidRPr="00794EC7">
        <w:t>, like</w:t>
      </w:r>
      <w:r w:rsidR="00474BF9" w:rsidRPr="00794EC7">
        <w:t xml:space="preserve"> milk fat globules</w:t>
      </w:r>
      <w:r w:rsidR="00EB75CC" w:rsidRPr="00794EC7">
        <w:t>,</w:t>
      </w:r>
      <w:r w:rsidR="00474BF9" w:rsidRPr="00794EC7">
        <w:t xml:space="preserve"> casein </w:t>
      </w:r>
      <w:r w:rsidR="00FB0CA8" w:rsidRPr="00794EC7">
        <w:t>micelles</w:t>
      </w:r>
      <w:r w:rsidR="001417A3" w:rsidRPr="00794EC7">
        <w:t xml:space="preserve">, </w:t>
      </w:r>
      <w:r w:rsidR="00697D18" w:rsidRPr="00794EC7">
        <w:t>immune cells,</w:t>
      </w:r>
      <w:r w:rsidR="00EB75CC" w:rsidRPr="00794EC7">
        <w:t xml:space="preserve"> oligosaccharides</w:t>
      </w:r>
      <w:r w:rsidR="00697D18" w:rsidRPr="00794EC7">
        <w:t>, microbes</w:t>
      </w:r>
      <w:r w:rsidR="00555226" w:rsidRPr="00794EC7">
        <w:t xml:space="preserve"> and EVs</w:t>
      </w:r>
      <w:r w:rsidR="00CC4C9E" w:rsidRPr="00794EC7">
        <w:t>, each with their own function</w:t>
      </w:r>
      <w:r w:rsidR="001417A3" w:rsidRPr="00794EC7">
        <w:t xml:space="preserve"> </w:t>
      </w:r>
      <w:r w:rsidR="00697D18" w:rsidRPr="00794EC7">
        <w:fldChar w:fldCharType="begin" w:fldLock="1"/>
      </w:r>
      <w:r w:rsidR="0012451B" w:rsidRPr="00794EC7">
        <w:instrText>ADDIN CSL_CITATION {"citationItems":[{"id":"ITEM-1","itemData":{"DOI":"10.3945/jn.110.133652","ISSN":"00223166","PMID":"21508211","abstract":"Human breast milk is the ideal nutrition for the newborn, and in addition to its nutritional contribution, necessary for infant growth and development, it contains various immune bioactive factors that confer some of the numerous beneficial effects of breastfeeding. The current study analyzed the concentrations of IgA, growth factors such as epidermal growth factor (EGF), TGFβ1, and TGFβ2, cytokines IL-6, IL-8, IL-10, IL-13, and TNFα, and TNF-receptor I (TNF-RI) in colostrum and transitional and mature milk from mothers with mature, premature, and very premature infants. Human milk samples were collected from mothers delivering at term (T), preterm (PT), and very preterm (VPT). Milk from all the mothers was collected at 3 different time points after delivery corresponding to colostrum and transitional and mature milk. After obtaining milk whey, IgA, EGF, TGFβ1, and TGFβ2 were determined by ELISA and IL-6, IL-8, IL-10, IL-13, TNFα and TNF-RI by cytometric bead array immunoassay. The colostrum of the PT group was extremely rich in most of the factors studied, but higher concentrations than in the T group were only found for IL-6 (P = 0.051), TGFβ1, and TGFβ2 (P &lt; 0.05). Conversely, the colostrum of the VPT group had lower concentrations of IgA, IL-8, IL-10, and TNFα than those in the T group (P &lt; 0.05). Results suggest that maternal lactogenic compensatory mechanisms accelerating the development of immature breast-fed preterm infants may take effect only after wk 30 of gestation. © 2011 American Society for Nutrition.","author":[{"dropping-particle":"","family":"Castellote","given":"Cristina","non-dropping-particle":"","parse-names":false,"suffix":""},{"dropping-particle":"","family":"Casillas","given":"Rosario","non-dropping-particle":"","parse-names":false,"suffix":""},{"dropping-particle":"","family":"Ramírez-Santana","given":"Carolina","non-dropping-particle":"","parse-names":false,"suffix":""},{"dropping-particle":"","family":"Pérez-Cano","given":"Francisco J.","non-dropping-particle":"","parse-names":false,"suffix":""},{"dropping-particle":"","family":"Castell","given":"Margarida","non-dropping-particle":"","parse-names":false,"suffix":""},{"dropping-particle":"","family":"Moretones","given":"M. Glòria","non-dropping-particle":"","parse-names":false,"suffix":""},{"dropping-particle":"","family":"López-Sabater","given":"M. Carmen","non-dropping-particle":"","parse-names":false,"suffix":""},{"dropping-particle":"","family":"Franch","given":"Àngels","non-dropping-particle":"","parse-names":false,"suffix":""}],"container-title":"Journal of Nutrition","id":"ITEM-1","issue":"6","issued":{"date-parts":[["2011"]]},"page":"1181-1187","title":"Premature delivery influences the immunological composition of colostrum and transitional and mature human milk","type":"article-journal","volume":"141"},"uris":["http://www.mendeley.com/documents/?uuid=b57f3c85-1140-4b58-9b3e-7bbda9f56809"]},{"id":"ITEM-2","itemData":{"DOI":"10.1074/mcp.M116.060426","ISSN":"15359484","PMID":"27601599","abstract":"Breast milk contains several macromolecular components with distinctive functions, whereby milk fat globules and casein micelles mainly provide nutrition to the newborn, and whey contains molecules that can stimulate the newborn's developing immune system and gastrointestinal tract. Although extracellular vesicles (EV) have been identified in breast milk, their physiological function and composition has not been addressed in detail. EV are submicron sized vehicles released by cells for intercellular communication via selectively incorporated lipids, nucleic acids, and proteins. Because of the difficulty in separating EV from other milk components, an in-depth analysis of the proteome of human milk-derived EV is lacking. In this study, an extensive LC-MS/MS proteomic analysis was performed of EV that had been purified from breast milk of seven individual donors using a recently established, optimized density-gradient-based EV isolation protocol. A total of 1963 proteins were identified in milk-derived EV, including EV-associated proteins like CD9, Annexin A5, and Flotillin-1, with a remarkable overlap between the different donors. Interestingly, 198 of the identified proteins are not present in the human EV database Vesiclepedia, indicating that milk-derived EV harbor proteins not yet identified in EV of different origin. Similarly, the proteome of milk-derived EV was compared with that of other milk components. For this, data from 38 published milk proteomic studies were combined in order to construct the total milk proteome, which consists of 2698 unique proteins. Remarkably, 633 proteins identified in milk-derived EV have not yet been identified in human milk to date. Interestingly, these novel proteins include proteins involved in regulation of cell growth and controlling inflammatory signaling pathways, suggesting that milk-derived EVs could support the newborn's developing gastrointestinal tract and immune system. Overall, this study provides an expansion of the whole milk proteome and illustrates that milk-derived EV are macromolecular components with a unique functional proteome.","author":[{"dropping-particle":"","family":"Herwijnen","given":"Martijn J.C.","non-dropping-particle":"Van","parse-names":false,"suffix":""},{"dropping-particle":"","family":"Zonneveld","given":"Marijke I.","non-dropping-particle":"","parse-names":false,"suffix":""},{"dropping-particle":"","family":"Goerdayal","given":"Soenita","non-dropping-particle":"","parse-names":false,"suffix":""},{"dropping-particle":"","family":"Hoen","given":"Esther N.M.Noltet","non-dropping-particle":"","parse-names":false,"suffix":""},{"dropping-particle":"","family":"Garssen","given":"Johan","non-dropping-particle":"","parse-names":false,"suffix":""},{"dropping-particle":"","family":"Stahl","given":"Bernd","non-dropping-particle":"","parse-names":false,"suffix":""},{"dropping-particle":"","family":"Maarten Altelaar","given":"A. F.","non-dropping-particle":"","parse-names":false,"suffix":""},{"dropping-particle":"","family":"Redegeld","given":"Frank A.","non-dropping-particle":"","parse-names":false,"suffix":""},{"dropping-particle":"","family":"Wauben","given":"Marca H.M.","non-dropping-particle":"","parse-names":false,"suffix":""}],"container-title":"Molecular and Cellular Proteomics","id":"ITEM-2","issue":"11","issued":{"date-parts":[["2016"]]},"page":"3412-3423","title":"Comprehensive proteomic analysis of human milk-derived extracellular vesicles unveils a novel functional proteome distinct from other milk components","type":"article-journal","volume":"15"},"uris":["http://www.mendeley.com/documents/?uuid=ff20e92f-d998-4f81-b378-0e901b5283f1"]},{"id":"ITEM-3","itemData":{"DOI":"10.3402/jev.v3.24215","ISSN":"2001-3078","abstract":"Extracellular vesicles (EV) in breast milk carry immune relevant proteins and could play an important role in the instruction of the neonatal immune system.To further analyze theseEVand to elucidate their function it is important that native populations ofEVcan be recovered from(stored) breastmilk samples in a reproducible fashion.However, the impact of isolation and storage procedures on recovery of breast milk EV has remained underexposed.Here, we aimed to define parameters important for EV recovery from fresh and stored breast milk. To compare various protocols across different donors, breast milk was spikedwith awell-definedmurine EV population.We found that centrifugation of EV down into density gradients largely improved density-based separation and isolation of EV, compared to floatation up into gradients after high-force pelleting of EV. Using cryo-electron microscopy, we identified different subpopulations of human breast milk EV and a not previously described population of lipid tubules. Additionally, the impact of cold storage on breast milk EV was investigated. We determined that storing unprocessed breast milk at -807°C or 4°C caused death of cells present in breast milk, leading to contamination of thebreastmilkEVpopulationwith storage-inducedEV.Here, an alternativemethod is proposed to store breast milk samples for EVanalysis at later time points. The proposed adaptations to the breast milk storage and EV isolation procedures can be applied for EV-based biomarker profiling of breast milk and functional analysis of the role of breast milk EV in the development of the neonatal immune system.","author":[{"dropping-particle":"","family":"Zonneveld","given":"Marijke I.","non-dropping-particle":"","parse-names":false,"suffix":""},{"dropping-particle":"","family":"Brisson","given":"Alain R.","non-dropping-particle":"","parse-names":false,"suffix":""},{"dropping-particle":"","family":"Herwijnen","given":"Martijn J. C.","non-dropping-particle":"van","parse-names":false,"suffix":""},{"dropping-particle":"","family":"Tan","given":"Sisareuth","non-dropping-particle":"","parse-names":false,"suffix":""},{"dropping-particle":"","family":"Lest","given":"Chris H. A.","non-dropping-particle":"van de","parse-names":false,"suffix":""},{"dropping-particle":"","family":"Redegeld","given":"Frank A.","non-dropping-particle":"","parse-names":false,"suffix":""},{"dropping-particle":"","family":"Garssen","given":"Johan","non-dropping-particle":"","parse-names":false,"suffix":""},{"dropping-particle":"","family":"Wauben","given":"Marca H. M.","non-dropping-particle":"","parse-names":false,"suffix":""},{"dropping-particle":"","family":"Nolte-'t Hoen","given":"Esther N. M.","non-dropping-particle":"","parse-names":false,"suffix":""}],"container-title":"Journal of Extracellular Vesicles","id":"ITEM-3","issue":"1","issued":{"date-parts":[["2014","1","14"]]},"page":"24215","title":"Recovery of extracellular vesicles from human breast milk is influenced by sample collection and vesicle isolation procedures","type":"article-journal","volume":"3"},"uris":["http://www.mendeley.com/documents/?uuid=82c9b2d7-90a7-4145-a71b-1d54469afb5f"]}],"mendeley":{"formattedCitation":"[2], [5], [6]","plainTextFormattedCitation":"[2], [5], [6]","previouslyFormattedCitation":"[2], [5], [6]"},"properties":{"noteIndex":0},"schema":"https://github.com/citation-style-language/schema/raw/master/csl-citation.json"}</w:instrText>
      </w:r>
      <w:r w:rsidR="00697D18" w:rsidRPr="00794EC7">
        <w:fldChar w:fldCharType="separate"/>
      </w:r>
      <w:r w:rsidR="0012451B" w:rsidRPr="00794EC7">
        <w:rPr>
          <w:noProof/>
        </w:rPr>
        <w:t>[2], [5], [6]</w:t>
      </w:r>
      <w:r w:rsidR="00697D18" w:rsidRPr="00794EC7">
        <w:fldChar w:fldCharType="end"/>
      </w:r>
      <w:r w:rsidR="00555226" w:rsidRPr="00794EC7">
        <w:t xml:space="preserve">. </w:t>
      </w:r>
      <w:r w:rsidR="008E2942" w:rsidRPr="00794EC7">
        <w:t>Milk</w:t>
      </w:r>
      <w:r w:rsidR="00CC4C9E" w:rsidRPr="00794EC7">
        <w:t xml:space="preserve"> </w:t>
      </w:r>
      <w:r w:rsidR="001417A3" w:rsidRPr="00794EC7">
        <w:t>EVs are</w:t>
      </w:r>
      <w:r w:rsidR="007C3591" w:rsidRPr="00794EC7">
        <w:t xml:space="preserve"> </w:t>
      </w:r>
      <w:r w:rsidR="008E2942" w:rsidRPr="00794EC7">
        <w:t>nanosized</w:t>
      </w:r>
      <w:r w:rsidR="007C3591" w:rsidRPr="00794EC7">
        <w:t xml:space="preserve"> </w:t>
      </w:r>
      <w:r w:rsidR="008E2942" w:rsidRPr="00794EC7">
        <w:t xml:space="preserve">lipid </w:t>
      </w:r>
      <w:r w:rsidR="005C7610" w:rsidRPr="00794EC7">
        <w:t xml:space="preserve">bilayer </w:t>
      </w:r>
      <w:r w:rsidR="008E2942" w:rsidRPr="00794EC7">
        <w:t xml:space="preserve">enclosed </w:t>
      </w:r>
      <w:r w:rsidR="007C3591" w:rsidRPr="00794EC7">
        <w:t>particle</w:t>
      </w:r>
      <w:r w:rsidR="00C73641" w:rsidRPr="00794EC7">
        <w:t>s</w:t>
      </w:r>
      <w:r w:rsidR="007C3591" w:rsidRPr="00794EC7">
        <w:t xml:space="preserve"> released by </w:t>
      </w:r>
      <w:r w:rsidR="00A80EAB" w:rsidRPr="00794EC7">
        <w:t xml:space="preserve">a multitude of </w:t>
      </w:r>
      <w:r w:rsidR="007C3591" w:rsidRPr="00794EC7">
        <w:t>cells</w:t>
      </w:r>
      <w:r w:rsidR="008E2942" w:rsidRPr="00794EC7">
        <w:t xml:space="preserve">, </w:t>
      </w:r>
      <w:r w:rsidR="00DB3F16" w:rsidRPr="00794EC7">
        <w:t>such as</w:t>
      </w:r>
      <w:r w:rsidR="008E2942" w:rsidRPr="00794EC7">
        <w:t xml:space="preserve"> epithelial cells</w:t>
      </w:r>
      <w:r w:rsidR="00B63D17" w:rsidRPr="00794EC7">
        <w:t xml:space="preserve"> and immune cells </w:t>
      </w:r>
      <w:r w:rsidR="00B63D17" w:rsidRPr="00794EC7">
        <w:fldChar w:fldCharType="begin" w:fldLock="1"/>
      </w:r>
      <w:r w:rsidR="0012451B" w:rsidRPr="00794EC7">
        <w:instrText>ADDIN CSL_CITATION {"citationItems":[{"id":"ITEM-1","itemData":{"DOI":"10.1074/mcp.M116.060426","ISSN":"15359484","PMID":"27601599","abstract":"Breast milk contains several macromolecular components with distinctive functions, whereby milk fat globules and casein micelles mainly provide nutrition to the newborn, and whey contains molecules that can stimulate the newborn's developing immune system and gastrointestinal tract. Although extracellular vesicles (EV) have been identified in breast milk, their physiological function and composition has not been addressed in detail. EV are submicron sized vehicles released by cells for intercellular communication via selectively incorporated lipids, nucleic acids, and proteins. Because of the difficulty in separating EV from other milk components, an in-depth analysis of the proteome of human milk-derived EV is lacking. In this study, an extensive LC-MS/MS proteomic analysis was performed of EV that had been purified from breast milk of seven individual donors using a recently established, optimized density-gradient-based EV isolation protocol. A total of 1963 proteins were identified in milk-derived EV, including EV-associated proteins like CD9, Annexin A5, and Flotillin-1, with a remarkable overlap between the different donors. Interestingly, 198 of the identified proteins are not present in the human EV database Vesiclepedia, indicating that milk-derived EV harbor proteins not yet identified in EV of different origin. Similarly, the proteome of milk-derived EV was compared with that of other milk components. For this, data from 38 published milk proteomic studies were combined in order to construct the total milk proteome, which consists of 2698 unique proteins. Remarkably, 633 proteins identified in milk-derived EV have not yet been identified in human milk to date. Interestingly, these novel proteins include proteins involved in regulation of cell growth and controlling inflammatory signaling pathways, suggesting that milk-derived EVs could support the newborn's developing gastrointestinal tract and immune system. Overall, this study provides an expansion of the whole milk proteome and illustrates that milk-derived EV are macromolecular components with a unique functional proteome.","author":[{"dropping-particle":"","family":"Herwijnen","given":"Martijn J.C.","non-dropping-particle":"Van","parse-names":false,"suffix":""},{"dropping-particle":"","family":"Zonneveld","given":"Marijke I.","non-dropping-particle":"","parse-names":false,"suffix":""},{"dropping-particle":"","family":"Goerdayal","given":"Soenita","non-dropping-particle":"","parse-names":false,"suffix":""},{"dropping-particle":"","family":"Hoen","given":"Esther N.M.Noltet","non-dropping-particle":"","parse-names":false,"suffix":""},{"dropping-particle":"","family":"Garssen","given":"Johan","non-dropping-particle":"","parse-names":false,"suffix":""},{"dropping-particle":"","family":"Stahl","given":"Bernd","non-dropping-particle":"","parse-names":false,"suffix":""},{"dropping-particle":"","family":"Maarten Altelaar","given":"A. F.","non-dropping-particle":"","parse-names":false,"suffix":""},{"dropping-particle":"","family":"Redegeld","given":"Frank A.","non-dropping-particle":"","parse-names":false,"suffix":""},{"dropping-particle":"","family":"Wauben","given":"Marca H.M.","non-dropping-particle":"","parse-names":false,"suffix":""}],"container-title":"Molecular and Cellular Proteomics","id":"ITEM-1","issue":"11","issued":{"date-parts":[["2016"]]},"page":"3412-3423","title":"Comprehensive proteomic analysis of human milk-derived extracellular vesicles unveils a novel functional proteome distinct from other milk components","type":"article-journal","volume":"15"},"uris":["http://www.mendeley.com/documents/?uuid=ff20e92f-d998-4f81-b378-0e901b5283f1"]}],"mendeley":{"formattedCitation":"[5]","plainTextFormattedCitation":"[5]","previouslyFormattedCitation":"[5]"},"properties":{"noteIndex":0},"schema":"https://github.com/citation-style-language/schema/raw/master/csl-citation.json"}</w:instrText>
      </w:r>
      <w:r w:rsidR="00B63D17" w:rsidRPr="00794EC7">
        <w:fldChar w:fldCharType="separate"/>
      </w:r>
      <w:r w:rsidR="0012451B" w:rsidRPr="00794EC7">
        <w:rPr>
          <w:noProof/>
        </w:rPr>
        <w:t>[5]</w:t>
      </w:r>
      <w:r w:rsidR="00B63D17" w:rsidRPr="00794EC7">
        <w:fldChar w:fldCharType="end"/>
      </w:r>
      <w:r w:rsidR="00CC4C9E" w:rsidRPr="00794EC7">
        <w:t xml:space="preserve">. </w:t>
      </w:r>
      <w:r w:rsidR="008E2942" w:rsidRPr="00794EC7">
        <w:t xml:space="preserve">Milk EVs </w:t>
      </w:r>
      <w:r w:rsidR="00BB3AF2" w:rsidRPr="00794EC7">
        <w:t xml:space="preserve">can </w:t>
      </w:r>
      <w:r w:rsidR="00CC4C9E" w:rsidRPr="00794EC7">
        <w:t>provide</w:t>
      </w:r>
      <w:r w:rsidR="008E2942" w:rsidRPr="00794EC7">
        <w:t xml:space="preserve"> communication between mother and child</w:t>
      </w:r>
      <w:r w:rsidR="00CC4C9E" w:rsidRPr="00794EC7">
        <w:t xml:space="preserve">, </w:t>
      </w:r>
      <w:r w:rsidR="008E2942" w:rsidRPr="00794EC7">
        <w:t xml:space="preserve">delivered via their cargo that includes </w:t>
      </w:r>
      <w:r w:rsidR="007C3591" w:rsidRPr="00794EC7">
        <w:t xml:space="preserve">proteins, lipids, </w:t>
      </w:r>
      <w:r w:rsidR="008E2942" w:rsidRPr="00794EC7">
        <w:t>small</w:t>
      </w:r>
      <w:r w:rsidR="007C3591" w:rsidRPr="00794EC7">
        <w:t xml:space="preserve"> RNA</w:t>
      </w:r>
      <w:r w:rsidR="008E2942" w:rsidRPr="00794EC7">
        <w:t>s</w:t>
      </w:r>
      <w:r w:rsidR="00CC4C9E" w:rsidRPr="00794EC7">
        <w:t xml:space="preserve"> and</w:t>
      </w:r>
      <w:r w:rsidR="0087601B" w:rsidRPr="00794EC7">
        <w:t xml:space="preserve"> metabolites</w:t>
      </w:r>
      <w:r w:rsidR="007C3591" w:rsidRPr="00794EC7">
        <w:t xml:space="preserve"> </w:t>
      </w:r>
      <w:r w:rsidR="007C3591" w:rsidRPr="00794EC7">
        <w:fldChar w:fldCharType="begin" w:fldLock="1"/>
      </w:r>
      <w:r w:rsidR="00222DF3" w:rsidRPr="00794EC7">
        <w:instrText>ADDIN CSL_CITATION {"citationItems":[{"id":"ITEM-1","itemData":{"DOI":"10.3390/nu12030745","ISBN":"1614722390","ISSN":"20726643","PMID":"32168961","abstract":"In the past few decades, interest in the therapeutic benefits of exosomes and extracellular vesicles (EVs) has grown exponentially. Exosomes/EVs are small particles which are produced and exocytosed by cells throughout the body. They are loaded with active regulatory and stimulatory molecules from the parent cell including miRNAs and enzymes, making them prime targets in therapeutics and diagnostics. Breast milk, known for years to have beneficial health effects, contains a population of EVs which may mediate its therapeutic effects. This review offers an update on the therapeutic potential of exosomes/EVs in disease, with a focus on EVs present in human breast milk and their remedial effect in the gastrointestinal disease necrotizing enterocolitis. Additionally, the relationship between EV miRNAs, health, and disease will be examined, along with the potential for EVs and their miRNAs to be engineered for targeted treatments.","author":[{"dropping-particle":"","family":"Galley","given":"Jeffrey D.","non-dropping-particle":"","parse-names":false,"suffix":""},{"dropping-particle":"","family":"Besner","given":"Gail E.","non-dropping-particle":"","parse-names":false,"suffix":""}],"container-title":"Nutrients","id":"ITEM-1","issue":"3","issued":{"date-parts":[["2020"]]},"title":"The therapeutic potential of breast milk-derived extracellular vesicles","type":"article-journal","volume":"12"},"uris":["http://www.mendeley.com/documents/?uuid=03a684f0-0cff-4cf0-b9f2-eaa6865be593"]}],"mendeley":{"formattedCitation":"[1]","plainTextFormattedCitation":"[1]","previouslyFormattedCitation":"[1]"},"properties":{"noteIndex":0},"schema":"https://github.com/citation-style-language/schema/raw/master/csl-citation.json"}</w:instrText>
      </w:r>
      <w:r w:rsidR="007C3591" w:rsidRPr="00794EC7">
        <w:fldChar w:fldCharType="separate"/>
      </w:r>
      <w:r w:rsidR="00222DF3" w:rsidRPr="00794EC7">
        <w:rPr>
          <w:noProof/>
        </w:rPr>
        <w:t>[1]</w:t>
      </w:r>
      <w:r w:rsidR="007C3591" w:rsidRPr="00794EC7">
        <w:fldChar w:fldCharType="end"/>
      </w:r>
      <w:r w:rsidR="003C43A1" w:rsidRPr="00794EC7">
        <w:fldChar w:fldCharType="begin" w:fldLock="1"/>
      </w:r>
      <w:r w:rsidR="00044FAA"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044FAA" w:rsidRPr="00794EC7">
        <w:rPr>
          <w:rFonts w:ascii="Cambria Math" w:hAnsi="Cambria Math" w:cs="Cambria Math"/>
        </w:rPr>
        <w:instrText>‐</w:instrText>
      </w:r>
      <w:r w:rsidR="00044FAA"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044FAA" w:rsidRPr="00794EC7">
        <w:rPr>
          <w:rFonts w:ascii="Cambria Math" w:hAnsi="Cambria Math" w:cs="Cambria Math"/>
        </w:rPr>
        <w:instrText>‐</w:instrText>
      </w:r>
      <w:r w:rsidR="00044FAA"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3C43A1" w:rsidRPr="00794EC7">
        <w:fldChar w:fldCharType="separate"/>
      </w:r>
      <w:r w:rsidR="003C43A1" w:rsidRPr="00794EC7">
        <w:rPr>
          <w:noProof/>
        </w:rPr>
        <w:t>[3]</w:t>
      </w:r>
      <w:r w:rsidR="003C43A1" w:rsidRPr="00794EC7">
        <w:fldChar w:fldCharType="end"/>
      </w:r>
      <w:r w:rsidR="003C43A1" w:rsidRPr="00794EC7">
        <w:t xml:space="preserve">. </w:t>
      </w:r>
      <w:r w:rsidR="00C41DC1" w:rsidRPr="00794EC7">
        <w:t xml:space="preserve">Because of the oral route of breast milk, </w:t>
      </w:r>
      <w:r w:rsidR="00165C60" w:rsidRPr="00794EC7">
        <w:t>t</w:t>
      </w:r>
      <w:r w:rsidR="007B6913" w:rsidRPr="00794EC7">
        <w:t xml:space="preserve">here has been </w:t>
      </w:r>
      <w:r w:rsidR="00CC4C9E" w:rsidRPr="00794EC7">
        <w:t>a</w:t>
      </w:r>
      <w:r w:rsidR="007B6913" w:rsidRPr="00794EC7">
        <w:t xml:space="preserve"> focus o</w:t>
      </w:r>
      <w:r w:rsidR="00CC4C9E" w:rsidRPr="00794EC7">
        <w:t>n</w:t>
      </w:r>
      <w:r w:rsidR="007B6913" w:rsidRPr="00794EC7">
        <w:t xml:space="preserve"> milk EV function in the gastro-intestinal tract. </w:t>
      </w:r>
      <w:r w:rsidR="00C41DC1" w:rsidRPr="00794EC7">
        <w:t>M</w:t>
      </w:r>
      <w:r w:rsidR="009722DF" w:rsidRPr="00794EC7">
        <w:t xml:space="preserve">ilk EVs have been shown to dampen endosomal toll-like receptor-induced immune responses (TLR-3, TLR-9) and protect against oxidative stress injury in the gut </w:t>
      </w:r>
      <w:r w:rsidR="009722DF" w:rsidRPr="00794EC7">
        <w:fldChar w:fldCharType="begin" w:fldLock="1"/>
      </w:r>
      <w:r w:rsidR="009722DF"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9722DF" w:rsidRPr="00794EC7">
        <w:rPr>
          <w:rFonts w:ascii="Cambria Math" w:hAnsi="Cambria Math" w:cs="Cambria Math"/>
        </w:rPr>
        <w:instrText>‐</w:instrText>
      </w:r>
      <w:r w:rsidR="009722DF"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9722DF" w:rsidRPr="00794EC7">
        <w:rPr>
          <w:rFonts w:ascii="Cambria Math" w:hAnsi="Cambria Math" w:cs="Cambria Math"/>
        </w:rPr>
        <w:instrText>‐</w:instrText>
      </w:r>
      <w:r w:rsidR="009722DF"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responses","type":"article-journal","volume":"10"},"uris":["http://www.mendeley.com/documents/?uuid=63393057-d867-4895-a841-2a25c927482a"]},{"id":"ITEM-2","itemData":{"DOI":"10.1007/s00383-019-04562-6","ISBN":"0123456789","ISSN":"14379813","PMID":"31576466","abstract":"Aim of the study: Human breast milk reduces the risk and severity of necrotizing enterocolitis (NEC). Exosomes are extracellular vesicles (EVs) found in high concentrations in milk, and they mediate intercellular communication and immune responses. The aim of this study is to compare the protective effects of exosomes that are derived from different time periods of breast milk production against intestinal injury using an ex vivo intestinal organoid model. Methods: Colostrum, transitional and mature breast milk samples from healthy lactating mothers were collected. Exosomes were isolated using serial ultracentrifugation and filtration. Exosomes’ presence was confirmed using transmission electron microscopy (TEM) and western blot. To form the intestinal organoids, terminal ileum was harvested from neonatal mice pups at postnatal day 9, crypts were isolated and organoids were cultured in matrigel. Organoids were either cultured with exposure to lipopolysaccharide (LPS), or in treatment groups where both LPS and exosomes were added in the culturing medium. Inflammatory markers and organoids viability were evaluated. Main results: Human milk-derived exosomes were successfully isolated and characterized. LPS administration reduced the size of intestinal organoids, induced inflammation through increasing TNFα and TLR4 expression, and stimulated intestinal regeneration. Colostrum, transitional and mature human milk-derived exosome treatment all prevented inflammatory injury, while exosomes derived from colostrum were most effective at reducing inflammatory cytokine. Conclusions: Human breast milk-derived exosomes were able to protect intestine organoids against epithelial injury induced by LPS. Colostrum exosomes offer the best protective effect among the breast-milk derived exosomes. Human milk exosomes can be protective against the development of intestinal injury such as that seen in NEC.","author":[{"dropping-particle":"","family":"Gao","given":"Runnan","non-dropping-particle":"","parse-names":false,"suffix":""},{"dropping-particle":"","family":"Zhang","given":"Rong","non-dropping-particle":"","parse-names":false,"suffix":""},{"dropping-particle":"","family":"Qian","given":"Tian","non-dropping-particle":"","parse-names":false,"suffix":""},{"dropping-particle":"","family":"Peng","given":"Xueni","non-dropping-particle":"","parse-names":false,"suffix":""},{"dropping-particle":"","family":"He","given":"Weijing","non-dropping-particle":"","parse-names":false,"suffix":""},{"dropping-particle":"","family":"Zheng","given":"Shan","non-dropping-particle":"","parse-names":false,"suffix":""},{"dropping-particle":"","family":"Cao","given":"Yun","non-dropping-particle":"","parse-names":false,"suffix":""},{"dropping-particle":"","family":"Pierro","given":"Agostino","non-dropping-particle":"","parse-names":false,"suffix":""},{"dropping-particle":"","family":"Shen","given":"Chun","non-dropping-particle":"","parse-names":false,"suffix":""}],"container-title":"Pediatric Surgery International","id":"ITEM-2","issue":"12","issued":{"date-parts":[["2019"]]},"page":"1363-1368","publisher":"Springer Berlin Heidelberg","title":"A comparison of exosomes derived from different periods breast milk on protecting against intestinal organoid injury","type":"article-journal","volume":"35"},"uris":["http://www.mendeley.com/documents/?uuid=42ce37c7-ed43-436b-a831-44fc423e9810"]},{"id":"ITEM-3","itemData":{"DOI":"10.1007/s00383-019-04559-1","ISBN":"0123456789","ISSN":"14379813","PMID":"31555862","abstract":"Background: Necrotizing enterocolitis (NEC) is one of the most severe gastrointestinal diseases in infancy. Hypoxia is known as one of the major risk factors for the development of NEC. Endothelin, known to regulate vasoconstriction, has two receptors (A and B). However, the role of endothelin receptor B (EDNRB) in neonatal intestinal injury remains unclear. We aimed to investigate whether EDNRB is involved in NEC pathophysiology. Methods: Following ethical approval (#44032), EDNRB hetero knockout mice pups (EDNRB±) and their wild-type (WT) littermates were studied. NEC was induced from postnatal day 5–9 (P5–P9) by hypoxia, gavage feeding of formula and administration of lipopolysaccharide. On P9, the ileum was harvested. Results: NEC induction in WT mice was associated with mucosal injury. However, EDNRB± NEC mice had reduced mucosal injury. Similarly, EDNRB± mice had significantly lower expression of IL-6 mRNA compared to WT NEC mice. Pimonidazole immunostaining was also significantly lower in EDNRB± compared to WT NEC, suggesting reduced tissue hypoxia. Conclusions: Partial knockout of EDNRB results in reduced NEC severity and reduced tissue hypoxia. Intestinal perfusion and hypoxia are important elements of NEC pathogenesis. These findings are relevant to the understanding of NEC pathophysiology and to the development of novel preventive strategies for NEC.","author":[{"dropping-particle":"","family":"Miyake","given":"Hiromu","non-dropping-particle":"","parse-names":false,"suffix":""},{"dropping-particle":"","family":"Seo","given":"Shogo","non-dropping-particle":"","parse-names":false,"suffix":""},{"dropping-particle":"","family":"Fujiwara","given":"Naho","non-dropping-particle":"","parse-names":false,"suffix":""},{"dropping-particle":"","family":"Miyahara","given":"Katsumi","non-dropping-particle":"","parse-names":false,"suffix":""},{"dropping-particle":"","family":"Lee","given":"Carol","non-dropping-particle":"","parse-names":false,"suffix":""},{"dropping-particle":"","family":"Li","given":"Bo","non-dropping-particle":"","parse-names":false,"suffix":""},{"dropping-particle":"","family":"Chen","given":"Yong","non-dropping-particle":"","parse-names":false,"suffix":""},{"dropping-particle":"","family":"Yamataka","given":"Atsuyuki","non-dropping-particle":"","parse-names":false,"suffix":""},{"dropping-particle":"","family":"Pierro","given":"Agostino","non-dropping-particle":"","parse-names":false,"suffix":""}],"container-title":"Pediatric Surgery International","id":"ITEM-3","issue":"12","issued":{"date-parts":[["2019"]]},"page":"1339-1343","title":"Endothelin receptor B affects the perfusion of newborn intestine: possible mechanism of necrotizing enterocolitis development","type":"article-journal","volume":"35"},"uris":["http://www.mendeley.com/documents/?uuid=97fc07b8-7837-415c-811a-55faaa0b2539"]},{"id":"ITEM-4","itemData":{"DOI":"10.1177/0963689720912690","ISSN":"15553892","PMID":"32193954","abstract":"Breastfeeding has been shown to have a protective effect on the occurrence of necrotizing enterocolitis (NEC), but the mechanism remains unclear. In the context of NEC pathogenesis, many of the protective properties of exosomes on the intestinal epithelial compartment make it an ideal therapeutic target. In the present study, our hypothesis was that intestinal stem cells (ISCs) would be protected from injury by human milk-derived exosomes (HMDEs). Human breast milk was collected, and exosomes were isolated using ExoQuick reagent. Magnetic-activated cell sorting isolation of prominin-1+ ISCs was performed from small intestines of neonatal rat. ISCs were treated with or without H2O2, and HMDEs, an equal volume of HMDE-free milk, or a control solution [phosphate-buffered solution (PBS)] was added, respectively. In the absence of HMDEs, exposure of ISCs to H2O2 led to decreased cell viability. However, addition of HMDEs to ISCs exposed to H2O2 led to significantly increased ISC viability. There was a significant upregulation of mRNA expression of Axin2, c-Myc, and Cyclin D1 genes of the Wnt/β-catenin axis in ISCs treated with HMDEs (6.99 ± 2.34, 4.21 ± 1.68, 6.17 ± 2.22, respectively, P &lt; 0.05 for all), as compared to control. In the presence of carnosic acid (a specific Wnt/β-catenin signaling inhibitor), the cell viability was significantly decreased. Thus, HMDEs protect ISCs from oxidative stress injury in vitro, which were possibly mediated via the Wnt/β-catenin signaling pathway. Our findings indicate that oral administration of HMDEs might be a promising measure in treating NEC or in preventing the development of NEC in high-risk infants when breast milk is not available.","author":[{"dropping-particle":"","family":"Dong","given":"Ping","non-dropping-particle":"","parse-names":false,"suffix":""},{"dropping-particle":"","family":"Zhang","given":"Ying","non-dropping-particle":"","parse-names":false,"suffix":""},{"dropping-particle":"","family":"Yan","given":"Dong Yong","non-dropping-particle":"","parse-names":false,"suffix":""},{"dropping-particle":"","family":"Wang","given":"Yi","non-dropping-particle":"","parse-names":false,"suffix":""},{"dropping-particle":"","family":"Xu","given":"Xiu","non-dropping-particle":"","parse-names":false,"suffix":""},{"dropping-particle":"","family":"Zhao","given":"Ying Chun","non-dropping-particle":"","parse-names":false,"suffix":""},{"dropping-particle":"","family":"Xiao","given":"Tian Tian","non-dropping-particle":"","parse-names":false,"suffix":""}],"container-title":"Cell Transplantation","id":"ITEM-4","issued":{"date-parts":[["2020"]]},"page":"1-8","title":"Protective Effects of Human Milk-Derived Exosomes on Intestinal Stem Cells Damaged by Oxidative Stress","type":"article-journal","volume":"29"},"uris":["http://www.mendeley.com/documents/?uuid=2e4299e7-3f23-455b-9139-e7a0eeb467db"]}],"mendeley":{"formattedCitation":"[3], [7]–[9]","plainTextFormattedCitation":"[3], [7]–[9]","previouslyFormattedCitation":"[3], [7]–[9]"},"properties":{"noteIndex":0},"schema":"https://github.com/citation-style-language/schema/raw/master/csl-citation.json"}</w:instrText>
      </w:r>
      <w:r w:rsidR="009722DF" w:rsidRPr="00794EC7">
        <w:fldChar w:fldCharType="separate"/>
      </w:r>
      <w:r w:rsidR="009722DF" w:rsidRPr="00794EC7">
        <w:rPr>
          <w:noProof/>
        </w:rPr>
        <w:t>[3], [7]–[9]</w:t>
      </w:r>
      <w:r w:rsidR="009722DF" w:rsidRPr="00794EC7">
        <w:fldChar w:fldCharType="end"/>
      </w:r>
      <w:r w:rsidR="009722DF" w:rsidRPr="00794EC7">
        <w:t>. However, milk EVs may also play a role in reducing viral</w:t>
      </w:r>
      <w:r w:rsidR="00277B03" w:rsidRPr="00794EC7">
        <w:t>-</w:t>
      </w:r>
      <w:r w:rsidR="009722DF" w:rsidRPr="00794EC7">
        <w:t xml:space="preserve">induced inflammation in the airways </w:t>
      </w:r>
      <w:r w:rsidR="009722DF" w:rsidRPr="00794EC7">
        <w:fldChar w:fldCharType="begin" w:fldLock="1"/>
      </w:r>
      <w:r w:rsidR="009722DF" w:rsidRPr="00794EC7">
        <w:instrText>ADDIN CSL_CITATION {"citationItems":[{"id":"ITEM-1","itemData":{"DOI":"10.1074/mcp.M116.060426","ISSN":"15359484","PMID":"27601599","abstract":"Breast milk contains several macromolecular components with distinctive functions, whereby milk fat globules and casein micelles mainly provide nutrition to the newborn, and whey contains molecules that can stimulate the newborn's developing immune system and gastrointestinal tract. Although extracellular vesicles (EV) have been identified in breast milk, their physiological function and composition has not been addressed in detail. EV are submicron sized vehicles released by cells for intercellular communication via selectively incorporated lipids, nucleic acids, and proteins. Because of the difficulty in separating EV from other milk components, an in-depth analysis of the proteome of human milk-derived EV is lacking. In this study, an extensive LC-MS/MS proteomic analysis was performed of EV that had been purified from breast milk of seven individual donors using a recently established, optimized density-gradient-based EV isolation protocol. A total of 1963 proteins were identified in milk-derived EV, including EV-associated proteins like CD9, Annexin A5, and Flotillin-1, with a remarkable overlap between the different donors. Interestingly, 198 of the identified proteins are not present in the human EV database Vesiclepedia, indicating that milk-derived EV harbor proteins not yet identified in EV of different origin. Similarly, the proteome of milk-derived EV was compared with that of other milk components. For this, data from 38 published milk proteomic studies were combined in order to construct the total milk proteome, which consists of 2698 unique proteins. Remarkably, 633 proteins identified in milk-derived EV have not yet been identified in human milk to date. Interestingly, these novel proteins include proteins involved in regulation of cell growth and controlling inflammatory signaling pathways, suggesting that milk-derived EVs could support the newborn's developing gastrointestinal tract and immune system. Overall, this study provides an expansion of the whole milk proteome and illustrates that milk-derived EV are macromolecular components with a unique functional proteome.","author":[{"dropping-particle":"","family":"Herwijnen","given":"Martijn J.C.","non-dropping-particle":"Van","parse-names":false,"suffix":""},{"dropping-particle":"","family":"Zonneveld","given":"Marijke I.","non-dropping-particle":"","parse-names":false,"suffix":""},{"dropping-particle":"","family":"Goerdayal","given":"Soenita","non-dropping-particle":"","parse-names":false,"suffix":""},{"dropping-particle":"","family":"Hoen","given":"Esther N.M.Noltet","non-dropping-particle":"","parse-names":false,"suffix":""},{"dropping-particle":"","family":"Garssen","given":"Johan","non-dropping-particle":"","parse-names":false,"suffix":""},{"dropping-particle":"","family":"Stahl","given":"Bernd","non-dropping-particle":"","parse-names":false,"suffix":""},{"dropping-particle":"","family":"Maarten Altelaar","given":"A. F.","non-dropping-particle":"","parse-names":false,"suffix":""},{"dropping-particle":"","family":"Redegeld","given":"Frank A.","non-dropping-particle":"","parse-names":false,"suffix":""},{"dropping-particle":"","family":"Wauben","given":"Marca H.M.","non-dropping-particle":"","parse-names":false,"suffix":""}],"container-title":"Molecular and Cellular Proteomics","id":"ITEM-1","issue":"11","issued":{"date-parts":[["2016"]]},"page":"3412-3423","title":"Comprehensive proteomic analysis of human milk-derived extracellular vesicles unveils a novel functional proteome distinct from other milk components","type":"article-journal","volume":"15"},"uris":["http://www.mendeley.com/documents/?uuid=ff20e92f-d998-4f81-b378-0e901b5283f1"]}],"mendeley":{"formattedCitation":"[5]","plainTextFormattedCitation":"[5]","previouslyFormattedCitation":"[5]"},"properties":{"noteIndex":0},"schema":"https://github.com/citation-style-language/schema/raw/master/csl-citation.json"}</w:instrText>
      </w:r>
      <w:r w:rsidR="009722DF" w:rsidRPr="00794EC7">
        <w:fldChar w:fldCharType="separate"/>
      </w:r>
      <w:r w:rsidR="009722DF" w:rsidRPr="00794EC7">
        <w:rPr>
          <w:noProof/>
        </w:rPr>
        <w:t>[5]</w:t>
      </w:r>
      <w:r w:rsidR="009722DF" w:rsidRPr="00794EC7">
        <w:fldChar w:fldCharType="end"/>
      </w:r>
      <w:r w:rsidR="009722DF" w:rsidRPr="00794EC7">
        <w:t xml:space="preserve"> as </w:t>
      </w:r>
      <w:r w:rsidR="005D5C20" w:rsidRPr="00794EC7">
        <w:t xml:space="preserve">milk aerosols </w:t>
      </w:r>
      <w:r w:rsidR="00CC4C9E" w:rsidRPr="00794EC7">
        <w:t xml:space="preserve">are </w:t>
      </w:r>
      <w:r w:rsidR="009722DF" w:rsidRPr="00794EC7">
        <w:t>t</w:t>
      </w:r>
      <w:r w:rsidR="00ED03B9" w:rsidRPr="00794EC7">
        <w:t>hought to be</w:t>
      </w:r>
      <w:r w:rsidR="005D5C20" w:rsidRPr="00794EC7">
        <w:t xml:space="preserve"> inhaled during breastfeeding, as </w:t>
      </w:r>
      <w:r w:rsidR="005D5C20" w:rsidRPr="00794EC7">
        <w:rPr>
          <w:bCs/>
          <w:color w:val="000000" w:themeColor="text1"/>
        </w:rPr>
        <w:t xml:space="preserve">infants use cyclical sucking and breathing patterns with intermittent windows to swallow milk </w:t>
      </w:r>
      <w:r w:rsidR="005D5C20" w:rsidRPr="00794EC7">
        <w:rPr>
          <w:bCs/>
          <w:color w:val="000000" w:themeColor="text1"/>
        </w:rPr>
        <w:fldChar w:fldCharType="begin" w:fldLock="1"/>
      </w:r>
      <w:r w:rsidR="009722DF" w:rsidRPr="00794EC7">
        <w:rPr>
          <w:bCs/>
          <w:color w:val="000000" w:themeColor="text1"/>
        </w:rPr>
        <w:instrText>ADDIN CSL_CITATION {"citationItems":[{"id":"ITEM-1","itemData":{"DOI":"10.1203/01.pdr.0000238378.24238.9d","ISSN":"00313998","PMID":"16940236","abstract":"This prospective study compared the coordination of sucking, swallowing, and breathing and its relationship to oxygen saturation in infants during breast-feeding and bottle-feeding. After 4 to 6 wk of exclusive breast-feeding, infants began bottle-feedings of expressed human milk using one of two systems: a soft-walled bottle and nipple (system 1, Playtex) or a hard-walled bottle and nipple (system 2, Avent). Infants' sucking, swallowing, breathing, and oxygenation were measured during breast-feeding and bottle-feeding, and coordination of these activities during breast-feeding and bottle-feeding were compared. During breast-feeding, swallowing occurred nonrandomly between breaths and did not interfere with breathing. The same distribution of swallowing occurred in infants fed with system 1, while swallowing occurred randomly in infants fed with system 2. Swallowing significantly increased during bottle-feeding among infants using system 2, but decreased among infants using system 1. Infants using system 2 also had a greater instability in the coordination of sucking, swallowing, and breathing and more perturbation of breathing. Oxygen saturation was significantly higher in infants fed with system 1 compared with system 2. These results suggest that the overall feeding pattern and oxygenation of system 1 are closer to the physiologic norm than system 2. Copyright © 2006 International Pediatric Research Foundation, Inc.","author":[{"dropping-particle":"","family":"Goldfield","given":"Eugene C.","non-dropping-particle":"","parse-names":false,"suffix":""},{"dropping-particle":"","family":"Richardson","given":"Michael J.","non-dropping-particle":"","parse-names":false,"suffix":""},{"dropping-particle":"","family":"Lee","given":"Kimberly G.","non-dropping-particle":"","parse-names":false,"suffix":""},{"dropping-particle":"","family":"Margetts","given":"Stacey","non-dropping-particle":"","parse-names":false,"suffix":""}],"container-title":"Pediatric Research","id":"ITEM-1","issue":"4","issued":{"date-parts":[["2006"]]},"page":"450-455","title":"Coordination of sucking, swallowing, and breathing and oxygen saturation during early infant breast-feeding and bottle-feeding","type":"article-journal","volume":"60"},"uris":["http://www.mendeley.com/documents/?uuid=a3fc861a-73a1-4e84-8297-6919cb3ba450"]}],"mendeley":{"formattedCitation":"[10]","plainTextFormattedCitation":"[10]","previouslyFormattedCitation":"[10]"},"properties":{"noteIndex":0},"schema":"https://github.com/citation-style-language/schema/raw/master/csl-citation.json"}</w:instrText>
      </w:r>
      <w:r w:rsidR="005D5C20" w:rsidRPr="00794EC7">
        <w:rPr>
          <w:bCs/>
          <w:color w:val="000000" w:themeColor="text1"/>
        </w:rPr>
        <w:fldChar w:fldCharType="separate"/>
      </w:r>
      <w:r w:rsidR="005D5C20" w:rsidRPr="00794EC7">
        <w:rPr>
          <w:bCs/>
          <w:noProof/>
          <w:color w:val="000000" w:themeColor="text1"/>
        </w:rPr>
        <w:t>[10]</w:t>
      </w:r>
      <w:r w:rsidR="005D5C20" w:rsidRPr="00794EC7">
        <w:rPr>
          <w:bCs/>
          <w:color w:val="000000" w:themeColor="text1"/>
        </w:rPr>
        <w:fldChar w:fldCharType="end"/>
      </w:r>
      <w:r w:rsidR="00D95EFB" w:rsidRPr="00794EC7">
        <w:t xml:space="preserve">. </w:t>
      </w:r>
      <w:r w:rsidR="009722DF" w:rsidRPr="00794EC7">
        <w:t xml:space="preserve"> </w:t>
      </w:r>
      <w:r w:rsidR="00067CCF" w:rsidRPr="00794EC7">
        <w:t xml:space="preserve">The existence of </w:t>
      </w:r>
      <w:r w:rsidR="009722DF" w:rsidRPr="00794EC7">
        <w:t xml:space="preserve">milk aerosols </w:t>
      </w:r>
      <w:r w:rsidR="00067CCF" w:rsidRPr="00794EC7">
        <w:t xml:space="preserve">and their inhalation has been further demonstrated </w:t>
      </w:r>
      <w:r w:rsidR="009722DF" w:rsidRPr="00794EC7">
        <w:t xml:space="preserve">during occupational tasks e.g., milking cows and walking through milk storage rooms </w:t>
      </w:r>
      <w:r w:rsidR="009722DF" w:rsidRPr="00794EC7">
        <w:fldChar w:fldCharType="begin" w:fldLock="1"/>
      </w:r>
      <w:r w:rsidR="005B2CC2" w:rsidRPr="00794EC7">
        <w:instrText>ADDIN CSL_CITATION {"citationItems":[{"id":"ITEM-1","itemData":{"DOI":"10.1186/1476-7961-7-4","ISSN":"14767961","abstract":"Though not widely recognized, food hypersensitivity by inhalation can cause major morbidity in affected individuals. The exposure is usually more obvious and often substantial in occupational environments but frequently occurs in non-occupational settings, such as homes, schools, restaurants, grocery stores, and commercial flights. The exposure can be trivial, as in mere smelling or being in the vicinity of the food. The clinical manifestations can vary from a benign respiratory or cutaneous reaction to a systemic one that can be life-threatening. In addition to strict avoidance, such highly-sensitive subjects should carry self-injectable epinephrine and wear MedicAlert® identification. Asthma is a strong predisposing factor and should be well-controlled. It is of great significance that food inhalation can cause de novo sensitization. © 2009 Ramirez and Bahna; licensee BioMed Central Ltd.","author":[{"dropping-particle":"","family":"Ramirez","given":"Daniel A.","non-dropping-particle":"","parse-names":false,"suffix":""},{"dropping-particle":"","family":"Bahna","given":"Sami L.","non-dropping-particle":"","parse-names":false,"suffix":""}],"container-title":"Clinical and Molecular Allergy","id":"ITEM-1","issued":{"date-parts":[["2009"]]},"page":"1-6","title":"Food hypersensitivity by inhalation","type":"article-journal","volume":"7"},"uris":["http://www.mendeley.com/documents/?uuid=96c0a8b1-ddf1-433a-968f-6862e296565c"]}],"mendeley":{"formattedCitation":"[11]","plainTextFormattedCitation":"[11]","previouslyFormattedCitation":"[11]"},"properties":{"noteIndex":0},"schema":"https://github.com/citation-style-language/schema/raw/master/csl-citation.json"}</w:instrText>
      </w:r>
      <w:r w:rsidR="009722DF" w:rsidRPr="00794EC7">
        <w:fldChar w:fldCharType="separate"/>
      </w:r>
      <w:r w:rsidR="009722DF" w:rsidRPr="00794EC7">
        <w:rPr>
          <w:noProof/>
        </w:rPr>
        <w:t>[11]</w:t>
      </w:r>
      <w:r w:rsidR="009722DF" w:rsidRPr="00794EC7">
        <w:fldChar w:fldCharType="end"/>
      </w:r>
      <w:r w:rsidR="009722DF" w:rsidRPr="00794EC7">
        <w:t>.</w:t>
      </w:r>
      <w:r w:rsidR="007A7167" w:rsidRPr="00794EC7">
        <w:t xml:space="preserve"> </w:t>
      </w:r>
      <w:r w:rsidR="00B95851" w:rsidRPr="00794EC7">
        <w:t>Since t</w:t>
      </w:r>
      <w:r w:rsidR="00E869BC" w:rsidRPr="00794EC7">
        <w:t xml:space="preserve">he airways </w:t>
      </w:r>
      <w:r w:rsidR="00FD6E36" w:rsidRPr="00794EC7">
        <w:t>have</w:t>
      </w:r>
      <w:r w:rsidR="00E869BC" w:rsidRPr="00794EC7">
        <w:t xml:space="preserve"> a large surface area </w:t>
      </w:r>
      <w:r w:rsidR="00FD6E36" w:rsidRPr="00794EC7">
        <w:t>that</w:t>
      </w:r>
      <w:r w:rsidR="00E869BC" w:rsidRPr="00794EC7">
        <w:t xml:space="preserve"> interacts with the external environment</w:t>
      </w:r>
      <w:r w:rsidR="003527BF" w:rsidRPr="00794EC7">
        <w:t>,</w:t>
      </w:r>
      <w:r w:rsidR="00E869BC" w:rsidRPr="00794EC7">
        <w:t xml:space="preserve"> </w:t>
      </w:r>
      <w:r w:rsidR="00B95851" w:rsidRPr="00794EC7">
        <w:t>colloidal material present in aerosols can be taken up</w:t>
      </w:r>
      <w:r w:rsidR="008D7BAE" w:rsidRPr="00794EC7">
        <w:t>,</w:t>
      </w:r>
      <w:r w:rsidR="00B95851" w:rsidRPr="00794EC7">
        <w:t xml:space="preserve"> making the airways</w:t>
      </w:r>
      <w:r w:rsidR="00067CCF" w:rsidRPr="00794EC7">
        <w:t xml:space="preserve"> </w:t>
      </w:r>
      <w:r w:rsidR="00E869BC" w:rsidRPr="00794EC7">
        <w:t xml:space="preserve">highly susceptible to damage </w:t>
      </w:r>
      <w:r w:rsidR="00B95851" w:rsidRPr="00794EC7">
        <w:t>or inflammation induced by these</w:t>
      </w:r>
      <w:r w:rsidR="00E869BC" w:rsidRPr="00794EC7">
        <w:t xml:space="preserve"> particulates, toxins, microorganisms </w:t>
      </w:r>
      <w:r w:rsidR="00B95851" w:rsidRPr="00794EC7">
        <w:t>or</w:t>
      </w:r>
      <w:r w:rsidR="00E869BC" w:rsidRPr="00794EC7">
        <w:t xml:space="preserve"> allergens</w:t>
      </w:r>
      <w:r w:rsidR="00FB0CA8" w:rsidRPr="00794EC7">
        <w:t xml:space="preserve"> </w:t>
      </w:r>
      <w:r w:rsidR="00FB0CA8" w:rsidRPr="00794EC7">
        <w:fldChar w:fldCharType="begin" w:fldLock="1"/>
      </w:r>
      <w:r w:rsidR="005B2CC2" w:rsidRPr="00794EC7">
        <w:instrText>ADDIN CSL_CITATION {"citationItems":[{"id":"ITEM-1","itemData":{"DOI":"10.1016/j.ooc.2020.100002","ISSN":"26661020","abstract":"Respiratory diseases such as asthma and COPD have no cures and few new treatments. These 13 diseases have an immutable mortality rate and impact millions of individuals worldwide. Respiratory 14 drug development is time-consuming and costly, owing to the inability of existing models to replicate 15 the complexity of human disease (static cell cultures and animal models). The problem is intensified 16 through the way in which drugs are delivered to these models, which is not always representative of 17 the human microenvironment, where different drug delivery methods (impaction, sedimentation and 18 diffusion) target different regions of the lungs. This review describes current models of the human 19 airways together with the range of different aerosol drug delivery methods (commercially available 20 and in development) alongside emerging Organ on Chip technologies","author":[{"dropping-particle":"","family":"Karra","given":"N.","non-dropping-particle":"","parse-names":false,"suffix":""},{"dropping-particle":"","family":"Swindle","given":"E.J.","non-dropping-particle":"","parse-names":false,"suffix":""},{"dropping-particle":"","family":"Morgan","given":"H.","non-dropping-particle":"","parse-names":false,"suffix":""}],"container-title":"Organs-on-a-Chip","id":"ITEM-1","issue":"December 2019","issued":{"date-parts":[["2020"]]},"page":"100002","publisher":"Elsevier Ltd","title":"Drug delivery for traditional and emerging airway models","type":"article-journal","volume":"1"},"uris":["http://www.mendeley.com/documents/?uuid=668c374c-6dc7-45db-b1a3-521237c4f0c1"]}],"mendeley":{"formattedCitation":"[12]","plainTextFormattedCitation":"[12]","previouslyFormattedCitation":"[12]"},"properties":{"noteIndex":0},"schema":"https://github.com/citation-style-language/schema/raw/master/csl-citation.json"}</w:instrText>
      </w:r>
      <w:r w:rsidR="00FB0CA8" w:rsidRPr="00794EC7">
        <w:fldChar w:fldCharType="separate"/>
      </w:r>
      <w:r w:rsidR="009722DF" w:rsidRPr="00794EC7">
        <w:rPr>
          <w:noProof/>
        </w:rPr>
        <w:t>[12]</w:t>
      </w:r>
      <w:r w:rsidR="00FB0CA8" w:rsidRPr="00794EC7">
        <w:fldChar w:fldCharType="end"/>
      </w:r>
      <w:r w:rsidR="00FD6E36" w:rsidRPr="00794EC7">
        <w:t xml:space="preserve">. </w:t>
      </w:r>
      <w:r w:rsidR="00ED03B9" w:rsidRPr="00794EC7">
        <w:t>Such that i</w:t>
      </w:r>
      <w:r w:rsidR="00E869BC" w:rsidRPr="00794EC7">
        <w:t xml:space="preserve">mpairment of </w:t>
      </w:r>
      <w:r w:rsidR="00CC4C9E" w:rsidRPr="00794EC7">
        <w:t xml:space="preserve">epithelial </w:t>
      </w:r>
      <w:r w:rsidR="00E869BC" w:rsidRPr="00794EC7">
        <w:t xml:space="preserve">barrier function </w:t>
      </w:r>
      <w:r w:rsidR="00FB0CA8" w:rsidRPr="00794EC7">
        <w:t xml:space="preserve">and repeated infections in the first 3 years of life </w:t>
      </w:r>
      <w:r w:rsidR="00E869BC" w:rsidRPr="00794EC7">
        <w:t>can</w:t>
      </w:r>
      <w:r w:rsidR="00CC4C9E" w:rsidRPr="00794EC7">
        <w:t xml:space="preserve"> significantly</w:t>
      </w:r>
      <w:r w:rsidR="00E869BC" w:rsidRPr="00794EC7">
        <w:t xml:space="preserve"> </w:t>
      </w:r>
      <w:r w:rsidR="00FB0CA8" w:rsidRPr="00794EC7">
        <w:t xml:space="preserve">increase the risk of developing asthma </w:t>
      </w:r>
      <w:r w:rsidR="00FB0CA8" w:rsidRPr="00794EC7">
        <w:fldChar w:fldCharType="begin" w:fldLock="1"/>
      </w:r>
      <w:r w:rsidR="005B2CC2" w:rsidRPr="00794EC7">
        <w:instrText>ADDIN CSL_CITATION {"citationItems":[{"id":"ITEM-1","itemData":{"DOI":"10.1513/pats.200907-072DP","ISSN":"15463222","PMID":"20008870","abstract":"Asthma is an inflammatory disorder of the airways dominated by a Th2-type pattern. Because of this, most research has focused on investigating the role of allergic pathways with the hope of discovering novel therapeutic targets. Unfortunately, this strategy (which has been extended to animal models) has failed to identify any therapeutic modalities other than anti-IgE and leukotriene modifiers directed to targets known about for many years. It seems that the problem lies in placing allergy at the center of disease pathogenesis, when in practice other environmental factors may be equally if not more important in the induction and then progression of asthma.An alternative view is that asthma is primarily a defect of epithelial barrier function that, as in atopic dermatitis, allows greater access of environmental allergens, microorganisms, and toxicants to the airway tissue. Evidence is provided to show that both the physical and functional barrier of the airway epithelium is defective in asthma with disrupted tight junctions, reduced antioxidant activity, and impaired innate immunity. This explains the remarkable susceptibility of asthmatic airways to respiratory viruses and the impact of air pollutants on asthma exacerbations. It also provides a mechanism for programming of dendritic cells to drive a Th2 response in the origins of asthma. Viewing asthma primarily as an epithelial disease with adoption of a chronic wound scenario also provides a route to airway wall remodeling and the varying asthma phenotypes over the life course.","author":[{"dropping-particle":"","family":"Holgate","given":"Stephen T.","non-dropping-particle":"","parse-names":false,"suffix":""},{"dropping-particle":"","family":"Roberts","given":"Graham","non-dropping-particle":"","parse-names":false,"suffix":""},{"dropping-particle":"","family":"Arshad","given":"Hasan S.","non-dropping-particle":"","parse-names":false,"suffix":""},{"dropping-particle":"","family":"Howarth","given":"Peter H.","non-dropping-particle":"","parse-names":false,"suffix":""},{"dropping-particle":"","family":"Davies","given":"Donna E.","non-dropping-particle":"","parse-names":false,"suffix":""}],"container-title":"Proceedings of the American Thoracic Society","id":"ITEM-1","issue":"8","issued":{"date-parts":[["2009"]]},"page":"655-659","title":"The role of the airway epithelium and its interaction with environmental factors in asthma pathogenesis","type":"article-journal","volume":"6"},"uris":["http://www.mendeley.com/documents/?uuid=6f84a73f-4c8a-4a39-9a92-2c2d9c8ce14b"]}],"mendeley":{"formattedCitation":"[13]","plainTextFormattedCitation":"[13]","previouslyFormattedCitation":"[13]"},"properties":{"noteIndex":0},"schema":"https://github.com/citation-style-language/schema/raw/master/csl-citation.json"}</w:instrText>
      </w:r>
      <w:r w:rsidR="00FB0CA8" w:rsidRPr="00794EC7">
        <w:fldChar w:fldCharType="separate"/>
      </w:r>
      <w:r w:rsidR="009722DF" w:rsidRPr="00794EC7">
        <w:rPr>
          <w:noProof/>
        </w:rPr>
        <w:t>[13]</w:t>
      </w:r>
      <w:r w:rsidR="00FB0CA8" w:rsidRPr="00794EC7">
        <w:fldChar w:fldCharType="end"/>
      </w:r>
      <w:r w:rsidR="00FB0CA8" w:rsidRPr="00794EC7">
        <w:t xml:space="preserve">. </w:t>
      </w:r>
      <w:r w:rsidR="001D2F48" w:rsidRPr="00794EC7">
        <w:t xml:space="preserve">Although </w:t>
      </w:r>
      <w:r w:rsidR="00A47858" w:rsidRPr="00794EC7">
        <w:t xml:space="preserve">there is a comprehensive insight into the anti-inflammatory capabilities of </w:t>
      </w:r>
      <w:r w:rsidR="00DB3F16" w:rsidRPr="00794EC7">
        <w:t>EVs</w:t>
      </w:r>
      <w:r w:rsidR="001D2F48" w:rsidRPr="00794EC7">
        <w:t xml:space="preserve">, </w:t>
      </w:r>
      <w:r w:rsidR="00CD643A" w:rsidRPr="00794EC7">
        <w:t xml:space="preserve">a </w:t>
      </w:r>
      <w:r w:rsidR="0056245A" w:rsidRPr="00794EC7">
        <w:t>possible</w:t>
      </w:r>
      <w:r w:rsidR="00D20F8F" w:rsidRPr="00794EC7">
        <w:t xml:space="preserve"> physiological role of milk</w:t>
      </w:r>
      <w:r w:rsidR="00FB0CA8" w:rsidRPr="00794EC7">
        <w:t xml:space="preserve"> EV</w:t>
      </w:r>
      <w:r w:rsidR="00D20F8F" w:rsidRPr="00794EC7">
        <w:t>s</w:t>
      </w:r>
      <w:r w:rsidR="00FD6E36" w:rsidRPr="00794EC7">
        <w:t xml:space="preserve"> </w:t>
      </w:r>
      <w:r w:rsidR="008D7BAE" w:rsidRPr="00794EC7">
        <w:t>in controlling</w:t>
      </w:r>
      <w:r w:rsidR="00D20F8F" w:rsidRPr="00794EC7">
        <w:t xml:space="preserve"> </w:t>
      </w:r>
      <w:r w:rsidR="009719B7" w:rsidRPr="00794EC7">
        <w:t xml:space="preserve">bronchial </w:t>
      </w:r>
      <w:r w:rsidR="00A2792D" w:rsidRPr="00794EC7">
        <w:t>inflammation has not</w:t>
      </w:r>
      <w:r w:rsidR="00A47858" w:rsidRPr="00794EC7">
        <w:t xml:space="preserve"> yet</w:t>
      </w:r>
      <w:r w:rsidR="00A2792D" w:rsidRPr="00794EC7">
        <w:t xml:space="preserve"> been </w:t>
      </w:r>
      <w:r w:rsidR="008D7BAE" w:rsidRPr="00794EC7">
        <w:t>investigated</w:t>
      </w:r>
      <w:r w:rsidR="00CC4C9E" w:rsidRPr="00794EC7">
        <w:t xml:space="preserve">. </w:t>
      </w:r>
      <w:r w:rsidR="005D5C20" w:rsidRPr="00794EC7">
        <w:t xml:space="preserve"> </w:t>
      </w:r>
    </w:p>
    <w:p w14:paraId="289CE3DE" w14:textId="77777777" w:rsidR="009722DF" w:rsidRPr="00794EC7" w:rsidRDefault="009722DF" w:rsidP="00902F19"/>
    <w:p w14:paraId="194D68F7" w14:textId="7F31C7D2" w:rsidR="00881E2C" w:rsidRPr="00794EC7" w:rsidRDefault="00334CE6" w:rsidP="00902F19">
      <w:pPr>
        <w:rPr>
          <w:rFonts w:cs="Arial"/>
        </w:rPr>
      </w:pPr>
      <w:r w:rsidRPr="00794EC7">
        <w:lastRenderedPageBreak/>
        <w:t>T</w:t>
      </w:r>
      <w:r w:rsidR="00CF6A6A" w:rsidRPr="00794EC7">
        <w:t xml:space="preserve">his study </w:t>
      </w:r>
      <w:r w:rsidR="00CF6A6A" w:rsidRPr="00794EC7">
        <w:rPr>
          <w:rFonts w:cs="Arial"/>
        </w:rPr>
        <w:t xml:space="preserve">investigated the impact of </w:t>
      </w:r>
      <w:r w:rsidR="00A600D8" w:rsidRPr="00794EC7">
        <w:rPr>
          <w:rFonts w:cs="Arial"/>
        </w:rPr>
        <w:t>milk EVs</w:t>
      </w:r>
      <w:r w:rsidR="00513353" w:rsidRPr="00794EC7">
        <w:rPr>
          <w:rFonts w:cs="Arial"/>
        </w:rPr>
        <w:t xml:space="preserve"> </w:t>
      </w:r>
      <w:r w:rsidR="00D95EFB" w:rsidRPr="00794EC7">
        <w:rPr>
          <w:rFonts w:cs="Arial"/>
        </w:rPr>
        <w:t>on a</w:t>
      </w:r>
      <w:r w:rsidR="00930B5A" w:rsidRPr="00794EC7">
        <w:rPr>
          <w:rFonts w:cs="Arial"/>
        </w:rPr>
        <w:t xml:space="preserve"> </w:t>
      </w:r>
      <w:r w:rsidR="00CF6A6A" w:rsidRPr="00794EC7">
        <w:rPr>
          <w:rFonts w:cs="Arial"/>
        </w:rPr>
        <w:t xml:space="preserve">bronchial epithelial cell line when challenged </w:t>
      </w:r>
      <w:r w:rsidR="00277B03" w:rsidRPr="00794EC7">
        <w:rPr>
          <w:rFonts w:cs="Arial"/>
        </w:rPr>
        <w:t>in the presence or absence of</w:t>
      </w:r>
      <w:r w:rsidR="00513353" w:rsidRPr="00794EC7">
        <w:rPr>
          <w:rFonts w:cs="Arial"/>
        </w:rPr>
        <w:t xml:space="preserve"> </w:t>
      </w:r>
      <w:r w:rsidR="00213667" w:rsidRPr="00794EC7">
        <w:rPr>
          <w:rFonts w:cs="Arial"/>
        </w:rPr>
        <w:t xml:space="preserve">a </w:t>
      </w:r>
      <w:r w:rsidR="00CF6A6A" w:rsidRPr="00794EC7">
        <w:rPr>
          <w:rFonts w:cs="Arial"/>
        </w:rPr>
        <w:t>viral dsRNA analogue</w:t>
      </w:r>
      <w:r w:rsidR="004965E3" w:rsidRPr="00794EC7">
        <w:rPr>
          <w:rFonts w:cs="Arial"/>
        </w:rPr>
        <w:t xml:space="preserve"> </w:t>
      </w:r>
      <w:r w:rsidR="00277B03" w:rsidRPr="00794EC7">
        <w:rPr>
          <w:rFonts w:cs="Arial"/>
        </w:rPr>
        <w:t>(</w:t>
      </w:r>
      <w:r w:rsidR="002679E3" w:rsidRPr="00794EC7">
        <w:rPr>
          <w:rFonts w:cs="Arial"/>
        </w:rPr>
        <w:t>Poly</w:t>
      </w:r>
      <w:r w:rsidR="004965E3" w:rsidRPr="00794EC7">
        <w:rPr>
          <w:rFonts w:cs="Arial"/>
        </w:rPr>
        <w:t xml:space="preserve"> I:C</w:t>
      </w:r>
      <w:r w:rsidR="00277B03" w:rsidRPr="00794EC7">
        <w:rPr>
          <w:rFonts w:cs="Arial"/>
        </w:rPr>
        <w:t>)</w:t>
      </w:r>
      <w:r w:rsidR="00213667" w:rsidRPr="00794EC7">
        <w:rPr>
          <w:rFonts w:cs="Arial"/>
        </w:rPr>
        <w:t xml:space="preserve">, </w:t>
      </w:r>
      <w:r w:rsidR="00462A4B" w:rsidRPr="00794EC7">
        <w:rPr>
          <w:rFonts w:cs="Arial"/>
        </w:rPr>
        <w:t>focusing on</w:t>
      </w:r>
      <w:r w:rsidR="00213667" w:rsidRPr="00794EC7">
        <w:rPr>
          <w:rFonts w:cs="Arial"/>
        </w:rPr>
        <w:t xml:space="preserve"> barrier integrity</w:t>
      </w:r>
      <w:r w:rsidR="00462A4B" w:rsidRPr="00794EC7">
        <w:rPr>
          <w:rFonts w:cs="Arial"/>
        </w:rPr>
        <w:t xml:space="preserve"> (determined from ionic permeability and </w:t>
      </w:r>
      <w:r w:rsidR="00213667" w:rsidRPr="00794EC7">
        <w:rPr>
          <w:rFonts w:cs="Arial"/>
        </w:rPr>
        <w:t>immunofluorescent staining analysis</w:t>
      </w:r>
      <w:r w:rsidR="00462A4B" w:rsidRPr="00794EC7">
        <w:rPr>
          <w:rFonts w:cs="Arial"/>
        </w:rPr>
        <w:t>) and cytokine release.</w:t>
      </w:r>
      <w:r w:rsidR="004965E3" w:rsidRPr="00794EC7">
        <w:rPr>
          <w:rFonts w:cs="Arial"/>
        </w:rPr>
        <w:t xml:space="preserve"> </w:t>
      </w:r>
    </w:p>
    <w:p w14:paraId="3D05B939" w14:textId="77777777" w:rsidR="00DB3F16" w:rsidRPr="00794EC7" w:rsidRDefault="00DB3F16" w:rsidP="00902F19">
      <w:pPr>
        <w:rPr>
          <w:rFonts w:cs="Arial"/>
        </w:rPr>
      </w:pPr>
    </w:p>
    <w:p w14:paraId="7F148B4D" w14:textId="695A5620" w:rsidR="0014295B" w:rsidRPr="00794EC7" w:rsidRDefault="0014295B" w:rsidP="00902F19">
      <w:pPr>
        <w:pStyle w:val="Title"/>
      </w:pPr>
      <w:r w:rsidRPr="00794EC7">
        <w:t>Methods and Materials</w:t>
      </w:r>
    </w:p>
    <w:p w14:paraId="49A70A34" w14:textId="77777777" w:rsidR="00E054C8" w:rsidRPr="00794EC7" w:rsidRDefault="00E054C8" w:rsidP="00902F19"/>
    <w:p w14:paraId="1223719A" w14:textId="466ED5C1" w:rsidR="00D20BA4" w:rsidRPr="00794EC7" w:rsidRDefault="00D20BA4" w:rsidP="00902F19">
      <w:pPr>
        <w:pStyle w:val="Heading1"/>
        <w:spacing w:before="0"/>
      </w:pPr>
      <w:r w:rsidRPr="00794EC7">
        <w:t>EV</w:t>
      </w:r>
      <w:r w:rsidR="00BC4E5D" w:rsidRPr="00794EC7">
        <w:t xml:space="preserve"> </w:t>
      </w:r>
      <w:r w:rsidR="00B82E79" w:rsidRPr="00794EC7">
        <w:t>Isolation</w:t>
      </w:r>
    </w:p>
    <w:p w14:paraId="7A8FFD0B" w14:textId="151AC309" w:rsidR="00BE748F" w:rsidRPr="00794EC7" w:rsidRDefault="00810039" w:rsidP="00902F19">
      <w:r w:rsidRPr="00794EC7">
        <w:rPr>
          <w:rFonts w:cs="Arial"/>
        </w:rPr>
        <w:t xml:space="preserve">Fresh and mature </w:t>
      </w:r>
      <w:r w:rsidRPr="00794EC7">
        <w:t>h</w:t>
      </w:r>
      <w:r w:rsidR="00553A43" w:rsidRPr="00794EC7">
        <w:t>uman m</w:t>
      </w:r>
      <w:r w:rsidR="00BC4E5D" w:rsidRPr="00794EC7">
        <w:t>ilk</w:t>
      </w:r>
      <w:r w:rsidR="00433732" w:rsidRPr="00794EC7">
        <w:t xml:space="preserve"> was</w:t>
      </w:r>
      <w:r w:rsidR="00BC4E5D" w:rsidRPr="00794EC7">
        <w:t xml:space="preserve"> collect</w:t>
      </w:r>
      <w:r w:rsidR="00433732" w:rsidRPr="00794EC7">
        <w:t>ed</w:t>
      </w:r>
      <w:r w:rsidR="00BC4E5D" w:rsidRPr="00794EC7">
        <w:t xml:space="preserve"> </w:t>
      </w:r>
      <w:r w:rsidR="00F93D87" w:rsidRPr="00794EC7">
        <w:rPr>
          <w:rFonts w:cs="Arial"/>
        </w:rPr>
        <w:t>by 3 healthy mothers</w:t>
      </w:r>
      <w:r w:rsidR="00F93D87" w:rsidRPr="00794EC7">
        <w:t xml:space="preserve"> </w:t>
      </w:r>
      <w:r w:rsidR="00BC4E5D" w:rsidRPr="00794EC7">
        <w:t>as previously described</w:t>
      </w:r>
      <w:r w:rsidR="00241692" w:rsidRPr="00794EC7">
        <w:t xml:space="preserve"> </w:t>
      </w:r>
      <w:r w:rsidR="00241692" w:rsidRPr="00794EC7">
        <w:fldChar w:fldCharType="begin" w:fldLock="1"/>
      </w:r>
      <w:r w:rsidR="0012451B" w:rsidRPr="00794EC7">
        <w:instrText>ADDIN CSL_CITATION {"citationItems":[{"id":"ITEM-1","itemData":{"DOI":"10.3402/jev.v3.24215","ISSN":"2001-3078","abstract":"Extracellular vesicles (EV) in breast milk carry immune relevant proteins and could play an important role in the instruction of the neonatal immune system.To further analyze theseEVand to elucidate their function it is important that native populations ofEVcan be recovered from(stored) breastmilk samples in a reproducible fashion.However, the impact of isolation and storage procedures on recovery of breast milk EV has remained underexposed.Here, we aimed to define parameters important for EV recovery from fresh and stored breast milk. To compare various protocols across different donors, breast milk was spikedwith awell-definedmurine EV population.We found that centrifugation of EV down into density gradients largely improved density-based separation and isolation of EV, compared to floatation up into gradients after high-force pelleting of EV. Using cryo-electron microscopy, we identified different subpopulations of human breast milk EV and a not previously described population of lipid tubules. Additionally, the impact of cold storage on breast milk EV was investigated. We determined that storing unprocessed breast milk at -807°C or 4°C caused death of cells present in breast milk, leading to contamination of thebreastmilkEVpopulationwith storage-inducedEV.Here, an alternativemethod is proposed to store breast milk samples for EVanalysis at later time points. The proposed adaptations to the breast milk storage and EV isolation procedures can be applied for EV-based biomarker profiling of breast milk and functional analysis of the role of breast milk EV in the development of the neonatal immune system.","author":[{"dropping-particle":"","family":"Zonneveld","given":"Marijke I.","non-dropping-particle":"","parse-names":false,"suffix":""},{"dropping-particle":"","family":"Brisson","given":"Alain R.","non-dropping-particle":"","parse-names":false,"suffix":""},{"dropping-particle":"","family":"Herwijnen","given":"Martijn J. C.","non-dropping-particle":"van","parse-names":false,"suffix":""},{"dropping-particle":"","family":"Tan","given":"Sisareuth","non-dropping-particle":"","parse-names":false,"suffix":""},{"dropping-particle":"","family":"Lest","given":"Chris H. A.","non-dropping-particle":"van de","parse-names":false,"suffix":""},{"dropping-particle":"","family":"Redegeld","given":"Frank A.","non-dropping-particle":"","parse-names":false,"suffix":""},{"dropping-particle":"","family":"Garssen","given":"Johan","non-dropping-particle":"","parse-names":false,"suffix":""},{"dropping-particle":"","family":"Wauben","given":"Marca H. M.","non-dropping-particle":"","parse-names":false,"suffix":""},{"dropping-particle":"","family":"Nolte-'t Hoen","given":"Esther N. M.","non-dropping-particle":"","parse-names":false,"suffix":""}],"container-title":"Journal of Extracellular Vesicles","id":"ITEM-1","issue":"1","issued":{"date-parts":[["2014","1","14"]]},"page":"24215","title":"Recovery of extracellular vesicles from human breast milk is influenced by sample collection and vesicle isolation procedures","type":"article-journal","volume":"3"},"uris":["http://www.mendeley.com/documents/?uuid=82c9b2d7-90a7-4145-a71b-1d54469afb5f"]}],"mendeley":{"formattedCitation":"[6]","plainTextFormattedCitation":"[6]","previouslyFormattedCitation":"[6]"},"properties":{"noteIndex":0},"schema":"https://github.com/citation-style-language/schema/raw/master/csl-citation.json"}</w:instrText>
      </w:r>
      <w:r w:rsidR="00241692" w:rsidRPr="00794EC7">
        <w:fldChar w:fldCharType="separate"/>
      </w:r>
      <w:r w:rsidR="0012451B" w:rsidRPr="00794EC7">
        <w:rPr>
          <w:noProof/>
        </w:rPr>
        <w:t>[6]</w:t>
      </w:r>
      <w:r w:rsidR="00241692" w:rsidRPr="00794EC7">
        <w:fldChar w:fldCharType="end"/>
      </w:r>
      <w:r w:rsidR="00553A43" w:rsidRPr="00794EC7">
        <w:t xml:space="preserve"> </w:t>
      </w:r>
      <w:r w:rsidR="001A0C47" w:rsidRPr="00794EC7">
        <w:rPr>
          <w:rFonts w:cs="Arial"/>
        </w:rPr>
        <w:t xml:space="preserve">using </w:t>
      </w:r>
      <w:r w:rsidRPr="00794EC7">
        <w:rPr>
          <w:rFonts w:cs="Arial"/>
        </w:rPr>
        <w:t>an electric breast pump</w:t>
      </w:r>
      <w:r w:rsidR="00F93D87" w:rsidRPr="00794EC7">
        <w:rPr>
          <w:rFonts w:cs="Arial"/>
        </w:rPr>
        <w:t>. Donors had</w:t>
      </w:r>
      <w:r w:rsidRPr="00794EC7">
        <w:rPr>
          <w:rFonts w:cs="Arial"/>
        </w:rPr>
        <w:t xml:space="preserve"> a mean age of 33 ± 1 years,</w:t>
      </w:r>
      <w:r w:rsidR="00F93D87" w:rsidRPr="00794EC7">
        <w:rPr>
          <w:rFonts w:cs="Arial"/>
        </w:rPr>
        <w:t xml:space="preserve"> were at a</w:t>
      </w:r>
      <w:r w:rsidRPr="00794EC7">
        <w:rPr>
          <w:rFonts w:cs="Arial"/>
        </w:rPr>
        <w:t xml:space="preserve"> mean lactational stage of 5.3 ± 1.5 months and</w:t>
      </w:r>
      <w:r w:rsidR="00F93D87" w:rsidRPr="00794EC7">
        <w:rPr>
          <w:rFonts w:cs="Arial"/>
        </w:rPr>
        <w:t xml:space="preserve"> had</w:t>
      </w:r>
      <w:r w:rsidRPr="00794EC7">
        <w:rPr>
          <w:rFonts w:cs="Arial"/>
        </w:rPr>
        <w:t xml:space="preserve"> a mean parity of 1.7 ± 0.6. Informed consent was given by the donors and this study was approved by the local ethics committee.</w:t>
      </w:r>
      <w:r w:rsidR="00BC4E5D" w:rsidRPr="00794EC7">
        <w:t xml:space="preserve"> EVs </w:t>
      </w:r>
      <w:r w:rsidRPr="00794EC7">
        <w:t xml:space="preserve">and EV-depleted (EV-dpl) procedural controls </w:t>
      </w:r>
      <w:r w:rsidR="00BC4E5D" w:rsidRPr="00794EC7">
        <w:t xml:space="preserve">were isolated as previously described </w:t>
      </w:r>
      <w:r w:rsidR="00241692" w:rsidRPr="00794EC7">
        <w:fldChar w:fldCharType="begin" w:fldLock="1"/>
      </w:r>
      <w:r w:rsidR="0012451B"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12451B" w:rsidRPr="00794EC7">
        <w:rPr>
          <w:rFonts w:ascii="Cambria Math" w:hAnsi="Cambria Math" w:cs="Cambria Math"/>
        </w:rPr>
        <w:instrText>‐</w:instrText>
      </w:r>
      <w:r w:rsidR="0012451B"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12451B" w:rsidRPr="00794EC7">
        <w:rPr>
          <w:rFonts w:ascii="Cambria Math" w:hAnsi="Cambria Math" w:cs="Cambria Math"/>
        </w:rPr>
        <w:instrText>‐</w:instrText>
      </w:r>
      <w:r w:rsidR="0012451B"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241692" w:rsidRPr="00794EC7">
        <w:fldChar w:fldCharType="separate"/>
      </w:r>
      <w:r w:rsidR="0012451B" w:rsidRPr="00794EC7">
        <w:rPr>
          <w:noProof/>
        </w:rPr>
        <w:t>[3]</w:t>
      </w:r>
      <w:r w:rsidR="00241692" w:rsidRPr="00794EC7">
        <w:fldChar w:fldCharType="end"/>
      </w:r>
      <w:r w:rsidRPr="00794EC7">
        <w:t xml:space="preserve"> </w:t>
      </w:r>
      <w:r w:rsidR="001F1EA5" w:rsidRPr="00794EC7">
        <w:t xml:space="preserve">using </w:t>
      </w:r>
      <w:r w:rsidR="00BC4E5D" w:rsidRPr="00794EC7">
        <w:t>differential</w:t>
      </w:r>
      <w:r w:rsidR="00BE748F" w:rsidRPr="00794EC7">
        <w:t xml:space="preserve"> centrifugation</w:t>
      </w:r>
      <w:r w:rsidRPr="00794EC7">
        <w:t xml:space="preserve">, density gradient separation and </w:t>
      </w:r>
      <w:r w:rsidR="00DB3F16" w:rsidRPr="00794EC7">
        <w:t>s</w:t>
      </w:r>
      <w:r w:rsidRPr="00794EC7">
        <w:t xml:space="preserve">ize </w:t>
      </w:r>
      <w:r w:rsidR="007A3272" w:rsidRPr="00794EC7">
        <w:t>exclusion</w:t>
      </w:r>
      <w:r w:rsidRPr="00794EC7">
        <w:t xml:space="preserve"> </w:t>
      </w:r>
      <w:r w:rsidR="00DB3F16" w:rsidRPr="00794EC7">
        <w:t>c</w:t>
      </w:r>
      <w:r w:rsidRPr="00794EC7">
        <w:t xml:space="preserve">hromatography. </w:t>
      </w:r>
      <w:r w:rsidR="00BE748F" w:rsidRPr="00794EC7">
        <w:rPr>
          <w:rFonts w:cs="Arial"/>
        </w:rPr>
        <w:t>Isolated EV and EV-</w:t>
      </w:r>
      <w:r w:rsidRPr="00794EC7">
        <w:rPr>
          <w:rFonts w:cs="Arial"/>
        </w:rPr>
        <w:t xml:space="preserve">dpl </w:t>
      </w:r>
      <w:r w:rsidR="00BE748F" w:rsidRPr="00794EC7">
        <w:rPr>
          <w:rFonts w:cs="Arial"/>
        </w:rPr>
        <w:t xml:space="preserve">samples were </w:t>
      </w:r>
      <w:r w:rsidRPr="00794EC7">
        <w:rPr>
          <w:rFonts w:cs="Arial"/>
        </w:rPr>
        <w:t>eluted</w:t>
      </w:r>
      <w:r w:rsidR="00BE748F" w:rsidRPr="00794EC7">
        <w:rPr>
          <w:rFonts w:cs="Arial"/>
        </w:rPr>
        <w:t xml:space="preserve"> in </w:t>
      </w:r>
      <w:r w:rsidR="005941E3" w:rsidRPr="00794EC7">
        <w:t>minimal essential medium</w:t>
      </w:r>
      <w:r w:rsidR="005941E3" w:rsidRPr="00794EC7">
        <w:rPr>
          <w:rFonts w:cs="Arial"/>
        </w:rPr>
        <w:t xml:space="preserve"> </w:t>
      </w:r>
      <w:r w:rsidR="00BE748F" w:rsidRPr="00794EC7">
        <w:rPr>
          <w:rFonts w:cs="Arial"/>
        </w:rPr>
        <w:t xml:space="preserve">MEM and Glutamax (Gibco) </w:t>
      </w:r>
      <w:r w:rsidR="00EE10BF" w:rsidRPr="00794EC7">
        <w:rPr>
          <w:rFonts w:cs="Arial"/>
        </w:rPr>
        <w:t xml:space="preserve">and stored </w:t>
      </w:r>
      <w:r w:rsidRPr="00794EC7">
        <w:rPr>
          <w:rFonts w:cs="Arial"/>
        </w:rPr>
        <w:t>(at -80</w:t>
      </w:r>
      <w:r w:rsidR="00F93D87" w:rsidRPr="00794EC7">
        <w:rPr>
          <w:rFonts w:cs="Arial"/>
        </w:rPr>
        <w:t xml:space="preserve"> º</w:t>
      </w:r>
      <w:r w:rsidR="00F93D87" w:rsidRPr="00794EC7">
        <w:t>C</w:t>
      </w:r>
      <w:r w:rsidRPr="00794EC7">
        <w:rPr>
          <w:rFonts w:cs="Arial"/>
        </w:rPr>
        <w:t xml:space="preserve">) </w:t>
      </w:r>
      <w:r w:rsidR="00EE10BF" w:rsidRPr="00794EC7">
        <w:rPr>
          <w:rFonts w:cs="Arial"/>
        </w:rPr>
        <w:t>and shipped</w:t>
      </w:r>
      <w:r w:rsidRPr="00794EC7">
        <w:rPr>
          <w:rFonts w:cs="Arial"/>
        </w:rPr>
        <w:t xml:space="preserve"> on dry ice</w:t>
      </w:r>
      <w:r w:rsidR="00EE10BF" w:rsidRPr="00794EC7">
        <w:rPr>
          <w:rFonts w:cs="Arial"/>
        </w:rPr>
        <w:t xml:space="preserve"> until use. </w:t>
      </w:r>
      <w:r w:rsidR="00F82083" w:rsidRPr="00794EC7">
        <w:rPr>
          <w:rFonts w:cs="Arial"/>
        </w:rPr>
        <w:t xml:space="preserve">We </w:t>
      </w:r>
      <w:r w:rsidR="00E054C8" w:rsidRPr="00794EC7">
        <w:rPr>
          <w:rFonts w:cs="Arial"/>
        </w:rPr>
        <w:t xml:space="preserve">previously </w:t>
      </w:r>
      <w:r w:rsidR="003134FD" w:rsidRPr="00794EC7">
        <w:rPr>
          <w:rFonts w:cs="Arial"/>
        </w:rPr>
        <w:t>validated this EV isolation protocol and</w:t>
      </w:r>
      <w:r w:rsidR="003C43A1" w:rsidRPr="00794EC7">
        <w:rPr>
          <w:rFonts w:cs="Arial"/>
        </w:rPr>
        <w:t xml:space="preserve"> </w:t>
      </w:r>
      <w:r w:rsidR="00E054C8" w:rsidRPr="00794EC7">
        <w:rPr>
          <w:rFonts w:cs="Arial"/>
        </w:rPr>
        <w:t xml:space="preserve">characterized </w:t>
      </w:r>
      <w:r w:rsidR="00A47858" w:rsidRPr="00794EC7">
        <w:rPr>
          <w:rFonts w:cs="Arial"/>
        </w:rPr>
        <w:t>2 out of 3 donor samples (</w:t>
      </w:r>
      <w:r w:rsidR="003134FD" w:rsidRPr="00794EC7">
        <w:rPr>
          <w:rFonts w:cs="Arial"/>
        </w:rPr>
        <w:t xml:space="preserve">milk </w:t>
      </w:r>
      <w:r w:rsidR="00F82083" w:rsidRPr="00794EC7">
        <w:rPr>
          <w:rFonts w:cs="Arial"/>
        </w:rPr>
        <w:t>EV</w:t>
      </w:r>
      <w:r w:rsidR="003134FD" w:rsidRPr="00794EC7">
        <w:rPr>
          <w:rFonts w:cs="Arial"/>
        </w:rPr>
        <w:t>s</w:t>
      </w:r>
      <w:r w:rsidR="00F82083" w:rsidRPr="00794EC7">
        <w:rPr>
          <w:rFonts w:cs="Arial"/>
        </w:rPr>
        <w:t xml:space="preserve"> and EV-dpl</w:t>
      </w:r>
      <w:r w:rsidR="00A47858" w:rsidRPr="00794EC7">
        <w:rPr>
          <w:rFonts w:cs="Arial"/>
        </w:rPr>
        <w:t xml:space="preserve">) used in this study </w:t>
      </w:r>
      <w:r w:rsidR="003134FD" w:rsidRPr="00794EC7">
        <w:rPr>
          <w:rFonts w:cs="Arial"/>
        </w:rPr>
        <w:t>by</w:t>
      </w:r>
      <w:r w:rsidR="00CD59D5" w:rsidRPr="00794EC7">
        <w:rPr>
          <w:rFonts w:cs="Arial"/>
        </w:rPr>
        <w:t xml:space="preserve"> </w:t>
      </w:r>
      <w:r w:rsidR="00DB3F16" w:rsidRPr="00794EC7">
        <w:rPr>
          <w:rFonts w:cs="Arial"/>
        </w:rPr>
        <w:t>n</w:t>
      </w:r>
      <w:r w:rsidR="00CD59D5" w:rsidRPr="00794EC7">
        <w:rPr>
          <w:rFonts w:cs="Arial"/>
        </w:rPr>
        <w:t xml:space="preserve">anoparticle </w:t>
      </w:r>
      <w:r w:rsidR="00DB3F16" w:rsidRPr="00794EC7">
        <w:rPr>
          <w:rFonts w:cs="Arial"/>
        </w:rPr>
        <w:t>t</w:t>
      </w:r>
      <w:r w:rsidR="00CD59D5" w:rsidRPr="00794EC7">
        <w:rPr>
          <w:rFonts w:cs="Arial"/>
        </w:rPr>
        <w:t xml:space="preserve">racking </w:t>
      </w:r>
      <w:r w:rsidR="00DB3F16" w:rsidRPr="00794EC7">
        <w:rPr>
          <w:rFonts w:cs="Arial"/>
        </w:rPr>
        <w:t>a</w:t>
      </w:r>
      <w:r w:rsidR="00CD59D5" w:rsidRPr="00794EC7">
        <w:rPr>
          <w:rFonts w:cs="Arial"/>
        </w:rPr>
        <w:t xml:space="preserve">nalysis (NTA) and Western blot analysis </w:t>
      </w:r>
      <w:r w:rsidR="002A6D53" w:rsidRPr="00794EC7">
        <w:fldChar w:fldCharType="begin" w:fldLock="1"/>
      </w:r>
      <w:r w:rsidR="002A6D53"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2A6D53" w:rsidRPr="00794EC7">
        <w:rPr>
          <w:rFonts w:ascii="Cambria Math" w:hAnsi="Cambria Math" w:cs="Cambria Math"/>
        </w:rPr>
        <w:instrText>‐</w:instrText>
      </w:r>
      <w:r w:rsidR="002A6D53"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2A6D53" w:rsidRPr="00794EC7">
        <w:rPr>
          <w:rFonts w:ascii="Cambria Math" w:hAnsi="Cambria Math" w:cs="Cambria Math"/>
        </w:rPr>
        <w:instrText>‐</w:instrText>
      </w:r>
      <w:r w:rsidR="002A6D53"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2A6D53" w:rsidRPr="00794EC7">
        <w:fldChar w:fldCharType="separate"/>
      </w:r>
      <w:r w:rsidR="002A6D53" w:rsidRPr="00794EC7">
        <w:rPr>
          <w:noProof/>
        </w:rPr>
        <w:t>[3]</w:t>
      </w:r>
      <w:r w:rsidR="002A6D53" w:rsidRPr="00794EC7">
        <w:fldChar w:fldCharType="end"/>
      </w:r>
      <w:r w:rsidR="003134FD" w:rsidRPr="00794EC7">
        <w:rPr>
          <w:rFonts w:cs="Arial"/>
        </w:rPr>
        <w:t>. D</w:t>
      </w:r>
      <w:r w:rsidR="00CD59D5" w:rsidRPr="00794EC7">
        <w:rPr>
          <w:rFonts w:cs="Arial"/>
        </w:rPr>
        <w:t xml:space="preserve">ata </w:t>
      </w:r>
      <w:r w:rsidR="00F82083" w:rsidRPr="00794EC7">
        <w:rPr>
          <w:rFonts w:cs="Arial"/>
        </w:rPr>
        <w:t>are available in</w:t>
      </w:r>
      <w:r w:rsidR="00E054C8" w:rsidRPr="00794EC7">
        <w:rPr>
          <w:rFonts w:cs="Arial"/>
        </w:rPr>
        <w:t xml:space="preserve"> the EV-TRACK knowledgebase (EV-TRACK ID: EV200007) </w:t>
      </w:r>
      <w:r w:rsidR="005B2CC2" w:rsidRPr="00794EC7">
        <w:rPr>
          <w:rFonts w:cs="Arial"/>
        </w:rPr>
        <w:fldChar w:fldCharType="begin" w:fldLock="1"/>
      </w:r>
      <w:r w:rsidR="009067A9" w:rsidRPr="00794EC7">
        <w:rPr>
          <w:rFonts w:cs="Arial"/>
        </w:rPr>
        <w:instrText>ADDIN CSL_CITATION {"citationItems":[{"id":"ITEM-1","itemData":{"DOI":"10.1038/nmeth.4185","ISSN":"15487105","PMID":"28245209","abstract":"We argue that the field of extracellular vesicle (EV) biology needs more transparent reporting to facilitate interpretation and replication of experiments. To achieve this, we describe EV-TRACK, a crowdsourcing knowledgebase (http://evtrack.org) that centralizes EV biology and methodology with the goal of stimulating authors, reviewers, editors and funders to put experimental guidelines into practice.","author":[{"dropping-particle":"","family":"Deun","given":"Jan","non-dropping-particle":"Van","parse-names":false,"suffix":""},{"dropping-particle":"","family":"Mestdagh","given":"Pieter","non-dropping-particle":"","parse-names":false,"suffix":""},{"dropping-particle":"","family":"Agostinis","given":"Patrizia","non-dropping-particle":"","parse-names":false,"suffix":""},{"dropping-particle":"","family":"Akay","given":"Özden","non-dropping-particle":"","parse-names":false,"suffix":""},{"dropping-particle":"","family":"Anand","given":"Sushma","non-dropping-particle":"","parse-names":false,"suffix":""},{"dropping-particle":"","family":"Anckaert","given":"Jasper","non-dropping-particle":"","parse-names":false,"suffix":""},{"dropping-particle":"","family":"Martinez","given":"Zoraida Andreu","non-dropping-particle":"","parse-names":false,"suffix":""},{"dropping-particle":"","family":"Baetens","given":"Tine","non-dropping-particle":"","parse-names":false,"suffix":""},{"dropping-particle":"","family":"Beghein","given":"Els","non-dropping-particle":"","parse-names":false,"suffix":""},{"dropping-particle":"","family":"Bertier","given":"Laurence","non-dropping-particle":"","parse-names":false,"suffix":""},{"dropping-particle":"","family":"Berx","given":"Geert","non-dropping-particle":"","parse-names":false,"suffix":""},{"dropping-particle":"","family":"Boere","given":"Janneke","non-dropping-particle":"","parse-names":false,"suffix":""},{"dropping-particle":"","family":"Boukouris","given":"Stephanie","non-dropping-particle":"","parse-names":false,"suffix":""},{"dropping-particle":"","family":"Bremer","given":"Michel","non-dropping-particle":"","parse-names":false,"suffix":""},{"dropping-particle":"","family":"Buschmann","given":"Dominik","non-dropping-particle":"","parse-names":false,"suffix":""},{"dropping-particle":"","family":"Byrd","given":"James B.","non-dropping-particle":"","parse-names":false,"suffix":""},{"dropping-particle":"","family":"Casert","given":"Clara","non-dropping-particle":"","parse-names":false,"suffix":""},{"dropping-particle":"","family":"Cheng","given":"Lesley","non-dropping-particle":"","parse-names":false,"suffix":""},{"dropping-particle":"","family":"Cmoch","given":"Anna","non-dropping-particle":"","parse-names":false,"suffix":""},{"dropping-particle":"","family":"Daveloose","given":"Delphine","non-dropping-particle":"","parse-names":false,"suffix":""},{"dropping-particle":"","family":"Smedt","given":"Eva","non-dropping-particle":"De","parse-names":false,"suffix":""},{"dropping-particle":"","family":"Demirsoy","given":"Seyma","non-dropping-particle":"","parse-names":false,"suffix":""},{"dropping-particle":"","family":"Depoorter","given":"Victoria","non-dropping-particle":"","parse-names":false,"suffix":""},{"dropping-particle":"","family":"Dhondt","given":"Bert","non-dropping-particle":"","parse-names":false,"suffix":""},{"dropping-particle":"","family":"Driedonks","given":"Tom A.P.","non-dropping-particle":"","parse-names":false,"suffix":""},{"dropping-particle":"","family":"Dudek","given":"Aleksandra","non-dropping-particle":"","parse-names":false,"suffix":""},{"dropping-particle":"","family":"Elsharawy","given":"Abdou","non-dropping-particle":"","parse-names":false,"suffix":""},{"dropping-particle":"","family":"Floris","given":"Ilaria","non-dropping-particle":"","parse-names":false,"suffix":""},{"dropping-particle":"","family":"Foers","given":"Andrew D.","non-dropping-particle":"","parse-names":false,"suffix":""},{"dropping-particle":"","family":"Gärtner","given":"Kathrin","non-dropping-particle":"","parse-names":false,"suffix":""},{"dropping-particle":"","family":"Garg","given":"Abhishek D.","non-dropping-particle":"","parse-names":false,"suffix":""},{"dropping-particle":"","family":"Geeurickx","given":"Edward","non-dropping-particle":"","parse-names":false,"suffix":""},{"dropping-particle":"","family":"Gettemans","given":"Jan","non-dropping-particle":"","parse-names":false,"suffix":""},{"dropping-particle":"","family":"Ghazavi","given":"Farzaneh","non-dropping-particle":"","parse-names":false,"suffix":""},{"dropping-particle":"","family":"Giebel","given":"Bernd","non-dropping-particle":"","parse-names":false,"suffix":""},{"dropping-particle":"","family":"Kormelink","given":"Tom Groot","non-dropping-particle":"","parse-names":false,"suffix":""},{"dropping-particle":"","family":"Hancock","given":"Grace","non-dropping-particle":"","parse-names":false,"suffix":""},{"dropping-particle":"","family":"Helsmoortel","given":"Hetty","non-dropping-particle":"","parse-names":false,"suffix":""},{"dropping-particle":"","family":"Hill","given":"Andrew F.","non-dropping-particle":"","parse-names":false,"suffix":""},{"dropping-particle":"","family":"Hyenne","given":"Vincent","non-dropping-particle":"","parse-names":false,"suffix":""},{"dropping-particle":"","family":"Kalra","given":"Hina","non-dropping-particle":"","parse-names":false,"suffix":""},{"dropping-particle":"","family":"Kim","given":"David","non-dropping-particle":"","parse-names":false,"suffix":""},{"dropping-particle":"","family":"Kowal","given":"Joanna","non-dropping-particle":"","parse-names":false,"suffix":""},{"dropping-particle":"","family":"Kraemer","given":"Sandra","non-dropping-particle":"","parse-names":false,"suffix":""},{"dropping-particle":"","family":"Leidinger","given":"Petra","non-dropping-particle":"","parse-names":false,"suffix":""},{"dropping-particle":"","family":"Leonelli","given":"Carina","non-dropping-particle":"","parse-names":false,"suffix":""},{"dropping-particle":"","family":"Liang","given":"Yaxuan","non-dropping-particle":"","parse-names":false,"suffix":""},{"dropping-particle":"","family":"Lippens","given":"Lien","non-dropping-particle":"","parse-names":false,"suffix":""},{"dropping-particle":"","family":"Liu","given":"Shu","non-dropping-particle":"","parse-names":false,"suffix":""},{"dropping-particle":"","family":"Cicero","given":"Alessandra","non-dropping-particle":"Lo","parse-names":false,"suffix":""},{"dropping-particle":"","family":"Martin","given":"Shaun","non-dropping-particle":"","parse-names":false,"suffix":""},{"dropping-particle":"","family":"Mathivanan","given":"Suresh","non-dropping-particle":"","parse-names":false,"suffix":""},{"dropping-particle":"","family":"Mathiyalagan","given":"Prabhu","non-dropping-particle":"","parse-names":false,"suffix":""},{"dropping-particle":"","family":"Matusek","given":"Támas","non-dropping-particle":"","parse-names":false,"suffix":""},{"dropping-particle":"","family":"Milani","given":"Gloria","non-dropping-particle":"","parse-names":false,"suffix":""},{"dropping-particle":"","family":"Monguió-Tortajada","given":"Marta","non-dropping-particle":"","parse-names":false,"suffix":""},{"dropping-particle":"","family":"Mus","given":"Liselot M.","non-dropping-particle":"","parse-names":false,"suffix":""},{"dropping-particle":"","family":"Muth","given":"Dillon C.","non-dropping-particle":"","parse-names":false,"suffix":""},{"dropping-particle":"","family":"Németh","given":"Andrea","non-dropping-particle":"","parse-names":false,"suffix":""},{"dropping-particle":"","family":"Nolte-'T Hoen","given":"Esther N.M.","non-dropping-particle":"","parse-names":false,"suffix":""},{"dropping-particle":"","family":"O'Driscoll","given":"Lorraine","non-dropping-particle":"","parse-names":false,"suffix":""},{"dropping-particle":"","family":"Palmulli","given":"Roberta","non-dropping-particle":"","parse-names":false,"suffix":""},{"dropping-particle":"","family":"Pfaffl","given":"Michael W.","non-dropping-particle":"","parse-names":false,"suffix":""},{"dropping-particle":"","family":"Primdal-Bengtson","given":"Bjarke","non-dropping-particle":"","parse-names":false,"suffix":""},{"dropping-particle":"","family":"Romano","given":"Erminia","non-dropping-particle":"","parse-names":false,"suffix":""},{"dropping-particle":"","family":"Rousseau","given":"Quentin","non-dropping-particle":"","parse-names":false,"suffix":""},{"dropping-particle":"","family":"Sahoo","given":"Susmita","non-dropping-particle":"","parse-names":false,"suffix":""},{"dropping-particle":"","family":"Sampaio","given":"Natalia","non-dropping-particle":"","parse-names":false,"suffix":""},{"dropping-particle":"","family":"Samuel","given":"Monisha","non-dropping-particle":"","parse-names":false,"suffix":""},{"dropping-particle":"","family":"Scicluna","given":"Benjamin","non-dropping-particle":"","parse-names":false,"suffix":""},{"dropping-particle":"","family":"Soen","given":"Bieke","non-dropping-particle":"","parse-names":false,"suffix":""},{"dropping-particle":"","family":"Steels","given":"Anneleen","non-dropping-particle":"","parse-names":false,"suffix":""},{"dropping-particle":"V.","family":"Swinnen","given":"Johannes","non-dropping-particle":"","parse-names":false,"suffix":""},{"dropping-particle":"","family":"Takatalo","given":"Maarit","non-dropping-particle":"","parse-names":false,"suffix":""},{"dropping-particle":"","family":"Thaminy","given":"Safia","non-dropping-particle":"","parse-names":false,"suffix":""},{"dropping-particle":"","family":"Théry","given":"Clotilde","non-dropping-particle":"","parse-names":false,"suffix":""},{"dropping-particle":"","family":"Tulkens","given":"Joeri","non-dropping-particle":"","parse-names":false,"suffix":""},{"dropping-particle":"","family":"Audenhove","given":"Isabel","non-dropping-particle":"Van","parse-names":false,"suffix":""},{"dropping-particle":"","family":"Grein","given":"Susanne","non-dropping-particle":"Van Der","parse-names":false,"suffix":""},{"dropping-particle":"","family":"Goethem","given":"Alan","non-dropping-particle":"Van","parse-names":false,"suffix":""},{"dropping-particle":"","family":"Herwijnen","given":"Martijn J.","non-dropping-particle":"Van","parse-names":false,"suffix":""},{"dropping-particle":"","family":"Niel","given":"Guillaume","non-dropping-particle":"Van","parse-names":false,"suffix":""},{"dropping-particle":"","family":"Roy","given":"Nadine","non-dropping-particle":"Van","parse-names":false,"suffix":""},{"dropping-particle":"","family":"Vliet","given":"Alexander R.","non-dropping-particle":"Van","parse-names":false,"suffix":""},{"dropping-particle":"","family":"Vandamme","given":"Niels","non-dropping-particle":"","parse-names":false,"suffix":""},{"dropping-particle":"","family":"Vanhauwaert","given":"Suzanne","non-dropping-particle":"","parse-names":false,"suffix":""},{"dropping-particle":"","family":"Vergauwen","given":"Glenn","non-dropping-particle":"","parse-names":false,"suffix":""},{"dropping-particle":"","family":"Verweij","given":"Frederik","non-dropping-particle":"","parse-names":false,"suffix":""},{"dropping-particle":"","family":"Wallaert","given":"Annelynn","non-dropping-particle":"","parse-names":false,"suffix":""},{"dropping-particle":"","family":"Wauben","given":"Marca","non-dropping-particle":"","parse-names":false,"suffix":""},{"dropping-particle":"","family":"Witwer","given":"Kenneth W.","non-dropping-particle":"","parse-names":false,"suffix":""},{"dropping-particle":"","family":"Zonneveld","given":"Marijke I.","non-dropping-particle":"","parse-names":false,"suffix":""},{"dropping-particle":"","family":"Wever","given":"Olivier","non-dropping-particle":"De","parse-names":false,"suffix":""},{"dropping-particle":"","family":"Vandesompele","given":"Jo","non-dropping-particle":"","parse-names":false,"suffix":""},{"dropping-particle":"","family":"Hendrix","given":"An","non-dropping-particle":"","parse-names":false,"suffix":""}],"container-title":"Nature Methods","id":"ITEM-1","issue":"3","issued":{"date-parts":[["2017"]]},"page":"228-232","title":"EV-TRACK: Transparent reporting and centralizing knowledge in extracellular vesicle research","type":"article-journal","volume":"14"},"uris":["http://www.mendeley.com/documents/?uuid=5c6f8c7d-2abb-4480-8d43-35699d2aace0"]}],"mendeley":{"formattedCitation":"[14]","plainTextFormattedCitation":"[14]","previouslyFormattedCitation":"[14]"},"properties":{"noteIndex":0},"schema":"https://github.com/citation-style-language/schema/raw/master/csl-citation.json"}</w:instrText>
      </w:r>
      <w:r w:rsidR="005B2CC2" w:rsidRPr="00794EC7">
        <w:rPr>
          <w:rFonts w:cs="Arial"/>
        </w:rPr>
        <w:fldChar w:fldCharType="separate"/>
      </w:r>
      <w:r w:rsidR="00165C60" w:rsidRPr="00794EC7">
        <w:rPr>
          <w:rFonts w:cs="Arial"/>
          <w:noProof/>
        </w:rPr>
        <w:t>[14]</w:t>
      </w:r>
      <w:r w:rsidR="005B2CC2" w:rsidRPr="00794EC7">
        <w:rPr>
          <w:rFonts w:cs="Arial"/>
        </w:rPr>
        <w:fldChar w:fldCharType="end"/>
      </w:r>
      <w:r w:rsidR="00E054C8" w:rsidRPr="00794EC7">
        <w:rPr>
          <w:rFonts w:cs="Arial"/>
        </w:rPr>
        <w:t>.</w:t>
      </w:r>
      <w:r w:rsidR="00CB225B" w:rsidRPr="00794EC7">
        <w:rPr>
          <w:rFonts w:cs="Arial"/>
        </w:rPr>
        <w:t xml:space="preserve"> </w:t>
      </w:r>
      <w:r w:rsidR="00BE748F" w:rsidRPr="00794EC7">
        <w:t xml:space="preserve">Samples were freeze-thawed once to aliquot into smaller volumes </w:t>
      </w:r>
      <w:r w:rsidR="00EE10BF" w:rsidRPr="00794EC7">
        <w:rPr>
          <w:rFonts w:cs="Arial"/>
        </w:rPr>
        <w:t xml:space="preserve">and supplemented with </w:t>
      </w:r>
      <w:r w:rsidR="00EE10BF" w:rsidRPr="00794EC7">
        <w:t xml:space="preserve">1% Penicillin-Streptomycin and 10% foetal bovine serum (FBS) (Life Technologies) </w:t>
      </w:r>
      <w:r w:rsidR="00F93D87" w:rsidRPr="00794EC7">
        <w:t>and</w:t>
      </w:r>
      <w:r w:rsidR="00BE748F" w:rsidRPr="00794EC7">
        <w:t xml:space="preserve"> stored at -80</w:t>
      </w:r>
      <w:r w:rsidR="00BE748F" w:rsidRPr="00794EC7">
        <w:rPr>
          <w:rFonts w:cs="Arial"/>
        </w:rPr>
        <w:t xml:space="preserve"> º</w:t>
      </w:r>
      <w:r w:rsidR="00BE748F" w:rsidRPr="00794EC7">
        <w:t xml:space="preserve">C until required. </w:t>
      </w:r>
    </w:p>
    <w:p w14:paraId="54A5DC35" w14:textId="77777777" w:rsidR="00DE783F" w:rsidRPr="00794EC7" w:rsidRDefault="00DE783F" w:rsidP="00902F19">
      <w:pPr>
        <w:rPr>
          <w:b/>
          <w:bCs/>
        </w:rPr>
      </w:pPr>
    </w:p>
    <w:p w14:paraId="52310042" w14:textId="5998CDCE" w:rsidR="0014295B" w:rsidRPr="00794EC7" w:rsidRDefault="00536AF8" w:rsidP="00902F19">
      <w:pPr>
        <w:pStyle w:val="Heading1"/>
        <w:spacing w:before="0"/>
      </w:pPr>
      <w:r w:rsidRPr="00794EC7">
        <w:t xml:space="preserve">Cell Culture and </w:t>
      </w:r>
      <w:r w:rsidR="00554A33" w:rsidRPr="00794EC7">
        <w:t>Challenge</w:t>
      </w:r>
    </w:p>
    <w:p w14:paraId="6394579D" w14:textId="2C36FD97" w:rsidR="00554A33" w:rsidRPr="00794EC7" w:rsidRDefault="00213667" w:rsidP="00902F19">
      <w:pPr>
        <w:rPr>
          <w:rFonts w:cs="Arial"/>
        </w:rPr>
      </w:pPr>
      <w:r w:rsidRPr="00794EC7">
        <w:rPr>
          <w:rFonts w:cs="Arial"/>
        </w:rPr>
        <w:t xml:space="preserve">The bronchial epithelial cell </w:t>
      </w:r>
      <w:r w:rsidR="000F6F2C" w:rsidRPr="00794EC7">
        <w:rPr>
          <w:rFonts w:cs="Arial"/>
        </w:rPr>
        <w:t xml:space="preserve">(BEC) </w:t>
      </w:r>
      <w:r w:rsidRPr="00794EC7">
        <w:rPr>
          <w:rFonts w:cs="Arial"/>
        </w:rPr>
        <w:t xml:space="preserve">line 16HBE14o- was </w:t>
      </w:r>
      <w:r w:rsidR="001A0C47" w:rsidRPr="00794EC7">
        <w:rPr>
          <w:rFonts w:cs="Arial"/>
        </w:rPr>
        <w:t xml:space="preserve">used, owing </w:t>
      </w:r>
      <w:r w:rsidRPr="00794EC7">
        <w:rPr>
          <w:rFonts w:cs="Arial"/>
        </w:rPr>
        <w:t xml:space="preserve">to its ability to form tight junctions between cells leading to the generation of a polarised </w:t>
      </w:r>
      <w:r w:rsidR="000F6F2C" w:rsidRPr="00794EC7">
        <w:rPr>
          <w:rFonts w:cs="Arial"/>
        </w:rPr>
        <w:t>epithelial</w:t>
      </w:r>
      <w:r w:rsidRPr="00794EC7">
        <w:rPr>
          <w:rFonts w:cs="Arial"/>
        </w:rPr>
        <w:t xml:space="preserve"> barrier with a high transepithelial electric</w:t>
      </w:r>
      <w:r w:rsidR="00277B03" w:rsidRPr="00794EC7">
        <w:rPr>
          <w:rFonts w:cs="Arial"/>
        </w:rPr>
        <w:t>al</w:t>
      </w:r>
      <w:r w:rsidRPr="00794EC7">
        <w:rPr>
          <w:rFonts w:cs="Arial"/>
        </w:rPr>
        <w:t xml:space="preserve"> resistance (a measure of ionic </w:t>
      </w:r>
      <w:r w:rsidR="00982AF3" w:rsidRPr="00794EC7">
        <w:rPr>
          <w:rFonts w:cs="Arial"/>
        </w:rPr>
        <w:t>permeability</w:t>
      </w:r>
      <w:r w:rsidRPr="00794EC7">
        <w:rPr>
          <w:rFonts w:cs="Arial"/>
        </w:rPr>
        <w:t xml:space="preserve">) </w:t>
      </w:r>
      <w:r w:rsidRPr="00794EC7">
        <w:rPr>
          <w:rFonts w:cs="Arial"/>
        </w:rPr>
        <w:fldChar w:fldCharType="begin" w:fldLock="1"/>
      </w:r>
      <w:r w:rsidR="009067A9" w:rsidRPr="00794EC7">
        <w:rPr>
          <w:rFonts w:cs="Arial"/>
        </w:rPr>
        <w:instrText>ADDIN CSL_CITATION {"citationItems":[{"id":"ITEM-1","itemData":{"DOI":"10.1042/BSR20201532","ISSN":"15734935","PMID":"32985670","abstract":"The human bronchial epithelial cell line, 16HBE14o- (16HBE), is widely used as a model for respiratory epithelial diseases and barrier function. During differentiation, transepithelial electrical resistance (TER) increased to approximately 800 Ohms × cm2, while 14C-D-mannitol flux rates (Jm) simultaneously decreased. Tight junctions (TJs) were shown by diffusion potential studies to be anion-selective with PC1/PNa = 1.9. Transepithelial leakiness could be induced by the phorbol ester, protein kinase C (PKC) activator, 12-O-tetradecanoylphorbol-13-acetate (TPA), and the proinflammatory cytokine, tumor necrosis factor-α (TNF-α). Basal barrier function could not be improved by the micronutrients, zinc, or quercetin. Of methodological significance, TER was observed to be more variable and to spontaneously, significantly decrease after initial barrier formation, whereas Jm did not significantly fluctuate or increase. Unlike the strong inverse relationship between TER and Jm during differentiation, differentiated cell layers manifested no relationship between TER and Jm. There was also much greater variability for TER values compared with Jm. Investigating the dependence of 16HBE TER on transcellular ion conductance, inhibition of the Cystic Fibrosis Transmembrane Conductance Regulator (CFTR) chloride channel with GlyH-101 produced a large decrease in short-circuit current (Isc) and a slight increase in TER, but no significant change in Jm. A strong temperature dependence was observed not only for Isc, but also for TER. In summary, research utilizing 16HBE as a model in airway barrier function studies needs to be aware of the complexity of TER as a parameter of barrier function given the influence of CFTR-dependent transcellular conductance on TER.","author":[{"dropping-particle":"","family":"Callaghan","given":"Patrick J.","non-dropping-particle":"","parse-names":false,"suffix":""},{"dropping-particle":"","family":"Ferrick","given":"Bryan","non-dropping-particle":"","parse-names":false,"suffix":""},{"dropping-particle":"","family":"Rybakovsky","given":"Elizabeth","non-dropping-particle":"","parse-names":false,"suffix":""},{"dropping-particle":"","family":"Thomas","given":"Sunil","non-dropping-particle":"","parse-names":false,"suffix":""},{"dropping-particle":"","family":"Mullin","given":"James M.","non-dropping-particle":"","parse-names":false,"suffix":""}],"container-title":"Bioscience Reports","id":"ITEM-1","issue":"10","issued":{"date-parts":[["2020"]]},"page":"1-16","title":"Epithelial barrier function properties of the 16HBE14o- human bronchial epithelial cell culture model","type":"article-journal","volume":"40"},"uris":["http://www.mendeley.com/documents/?uuid=366dcab6-45d7-4292-a79c-028e87810250"]}],"mendeley":{"formattedCitation":"[15]","plainTextFormattedCitation":"[15]","previouslyFormattedCitation":"[15]"},"properties":{"noteIndex":0},"schema":"https://github.com/citation-style-language/schema/raw/master/csl-citation.json"}</w:instrText>
      </w:r>
      <w:r w:rsidRPr="00794EC7">
        <w:rPr>
          <w:rFonts w:cs="Arial"/>
        </w:rPr>
        <w:fldChar w:fldCharType="separate"/>
      </w:r>
      <w:r w:rsidR="00165C60" w:rsidRPr="00794EC7">
        <w:rPr>
          <w:rFonts w:cs="Arial"/>
          <w:noProof/>
        </w:rPr>
        <w:t>[15]</w:t>
      </w:r>
      <w:r w:rsidRPr="00794EC7">
        <w:rPr>
          <w:rFonts w:cs="Arial"/>
        </w:rPr>
        <w:fldChar w:fldCharType="end"/>
      </w:r>
      <w:r w:rsidRPr="00794EC7">
        <w:rPr>
          <w:rFonts w:cs="Arial"/>
        </w:rPr>
        <w:t xml:space="preserve">. </w:t>
      </w:r>
      <w:r w:rsidR="005941E3" w:rsidRPr="00794EC7">
        <w:rPr>
          <w:rFonts w:cs="Arial"/>
        </w:rPr>
        <w:t>C</w:t>
      </w:r>
      <w:r w:rsidR="00406544" w:rsidRPr="00794EC7">
        <w:t>ells were maintained in MEM and Glutamax (Gibco)</w:t>
      </w:r>
      <w:r w:rsidR="005941E3" w:rsidRPr="00794EC7">
        <w:t>,</w:t>
      </w:r>
      <w:r w:rsidR="00406544" w:rsidRPr="00794EC7">
        <w:t xml:space="preserve"> supplemented with 1% Penicillin-Streptomycin and 10% foetal bovine serum (FBS) (Life Technologies) termed complete</w:t>
      </w:r>
      <w:r w:rsidR="00554A33" w:rsidRPr="00794EC7">
        <w:t xml:space="preserve"> MEM</w:t>
      </w:r>
      <w:r w:rsidR="00406544" w:rsidRPr="00794EC7">
        <w:t xml:space="preserve">. Upon reaching ~70% confluency, cells were incubated in </w:t>
      </w:r>
      <w:r w:rsidR="005941E3" w:rsidRPr="00794EC7">
        <w:t>Hanks' Balanced Salt Solution (</w:t>
      </w:r>
      <w:r w:rsidR="00406544" w:rsidRPr="00794EC7">
        <w:t>HBSS</w:t>
      </w:r>
      <w:r w:rsidR="005941E3" w:rsidRPr="00794EC7">
        <w:t>)</w:t>
      </w:r>
      <w:r w:rsidR="00406544" w:rsidRPr="00794EC7">
        <w:t xml:space="preserve"> without Ca</w:t>
      </w:r>
      <w:r w:rsidR="00406544" w:rsidRPr="00794EC7">
        <w:rPr>
          <w:vertAlign w:val="superscript"/>
        </w:rPr>
        <w:t>2+</w:t>
      </w:r>
      <w:r w:rsidR="00406544" w:rsidRPr="00794EC7">
        <w:t xml:space="preserve"> and Mg</w:t>
      </w:r>
      <w:r w:rsidR="00406544" w:rsidRPr="00794EC7">
        <w:rPr>
          <w:vertAlign w:val="superscript"/>
        </w:rPr>
        <w:t>2+</w:t>
      </w:r>
      <w:r w:rsidR="00406544" w:rsidRPr="00794EC7">
        <w:t xml:space="preserve"> for 10 minutes at 37 </w:t>
      </w:r>
      <w:r w:rsidR="00406544" w:rsidRPr="00794EC7">
        <w:rPr>
          <w:rFonts w:cs="Arial"/>
        </w:rPr>
        <w:t>º</w:t>
      </w:r>
      <w:r w:rsidR="00406544" w:rsidRPr="00794EC7">
        <w:t>C before detachment via a 5-minute incubation in 1 X trypsin</w:t>
      </w:r>
      <w:r w:rsidR="005941E3" w:rsidRPr="00794EC7">
        <w:t xml:space="preserve"> (</w:t>
      </w:r>
      <w:r w:rsidR="007F3EF3" w:rsidRPr="00794EC7">
        <w:t>Life Technologies</w:t>
      </w:r>
      <w:r w:rsidR="005941E3" w:rsidRPr="00794EC7">
        <w:t>)</w:t>
      </w:r>
      <w:r w:rsidR="00406544" w:rsidRPr="00794EC7">
        <w:t xml:space="preserve">. The trypsin was then neutralised with complete MEM </w:t>
      </w:r>
      <w:r w:rsidR="00554A33" w:rsidRPr="00794EC7">
        <w:t>and the cell suspension pelleted at 300</w:t>
      </w:r>
      <w:r w:rsidR="00554A33" w:rsidRPr="00794EC7">
        <w:rPr>
          <w:i/>
          <w:iCs/>
        </w:rPr>
        <w:t xml:space="preserve"> x g </w:t>
      </w:r>
      <w:r w:rsidR="00554A33" w:rsidRPr="00794EC7">
        <w:t>for 5 minutes</w:t>
      </w:r>
      <w:r w:rsidR="005941E3" w:rsidRPr="00794EC7">
        <w:t xml:space="preserve"> at </w:t>
      </w:r>
      <w:r w:rsidR="00687E3E" w:rsidRPr="00794EC7">
        <w:t xml:space="preserve">21 </w:t>
      </w:r>
      <w:r w:rsidR="00687E3E" w:rsidRPr="00794EC7">
        <w:rPr>
          <w:rFonts w:cs="Arial"/>
        </w:rPr>
        <w:t>º</w:t>
      </w:r>
      <w:r w:rsidR="005941E3" w:rsidRPr="00794EC7">
        <w:t>C</w:t>
      </w:r>
      <w:r w:rsidR="00554A33" w:rsidRPr="00794EC7">
        <w:t xml:space="preserve">. The cell pellet was resuspended in complete MEM </w:t>
      </w:r>
      <w:r w:rsidR="00774D36" w:rsidRPr="00794EC7">
        <w:t>and cells were</w:t>
      </w:r>
      <w:r w:rsidR="00554A33" w:rsidRPr="00794EC7">
        <w:t xml:space="preserve"> counted</w:t>
      </w:r>
      <w:r w:rsidR="00277B03" w:rsidRPr="00794EC7">
        <w:t xml:space="preserve"> using the trypan blue exclusion method</w:t>
      </w:r>
      <w:r w:rsidR="00554A33" w:rsidRPr="00794EC7">
        <w:t xml:space="preserve">. The cells were </w:t>
      </w:r>
      <w:r w:rsidR="00406544" w:rsidRPr="00794EC7">
        <w:t xml:space="preserve">apically </w:t>
      </w:r>
      <w:r w:rsidR="00536AF8" w:rsidRPr="00794EC7">
        <w:t xml:space="preserve">seeded onto collagen coated (30 </w:t>
      </w:r>
      <w:r w:rsidR="00536AF8" w:rsidRPr="00794EC7">
        <w:sym w:font="Symbol" w:char="F06D"/>
      </w:r>
      <w:r w:rsidR="00536AF8" w:rsidRPr="00794EC7">
        <w:t>g/mL, Advanced Biomatrix) transwell inserts (Merck) at a density of 4.5 x 10</w:t>
      </w:r>
      <w:r w:rsidR="00536AF8" w:rsidRPr="00794EC7">
        <w:rPr>
          <w:vertAlign w:val="superscript"/>
        </w:rPr>
        <w:t xml:space="preserve">5 </w:t>
      </w:r>
      <w:r w:rsidR="00536AF8" w:rsidRPr="00794EC7">
        <w:t>cells/cm</w:t>
      </w:r>
      <w:r w:rsidR="00277B03" w:rsidRPr="00794EC7">
        <w:rPr>
          <w:vertAlign w:val="superscript"/>
        </w:rPr>
        <w:t>2</w:t>
      </w:r>
      <w:r w:rsidR="00536AF8" w:rsidRPr="00794EC7">
        <w:t xml:space="preserve"> for 1 hour to facilitate cell adhesion before measurements were conducted. </w:t>
      </w:r>
      <w:r w:rsidR="00774D36" w:rsidRPr="00794EC7">
        <w:t>A</w:t>
      </w:r>
      <w:r w:rsidR="00554A33" w:rsidRPr="00794EC7">
        <w:t>pical and basolateral media was replaced on days 2 and 4.</w:t>
      </w:r>
      <w:r w:rsidR="00687E3E" w:rsidRPr="00794EC7">
        <w:t xml:space="preserve"> </w:t>
      </w:r>
      <w:r w:rsidR="00554A33" w:rsidRPr="00794EC7">
        <w:t xml:space="preserve">Cells were apically challenged </w:t>
      </w:r>
      <w:r w:rsidR="00D20BA4" w:rsidRPr="00794EC7">
        <w:t xml:space="preserve">on day 5 following the formation of a barrier </w:t>
      </w:r>
      <w:r w:rsidR="00554A33" w:rsidRPr="00794EC7">
        <w:t xml:space="preserve">with 20 </w:t>
      </w:r>
      <w:r w:rsidR="00554A33" w:rsidRPr="00794EC7">
        <w:rPr>
          <w:rFonts w:ascii="Symbol" w:hAnsi="Symbol"/>
        </w:rPr>
        <w:t></w:t>
      </w:r>
      <w:r w:rsidR="00554A33" w:rsidRPr="00794EC7">
        <w:t xml:space="preserve">L dsRNA analogue </w:t>
      </w:r>
      <w:r w:rsidR="00124134" w:rsidRPr="00794EC7">
        <w:rPr>
          <w:rFonts w:cs="Arial"/>
        </w:rPr>
        <w:t>polyinosinic:polycytidylic acid</w:t>
      </w:r>
      <w:r w:rsidR="00124134" w:rsidRPr="00794EC7">
        <w:t xml:space="preserve"> </w:t>
      </w:r>
      <w:r w:rsidR="00277B03" w:rsidRPr="00794EC7">
        <w:t>(</w:t>
      </w:r>
      <w:r w:rsidR="002679E3" w:rsidRPr="00794EC7">
        <w:t>Poly</w:t>
      </w:r>
      <w:r w:rsidR="00554A33" w:rsidRPr="00794EC7">
        <w:t xml:space="preserve"> I:C</w:t>
      </w:r>
      <w:r w:rsidR="00277B03" w:rsidRPr="00794EC7">
        <w:t>,</w:t>
      </w:r>
      <w:r w:rsidR="00554A33" w:rsidRPr="00794EC7">
        <w:t xml:space="preserve"> 5 </w:t>
      </w:r>
      <w:r w:rsidR="00554A33" w:rsidRPr="00794EC7">
        <w:rPr>
          <w:rFonts w:ascii="Symbol" w:hAnsi="Symbol"/>
        </w:rPr>
        <w:t></w:t>
      </w:r>
      <w:r w:rsidR="00554A33" w:rsidRPr="00794EC7">
        <w:t>g/mL) (Invivogen)</w:t>
      </w:r>
      <w:r w:rsidR="00CB7245" w:rsidRPr="00794EC7">
        <w:t>,</w:t>
      </w:r>
      <w:r w:rsidR="00554A33" w:rsidRPr="00794EC7">
        <w:t xml:space="preserve"> with </w:t>
      </w:r>
      <w:r w:rsidR="00CB7245" w:rsidRPr="00794EC7">
        <w:t>or</w:t>
      </w:r>
      <w:r w:rsidR="00554A33" w:rsidRPr="00794EC7">
        <w:t xml:space="preserve"> without 5-100 </w:t>
      </w:r>
      <w:r w:rsidR="00554A33" w:rsidRPr="00794EC7">
        <w:rPr>
          <w:rFonts w:ascii="Symbol" w:hAnsi="Symbol"/>
        </w:rPr>
        <w:t></w:t>
      </w:r>
      <w:r w:rsidR="00554A33" w:rsidRPr="00794EC7">
        <w:t>L of EV or EV-</w:t>
      </w:r>
      <w:r w:rsidR="003E1328" w:rsidRPr="00794EC7">
        <w:t>dpl</w:t>
      </w:r>
      <w:r w:rsidR="00554A33" w:rsidRPr="00794EC7">
        <w:t xml:space="preserve"> sample</w:t>
      </w:r>
      <w:r w:rsidR="00D20BA4" w:rsidRPr="00794EC7">
        <w:t>, using fresh complete MEM as a control</w:t>
      </w:r>
      <w:r w:rsidR="00F82083" w:rsidRPr="00794EC7">
        <w:rPr>
          <w:rFonts w:cs="Arial"/>
        </w:rPr>
        <w:t xml:space="preserve">. </w:t>
      </w:r>
      <w:r w:rsidR="00D20BA4" w:rsidRPr="00794EC7">
        <w:t xml:space="preserve"> </w:t>
      </w:r>
      <w:r w:rsidR="00084B55" w:rsidRPr="00794EC7">
        <w:t>As cells were grown in transwells t</w:t>
      </w:r>
      <w:r w:rsidR="00DB3F16" w:rsidRPr="00794EC7">
        <w:t xml:space="preserve">he total apical volume was 200 </w:t>
      </w:r>
      <w:r w:rsidR="00DB3F16" w:rsidRPr="00794EC7">
        <w:rPr>
          <w:rFonts w:ascii="Symbol" w:hAnsi="Symbol"/>
        </w:rPr>
        <w:t></w:t>
      </w:r>
      <w:r w:rsidR="00DB3F16" w:rsidRPr="00794EC7">
        <w:t>L</w:t>
      </w:r>
      <w:r w:rsidR="00084B55" w:rsidRPr="00794EC7">
        <w:t xml:space="preserve">, </w:t>
      </w:r>
      <w:r w:rsidR="00084B55" w:rsidRPr="00794EC7">
        <w:rPr>
          <w:rFonts w:cs="Arial"/>
        </w:rPr>
        <w:t>EV samples were 1:1 diluted with apical media providing an EV concentration of half the physiological concentration found in breast milk for the highest volume</w:t>
      </w:r>
      <w:r w:rsidR="003527BF" w:rsidRPr="00794EC7">
        <w:rPr>
          <w:rFonts w:cs="Arial"/>
        </w:rPr>
        <w:t xml:space="preserve"> used</w:t>
      </w:r>
      <w:r w:rsidR="00084B55" w:rsidRPr="00794EC7">
        <w:rPr>
          <w:rFonts w:cs="Arial"/>
        </w:rPr>
        <w:t xml:space="preserve"> (100 </w:t>
      </w:r>
      <w:r w:rsidR="00084B55" w:rsidRPr="00794EC7">
        <w:rPr>
          <w:rFonts w:ascii="Symbol" w:hAnsi="Symbol" w:cs="Arial"/>
        </w:rPr>
        <w:t></w:t>
      </w:r>
      <w:r w:rsidR="00084B55" w:rsidRPr="00794EC7">
        <w:rPr>
          <w:rFonts w:cs="Arial"/>
        </w:rPr>
        <w:t>L), which was diluted further in the titration studies to</w:t>
      </w:r>
      <w:r w:rsidR="003527BF" w:rsidRPr="00794EC7">
        <w:rPr>
          <w:rFonts w:cs="Arial"/>
        </w:rPr>
        <w:t xml:space="preserve"> generate</w:t>
      </w:r>
      <w:r w:rsidR="00084B55" w:rsidRPr="00794EC7">
        <w:rPr>
          <w:rFonts w:cs="Arial"/>
        </w:rPr>
        <w:t xml:space="preserve"> 25%, 12.5%, 5% and 2.5% of the physiological concentration. </w:t>
      </w:r>
      <w:r w:rsidR="004D5B16" w:rsidRPr="00794EC7">
        <w:t xml:space="preserve"> </w:t>
      </w:r>
    </w:p>
    <w:p w14:paraId="724FBC28" w14:textId="77777777" w:rsidR="00554A33" w:rsidRPr="00794EC7" w:rsidRDefault="00554A33" w:rsidP="00902F19"/>
    <w:p w14:paraId="0AFF4C47" w14:textId="77777777" w:rsidR="00213667" w:rsidRPr="00794EC7" w:rsidRDefault="00213667" w:rsidP="00902F19">
      <w:pPr>
        <w:pStyle w:val="Heading1"/>
        <w:spacing w:before="0"/>
      </w:pPr>
      <w:r w:rsidRPr="00794EC7">
        <w:t>Trans Epithelial Resistance (TER)</w:t>
      </w:r>
    </w:p>
    <w:p w14:paraId="7F1DE661" w14:textId="075C95CB" w:rsidR="00213667" w:rsidRPr="00794EC7" w:rsidRDefault="00213667" w:rsidP="00902F19">
      <w:r w:rsidRPr="00794EC7">
        <w:t>Daily TER measurements were made using conventional “chop stick” electrodes</w:t>
      </w:r>
      <w:r w:rsidR="00800519" w:rsidRPr="00794EC7">
        <w:t xml:space="preserve"> and a</w:t>
      </w:r>
      <w:r w:rsidRPr="00794EC7">
        <w:t xml:space="preserve">  Millicell ERS-2 Voltohmmeter</w:t>
      </w:r>
      <w:r w:rsidR="00800519" w:rsidRPr="00794EC7">
        <w:t xml:space="preserve"> (Merck</w:t>
      </w:r>
      <w:r w:rsidRPr="00794EC7">
        <w:t>). Following the day 5 measurement</w:t>
      </w:r>
      <w:r w:rsidR="000F7DFD" w:rsidRPr="00794EC7">
        <w:t>,</w:t>
      </w:r>
      <w:r w:rsidRPr="00794EC7">
        <w:t xml:space="preserve"> cell</w:t>
      </w:r>
      <w:r w:rsidR="001A0C47" w:rsidRPr="00794EC7">
        <w:t>s were</w:t>
      </w:r>
      <w:r w:rsidRPr="00794EC7">
        <w:t xml:space="preserve"> </w:t>
      </w:r>
      <w:r w:rsidR="00CB64F5" w:rsidRPr="00794EC7">
        <w:t>challenged,</w:t>
      </w:r>
      <w:r w:rsidR="001A0C47" w:rsidRPr="00794EC7">
        <w:t xml:space="preserve"> and</w:t>
      </w:r>
      <w:r w:rsidRPr="00794EC7">
        <w:t xml:space="preserve"> </w:t>
      </w:r>
      <w:r w:rsidR="001A0C47" w:rsidRPr="00794EC7">
        <w:t xml:space="preserve">TER </w:t>
      </w:r>
      <w:r w:rsidRPr="00794EC7">
        <w:t xml:space="preserve">measurements made hourly for 5 hours and then at 24 hours. </w:t>
      </w:r>
    </w:p>
    <w:p w14:paraId="391C05FC" w14:textId="77777777" w:rsidR="00213667" w:rsidRPr="00794EC7" w:rsidRDefault="00213667" w:rsidP="00902F19"/>
    <w:p w14:paraId="031E5A02" w14:textId="77777777" w:rsidR="00213667" w:rsidRPr="00794EC7" w:rsidRDefault="00213667" w:rsidP="00902F19">
      <w:pPr>
        <w:pStyle w:val="Heading1"/>
        <w:spacing w:before="0"/>
      </w:pPr>
      <w:r w:rsidRPr="00794EC7">
        <w:t>ELISA</w:t>
      </w:r>
    </w:p>
    <w:p w14:paraId="3E6FC0D0" w14:textId="7C1B925E" w:rsidR="00213667" w:rsidRPr="00794EC7" w:rsidRDefault="00687E3E" w:rsidP="00902F19">
      <w:pPr>
        <w:rPr>
          <w:rFonts w:eastAsia="Arial Unicode MS" w:cs="Arial"/>
        </w:rPr>
      </w:pPr>
      <w:r w:rsidRPr="00794EC7">
        <w:t>At the end of the experiment (24 hours after challenge)</w:t>
      </w:r>
      <w:r w:rsidR="00CB7245" w:rsidRPr="00794EC7">
        <w:t>,</w:t>
      </w:r>
      <w:r w:rsidR="00213667" w:rsidRPr="00794EC7">
        <w:t xml:space="preserve"> </w:t>
      </w:r>
      <w:r w:rsidRPr="00794EC7">
        <w:t>samples</w:t>
      </w:r>
      <w:r w:rsidR="00CB7245" w:rsidRPr="00794EC7">
        <w:t xml:space="preserve"> from </w:t>
      </w:r>
      <w:r w:rsidR="00213667" w:rsidRPr="00794EC7">
        <w:t xml:space="preserve">the apical </w:t>
      </w:r>
      <w:r w:rsidRPr="00794EC7">
        <w:t>and</w:t>
      </w:r>
      <w:r w:rsidR="00213667" w:rsidRPr="00794EC7">
        <w:t xml:space="preserve"> basolateral </w:t>
      </w:r>
      <w:r w:rsidR="001A0C47" w:rsidRPr="00794EC7">
        <w:t>compartment</w:t>
      </w:r>
      <w:r w:rsidRPr="00794EC7">
        <w:t>s</w:t>
      </w:r>
      <w:r w:rsidR="001A0C47" w:rsidRPr="00794EC7">
        <w:t xml:space="preserve"> </w:t>
      </w:r>
      <w:r w:rsidRPr="00794EC7">
        <w:t>were</w:t>
      </w:r>
      <w:r w:rsidR="00213667" w:rsidRPr="00794EC7">
        <w:t xml:space="preserve"> centrifuged at 300 </w:t>
      </w:r>
      <w:r w:rsidR="00213667" w:rsidRPr="00794EC7">
        <w:rPr>
          <w:i/>
          <w:iCs/>
        </w:rPr>
        <w:t>x g</w:t>
      </w:r>
      <w:r w:rsidR="00213667" w:rsidRPr="00794EC7">
        <w:t xml:space="preserve"> for 5 minutes</w:t>
      </w:r>
      <w:r w:rsidR="007F3EF3" w:rsidRPr="00794EC7">
        <w:t>.</w:t>
      </w:r>
      <w:r w:rsidR="00213667" w:rsidRPr="00794EC7">
        <w:t xml:space="preserve"> </w:t>
      </w:r>
      <w:r w:rsidR="007F3EF3" w:rsidRPr="00794EC7">
        <w:t>T</w:t>
      </w:r>
      <w:r w:rsidR="001A0C47" w:rsidRPr="00794EC7">
        <w:t>he</w:t>
      </w:r>
      <w:r w:rsidRPr="00794EC7">
        <w:t xml:space="preserve"> resultant</w:t>
      </w:r>
      <w:r w:rsidR="001A0C47" w:rsidRPr="00794EC7">
        <w:t xml:space="preserve"> </w:t>
      </w:r>
      <w:r w:rsidR="000F6F2C" w:rsidRPr="00794EC7">
        <w:t xml:space="preserve">cell-free </w:t>
      </w:r>
      <w:r w:rsidR="00213667" w:rsidRPr="00794EC7">
        <w:t xml:space="preserve">supernatants </w:t>
      </w:r>
      <w:r w:rsidRPr="00794EC7">
        <w:t xml:space="preserve">were </w:t>
      </w:r>
      <w:r w:rsidR="00213667" w:rsidRPr="00794EC7">
        <w:t xml:space="preserve">stored at -20 </w:t>
      </w:r>
      <w:r w:rsidR="00213667" w:rsidRPr="00794EC7">
        <w:rPr>
          <w:rFonts w:cs="Arial"/>
        </w:rPr>
        <w:t>º</w:t>
      </w:r>
      <w:r w:rsidR="00213667" w:rsidRPr="00794EC7">
        <w:t>C</w:t>
      </w:r>
      <w:r w:rsidRPr="00794EC7">
        <w:t xml:space="preserve"> until required</w:t>
      </w:r>
      <w:r w:rsidR="00213667" w:rsidRPr="00794EC7">
        <w:t xml:space="preserve">. ELISAs were performed using </w:t>
      </w:r>
      <w:r w:rsidRPr="00794EC7">
        <w:t xml:space="preserve">the R&amp;D Systems </w:t>
      </w:r>
      <w:r w:rsidR="00213667" w:rsidRPr="00794EC7">
        <w:t>Duoset ELISA kits (IL</w:t>
      </w:r>
      <w:r w:rsidR="009719B7" w:rsidRPr="00794EC7">
        <w:t>-</w:t>
      </w:r>
      <w:r w:rsidR="00213667" w:rsidRPr="00794EC7">
        <w:t xml:space="preserve">8: DY208, IL-6: DY206, </w:t>
      </w:r>
      <w:r w:rsidR="00213667" w:rsidRPr="00794EC7">
        <w:rPr>
          <w:rFonts w:cs="Arial"/>
        </w:rPr>
        <w:t>TNF</w:t>
      </w:r>
      <w:r w:rsidR="009719B7" w:rsidRPr="00794EC7">
        <w:rPr>
          <w:rFonts w:cs="Arial"/>
        </w:rPr>
        <w:t>-</w:t>
      </w:r>
      <w:r w:rsidR="00213667" w:rsidRPr="00794EC7">
        <w:rPr>
          <w:rFonts w:eastAsia="Arial Unicode MS" w:cs="Arial"/>
        </w:rPr>
        <w:t>α</w:t>
      </w:r>
      <w:r w:rsidR="00213667" w:rsidRPr="00794EC7">
        <w:t xml:space="preserve">: DY210) and </w:t>
      </w:r>
      <w:r w:rsidRPr="00794EC7">
        <w:t xml:space="preserve">accompanying </w:t>
      </w:r>
      <w:r w:rsidR="00213667" w:rsidRPr="00794EC7">
        <w:t xml:space="preserve">Ancillary Kit (DY008). 96-well plates were incubated with capture antibody </w:t>
      </w:r>
      <w:r w:rsidR="00213667" w:rsidRPr="00794EC7">
        <w:rPr>
          <w:rFonts w:cs="Arial"/>
        </w:rPr>
        <w:t xml:space="preserve">(IL-8: 4 </w:t>
      </w:r>
      <w:r w:rsidR="00213667" w:rsidRPr="00794EC7">
        <w:rPr>
          <w:rFonts w:ascii="Symbol" w:hAnsi="Symbol" w:cs="Arial"/>
        </w:rPr>
        <w:t></w:t>
      </w:r>
      <w:r w:rsidR="00213667" w:rsidRPr="00794EC7">
        <w:rPr>
          <w:rFonts w:cs="Arial"/>
        </w:rPr>
        <w:t xml:space="preserve">g/mL, IL-6: 2 </w:t>
      </w:r>
      <w:r w:rsidR="00213667" w:rsidRPr="00794EC7">
        <w:rPr>
          <w:rFonts w:ascii="Symbol" w:hAnsi="Symbol" w:cs="Arial"/>
        </w:rPr>
        <w:t></w:t>
      </w:r>
      <w:r w:rsidR="00213667" w:rsidRPr="00794EC7">
        <w:rPr>
          <w:rFonts w:cs="Arial"/>
        </w:rPr>
        <w:t>g/mL, TNF</w:t>
      </w:r>
      <w:r w:rsidR="009719B7" w:rsidRPr="00794EC7">
        <w:rPr>
          <w:rFonts w:cs="Arial"/>
        </w:rPr>
        <w:t>-</w:t>
      </w:r>
      <w:r w:rsidR="00213667" w:rsidRPr="00794EC7">
        <w:rPr>
          <w:rFonts w:eastAsia="Arial Unicode MS" w:cs="Arial"/>
        </w:rPr>
        <w:t xml:space="preserve">α: </w:t>
      </w:r>
      <w:r w:rsidR="00213667" w:rsidRPr="00794EC7">
        <w:rPr>
          <w:rFonts w:cs="Arial"/>
        </w:rPr>
        <w:t xml:space="preserve">4 </w:t>
      </w:r>
      <w:r w:rsidR="00213667" w:rsidRPr="00794EC7">
        <w:rPr>
          <w:rFonts w:ascii="Symbol" w:hAnsi="Symbol" w:cs="Arial"/>
        </w:rPr>
        <w:t></w:t>
      </w:r>
      <w:r w:rsidR="00213667" w:rsidRPr="00794EC7">
        <w:rPr>
          <w:rFonts w:cs="Arial"/>
        </w:rPr>
        <w:t xml:space="preserve">g/mL) </w:t>
      </w:r>
      <w:r w:rsidR="00213667" w:rsidRPr="00794EC7">
        <w:t>overnight at room temperature</w:t>
      </w:r>
      <w:r w:rsidR="009E7AE5" w:rsidRPr="00794EC7">
        <w:t>.</w:t>
      </w:r>
      <w:r w:rsidR="00213667" w:rsidRPr="00794EC7">
        <w:t xml:space="preserve"> </w:t>
      </w:r>
      <w:r w:rsidR="009E7AE5" w:rsidRPr="00794EC7">
        <w:t>P</w:t>
      </w:r>
      <w:r w:rsidR="00213667" w:rsidRPr="00794EC7">
        <w:t xml:space="preserve">lates were washed thrice in wash buffer </w:t>
      </w:r>
      <w:r w:rsidR="00213667" w:rsidRPr="00794EC7">
        <w:rPr>
          <w:rFonts w:cs="Arial"/>
        </w:rPr>
        <w:t xml:space="preserve">(0.05% Tween-20 in PBS), </w:t>
      </w:r>
      <w:r w:rsidR="00BC22F4" w:rsidRPr="00794EC7">
        <w:rPr>
          <w:rFonts w:cs="Arial"/>
        </w:rPr>
        <w:t>and</w:t>
      </w:r>
      <w:r w:rsidR="00213667" w:rsidRPr="00794EC7">
        <w:rPr>
          <w:rFonts w:cs="Arial"/>
        </w:rPr>
        <w:t xml:space="preserve"> incubated with block buffer (1% BSA in PBS, pH 7.2-7.4, 0.2 </w:t>
      </w:r>
      <w:r w:rsidR="00213667" w:rsidRPr="00794EC7">
        <w:rPr>
          <w:rFonts w:ascii="Symbol" w:hAnsi="Symbol" w:cs="Arial"/>
        </w:rPr>
        <w:t></w:t>
      </w:r>
      <w:r w:rsidR="0041178D" w:rsidRPr="00794EC7">
        <w:rPr>
          <w:rFonts w:cs="Arial"/>
        </w:rPr>
        <w:t>m</w:t>
      </w:r>
      <w:r w:rsidR="00213667" w:rsidRPr="00794EC7">
        <w:rPr>
          <w:rFonts w:cs="Arial"/>
        </w:rPr>
        <w:t xml:space="preserve"> filtered) for IL-8 or in reagent diluent (0.1% BSA 0.05% Tween-20 in Tris Buffered Saline, pH 7.2-7.4, 0.2 </w:t>
      </w:r>
      <w:r w:rsidR="00213667" w:rsidRPr="00794EC7">
        <w:rPr>
          <w:rFonts w:ascii="Symbol" w:hAnsi="Symbol" w:cs="Arial"/>
        </w:rPr>
        <w:t></w:t>
      </w:r>
      <w:r w:rsidR="00213667" w:rsidRPr="00794EC7">
        <w:rPr>
          <w:rFonts w:cs="Arial"/>
        </w:rPr>
        <w:t>m sterile filtered) for IL-6 and TNF</w:t>
      </w:r>
      <w:r w:rsidR="009719B7" w:rsidRPr="00794EC7">
        <w:rPr>
          <w:rFonts w:cs="Arial"/>
        </w:rPr>
        <w:t>-</w:t>
      </w:r>
      <w:r w:rsidR="00213667" w:rsidRPr="00794EC7">
        <w:rPr>
          <w:rFonts w:eastAsia="Arial Unicode MS" w:cs="Arial"/>
        </w:rPr>
        <w:t xml:space="preserve">α for a minimum of 1 hour before being rinsed thrice in wash buffer. </w:t>
      </w:r>
      <w:r w:rsidRPr="00794EC7">
        <w:rPr>
          <w:rFonts w:eastAsia="Arial Unicode MS" w:cs="Arial"/>
        </w:rPr>
        <w:t>Experimental apical and basolateral supernatant s</w:t>
      </w:r>
      <w:r w:rsidR="00213667" w:rsidRPr="00794EC7">
        <w:rPr>
          <w:rFonts w:eastAsia="Arial Unicode MS" w:cs="Arial"/>
        </w:rPr>
        <w:t xml:space="preserve">amples were thawed on ice and diluted in reagent diluent using optimised dilutions outlined in </w:t>
      </w:r>
      <w:r w:rsidR="00982AF3" w:rsidRPr="00794EC7">
        <w:rPr>
          <w:rFonts w:eastAsia="Arial Unicode MS" w:cs="Arial"/>
        </w:rPr>
        <w:t>the ESI</w:t>
      </w:r>
      <w:r w:rsidR="00213667" w:rsidRPr="00794EC7">
        <w:rPr>
          <w:rFonts w:eastAsia="Arial Unicode MS" w:cs="Arial"/>
        </w:rPr>
        <w:t xml:space="preserve"> and incubated with the standards for 2 hours in the dark at room </w:t>
      </w:r>
      <w:r w:rsidR="00213667" w:rsidRPr="00794EC7">
        <w:rPr>
          <w:rFonts w:eastAsia="Arial Unicode MS" w:cs="Arial"/>
        </w:rPr>
        <w:lastRenderedPageBreak/>
        <w:t xml:space="preserve">temperature. The plate was washed again and incubated for 2 hours in the dark with a detection antibody </w:t>
      </w:r>
      <w:r w:rsidR="00213667" w:rsidRPr="00794EC7">
        <w:rPr>
          <w:rFonts w:cs="Arial"/>
        </w:rPr>
        <w:t>(IL-8: 10 ng/mL, IL-6: 50 ng/mL and TNF</w:t>
      </w:r>
      <w:r w:rsidR="009719B7" w:rsidRPr="00794EC7">
        <w:rPr>
          <w:rFonts w:cs="Arial"/>
        </w:rPr>
        <w:t>-</w:t>
      </w:r>
      <w:r w:rsidR="00213667" w:rsidRPr="00794EC7">
        <w:rPr>
          <w:rFonts w:eastAsia="Arial Unicode MS" w:cs="Arial"/>
        </w:rPr>
        <w:t>α: 400 ng/mL</w:t>
      </w:r>
      <w:r w:rsidR="00213667" w:rsidRPr="00794EC7">
        <w:rPr>
          <w:rFonts w:cs="Arial"/>
        </w:rPr>
        <w:t xml:space="preserve">) prior to rinsing (3X) and a 20-minute incubation in the dark with HRP-solution (1:40 dilution) at room temperature. The plate was then washed again (3X) and incubated with 1 X TMB (Thermo Fisher Scientific) at room temperature with periodic gentle agitation until a colour change </w:t>
      </w:r>
      <w:r w:rsidR="00800519" w:rsidRPr="00794EC7">
        <w:rPr>
          <w:rFonts w:cs="Arial"/>
        </w:rPr>
        <w:t>was</w:t>
      </w:r>
      <w:r w:rsidR="00213667" w:rsidRPr="00794EC7">
        <w:rPr>
          <w:rFonts w:cs="Arial"/>
        </w:rPr>
        <w:t xml:space="preserve"> detected then the reaction is stopped </w:t>
      </w:r>
      <w:r w:rsidR="00523A02" w:rsidRPr="00794EC7">
        <w:rPr>
          <w:rFonts w:cs="Arial"/>
        </w:rPr>
        <w:t xml:space="preserve">with </w:t>
      </w:r>
      <w:r w:rsidR="00213667" w:rsidRPr="00794EC7">
        <w:rPr>
          <w:rFonts w:cs="Arial"/>
        </w:rPr>
        <w:t>2N Sul</w:t>
      </w:r>
      <w:r w:rsidR="00800519" w:rsidRPr="00794EC7">
        <w:rPr>
          <w:rFonts w:cs="Arial"/>
        </w:rPr>
        <w:t>ph</w:t>
      </w:r>
      <w:r w:rsidR="00213667" w:rsidRPr="00794EC7">
        <w:rPr>
          <w:rFonts w:cs="Arial"/>
        </w:rPr>
        <w:t>uric Acid</w:t>
      </w:r>
      <w:r w:rsidR="00523A02" w:rsidRPr="00794EC7">
        <w:rPr>
          <w:rFonts w:cs="Arial"/>
        </w:rPr>
        <w:t xml:space="preserve"> </w:t>
      </w:r>
      <w:r w:rsidR="00213667" w:rsidRPr="00794EC7">
        <w:rPr>
          <w:rFonts w:cs="Arial"/>
        </w:rPr>
        <w:t xml:space="preserve">and the plate read at 450 nm and 570 nm following a 30 second shake at 400 rpm. </w:t>
      </w:r>
    </w:p>
    <w:tbl>
      <w:tblPr>
        <w:tblStyle w:val="TableGrid"/>
        <w:tblW w:w="9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72"/>
        <w:gridCol w:w="1888"/>
        <w:gridCol w:w="1888"/>
        <w:gridCol w:w="1888"/>
        <w:gridCol w:w="1888"/>
      </w:tblGrid>
      <w:tr w:rsidR="005E33EB" w:rsidRPr="00794EC7" w14:paraId="5F6D8979" w14:textId="77777777" w:rsidTr="00382D64">
        <w:trPr>
          <w:trHeight w:val="227"/>
        </w:trPr>
        <w:tc>
          <w:tcPr>
            <w:tcW w:w="1472" w:type="dxa"/>
            <w:vAlign w:val="center"/>
          </w:tcPr>
          <w:p w14:paraId="44C002B4" w14:textId="77777777" w:rsidR="005E33EB" w:rsidRPr="00794EC7" w:rsidRDefault="005E33EB" w:rsidP="00982AF3">
            <w:pPr>
              <w:rPr>
                <w:rFonts w:cs="Arial"/>
              </w:rPr>
            </w:pPr>
          </w:p>
        </w:tc>
        <w:tc>
          <w:tcPr>
            <w:tcW w:w="1888" w:type="dxa"/>
            <w:vAlign w:val="center"/>
          </w:tcPr>
          <w:p w14:paraId="15348A4F" w14:textId="77777777" w:rsidR="005E33EB" w:rsidRPr="00794EC7" w:rsidRDefault="005E33EB" w:rsidP="00902F19">
            <w:pPr>
              <w:rPr>
                <w:rFonts w:cs="Arial"/>
              </w:rPr>
            </w:pPr>
          </w:p>
        </w:tc>
        <w:tc>
          <w:tcPr>
            <w:tcW w:w="1888" w:type="dxa"/>
            <w:vAlign w:val="center"/>
          </w:tcPr>
          <w:p w14:paraId="1BAAC727" w14:textId="77777777" w:rsidR="005E33EB" w:rsidRPr="00794EC7" w:rsidRDefault="005E33EB" w:rsidP="00902F19">
            <w:pPr>
              <w:rPr>
                <w:rFonts w:cs="Arial"/>
              </w:rPr>
            </w:pPr>
          </w:p>
        </w:tc>
        <w:tc>
          <w:tcPr>
            <w:tcW w:w="1888" w:type="dxa"/>
            <w:vAlign w:val="center"/>
          </w:tcPr>
          <w:p w14:paraId="01A6DD77" w14:textId="77777777" w:rsidR="005E33EB" w:rsidRPr="00794EC7" w:rsidRDefault="005E33EB" w:rsidP="00902F19">
            <w:pPr>
              <w:rPr>
                <w:rFonts w:cs="Arial"/>
              </w:rPr>
            </w:pPr>
          </w:p>
        </w:tc>
        <w:tc>
          <w:tcPr>
            <w:tcW w:w="1888" w:type="dxa"/>
            <w:vAlign w:val="center"/>
          </w:tcPr>
          <w:p w14:paraId="798ADDD7" w14:textId="77777777" w:rsidR="005E33EB" w:rsidRPr="00794EC7" w:rsidRDefault="005E33EB" w:rsidP="00902F19">
            <w:pPr>
              <w:rPr>
                <w:rFonts w:cs="Arial"/>
              </w:rPr>
            </w:pPr>
          </w:p>
        </w:tc>
      </w:tr>
    </w:tbl>
    <w:p w14:paraId="74602D28" w14:textId="77777777" w:rsidR="005E33EB" w:rsidRPr="00794EC7" w:rsidRDefault="005E33EB" w:rsidP="00902F19">
      <w:pPr>
        <w:pStyle w:val="Heading1"/>
        <w:spacing w:before="0"/>
      </w:pPr>
      <w:r w:rsidRPr="00794EC7">
        <w:t>Immunofluorescence Staining</w:t>
      </w:r>
    </w:p>
    <w:p w14:paraId="28B15C75" w14:textId="0860A5BA" w:rsidR="005E33EB" w:rsidRPr="00794EC7" w:rsidRDefault="005E33EB" w:rsidP="00902F19">
      <w:r w:rsidRPr="00794EC7">
        <w:t xml:space="preserve">Samples were fixed in 4% </w:t>
      </w:r>
      <w:r w:rsidR="00BC22F4" w:rsidRPr="00794EC7">
        <w:t>Paraformaldehyde (</w:t>
      </w:r>
      <w:r w:rsidRPr="00794EC7">
        <w:t>PFA</w:t>
      </w:r>
      <w:r w:rsidR="00BC22F4" w:rsidRPr="00794EC7">
        <w:t xml:space="preserve">) </w:t>
      </w:r>
      <w:r w:rsidRPr="00794EC7">
        <w:t xml:space="preserve">for 20 minutes and stored in PBS </w:t>
      </w:r>
      <w:r w:rsidR="007A7183" w:rsidRPr="00794EC7">
        <w:t>at</w:t>
      </w:r>
      <w:r w:rsidRPr="00794EC7">
        <w:t xml:space="preserve"> 4</w:t>
      </w:r>
      <w:r w:rsidRPr="00794EC7">
        <w:sym w:font="Symbol" w:char="F0B0"/>
      </w:r>
      <w:r w:rsidRPr="00794EC7">
        <w:t xml:space="preserve">C. </w:t>
      </w:r>
      <w:r w:rsidR="001A0C47" w:rsidRPr="00794EC7">
        <w:t>S</w:t>
      </w:r>
      <w:r w:rsidRPr="00794EC7">
        <w:t xml:space="preserve">amples were permeabilised </w:t>
      </w:r>
      <w:r w:rsidR="007A7183" w:rsidRPr="00794EC7">
        <w:t xml:space="preserve">with </w:t>
      </w:r>
      <w:r w:rsidRPr="00794EC7">
        <w:t>0.1% Triton X-100 in PBS</w:t>
      </w:r>
      <w:r w:rsidR="007A7183" w:rsidRPr="00794EC7">
        <w:t xml:space="preserve"> and</w:t>
      </w:r>
      <w:r w:rsidRPr="00794EC7">
        <w:t xml:space="preserve"> blocked with PBS plus 2% BSA and 0.1% Tween 20 and incubated overnight with Acti-stain555-phalloidin (Cytoskeleton) and AlexaFlour</w:t>
      </w:r>
      <w:r w:rsidRPr="00794EC7">
        <w:sym w:font="Symbol" w:char="F0D2"/>
      </w:r>
      <w:r w:rsidRPr="00794EC7">
        <w:t>488- conjugated anti-human mouse occludin antibody (Life Technologies) at 4</w:t>
      </w:r>
      <w:r w:rsidRPr="00794EC7">
        <w:sym w:font="Symbol" w:char="F0B0"/>
      </w:r>
      <w:r w:rsidRPr="00794EC7">
        <w:t>C in a humidified chamber. Samples were washed thrice (PBS with 0.1% Tween-20) and counterstained with DAPI nuclear stain before rinsing with PBS and 0.1% Tween-20 solution (thrice) and dH</w:t>
      </w:r>
      <w:r w:rsidRPr="00794EC7">
        <w:rPr>
          <w:vertAlign w:val="subscript"/>
        </w:rPr>
        <w:t>2</w:t>
      </w:r>
      <w:r w:rsidRPr="00794EC7">
        <w:t>O. Samples were mounted onto glass coverslips using Mowiol (Merck)</w:t>
      </w:r>
      <w:r w:rsidR="005109F4" w:rsidRPr="00794EC7">
        <w:t xml:space="preserve"> and</w:t>
      </w:r>
      <w:r w:rsidR="001A0C47" w:rsidRPr="00794EC7">
        <w:t xml:space="preserve"> </w:t>
      </w:r>
      <w:r w:rsidRPr="00794EC7">
        <w:t>were aligned using a Leica DMI 6000 inverted fluorescence microscope prior to images being captured at 63X using confocal microscopy in xyz mode (Leica TCS-SP8 laser scanning microscope) using laser wavelengths of 405nm (DAPI), 561nm (Actin) and 488nm (Occludin).</w:t>
      </w:r>
    </w:p>
    <w:p w14:paraId="3734B0F9" w14:textId="77777777" w:rsidR="005E33EB" w:rsidRPr="00794EC7" w:rsidRDefault="005E33EB" w:rsidP="00902F19"/>
    <w:p w14:paraId="7B760A55" w14:textId="77777777" w:rsidR="005E33EB" w:rsidRPr="00794EC7" w:rsidRDefault="005E33EB" w:rsidP="00902F19">
      <w:pPr>
        <w:pStyle w:val="Heading1"/>
        <w:spacing w:before="0"/>
      </w:pPr>
      <w:r w:rsidRPr="00794EC7">
        <w:t>Data Analysis</w:t>
      </w:r>
    </w:p>
    <w:p w14:paraId="419C3364" w14:textId="7C884C40" w:rsidR="0079686D" w:rsidRPr="00794EC7" w:rsidRDefault="005E33EB" w:rsidP="00902F19">
      <w:r w:rsidRPr="00794EC7">
        <w:t xml:space="preserve">All results are presented as mean and standard deviation. </w:t>
      </w:r>
      <w:r w:rsidR="00B40C21" w:rsidRPr="00794EC7">
        <w:t>S</w:t>
      </w:r>
      <w:r w:rsidR="007F3EF3" w:rsidRPr="00794EC7">
        <w:t>tatistical analysis w</w:t>
      </w:r>
      <w:r w:rsidR="00B40C21" w:rsidRPr="00794EC7">
        <w:t>as</w:t>
      </w:r>
      <w:r w:rsidR="007F3EF3" w:rsidRPr="00794EC7">
        <w:t xml:space="preserve"> performed using Graphpad Prism</w:t>
      </w:r>
      <w:r w:rsidR="000E5533" w:rsidRPr="00794EC7">
        <w:t>.</w:t>
      </w:r>
      <w:r w:rsidR="007F3EF3" w:rsidRPr="00794EC7">
        <w:t xml:space="preserve"> </w:t>
      </w:r>
      <w:r w:rsidR="000E5533" w:rsidRPr="00794EC7">
        <w:t>A</w:t>
      </w:r>
      <w:r w:rsidR="007F3EF3" w:rsidRPr="00794EC7">
        <w:t xml:space="preserve"> Shapiro-Wilk test </w:t>
      </w:r>
      <w:r w:rsidR="00DB3F16" w:rsidRPr="00794EC7">
        <w:t>assessed the data</w:t>
      </w:r>
      <w:r w:rsidR="007F3EF3" w:rsidRPr="00794EC7">
        <w:t xml:space="preserve"> for normality. </w:t>
      </w:r>
      <w:r w:rsidRPr="00794EC7">
        <w:t xml:space="preserve">A one-way ANOVA with a Bonferroni post-test or Friedman’s Test with a Dunn’s post-test </w:t>
      </w:r>
      <w:r w:rsidR="00800519" w:rsidRPr="00794EC7">
        <w:t xml:space="preserve">correction </w:t>
      </w:r>
      <w:r w:rsidRPr="00794EC7">
        <w:t>was used to calculate statistical significance</w:t>
      </w:r>
      <w:r w:rsidR="00800519" w:rsidRPr="00794EC7">
        <w:t>. R</w:t>
      </w:r>
      <w:r w:rsidRPr="00794EC7">
        <w:t>esults were considered statistically significant when p &lt; 0.05</w:t>
      </w:r>
      <w:r w:rsidR="00800519" w:rsidRPr="00794EC7">
        <w:t xml:space="preserve"> where </w:t>
      </w:r>
      <w:r w:rsidR="00800519" w:rsidRPr="00794EC7">
        <w:rPr>
          <w:color w:val="000000" w:themeColor="text1"/>
        </w:rPr>
        <w:t>*</w:t>
      </w:r>
      <w:r w:rsidR="0079686D" w:rsidRPr="00794EC7">
        <w:rPr>
          <w:color w:val="000000" w:themeColor="text1"/>
        </w:rPr>
        <w:t>p</w:t>
      </w:r>
      <w:r w:rsidR="00800519" w:rsidRPr="00794EC7">
        <w:rPr>
          <w:rFonts w:cs="Arial"/>
          <w:color w:val="000000" w:themeColor="text1"/>
        </w:rPr>
        <w:t>≤</w:t>
      </w:r>
      <w:r w:rsidR="0079686D" w:rsidRPr="00794EC7">
        <w:rPr>
          <w:color w:val="000000" w:themeColor="text1"/>
        </w:rPr>
        <w:t>0.0</w:t>
      </w:r>
      <w:r w:rsidR="002679E3" w:rsidRPr="00794EC7">
        <w:rPr>
          <w:color w:val="000000" w:themeColor="text1"/>
        </w:rPr>
        <w:t>5</w:t>
      </w:r>
      <w:r w:rsidR="0079686D" w:rsidRPr="00794EC7">
        <w:rPr>
          <w:color w:val="000000" w:themeColor="text1"/>
        </w:rPr>
        <w:t xml:space="preserve"> , </w:t>
      </w:r>
      <w:r w:rsidR="00800519" w:rsidRPr="00794EC7">
        <w:rPr>
          <w:color w:val="000000" w:themeColor="text1"/>
        </w:rPr>
        <w:t>**</w:t>
      </w:r>
      <w:r w:rsidR="0079686D" w:rsidRPr="00794EC7">
        <w:rPr>
          <w:color w:val="000000" w:themeColor="text1"/>
        </w:rPr>
        <w:t>p</w:t>
      </w:r>
      <w:r w:rsidR="00800519" w:rsidRPr="00794EC7">
        <w:rPr>
          <w:rFonts w:cs="Arial"/>
          <w:color w:val="000000" w:themeColor="text1"/>
        </w:rPr>
        <w:t>≤</w:t>
      </w:r>
      <w:r w:rsidR="0079686D" w:rsidRPr="00794EC7">
        <w:rPr>
          <w:color w:val="000000" w:themeColor="text1"/>
        </w:rPr>
        <w:t>0.0</w:t>
      </w:r>
      <w:r w:rsidR="00982AF3" w:rsidRPr="00794EC7">
        <w:rPr>
          <w:color w:val="000000" w:themeColor="text1"/>
        </w:rPr>
        <w:t>1</w:t>
      </w:r>
      <w:r w:rsidR="0079686D" w:rsidRPr="00794EC7">
        <w:rPr>
          <w:color w:val="000000" w:themeColor="text1"/>
        </w:rPr>
        <w:t xml:space="preserve"> , </w:t>
      </w:r>
      <w:r w:rsidR="00800519" w:rsidRPr="00794EC7">
        <w:rPr>
          <w:color w:val="000000" w:themeColor="text1"/>
        </w:rPr>
        <w:t>***</w:t>
      </w:r>
      <w:r w:rsidR="0079686D" w:rsidRPr="00794EC7">
        <w:rPr>
          <w:color w:val="000000" w:themeColor="text1"/>
        </w:rPr>
        <w:t>p</w:t>
      </w:r>
      <w:r w:rsidR="00800519" w:rsidRPr="00794EC7">
        <w:rPr>
          <w:rFonts w:cs="Arial"/>
          <w:color w:val="000000" w:themeColor="text1"/>
        </w:rPr>
        <w:t>≤</w:t>
      </w:r>
      <w:r w:rsidR="0079686D" w:rsidRPr="00794EC7">
        <w:rPr>
          <w:color w:val="000000" w:themeColor="text1"/>
        </w:rPr>
        <w:t>0.00</w:t>
      </w:r>
      <w:r w:rsidR="00982AF3" w:rsidRPr="00794EC7">
        <w:rPr>
          <w:color w:val="000000" w:themeColor="text1"/>
        </w:rPr>
        <w:t>1</w:t>
      </w:r>
      <w:r w:rsidR="0079686D" w:rsidRPr="00794EC7">
        <w:rPr>
          <w:color w:val="000000" w:themeColor="text1"/>
        </w:rPr>
        <w:t xml:space="preserve"> , </w:t>
      </w:r>
      <w:r w:rsidR="00800519" w:rsidRPr="00794EC7">
        <w:rPr>
          <w:color w:val="000000" w:themeColor="text1"/>
        </w:rPr>
        <w:t>****</w:t>
      </w:r>
      <w:r w:rsidR="0079686D" w:rsidRPr="00794EC7">
        <w:rPr>
          <w:color w:val="000000" w:themeColor="text1"/>
        </w:rPr>
        <w:t>p</w:t>
      </w:r>
      <w:r w:rsidR="00800519" w:rsidRPr="00794EC7">
        <w:rPr>
          <w:rFonts w:cs="Arial"/>
          <w:color w:val="000000" w:themeColor="text1"/>
        </w:rPr>
        <w:t>≤</w:t>
      </w:r>
      <w:r w:rsidR="0079686D" w:rsidRPr="00794EC7">
        <w:rPr>
          <w:color w:val="000000" w:themeColor="text1"/>
        </w:rPr>
        <w:t>0.0001 .</w:t>
      </w:r>
      <w:r w:rsidR="00917377" w:rsidRPr="00794EC7">
        <w:rPr>
          <w:color w:val="000000" w:themeColor="text1"/>
        </w:rPr>
        <w:t xml:space="preserve"> </w:t>
      </w:r>
    </w:p>
    <w:p w14:paraId="744ED9AC" w14:textId="77777777" w:rsidR="0079686D" w:rsidRPr="00794EC7" w:rsidRDefault="0079686D" w:rsidP="00902F19"/>
    <w:p w14:paraId="1472D324" w14:textId="77777777" w:rsidR="009E1BC5" w:rsidRPr="00794EC7" w:rsidRDefault="009E1BC5" w:rsidP="00902F19"/>
    <w:p w14:paraId="3CC86223" w14:textId="0910A0EB" w:rsidR="00FB7A8D" w:rsidRPr="00794EC7" w:rsidRDefault="0014295B" w:rsidP="00902F19">
      <w:pPr>
        <w:pStyle w:val="Title"/>
      </w:pPr>
      <w:r w:rsidRPr="00794EC7">
        <w:t xml:space="preserve">Results </w:t>
      </w:r>
    </w:p>
    <w:p w14:paraId="53649C99" w14:textId="296B5DD6" w:rsidR="00D01DF2" w:rsidRPr="00794EC7" w:rsidRDefault="003E1328" w:rsidP="00902F19">
      <w:pPr>
        <w:pStyle w:val="Heading1"/>
      </w:pPr>
      <w:r w:rsidRPr="00794EC7">
        <w:t xml:space="preserve">Milk EVs </w:t>
      </w:r>
      <w:r w:rsidR="00D01DF2" w:rsidRPr="00794EC7">
        <w:t xml:space="preserve">Preserve </w:t>
      </w:r>
      <w:r w:rsidR="000F6F2C" w:rsidRPr="00794EC7">
        <w:t>Bronchial</w:t>
      </w:r>
      <w:r w:rsidR="00D01DF2" w:rsidRPr="00794EC7">
        <w:t xml:space="preserve"> Epithelial Barrier Integrity </w:t>
      </w:r>
      <w:r w:rsidRPr="00794EC7">
        <w:t>during</w:t>
      </w:r>
      <w:r w:rsidR="00D01DF2" w:rsidRPr="00794EC7">
        <w:t xml:space="preserve"> </w:t>
      </w:r>
      <w:r w:rsidR="00F83136" w:rsidRPr="00794EC7">
        <w:t>I</w:t>
      </w:r>
      <w:r w:rsidR="005F5384" w:rsidRPr="00794EC7">
        <w:t>nflammation</w:t>
      </w:r>
      <w:r w:rsidR="00D01DF2" w:rsidRPr="00794EC7">
        <w:t>.</w:t>
      </w:r>
    </w:p>
    <w:p w14:paraId="25BD0B8E" w14:textId="36FAEE34" w:rsidR="007B1C8D" w:rsidRPr="00794EC7" w:rsidRDefault="00F83136" w:rsidP="00902F19">
      <w:pPr>
        <w:rPr>
          <w:rFonts w:cs="Arial"/>
        </w:rPr>
      </w:pPr>
      <w:r w:rsidRPr="00794EC7">
        <w:t>To determine</w:t>
      </w:r>
      <w:r w:rsidR="005F5384" w:rsidRPr="00794EC7">
        <w:t xml:space="preserve"> the </w:t>
      </w:r>
      <w:r w:rsidR="00CA1338" w:rsidRPr="00794EC7">
        <w:t>anti-inflammatory</w:t>
      </w:r>
      <w:r w:rsidR="005F5384" w:rsidRPr="00794EC7">
        <w:t xml:space="preserve"> </w:t>
      </w:r>
      <w:r w:rsidR="00CA1338" w:rsidRPr="00794EC7">
        <w:t xml:space="preserve">capacity </w:t>
      </w:r>
      <w:r w:rsidR="005F5384" w:rsidRPr="00794EC7">
        <w:t xml:space="preserve">of milk EVs on </w:t>
      </w:r>
      <w:r w:rsidR="000F6F2C" w:rsidRPr="00794EC7">
        <w:t>BECs</w:t>
      </w:r>
      <w:r w:rsidR="00124134" w:rsidRPr="00794EC7">
        <w:t xml:space="preserve"> during viral</w:t>
      </w:r>
      <w:r w:rsidRPr="00794EC7">
        <w:t xml:space="preserve"> </w:t>
      </w:r>
      <w:r w:rsidR="00124134" w:rsidRPr="00794EC7">
        <w:t>induced</w:t>
      </w:r>
      <w:r w:rsidR="00B31ED3" w:rsidRPr="00794EC7">
        <w:t xml:space="preserve"> </w:t>
      </w:r>
      <w:r w:rsidR="00124134" w:rsidRPr="00794EC7">
        <w:t>inflammation</w:t>
      </w:r>
      <w:r w:rsidRPr="00794EC7">
        <w:t xml:space="preserve"> in the airways</w:t>
      </w:r>
      <w:r w:rsidR="0031397D" w:rsidRPr="00794EC7">
        <w:t>,</w:t>
      </w:r>
      <w:r w:rsidR="005F5384" w:rsidRPr="00794EC7">
        <w:t xml:space="preserve"> </w:t>
      </w:r>
      <w:r w:rsidR="00095ABC" w:rsidRPr="00794EC7">
        <w:rPr>
          <w:rFonts w:eastAsia="Arial Unicode MS" w:cs="Arial"/>
        </w:rPr>
        <w:t>b</w:t>
      </w:r>
      <w:r w:rsidR="00523A02" w:rsidRPr="00794EC7">
        <w:rPr>
          <w:rFonts w:eastAsia="Arial Unicode MS" w:cs="Arial"/>
        </w:rPr>
        <w:t>ronchial epithelial cells (16HBE14o-)</w:t>
      </w:r>
      <w:r w:rsidR="00334CE6" w:rsidRPr="00794EC7">
        <w:rPr>
          <w:rFonts w:eastAsia="Arial Unicode MS" w:cs="Arial"/>
        </w:rPr>
        <w:t xml:space="preserve"> were </w:t>
      </w:r>
      <w:r w:rsidR="009E1BC5" w:rsidRPr="00794EC7">
        <w:rPr>
          <w:rFonts w:cs="Arial"/>
        </w:rPr>
        <w:t>apically challeng</w:t>
      </w:r>
      <w:r w:rsidR="00334CE6" w:rsidRPr="00794EC7">
        <w:rPr>
          <w:rFonts w:cs="Arial"/>
        </w:rPr>
        <w:t>ed</w:t>
      </w:r>
      <w:r w:rsidR="009E1BC5" w:rsidRPr="00794EC7">
        <w:rPr>
          <w:rFonts w:cs="Arial"/>
        </w:rPr>
        <w:t xml:space="preserve"> </w:t>
      </w:r>
      <w:r w:rsidR="00523A02" w:rsidRPr="00794EC7">
        <w:rPr>
          <w:rFonts w:cs="Arial"/>
        </w:rPr>
        <w:t xml:space="preserve">after 5 days of growth </w:t>
      </w:r>
      <w:r w:rsidR="00E7363B" w:rsidRPr="00794EC7">
        <w:rPr>
          <w:rFonts w:eastAsia="Arial Unicode MS" w:cs="Arial"/>
        </w:rPr>
        <w:t>(</w:t>
      </w:r>
      <w:r w:rsidR="0060596C" w:rsidRPr="00794EC7">
        <w:rPr>
          <w:rFonts w:cs="Arial"/>
        </w:rPr>
        <w:t>ESI)</w:t>
      </w:r>
      <w:r w:rsidR="00E7363B" w:rsidRPr="00794EC7">
        <w:rPr>
          <w:rFonts w:eastAsia="Arial Unicode MS" w:cs="Arial"/>
        </w:rPr>
        <w:t xml:space="preserve"> </w:t>
      </w:r>
      <w:r w:rsidR="009E1BC5" w:rsidRPr="00794EC7">
        <w:rPr>
          <w:rFonts w:cs="Arial"/>
        </w:rPr>
        <w:t xml:space="preserve">with </w:t>
      </w:r>
      <w:r w:rsidR="002679E3" w:rsidRPr="00794EC7">
        <w:rPr>
          <w:rFonts w:cs="Arial"/>
        </w:rPr>
        <w:t>Poly</w:t>
      </w:r>
      <w:r w:rsidRPr="00794EC7">
        <w:rPr>
          <w:rFonts w:cs="Arial"/>
        </w:rPr>
        <w:t xml:space="preserve"> </w:t>
      </w:r>
      <w:r w:rsidR="007E274A" w:rsidRPr="00794EC7">
        <w:rPr>
          <w:rFonts w:cs="Arial"/>
        </w:rPr>
        <w:t>I:C (</w:t>
      </w:r>
      <w:r w:rsidR="00124134" w:rsidRPr="00794EC7">
        <w:rPr>
          <w:rFonts w:cs="Arial"/>
        </w:rPr>
        <w:t xml:space="preserve">a </w:t>
      </w:r>
      <w:r w:rsidR="009E1BC5" w:rsidRPr="00794EC7">
        <w:rPr>
          <w:rFonts w:cs="Arial"/>
        </w:rPr>
        <w:t>dsRNA analogue</w:t>
      </w:r>
      <w:r w:rsidR="003E1328" w:rsidRPr="00794EC7">
        <w:rPr>
          <w:rFonts w:cs="Arial"/>
        </w:rPr>
        <w:t xml:space="preserve"> recognized by TLR3</w:t>
      </w:r>
      <w:r w:rsidR="007E274A" w:rsidRPr="00794EC7">
        <w:rPr>
          <w:rFonts w:cs="Arial"/>
        </w:rPr>
        <w:t>)</w:t>
      </w:r>
      <w:r w:rsidR="008E5C9C" w:rsidRPr="00794EC7">
        <w:rPr>
          <w:rFonts w:cs="Arial"/>
        </w:rPr>
        <w:t xml:space="preserve"> in the presence and absence of EVs or EV-depleted controls (EV-</w:t>
      </w:r>
      <w:r w:rsidR="009209CD" w:rsidRPr="00794EC7">
        <w:rPr>
          <w:rFonts w:cs="Arial"/>
        </w:rPr>
        <w:t>dpl</w:t>
      </w:r>
      <w:r w:rsidR="008E5C9C" w:rsidRPr="00794EC7">
        <w:rPr>
          <w:rFonts w:cs="Arial"/>
        </w:rPr>
        <w:t>)</w:t>
      </w:r>
      <w:r w:rsidR="009E1BC5" w:rsidRPr="00794EC7">
        <w:rPr>
          <w:rFonts w:cs="Arial"/>
        </w:rPr>
        <w:t xml:space="preserve">. </w:t>
      </w:r>
      <w:r w:rsidR="008E5C9C" w:rsidRPr="00794EC7">
        <w:rPr>
          <w:rFonts w:cs="Arial"/>
        </w:rPr>
        <w:t xml:space="preserve">The barrier response was monitored over 24 hours. </w:t>
      </w:r>
      <w:r w:rsidR="001A0C47" w:rsidRPr="00794EC7">
        <w:rPr>
          <w:rFonts w:cs="Arial"/>
        </w:rPr>
        <w:t xml:space="preserve">For control cells without </w:t>
      </w:r>
      <w:r w:rsidR="002679E3" w:rsidRPr="00794EC7">
        <w:rPr>
          <w:rFonts w:cs="Arial"/>
        </w:rPr>
        <w:t>Poly</w:t>
      </w:r>
      <w:r w:rsidR="00CA1338" w:rsidRPr="00794EC7">
        <w:rPr>
          <w:rFonts w:cs="Arial"/>
        </w:rPr>
        <w:t xml:space="preserve"> I:C </w:t>
      </w:r>
      <w:r w:rsidR="008E5C9C" w:rsidRPr="00794EC7">
        <w:rPr>
          <w:rFonts w:cs="Arial"/>
        </w:rPr>
        <w:t>challenge</w:t>
      </w:r>
      <w:r w:rsidR="001A0C47" w:rsidRPr="00794EC7">
        <w:rPr>
          <w:rFonts w:cs="Arial"/>
        </w:rPr>
        <w:t xml:space="preserve"> (media contro</w:t>
      </w:r>
      <w:r w:rsidR="008E5C9C" w:rsidRPr="00794EC7">
        <w:rPr>
          <w:rFonts w:cs="Arial"/>
        </w:rPr>
        <w:t>l</w:t>
      </w:r>
      <w:r w:rsidR="001A0C47" w:rsidRPr="00794EC7">
        <w:rPr>
          <w:rFonts w:cs="Arial"/>
        </w:rPr>
        <w:t xml:space="preserve">), </w:t>
      </w:r>
      <w:r w:rsidR="008672AC" w:rsidRPr="00794EC7">
        <w:rPr>
          <w:rFonts w:cs="Arial"/>
        </w:rPr>
        <w:t xml:space="preserve">the TER remained </w:t>
      </w:r>
      <w:r w:rsidR="00581248" w:rsidRPr="00794EC7">
        <w:rPr>
          <w:rFonts w:cs="Arial"/>
        </w:rPr>
        <w:t xml:space="preserve">largely </w:t>
      </w:r>
      <w:r w:rsidR="001A0C47" w:rsidRPr="00794EC7">
        <w:rPr>
          <w:rFonts w:cs="Arial"/>
        </w:rPr>
        <w:t xml:space="preserve">unchanged </w:t>
      </w:r>
      <w:r w:rsidR="008672AC" w:rsidRPr="00794EC7">
        <w:rPr>
          <w:rFonts w:cs="Arial"/>
        </w:rPr>
        <w:t xml:space="preserve">during the first 5 hours </w:t>
      </w:r>
      <w:r w:rsidR="001A0C47" w:rsidRPr="00794EC7">
        <w:rPr>
          <w:rFonts w:cs="Arial"/>
        </w:rPr>
        <w:t xml:space="preserve">of measurement, declining </w:t>
      </w:r>
      <w:r w:rsidR="008672AC" w:rsidRPr="00794EC7">
        <w:rPr>
          <w:rFonts w:cs="Arial"/>
        </w:rPr>
        <w:t>gradually over 24 hours</w:t>
      </w:r>
      <w:r w:rsidR="00581248" w:rsidRPr="00794EC7">
        <w:rPr>
          <w:rFonts w:cs="Arial"/>
        </w:rPr>
        <w:t xml:space="preserve"> (Figure 1A)</w:t>
      </w:r>
      <w:r w:rsidR="008672AC" w:rsidRPr="00794EC7">
        <w:rPr>
          <w:rFonts w:cs="Arial"/>
        </w:rPr>
        <w:t xml:space="preserve">. A similar </w:t>
      </w:r>
      <w:r w:rsidR="001A0C47" w:rsidRPr="00794EC7">
        <w:rPr>
          <w:rFonts w:cs="Arial"/>
        </w:rPr>
        <w:t xml:space="preserve">trend in </w:t>
      </w:r>
      <w:r w:rsidR="008672AC" w:rsidRPr="00794EC7">
        <w:rPr>
          <w:rFonts w:cs="Arial"/>
        </w:rPr>
        <w:t xml:space="preserve">TER was observed when cells were exposed to milk EVs </w:t>
      </w:r>
      <w:r w:rsidR="006C421A" w:rsidRPr="00794EC7">
        <w:rPr>
          <w:rFonts w:cs="Arial"/>
        </w:rPr>
        <w:t xml:space="preserve">(Figure 1A) </w:t>
      </w:r>
      <w:r w:rsidR="008672AC" w:rsidRPr="00794EC7">
        <w:rPr>
          <w:rFonts w:cs="Arial"/>
        </w:rPr>
        <w:t>or the procedural EV-dpl control</w:t>
      </w:r>
      <w:r w:rsidR="006C421A" w:rsidRPr="00794EC7">
        <w:rPr>
          <w:rFonts w:cs="Arial"/>
        </w:rPr>
        <w:t xml:space="preserve"> (Figure 1B)</w:t>
      </w:r>
      <w:r w:rsidR="008672AC" w:rsidRPr="00794EC7">
        <w:rPr>
          <w:rFonts w:cs="Arial"/>
        </w:rPr>
        <w:t>,</w:t>
      </w:r>
      <w:r w:rsidR="001A0C47" w:rsidRPr="00794EC7">
        <w:rPr>
          <w:rFonts w:cs="Arial"/>
        </w:rPr>
        <w:t xml:space="preserve"> i</w:t>
      </w:r>
      <w:r w:rsidR="008672AC" w:rsidRPr="00794EC7">
        <w:rPr>
          <w:rFonts w:cs="Arial"/>
        </w:rPr>
        <w:t xml:space="preserve">ndicating no detrimental or stimulatory effects of milk EVs. In contrast, exposure </w:t>
      </w:r>
      <w:r w:rsidR="001A0C47" w:rsidRPr="00794EC7">
        <w:rPr>
          <w:rFonts w:cs="Arial"/>
        </w:rPr>
        <w:t xml:space="preserve">of cells </w:t>
      </w:r>
      <w:r w:rsidR="008672AC" w:rsidRPr="00794EC7">
        <w:rPr>
          <w:rFonts w:cs="Arial"/>
        </w:rPr>
        <w:t>to</w:t>
      </w:r>
      <w:r w:rsidR="00E7363B" w:rsidRPr="00794EC7">
        <w:rPr>
          <w:rFonts w:cs="Arial"/>
        </w:rPr>
        <w:t xml:space="preserve"> </w:t>
      </w:r>
      <w:r w:rsidR="002679E3" w:rsidRPr="00794EC7">
        <w:rPr>
          <w:rFonts w:cs="Arial"/>
        </w:rPr>
        <w:t>Poly</w:t>
      </w:r>
      <w:r w:rsidR="00E7363B" w:rsidRPr="00794EC7">
        <w:rPr>
          <w:rFonts w:cs="Arial"/>
        </w:rPr>
        <w:t xml:space="preserve"> I:C </w:t>
      </w:r>
      <w:r w:rsidR="00747DAD" w:rsidRPr="00794EC7">
        <w:rPr>
          <w:rFonts w:cs="Arial"/>
        </w:rPr>
        <w:t xml:space="preserve">reduced </w:t>
      </w:r>
      <w:r w:rsidR="001A0C47" w:rsidRPr="00794EC7">
        <w:rPr>
          <w:rFonts w:cs="Arial"/>
        </w:rPr>
        <w:t xml:space="preserve">the </w:t>
      </w:r>
      <w:r w:rsidR="008672AC" w:rsidRPr="00794EC7">
        <w:rPr>
          <w:rFonts w:cs="Arial"/>
        </w:rPr>
        <w:t xml:space="preserve">TER </w:t>
      </w:r>
      <w:r w:rsidR="0079686D" w:rsidRPr="00794EC7">
        <w:rPr>
          <w:rFonts w:cs="Arial"/>
        </w:rPr>
        <w:t xml:space="preserve">as expected </w:t>
      </w:r>
      <w:r w:rsidR="00464767" w:rsidRPr="00794EC7">
        <w:rPr>
          <w:rFonts w:cs="Arial"/>
        </w:rPr>
        <w:t xml:space="preserve">by over 50% </w:t>
      </w:r>
      <w:r w:rsidR="007B1C8D" w:rsidRPr="00794EC7">
        <w:rPr>
          <w:rFonts w:cs="Arial"/>
        </w:rPr>
        <w:t>in the first 3 hours after challenge</w:t>
      </w:r>
      <w:r w:rsidR="00BA679F" w:rsidRPr="00794EC7">
        <w:rPr>
          <w:rFonts w:cs="Arial"/>
        </w:rPr>
        <w:t>(Figure 1A</w:t>
      </w:r>
      <w:r w:rsidR="006C421A" w:rsidRPr="00794EC7">
        <w:rPr>
          <w:rFonts w:cs="Arial"/>
        </w:rPr>
        <w:t>/B</w:t>
      </w:r>
      <w:r w:rsidR="00BA679F" w:rsidRPr="00794EC7">
        <w:rPr>
          <w:rFonts w:cs="Arial"/>
        </w:rPr>
        <w:t>)</w:t>
      </w:r>
      <w:r w:rsidR="00E7363B" w:rsidRPr="00794EC7">
        <w:rPr>
          <w:rFonts w:cs="Arial"/>
        </w:rPr>
        <w:t xml:space="preserve">. </w:t>
      </w:r>
      <w:r w:rsidR="008672AC" w:rsidRPr="00794EC7">
        <w:rPr>
          <w:rFonts w:cs="Arial"/>
        </w:rPr>
        <w:t xml:space="preserve">Remarkedly, the </w:t>
      </w:r>
      <w:r w:rsidR="002679E3" w:rsidRPr="00794EC7">
        <w:rPr>
          <w:rFonts w:cs="Arial"/>
        </w:rPr>
        <w:t>Poly</w:t>
      </w:r>
      <w:r w:rsidR="008672AC" w:rsidRPr="00794EC7">
        <w:rPr>
          <w:rFonts w:cs="Arial"/>
        </w:rPr>
        <w:t xml:space="preserve"> I:C-induced loss in TER </w:t>
      </w:r>
      <w:r w:rsidR="0079686D" w:rsidRPr="00794EC7">
        <w:rPr>
          <w:rFonts w:cs="Arial"/>
        </w:rPr>
        <w:t xml:space="preserve">could be overcome by the presence of milk EVs </w:t>
      </w:r>
      <w:r w:rsidR="000F4B0F" w:rsidRPr="00794EC7">
        <w:rPr>
          <w:rFonts w:cs="Arial"/>
        </w:rPr>
        <w:t>(</w:t>
      </w:r>
      <w:r w:rsidR="000F4B0F" w:rsidRPr="00794EC7">
        <w:rPr>
          <w:rFonts w:cs="Arial"/>
        </w:rPr>
        <w:fldChar w:fldCharType="begin"/>
      </w:r>
      <w:r w:rsidR="000F4B0F" w:rsidRPr="00794EC7">
        <w:rPr>
          <w:rFonts w:cs="Arial"/>
        </w:rPr>
        <w:instrText xml:space="preserve"> REF _Ref86916558 \h </w:instrText>
      </w:r>
      <w:r w:rsidR="001A0C47" w:rsidRPr="00794EC7">
        <w:rPr>
          <w:rFonts w:cs="Arial"/>
        </w:rPr>
        <w:instrText xml:space="preserve"> \* MERGEFORMAT </w:instrText>
      </w:r>
      <w:r w:rsidR="000F4B0F" w:rsidRPr="00794EC7">
        <w:rPr>
          <w:rFonts w:cs="Arial"/>
        </w:rPr>
      </w:r>
      <w:r w:rsidR="000F4B0F" w:rsidRPr="00794EC7">
        <w:rPr>
          <w:rFonts w:cs="Arial"/>
        </w:rPr>
        <w:fldChar w:fldCharType="separate"/>
      </w:r>
      <w:r w:rsidR="000F4B0F" w:rsidRPr="00794EC7">
        <w:rPr>
          <w:color w:val="000000" w:themeColor="text1"/>
        </w:rPr>
        <w:t xml:space="preserve">Figure </w:t>
      </w:r>
      <w:r w:rsidR="000F4B0F" w:rsidRPr="00794EC7">
        <w:rPr>
          <w:noProof/>
          <w:color w:val="000000" w:themeColor="text1"/>
        </w:rPr>
        <w:t>1</w:t>
      </w:r>
      <w:r w:rsidR="000F4B0F" w:rsidRPr="00794EC7">
        <w:rPr>
          <w:rFonts w:cs="Arial"/>
        </w:rPr>
        <w:fldChar w:fldCharType="end"/>
      </w:r>
      <w:r w:rsidR="000F4B0F" w:rsidRPr="00794EC7">
        <w:rPr>
          <w:rFonts w:cs="Arial"/>
        </w:rPr>
        <w:t>A)</w:t>
      </w:r>
      <w:r w:rsidR="0077073B" w:rsidRPr="00794EC7">
        <w:rPr>
          <w:rFonts w:cs="Arial"/>
        </w:rPr>
        <w:t xml:space="preserve">, where </w:t>
      </w:r>
      <w:r w:rsidR="0015518D" w:rsidRPr="00794EC7">
        <w:rPr>
          <w:rFonts w:cs="Arial"/>
        </w:rPr>
        <w:t xml:space="preserve">the </w:t>
      </w:r>
      <w:r w:rsidR="0077073B" w:rsidRPr="00794EC7">
        <w:rPr>
          <w:rFonts w:cs="Arial"/>
        </w:rPr>
        <w:t>TER remained at</w:t>
      </w:r>
      <w:r w:rsidR="0015518D" w:rsidRPr="00794EC7">
        <w:rPr>
          <w:rFonts w:cs="Arial"/>
        </w:rPr>
        <w:t xml:space="preserve"> approximately 100% </w:t>
      </w:r>
      <w:r w:rsidR="0077073B" w:rsidRPr="00794EC7">
        <w:rPr>
          <w:rFonts w:cs="Arial"/>
        </w:rPr>
        <w:t xml:space="preserve">over the first 5 hours, </w:t>
      </w:r>
      <w:r w:rsidR="0015518D" w:rsidRPr="00794EC7">
        <w:rPr>
          <w:rFonts w:cs="Arial"/>
        </w:rPr>
        <w:t>reducing at 24 hours</w:t>
      </w:r>
      <w:r w:rsidR="0077073B" w:rsidRPr="00794EC7">
        <w:rPr>
          <w:rFonts w:cs="Arial"/>
        </w:rPr>
        <w:t xml:space="preserve"> </w:t>
      </w:r>
      <w:r w:rsidRPr="00794EC7">
        <w:rPr>
          <w:rFonts w:cs="Arial"/>
        </w:rPr>
        <w:t>similar to</w:t>
      </w:r>
      <w:r w:rsidR="0077073B" w:rsidRPr="00794EC7">
        <w:rPr>
          <w:rFonts w:cs="Arial"/>
        </w:rPr>
        <w:t xml:space="preserve"> the media control</w:t>
      </w:r>
      <w:r w:rsidR="0015518D" w:rsidRPr="00794EC7">
        <w:rPr>
          <w:rFonts w:cs="Arial"/>
        </w:rPr>
        <w:t xml:space="preserve">. </w:t>
      </w:r>
      <w:r w:rsidR="00E7363B" w:rsidRPr="00794EC7">
        <w:rPr>
          <w:rFonts w:cs="Arial"/>
        </w:rPr>
        <w:t>This contrasts</w:t>
      </w:r>
      <w:r w:rsidR="0015518D" w:rsidRPr="00794EC7">
        <w:rPr>
          <w:rFonts w:cs="Arial"/>
        </w:rPr>
        <w:t xml:space="preserve"> </w:t>
      </w:r>
      <w:r w:rsidR="00E7363B" w:rsidRPr="00794EC7">
        <w:rPr>
          <w:rFonts w:cs="Arial"/>
        </w:rPr>
        <w:t>with</w:t>
      </w:r>
      <w:r w:rsidR="0015518D" w:rsidRPr="00794EC7">
        <w:rPr>
          <w:rFonts w:cs="Arial"/>
        </w:rPr>
        <w:t xml:space="preserve"> </w:t>
      </w:r>
      <w:r w:rsidR="0077073B" w:rsidRPr="00794EC7">
        <w:rPr>
          <w:rFonts w:cs="Arial"/>
        </w:rPr>
        <w:t>the</w:t>
      </w:r>
      <w:r w:rsidR="00E7363B" w:rsidRPr="00794EC7">
        <w:rPr>
          <w:rFonts w:cs="Arial"/>
        </w:rPr>
        <w:t xml:space="preserve"> </w:t>
      </w:r>
      <w:r w:rsidR="002679E3" w:rsidRPr="00794EC7">
        <w:rPr>
          <w:rFonts w:cs="Arial"/>
        </w:rPr>
        <w:t>Poly</w:t>
      </w:r>
      <w:r w:rsidR="00AB045D" w:rsidRPr="00794EC7">
        <w:rPr>
          <w:rFonts w:cs="Arial"/>
        </w:rPr>
        <w:t xml:space="preserve"> I:C-induced loss in TER in the presence of </w:t>
      </w:r>
      <w:r w:rsidR="0015518D" w:rsidRPr="00794EC7">
        <w:rPr>
          <w:rFonts w:cs="Arial"/>
        </w:rPr>
        <w:t>EV-</w:t>
      </w:r>
      <w:r w:rsidR="003E1328" w:rsidRPr="00794EC7">
        <w:rPr>
          <w:rFonts w:cs="Arial"/>
        </w:rPr>
        <w:t>dpl</w:t>
      </w:r>
      <w:r w:rsidR="0015518D" w:rsidRPr="00794EC7">
        <w:rPr>
          <w:rFonts w:cs="Arial"/>
        </w:rPr>
        <w:t xml:space="preserve"> </w:t>
      </w:r>
      <w:r w:rsidR="0079686D" w:rsidRPr="00794EC7">
        <w:rPr>
          <w:rFonts w:cs="Arial"/>
        </w:rPr>
        <w:t>control</w:t>
      </w:r>
      <w:r w:rsidR="0077073B" w:rsidRPr="00794EC7">
        <w:rPr>
          <w:rFonts w:cs="Arial"/>
        </w:rPr>
        <w:t xml:space="preserve"> </w:t>
      </w:r>
      <w:r w:rsidR="0015518D" w:rsidRPr="00794EC7">
        <w:rPr>
          <w:rFonts w:cs="Arial"/>
        </w:rPr>
        <w:t>(</w:t>
      </w:r>
      <w:r w:rsidR="0015518D" w:rsidRPr="00794EC7">
        <w:rPr>
          <w:rFonts w:cs="Arial"/>
        </w:rPr>
        <w:fldChar w:fldCharType="begin"/>
      </w:r>
      <w:r w:rsidR="0015518D" w:rsidRPr="00794EC7">
        <w:rPr>
          <w:rFonts w:cs="Arial"/>
        </w:rPr>
        <w:instrText xml:space="preserve"> REF _Ref86916558 \h </w:instrText>
      </w:r>
      <w:r w:rsidR="001A0C47" w:rsidRPr="00794EC7">
        <w:rPr>
          <w:rFonts w:cs="Arial"/>
        </w:rPr>
        <w:instrText xml:space="preserve"> \* MERGEFORMAT </w:instrText>
      </w:r>
      <w:r w:rsidR="0015518D" w:rsidRPr="00794EC7">
        <w:rPr>
          <w:rFonts w:cs="Arial"/>
        </w:rPr>
      </w:r>
      <w:r w:rsidR="0015518D" w:rsidRPr="00794EC7">
        <w:rPr>
          <w:rFonts w:cs="Arial"/>
        </w:rPr>
        <w:fldChar w:fldCharType="separate"/>
      </w:r>
      <w:r w:rsidR="0015518D" w:rsidRPr="00794EC7">
        <w:rPr>
          <w:color w:val="000000" w:themeColor="text1"/>
        </w:rPr>
        <w:t xml:space="preserve">Figure </w:t>
      </w:r>
      <w:r w:rsidR="0015518D" w:rsidRPr="00794EC7">
        <w:rPr>
          <w:noProof/>
          <w:color w:val="000000" w:themeColor="text1"/>
        </w:rPr>
        <w:t>1</w:t>
      </w:r>
      <w:r w:rsidR="0015518D" w:rsidRPr="00794EC7">
        <w:rPr>
          <w:rFonts w:cs="Arial"/>
        </w:rPr>
        <w:fldChar w:fldCharType="end"/>
      </w:r>
      <w:r w:rsidR="0015518D" w:rsidRPr="00794EC7">
        <w:rPr>
          <w:rFonts w:cs="Arial"/>
        </w:rPr>
        <w:t>B)</w:t>
      </w:r>
      <w:r w:rsidR="00E7363B" w:rsidRPr="00794EC7">
        <w:rPr>
          <w:rFonts w:cs="Arial"/>
        </w:rPr>
        <w:t xml:space="preserve">, where </w:t>
      </w:r>
      <w:r w:rsidR="000F4B0F" w:rsidRPr="00794EC7">
        <w:rPr>
          <w:rFonts w:cs="Arial"/>
        </w:rPr>
        <w:t xml:space="preserve">the TER </w:t>
      </w:r>
      <w:r w:rsidR="00AB045D" w:rsidRPr="00794EC7">
        <w:rPr>
          <w:rFonts w:cs="Arial"/>
        </w:rPr>
        <w:t xml:space="preserve">already </w:t>
      </w:r>
      <w:r w:rsidR="000F4B0F" w:rsidRPr="00794EC7">
        <w:rPr>
          <w:rFonts w:cs="Arial"/>
        </w:rPr>
        <w:t>decreased</w:t>
      </w:r>
      <w:r w:rsidR="0015518D" w:rsidRPr="00794EC7">
        <w:rPr>
          <w:rFonts w:cs="Arial"/>
        </w:rPr>
        <w:t xml:space="preserve"> in the first hours</w:t>
      </w:r>
      <w:r w:rsidR="00AB045D" w:rsidRPr="00794EC7">
        <w:rPr>
          <w:rFonts w:cs="Arial"/>
        </w:rPr>
        <w:t>.</w:t>
      </w:r>
    </w:p>
    <w:p w14:paraId="6ACA681C" w14:textId="77777777" w:rsidR="00747DAD" w:rsidRPr="00794EC7" w:rsidRDefault="00747DAD" w:rsidP="00902F19">
      <w:pPr>
        <w:rPr>
          <w:rFonts w:cs="Arial"/>
        </w:rPr>
      </w:pPr>
    </w:p>
    <w:p w14:paraId="2D832C7E" w14:textId="195801C6" w:rsidR="007B1C8D" w:rsidRPr="00794EC7" w:rsidRDefault="00382D64" w:rsidP="00902F19">
      <w:pPr>
        <w:rPr>
          <w:rFonts w:cs="Arial"/>
        </w:rPr>
      </w:pPr>
      <w:r w:rsidRPr="00794EC7">
        <w:rPr>
          <w:rFonts w:cs="Arial"/>
        </w:rPr>
        <w:fldChar w:fldCharType="begin"/>
      </w:r>
      <w:r w:rsidRPr="00794EC7">
        <w:rPr>
          <w:rFonts w:cs="Arial"/>
        </w:rPr>
        <w:instrText xml:space="preserve"> REF _Ref86916558 \h </w:instrText>
      </w:r>
      <w:r w:rsidR="00902F19" w:rsidRPr="00794EC7">
        <w:rPr>
          <w:rFonts w:cs="Arial"/>
        </w:rPr>
        <w:instrText xml:space="preserve"> \* MERGEFORMAT </w:instrText>
      </w:r>
      <w:r w:rsidRPr="00794EC7">
        <w:rPr>
          <w:rFonts w:cs="Arial"/>
        </w:rPr>
      </w:r>
      <w:r w:rsidRPr="00794EC7">
        <w:rPr>
          <w:rFonts w:cs="Arial"/>
        </w:rPr>
        <w:fldChar w:fldCharType="separate"/>
      </w:r>
      <w:r w:rsidRPr="00794EC7">
        <w:rPr>
          <w:color w:val="000000" w:themeColor="text1"/>
        </w:rPr>
        <w:t xml:space="preserve">Figure </w:t>
      </w:r>
      <w:r w:rsidRPr="00794EC7">
        <w:rPr>
          <w:noProof/>
          <w:color w:val="000000" w:themeColor="text1"/>
        </w:rPr>
        <w:t>1</w:t>
      </w:r>
      <w:r w:rsidRPr="00794EC7">
        <w:rPr>
          <w:rFonts w:cs="Arial"/>
        </w:rPr>
        <w:fldChar w:fldCharType="end"/>
      </w:r>
      <w:r w:rsidR="0015518D" w:rsidRPr="00794EC7">
        <w:rPr>
          <w:rFonts w:cs="Arial"/>
        </w:rPr>
        <w:t>C</w:t>
      </w:r>
      <w:r w:rsidR="0093248D" w:rsidRPr="00794EC7">
        <w:rPr>
          <w:rFonts w:cs="Arial"/>
        </w:rPr>
        <w:t xml:space="preserve"> </w:t>
      </w:r>
      <w:r w:rsidR="004C0A2E" w:rsidRPr="00794EC7">
        <w:rPr>
          <w:rFonts w:cs="Arial"/>
        </w:rPr>
        <w:t>summarises th</w:t>
      </w:r>
      <w:r w:rsidR="00937FA7" w:rsidRPr="00794EC7">
        <w:rPr>
          <w:rFonts w:cs="Arial"/>
        </w:rPr>
        <w:t>ese</w:t>
      </w:r>
      <w:r w:rsidR="004C0A2E" w:rsidRPr="00794EC7">
        <w:rPr>
          <w:rFonts w:cs="Arial"/>
        </w:rPr>
        <w:t xml:space="preserve"> data in terms of </w:t>
      </w:r>
      <w:r w:rsidR="0093248D" w:rsidRPr="00794EC7">
        <w:rPr>
          <w:rFonts w:cs="Arial"/>
        </w:rPr>
        <w:t xml:space="preserve">mean </w:t>
      </w:r>
      <w:r w:rsidR="00335256" w:rsidRPr="00794EC7">
        <w:rPr>
          <w:rFonts w:cs="Arial"/>
        </w:rPr>
        <w:t>(</w:t>
      </w:r>
      <w:r w:rsidR="0093248D" w:rsidRPr="00794EC7">
        <w:rPr>
          <w:rFonts w:cs="Arial"/>
        </w:rPr>
        <w:t>normalised</w:t>
      </w:r>
      <w:r w:rsidR="00335256" w:rsidRPr="00794EC7">
        <w:rPr>
          <w:rFonts w:cs="Arial"/>
        </w:rPr>
        <w:t>)</w:t>
      </w:r>
      <w:r w:rsidR="0093248D" w:rsidRPr="00794EC7">
        <w:rPr>
          <w:rFonts w:cs="Arial"/>
        </w:rPr>
        <w:t xml:space="preserve"> TER 24 hours</w:t>
      </w:r>
      <w:r w:rsidR="00E7363B" w:rsidRPr="00794EC7">
        <w:rPr>
          <w:rFonts w:cs="Arial"/>
        </w:rPr>
        <w:t xml:space="preserve"> post challenge</w:t>
      </w:r>
      <w:r w:rsidR="00335256" w:rsidRPr="00794EC7">
        <w:rPr>
          <w:rFonts w:cs="Arial"/>
        </w:rPr>
        <w:t>. T</w:t>
      </w:r>
      <w:r w:rsidR="0084372D" w:rsidRPr="00794EC7">
        <w:rPr>
          <w:rFonts w:cs="Arial"/>
        </w:rPr>
        <w:t xml:space="preserve">here was no significant difference between </w:t>
      </w:r>
      <w:r w:rsidR="00245284" w:rsidRPr="00794EC7">
        <w:rPr>
          <w:rFonts w:cs="Arial"/>
        </w:rPr>
        <w:t xml:space="preserve">the </w:t>
      </w:r>
      <w:r w:rsidR="0084372D" w:rsidRPr="00794EC7">
        <w:rPr>
          <w:rFonts w:cs="Arial"/>
        </w:rPr>
        <w:t>media control</w:t>
      </w:r>
      <w:r w:rsidR="00245284" w:rsidRPr="00794EC7">
        <w:rPr>
          <w:rFonts w:cs="Arial"/>
        </w:rPr>
        <w:t>s in the absence o</w:t>
      </w:r>
      <w:r w:rsidR="00D508D7" w:rsidRPr="00794EC7">
        <w:rPr>
          <w:rFonts w:cs="Arial"/>
        </w:rPr>
        <w:t xml:space="preserve">r </w:t>
      </w:r>
      <w:r w:rsidR="00245284" w:rsidRPr="00794EC7">
        <w:rPr>
          <w:rFonts w:cs="Arial"/>
        </w:rPr>
        <w:t>presen</w:t>
      </w:r>
      <w:r w:rsidR="00D508D7" w:rsidRPr="00794EC7">
        <w:rPr>
          <w:rFonts w:cs="Arial"/>
        </w:rPr>
        <w:t>ce of</w:t>
      </w:r>
      <w:r w:rsidR="0077073B" w:rsidRPr="00794EC7">
        <w:rPr>
          <w:rFonts w:cs="Arial"/>
        </w:rPr>
        <w:t xml:space="preserve"> </w:t>
      </w:r>
      <w:r w:rsidR="0084372D" w:rsidRPr="00794EC7">
        <w:rPr>
          <w:rFonts w:cs="Arial"/>
        </w:rPr>
        <w:t>EV-</w:t>
      </w:r>
      <w:r w:rsidR="003E1328" w:rsidRPr="00794EC7">
        <w:rPr>
          <w:rFonts w:cs="Arial"/>
        </w:rPr>
        <w:t>dpl</w:t>
      </w:r>
      <w:r w:rsidR="0084372D" w:rsidRPr="00794EC7">
        <w:rPr>
          <w:rFonts w:cs="Arial"/>
        </w:rPr>
        <w:t xml:space="preserve"> </w:t>
      </w:r>
      <w:r w:rsidR="00D508D7" w:rsidRPr="00794EC7">
        <w:rPr>
          <w:rFonts w:cs="Arial"/>
        </w:rPr>
        <w:t>control or milk EVs</w:t>
      </w:r>
      <w:r w:rsidR="0077073B" w:rsidRPr="00794EC7">
        <w:rPr>
          <w:rFonts w:cs="Arial"/>
        </w:rPr>
        <w:t xml:space="preserve">. </w:t>
      </w:r>
      <w:r w:rsidR="00F7707E" w:rsidRPr="00794EC7">
        <w:rPr>
          <w:rFonts w:cs="Arial"/>
        </w:rPr>
        <w:t xml:space="preserve">This </w:t>
      </w:r>
      <w:r w:rsidR="00937FA7" w:rsidRPr="00794EC7">
        <w:rPr>
          <w:rFonts w:cs="Arial"/>
        </w:rPr>
        <w:t xml:space="preserve">was </w:t>
      </w:r>
      <w:r w:rsidR="003648D9" w:rsidRPr="00794EC7">
        <w:rPr>
          <w:rFonts w:cs="Arial"/>
        </w:rPr>
        <w:t>in sharp contrast</w:t>
      </w:r>
      <w:r w:rsidR="00F7707E" w:rsidRPr="00794EC7">
        <w:rPr>
          <w:rFonts w:cs="Arial"/>
        </w:rPr>
        <w:t xml:space="preserve"> with</w:t>
      </w:r>
      <w:r w:rsidR="008E5C9C" w:rsidRPr="00794EC7">
        <w:rPr>
          <w:rFonts w:cs="Arial"/>
        </w:rPr>
        <w:t xml:space="preserve"> the TER of </w:t>
      </w:r>
      <w:r w:rsidR="00937FA7" w:rsidRPr="00794EC7">
        <w:rPr>
          <w:rFonts w:cs="Arial"/>
        </w:rPr>
        <w:t>cells</w:t>
      </w:r>
      <w:r w:rsidR="008E5C9C" w:rsidRPr="00794EC7">
        <w:rPr>
          <w:rFonts w:cs="Arial"/>
        </w:rPr>
        <w:t xml:space="preserve"> challenged with </w:t>
      </w:r>
      <w:r w:rsidR="002679E3" w:rsidRPr="00794EC7">
        <w:rPr>
          <w:rFonts w:cs="Arial"/>
        </w:rPr>
        <w:t>Poly</w:t>
      </w:r>
      <w:r w:rsidR="008E5C9C" w:rsidRPr="00794EC7">
        <w:rPr>
          <w:rFonts w:cs="Arial"/>
        </w:rPr>
        <w:t xml:space="preserve"> I:C alone </w:t>
      </w:r>
      <w:r w:rsidR="00F7707E" w:rsidRPr="00794EC7">
        <w:rPr>
          <w:rFonts w:cs="Arial"/>
        </w:rPr>
        <w:t>which was</w:t>
      </w:r>
      <w:r w:rsidR="008E5C9C" w:rsidRPr="00794EC7">
        <w:rPr>
          <w:rFonts w:cs="Arial"/>
        </w:rPr>
        <w:t xml:space="preserve"> significantly reduced at 24 hours</w:t>
      </w:r>
      <w:r w:rsidR="00F7707E" w:rsidRPr="00794EC7">
        <w:rPr>
          <w:rFonts w:cs="Arial"/>
        </w:rPr>
        <w:t xml:space="preserve">. Addition of </w:t>
      </w:r>
      <w:r w:rsidR="008E5C9C" w:rsidRPr="00794EC7">
        <w:rPr>
          <w:rFonts w:cs="Arial"/>
        </w:rPr>
        <w:t>EV</w:t>
      </w:r>
      <w:r w:rsidR="0094423E" w:rsidRPr="00794EC7">
        <w:rPr>
          <w:rFonts w:cs="Arial"/>
        </w:rPr>
        <w:t>s</w:t>
      </w:r>
      <w:r w:rsidR="008E5C9C" w:rsidRPr="00794EC7">
        <w:rPr>
          <w:rFonts w:cs="Arial"/>
        </w:rPr>
        <w:t xml:space="preserve"> </w:t>
      </w:r>
      <w:r w:rsidR="00F7707E" w:rsidRPr="00794EC7">
        <w:rPr>
          <w:rFonts w:cs="Arial"/>
        </w:rPr>
        <w:t xml:space="preserve">to </w:t>
      </w:r>
      <w:r w:rsidR="002679E3" w:rsidRPr="00794EC7">
        <w:rPr>
          <w:rFonts w:cs="Arial"/>
        </w:rPr>
        <w:t>Poly</w:t>
      </w:r>
      <w:r w:rsidR="00F7707E" w:rsidRPr="00794EC7">
        <w:rPr>
          <w:rFonts w:cs="Arial"/>
        </w:rPr>
        <w:t xml:space="preserve"> I:C</w:t>
      </w:r>
      <w:r w:rsidR="00937FA7" w:rsidRPr="00794EC7">
        <w:rPr>
          <w:rFonts w:cs="Arial"/>
        </w:rPr>
        <w:t xml:space="preserve"> challenged cells</w:t>
      </w:r>
      <w:r w:rsidR="0094423E" w:rsidRPr="00794EC7">
        <w:rPr>
          <w:rFonts w:cs="Arial"/>
        </w:rPr>
        <w:t xml:space="preserve"> </w:t>
      </w:r>
      <w:r w:rsidR="008E5C9C" w:rsidRPr="00794EC7">
        <w:rPr>
          <w:rFonts w:cs="Arial"/>
        </w:rPr>
        <w:t>rever</w:t>
      </w:r>
      <w:r w:rsidR="0094423E" w:rsidRPr="00794EC7">
        <w:rPr>
          <w:rFonts w:cs="Arial"/>
        </w:rPr>
        <w:t>se</w:t>
      </w:r>
      <w:r w:rsidR="00937FA7" w:rsidRPr="00794EC7">
        <w:rPr>
          <w:rFonts w:cs="Arial"/>
        </w:rPr>
        <w:t>d</w:t>
      </w:r>
      <w:r w:rsidR="0094423E" w:rsidRPr="00794EC7">
        <w:rPr>
          <w:rFonts w:cs="Arial"/>
        </w:rPr>
        <w:t xml:space="preserve"> the decline in </w:t>
      </w:r>
      <w:r w:rsidR="00937FA7" w:rsidRPr="00794EC7">
        <w:rPr>
          <w:rFonts w:cs="Arial"/>
        </w:rPr>
        <w:t>TER</w:t>
      </w:r>
      <w:r w:rsidR="0094423E" w:rsidRPr="00794EC7">
        <w:rPr>
          <w:rFonts w:cs="Arial"/>
        </w:rPr>
        <w:t xml:space="preserve"> substantially, whilst EV-dpl samples demonstrate</w:t>
      </w:r>
      <w:r w:rsidR="00937FA7" w:rsidRPr="00794EC7">
        <w:rPr>
          <w:rFonts w:cs="Arial"/>
        </w:rPr>
        <w:t>d</w:t>
      </w:r>
      <w:r w:rsidR="0094423E" w:rsidRPr="00794EC7">
        <w:rPr>
          <w:rFonts w:cs="Arial"/>
        </w:rPr>
        <w:t xml:space="preserve"> subdued protection. </w:t>
      </w:r>
    </w:p>
    <w:p w14:paraId="0F437D9D" w14:textId="77777777" w:rsidR="007B1C8D" w:rsidRPr="00794EC7" w:rsidRDefault="007B1C8D" w:rsidP="00902F19">
      <w:pPr>
        <w:rPr>
          <w:rFonts w:cs="Arial"/>
        </w:rPr>
      </w:pPr>
    </w:p>
    <w:p w14:paraId="68FAF7F8" w14:textId="6A0D71BB" w:rsidR="007B1C8D" w:rsidRPr="00794EC7" w:rsidRDefault="007B1C8D" w:rsidP="00902F19">
      <w:pPr>
        <w:rPr>
          <w:rFonts w:cs="Arial"/>
        </w:rPr>
      </w:pPr>
    </w:p>
    <w:p w14:paraId="1E71BCD6" w14:textId="6B12E91B" w:rsidR="00FB7A8D" w:rsidRPr="00794EC7" w:rsidRDefault="009719B7" w:rsidP="00902F19">
      <w:pPr>
        <w:rPr>
          <w:rFonts w:cs="Arial"/>
        </w:rPr>
      </w:pPr>
      <w:r w:rsidRPr="00794EC7">
        <w:rPr>
          <w:rFonts w:cs="Arial"/>
          <w:noProof/>
        </w:rPr>
        <w:lastRenderedPageBreak/>
        <w:drawing>
          <wp:inline distT="0" distB="0" distL="0" distR="0" wp14:anchorId="4F85A506" wp14:editId="3E21521B">
            <wp:extent cx="5731510" cy="4292600"/>
            <wp:effectExtent l="0" t="0" r="0" b="0"/>
            <wp:docPr id="3" name="Picture 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screen&#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2600"/>
                    </a:xfrm>
                    <a:prstGeom prst="rect">
                      <a:avLst/>
                    </a:prstGeom>
                  </pic:spPr>
                </pic:pic>
              </a:graphicData>
            </a:graphic>
          </wp:inline>
        </w:drawing>
      </w:r>
    </w:p>
    <w:p w14:paraId="612B70DA" w14:textId="11D35B52" w:rsidR="0015518D" w:rsidRPr="00794EC7" w:rsidRDefault="00FB7A8D" w:rsidP="00902F19">
      <w:pPr>
        <w:pStyle w:val="Caption"/>
        <w:rPr>
          <w:rFonts w:cs="Arial"/>
          <w:color w:val="000000" w:themeColor="text1"/>
        </w:rPr>
      </w:pPr>
      <w:bookmarkStart w:id="0" w:name="_Ref86916558"/>
      <w:r w:rsidRPr="00794EC7">
        <w:rPr>
          <w:color w:val="000000" w:themeColor="text1"/>
        </w:rPr>
        <w:t xml:space="preserve">Figure </w:t>
      </w:r>
      <w:r w:rsidRPr="00794EC7">
        <w:rPr>
          <w:color w:val="000000" w:themeColor="text1"/>
        </w:rPr>
        <w:fldChar w:fldCharType="begin"/>
      </w:r>
      <w:r w:rsidRPr="00794EC7">
        <w:rPr>
          <w:color w:val="000000" w:themeColor="text1"/>
        </w:rPr>
        <w:instrText xml:space="preserve"> SEQ Figure \* ARABIC </w:instrText>
      </w:r>
      <w:r w:rsidRPr="00794EC7">
        <w:rPr>
          <w:color w:val="000000" w:themeColor="text1"/>
        </w:rPr>
        <w:fldChar w:fldCharType="separate"/>
      </w:r>
      <w:r w:rsidR="00193DED" w:rsidRPr="00794EC7">
        <w:rPr>
          <w:noProof/>
          <w:color w:val="000000" w:themeColor="text1"/>
        </w:rPr>
        <w:t>1</w:t>
      </w:r>
      <w:r w:rsidRPr="00794EC7">
        <w:rPr>
          <w:color w:val="000000" w:themeColor="text1"/>
        </w:rPr>
        <w:fldChar w:fldCharType="end"/>
      </w:r>
      <w:bookmarkEnd w:id="0"/>
      <w:r w:rsidR="002022BA" w:rsidRPr="00794EC7">
        <w:rPr>
          <w:color w:val="000000" w:themeColor="text1"/>
        </w:rPr>
        <w:t xml:space="preserve">: </w:t>
      </w:r>
      <w:r w:rsidR="001D71FC" w:rsidRPr="00794EC7">
        <w:rPr>
          <w:b/>
          <w:bCs/>
          <w:color w:val="000000" w:themeColor="text1"/>
        </w:rPr>
        <w:t>B</w:t>
      </w:r>
      <w:r w:rsidR="004E5857" w:rsidRPr="00794EC7">
        <w:rPr>
          <w:b/>
          <w:bCs/>
          <w:color w:val="000000" w:themeColor="text1"/>
        </w:rPr>
        <w:t>ronchial epitheli</w:t>
      </w:r>
      <w:r w:rsidR="00070269" w:rsidRPr="00794EC7">
        <w:rPr>
          <w:b/>
          <w:bCs/>
          <w:color w:val="000000" w:themeColor="text1"/>
        </w:rPr>
        <w:t>al</w:t>
      </w:r>
      <w:r w:rsidR="004E5857" w:rsidRPr="00794EC7">
        <w:rPr>
          <w:b/>
          <w:bCs/>
          <w:color w:val="000000" w:themeColor="text1"/>
        </w:rPr>
        <w:t xml:space="preserve"> barrier integrity </w:t>
      </w:r>
      <w:r w:rsidR="001D71FC" w:rsidRPr="00794EC7">
        <w:rPr>
          <w:b/>
          <w:bCs/>
          <w:color w:val="000000" w:themeColor="text1"/>
        </w:rPr>
        <w:t>as a function of time</w:t>
      </w:r>
      <w:r w:rsidR="004E5857" w:rsidRPr="00794EC7">
        <w:rPr>
          <w:b/>
          <w:bCs/>
          <w:color w:val="000000" w:themeColor="text1"/>
        </w:rPr>
        <w:t xml:space="preserve"> following challenge with </w:t>
      </w:r>
      <w:r w:rsidR="002679E3" w:rsidRPr="00794EC7">
        <w:rPr>
          <w:b/>
          <w:bCs/>
          <w:color w:val="000000" w:themeColor="text1"/>
        </w:rPr>
        <w:t>Poly</w:t>
      </w:r>
      <w:r w:rsidR="00F7707E" w:rsidRPr="00794EC7">
        <w:rPr>
          <w:b/>
          <w:bCs/>
          <w:color w:val="000000" w:themeColor="text1"/>
        </w:rPr>
        <w:t xml:space="preserve"> I:C</w:t>
      </w:r>
      <w:r w:rsidR="004E5857" w:rsidRPr="00794EC7">
        <w:rPr>
          <w:b/>
          <w:bCs/>
          <w:color w:val="000000" w:themeColor="text1"/>
        </w:rPr>
        <w:t xml:space="preserve"> and milk EVs</w:t>
      </w:r>
      <w:r w:rsidR="004E5857" w:rsidRPr="00794EC7">
        <w:rPr>
          <w:color w:val="000000" w:themeColor="text1"/>
        </w:rPr>
        <w:t xml:space="preserve">. </w:t>
      </w:r>
      <w:r w:rsidR="008D497C" w:rsidRPr="00794EC7">
        <w:rPr>
          <w:color w:val="000000" w:themeColor="text1"/>
        </w:rPr>
        <w:t xml:space="preserve">Polarised </w:t>
      </w:r>
      <w:r w:rsidR="008D497C" w:rsidRPr="00794EC7">
        <w:rPr>
          <w:rFonts w:cs="Arial"/>
          <w:color w:val="000000" w:themeColor="text1"/>
        </w:rPr>
        <w:t xml:space="preserve">16HBE14o- cells were apically challenged with Poly I:C (5 </w:t>
      </w:r>
      <w:r w:rsidR="008D497C" w:rsidRPr="00794EC7">
        <w:rPr>
          <w:rFonts w:eastAsia="Arial Unicode MS" w:cs="Arial"/>
          <w:color w:val="000000" w:themeColor="text1"/>
        </w:rPr>
        <w:t>μ</w:t>
      </w:r>
      <w:r w:rsidR="008D497C" w:rsidRPr="00794EC7">
        <w:rPr>
          <w:rFonts w:cs="Arial"/>
          <w:color w:val="000000" w:themeColor="text1"/>
        </w:rPr>
        <w:t xml:space="preserve">g/mL) in the presence or absence (100 </w:t>
      </w:r>
      <w:r w:rsidR="008D497C" w:rsidRPr="00794EC7">
        <w:rPr>
          <w:rFonts w:ascii="Symbol" w:hAnsi="Symbol" w:cs="Arial"/>
          <w:color w:val="000000" w:themeColor="text1"/>
        </w:rPr>
        <w:t></w:t>
      </w:r>
      <w:r w:rsidR="008D497C" w:rsidRPr="00794EC7">
        <w:rPr>
          <w:rFonts w:cs="Arial"/>
          <w:color w:val="000000" w:themeColor="text1"/>
        </w:rPr>
        <w:t xml:space="preserve">L) of EV or EV-DPL samples and the TER measured periodically over a 24-hour period. </w:t>
      </w:r>
      <w:r w:rsidR="004E5857" w:rsidRPr="00794EC7">
        <w:rPr>
          <w:color w:val="000000" w:themeColor="text1"/>
        </w:rPr>
        <w:t xml:space="preserve">(A) </w:t>
      </w:r>
      <w:r w:rsidR="001D71FC" w:rsidRPr="00794EC7">
        <w:rPr>
          <w:color w:val="000000" w:themeColor="text1"/>
        </w:rPr>
        <w:t>is</w:t>
      </w:r>
      <w:r w:rsidR="004E5857" w:rsidRPr="00794EC7">
        <w:rPr>
          <w:color w:val="000000" w:themeColor="text1"/>
        </w:rPr>
        <w:t xml:space="preserve"> EV data with control media and </w:t>
      </w:r>
      <w:r w:rsidR="002679E3" w:rsidRPr="00794EC7">
        <w:rPr>
          <w:color w:val="000000" w:themeColor="text1"/>
        </w:rPr>
        <w:t>Poly</w:t>
      </w:r>
      <w:r w:rsidR="004E5857" w:rsidRPr="00794EC7">
        <w:rPr>
          <w:color w:val="000000" w:themeColor="text1"/>
        </w:rPr>
        <w:t xml:space="preserve"> I:C (PIC)</w:t>
      </w:r>
      <w:r w:rsidR="00101989" w:rsidRPr="00794EC7">
        <w:rPr>
          <w:color w:val="000000" w:themeColor="text1"/>
        </w:rPr>
        <w:t>;</w:t>
      </w:r>
      <w:r w:rsidR="006145AC" w:rsidRPr="00794EC7">
        <w:rPr>
          <w:color w:val="000000" w:themeColor="text1"/>
        </w:rPr>
        <w:t xml:space="preserve"> </w:t>
      </w:r>
      <w:r w:rsidR="004E5857" w:rsidRPr="00794EC7">
        <w:rPr>
          <w:color w:val="000000" w:themeColor="text1"/>
        </w:rPr>
        <w:t>(</w:t>
      </w:r>
      <w:r w:rsidR="0015518D" w:rsidRPr="00794EC7">
        <w:rPr>
          <w:color w:val="000000" w:themeColor="text1"/>
        </w:rPr>
        <w:t>B</w:t>
      </w:r>
      <w:r w:rsidR="004E5857" w:rsidRPr="00794EC7">
        <w:rPr>
          <w:color w:val="000000" w:themeColor="text1"/>
        </w:rPr>
        <w:t>)</w:t>
      </w:r>
      <w:r w:rsidR="0015518D" w:rsidRPr="00794EC7">
        <w:rPr>
          <w:color w:val="000000" w:themeColor="text1"/>
        </w:rPr>
        <w:t xml:space="preserve"> </w:t>
      </w:r>
      <w:r w:rsidR="006145AC" w:rsidRPr="00794EC7">
        <w:rPr>
          <w:color w:val="000000" w:themeColor="text1"/>
        </w:rPr>
        <w:t xml:space="preserve">is </w:t>
      </w:r>
      <w:r w:rsidR="004E5857" w:rsidRPr="00794EC7">
        <w:rPr>
          <w:color w:val="000000" w:themeColor="text1"/>
        </w:rPr>
        <w:t>the corresponding EV-</w:t>
      </w:r>
      <w:r w:rsidR="003E1328" w:rsidRPr="00794EC7">
        <w:rPr>
          <w:color w:val="000000" w:themeColor="text1"/>
        </w:rPr>
        <w:t>dpl</w:t>
      </w:r>
      <w:r w:rsidR="004E5857" w:rsidRPr="00794EC7">
        <w:rPr>
          <w:color w:val="000000" w:themeColor="text1"/>
        </w:rPr>
        <w:t xml:space="preserve"> data</w:t>
      </w:r>
      <w:r w:rsidR="0015518D" w:rsidRPr="00794EC7">
        <w:rPr>
          <w:color w:val="000000" w:themeColor="text1"/>
        </w:rPr>
        <w:t xml:space="preserve"> and (C) </w:t>
      </w:r>
      <w:r w:rsidR="00245284" w:rsidRPr="00794EC7">
        <w:rPr>
          <w:color w:val="000000" w:themeColor="text1"/>
        </w:rPr>
        <w:t xml:space="preserve">Normalised TER values of </w:t>
      </w:r>
      <w:r w:rsidR="0015518D" w:rsidRPr="00794EC7">
        <w:rPr>
          <w:color w:val="000000" w:themeColor="text1"/>
        </w:rPr>
        <w:t xml:space="preserve">the </w:t>
      </w:r>
      <w:r w:rsidR="009F490D" w:rsidRPr="00794EC7">
        <w:rPr>
          <w:color w:val="000000" w:themeColor="text1"/>
        </w:rPr>
        <w:t>24-hour</w:t>
      </w:r>
      <w:r w:rsidR="0015518D" w:rsidRPr="00794EC7">
        <w:rPr>
          <w:color w:val="000000" w:themeColor="text1"/>
        </w:rPr>
        <w:t xml:space="preserve"> time point</w:t>
      </w:r>
      <w:r w:rsidR="00E2116B" w:rsidRPr="00794EC7">
        <w:rPr>
          <w:color w:val="000000" w:themeColor="text1"/>
        </w:rPr>
        <w:t>s</w:t>
      </w:r>
      <w:r w:rsidR="004E5857" w:rsidRPr="00794EC7">
        <w:rPr>
          <w:color w:val="000000" w:themeColor="text1"/>
        </w:rPr>
        <w:t>.</w:t>
      </w:r>
      <w:r w:rsidR="001F131C" w:rsidRPr="00794EC7">
        <w:rPr>
          <w:color w:val="000000" w:themeColor="text1"/>
        </w:rPr>
        <w:t xml:space="preserve"> </w:t>
      </w:r>
      <w:r w:rsidR="00245284" w:rsidRPr="00794EC7">
        <w:rPr>
          <w:color w:val="000000" w:themeColor="text1"/>
        </w:rPr>
        <w:t xml:space="preserve">The TER is normalised to the value at day 5 (100%). </w:t>
      </w:r>
      <w:r w:rsidR="00070269" w:rsidRPr="00794EC7">
        <w:rPr>
          <w:color w:val="000000" w:themeColor="text1"/>
        </w:rPr>
        <w:t>Results are</w:t>
      </w:r>
      <w:r w:rsidR="002679E3" w:rsidRPr="00794EC7">
        <w:rPr>
          <w:color w:val="000000" w:themeColor="text1"/>
        </w:rPr>
        <w:t xml:space="preserve"> the</w:t>
      </w:r>
      <w:r w:rsidR="00070269" w:rsidRPr="00794EC7">
        <w:rPr>
          <w:color w:val="000000" w:themeColor="text1"/>
        </w:rPr>
        <w:t xml:space="preserve"> average </w:t>
      </w:r>
      <w:r w:rsidR="00070269" w:rsidRPr="00794EC7">
        <w:rPr>
          <w:rFonts w:cs="Arial"/>
          <w:color w:val="000000" w:themeColor="text1"/>
        </w:rPr>
        <w:t>±</w:t>
      </w:r>
      <w:r w:rsidR="00070269" w:rsidRPr="00794EC7">
        <w:rPr>
          <w:color w:val="000000" w:themeColor="text1"/>
        </w:rPr>
        <w:t xml:space="preserve"> standard deviation of </w:t>
      </w:r>
      <w:r w:rsidR="00070269" w:rsidRPr="00794EC7">
        <w:rPr>
          <w:rFonts w:eastAsia="Arial Unicode MS" w:cs="Arial"/>
          <w:color w:val="000000" w:themeColor="text1"/>
        </w:rPr>
        <w:t>n=3 repeats in triplicate (3 milk donors in singlet).</w:t>
      </w:r>
      <w:r w:rsidR="002679E3" w:rsidRPr="00794EC7">
        <w:rPr>
          <w:rFonts w:eastAsia="Arial Unicode MS" w:cs="Arial"/>
          <w:color w:val="000000" w:themeColor="text1"/>
        </w:rPr>
        <w:t xml:space="preserve"> The different symbols detail the significance of multiple comparisons: </w:t>
      </w:r>
      <w:r w:rsidR="002679E3" w:rsidRPr="00794EC7">
        <w:rPr>
          <w:rFonts w:cs="Arial"/>
          <w:color w:val="000000" w:themeColor="text1"/>
        </w:rPr>
        <w:t>●●● p≤0.001 vs media control, ♦ p≤0.05 and ♦♦p≤0.01 vs Poly I:C as determined by one-way ANOVA with Bonferroni correction for multiple testing.</w:t>
      </w:r>
    </w:p>
    <w:p w14:paraId="5626B9E8" w14:textId="1CB8F3BC" w:rsidR="00D01DF2" w:rsidRPr="00794EC7" w:rsidRDefault="003E1328" w:rsidP="00902F19">
      <w:pPr>
        <w:pStyle w:val="Heading1"/>
      </w:pPr>
      <w:r w:rsidRPr="00794EC7">
        <w:t>Milk EVs</w:t>
      </w:r>
      <w:r w:rsidR="00D01DF2" w:rsidRPr="00794EC7">
        <w:t xml:space="preserve"> Modulate Inflammatory Cytokine</w:t>
      </w:r>
      <w:r w:rsidRPr="00794EC7">
        <w:t xml:space="preserve"> production</w:t>
      </w:r>
      <w:r w:rsidR="00D01DF2" w:rsidRPr="00794EC7">
        <w:t xml:space="preserve"> </w:t>
      </w:r>
      <w:r w:rsidRPr="00794EC7">
        <w:t>during</w:t>
      </w:r>
      <w:r w:rsidR="00D01DF2" w:rsidRPr="00794EC7">
        <w:t xml:space="preserve"> Stimulation </w:t>
      </w:r>
      <w:r w:rsidR="000F6F2C" w:rsidRPr="00794EC7">
        <w:t xml:space="preserve">of BECs </w:t>
      </w:r>
      <w:r w:rsidR="00D01DF2" w:rsidRPr="00794EC7">
        <w:t xml:space="preserve">with </w:t>
      </w:r>
      <w:r w:rsidR="002679E3" w:rsidRPr="00794EC7">
        <w:t>Poly</w:t>
      </w:r>
      <w:r w:rsidR="00F7707E" w:rsidRPr="00794EC7">
        <w:t xml:space="preserve"> I:C</w:t>
      </w:r>
      <w:r w:rsidR="00D01DF2" w:rsidRPr="00794EC7">
        <w:t>.</w:t>
      </w:r>
    </w:p>
    <w:p w14:paraId="34FB94F5" w14:textId="77777777" w:rsidR="00880CC2" w:rsidRPr="00794EC7" w:rsidRDefault="00880CC2" w:rsidP="00902F19"/>
    <w:p w14:paraId="2CC6CCE6" w14:textId="6FC89775" w:rsidR="0015518D" w:rsidRPr="00794EC7" w:rsidRDefault="006145AC" w:rsidP="00902F19">
      <w:pPr>
        <w:rPr>
          <w:rFonts w:cs="Arial"/>
        </w:rPr>
      </w:pPr>
      <w:r w:rsidRPr="00794EC7">
        <w:rPr>
          <w:rFonts w:cs="Arial"/>
        </w:rPr>
        <w:t xml:space="preserve">Following </w:t>
      </w:r>
      <w:r w:rsidR="00672B9F" w:rsidRPr="00794EC7">
        <w:rPr>
          <w:rFonts w:cs="Arial"/>
        </w:rPr>
        <w:t>stimulation</w:t>
      </w:r>
      <w:r w:rsidR="00101989" w:rsidRPr="00794EC7">
        <w:rPr>
          <w:rFonts w:cs="Arial"/>
        </w:rPr>
        <w:t xml:space="preserve"> </w:t>
      </w:r>
      <w:r w:rsidR="00F7707E" w:rsidRPr="00794EC7">
        <w:rPr>
          <w:rFonts w:cs="Arial"/>
        </w:rPr>
        <w:t xml:space="preserve">with </w:t>
      </w:r>
      <w:r w:rsidR="002679E3" w:rsidRPr="00794EC7">
        <w:rPr>
          <w:rFonts w:cs="Arial"/>
        </w:rPr>
        <w:t>Poly</w:t>
      </w:r>
      <w:r w:rsidR="00101989" w:rsidRPr="00794EC7">
        <w:rPr>
          <w:rFonts w:cs="Arial"/>
        </w:rPr>
        <w:t xml:space="preserve"> I:C</w:t>
      </w:r>
      <w:r w:rsidR="00672B9F" w:rsidRPr="00794EC7">
        <w:rPr>
          <w:rFonts w:cs="Arial"/>
        </w:rPr>
        <w:t xml:space="preserve">, </w:t>
      </w:r>
      <w:r w:rsidR="000F6F2C" w:rsidRPr="00794EC7">
        <w:rPr>
          <w:rFonts w:cs="Arial"/>
        </w:rPr>
        <w:t>BEC</w:t>
      </w:r>
      <w:r w:rsidR="00672B9F" w:rsidRPr="00794EC7">
        <w:rPr>
          <w:rFonts w:cs="Arial"/>
        </w:rPr>
        <w:t>s produce pro-inflammatory cytokines</w:t>
      </w:r>
      <w:r w:rsidR="00101989" w:rsidRPr="00794EC7">
        <w:rPr>
          <w:rFonts w:cs="Arial"/>
        </w:rPr>
        <w:t xml:space="preserve"> </w:t>
      </w:r>
      <w:r w:rsidR="000F6F2C" w:rsidRPr="00794EC7">
        <w:rPr>
          <w:rFonts w:cs="Arial"/>
        </w:rPr>
        <w:t xml:space="preserve">including </w:t>
      </w:r>
      <w:r w:rsidR="00101989" w:rsidRPr="00794EC7">
        <w:rPr>
          <w:rFonts w:cs="Arial"/>
        </w:rPr>
        <w:t>IL</w:t>
      </w:r>
      <w:r w:rsidR="000F6F2C" w:rsidRPr="00794EC7">
        <w:rPr>
          <w:rFonts w:cs="Arial"/>
        </w:rPr>
        <w:t>-</w:t>
      </w:r>
      <w:r w:rsidR="00101989" w:rsidRPr="00794EC7">
        <w:rPr>
          <w:rFonts w:cs="Arial"/>
        </w:rPr>
        <w:t>6, IL</w:t>
      </w:r>
      <w:r w:rsidR="000F6F2C" w:rsidRPr="00794EC7">
        <w:rPr>
          <w:rFonts w:cs="Arial"/>
        </w:rPr>
        <w:t>-</w:t>
      </w:r>
      <w:r w:rsidR="00101989" w:rsidRPr="00794EC7">
        <w:rPr>
          <w:rFonts w:cs="Arial"/>
        </w:rPr>
        <w:t>8 and TNF</w:t>
      </w:r>
      <w:r w:rsidR="000F6F2C" w:rsidRPr="00794EC7">
        <w:rPr>
          <w:rFonts w:cs="Arial"/>
        </w:rPr>
        <w:t>-</w:t>
      </w:r>
      <w:r w:rsidR="00101989" w:rsidRPr="00794EC7">
        <w:rPr>
          <w:rFonts w:eastAsia="Arial Unicode MS" w:cs="Arial"/>
        </w:rPr>
        <w:t>α</w:t>
      </w:r>
      <w:r w:rsidR="00672B9F" w:rsidRPr="00794EC7">
        <w:rPr>
          <w:rFonts w:cs="Arial"/>
        </w:rPr>
        <w:t xml:space="preserve"> </w:t>
      </w:r>
      <w:r w:rsidR="00F7707E" w:rsidRPr="00794EC7">
        <w:rPr>
          <w:rFonts w:cs="Arial"/>
        </w:rPr>
        <w:t xml:space="preserve">that </w:t>
      </w:r>
      <w:r w:rsidR="00101989" w:rsidRPr="00794EC7">
        <w:rPr>
          <w:rFonts w:cs="Arial"/>
        </w:rPr>
        <w:t xml:space="preserve">initiate and perpetuate inflammatory response </w:t>
      </w:r>
      <w:r w:rsidR="00101989" w:rsidRPr="00794EC7">
        <w:rPr>
          <w:rFonts w:eastAsia="Arial Unicode MS" w:cs="Arial"/>
        </w:rPr>
        <w:fldChar w:fldCharType="begin" w:fldLock="1"/>
      </w:r>
      <w:r w:rsidR="00CB64F5" w:rsidRPr="00794EC7">
        <w:rPr>
          <w:rFonts w:eastAsia="Arial Unicode MS" w:cs="Arial"/>
        </w:rPr>
        <w:instrText>ADDIN CSL_CITATION {"citationItems":[{"id":"ITEM-1","itemData":{"DOI":"10.1371/journal.pone.0012091","ISSN":"19326203","PMID":"20711426","abstract":"Background:The airway epithelium participates in asthmatic inflammation in many ways. Target cells of the epithelium can respond to a variety of inflammatory mediators and cytokines. Damage to the surface epithelium occurs following the secretion of eosinophil-derived, highly toxic cationic proteins. Moreover, the surface epithelium itself is responsible for the synthesis and release of cytokines that cause the selective recruitment, retention, and accumulation of various inflammatory cells. To mimic the damage seen during asthmatic inflammation, the bronchial epithelium can be challenged with highly charged cationic polypeptides such as poly-L-arginine.&amp;Methodology/Principal Findings:In this study, human bronchial epithelial cells, 16HBE14o- cells, were ''chemically injured'' by exposing them to poly-L-arginine as a surrogate of the eosinophil cationic protein. Cytokine antibody array data showed that seven inflammatory mediators were elevated out of the 40 tested, including marked elevation in interleukin (IL)-6 and IL-8 secretion. IL-6 and IL-8 mRNA expression levels were elevated as measured with real-time PCR. Cell culture supernatants from apical and basolateral compartments were collected, and the IL-6 and IL-8 production was quantified with ELISA. IL-6 and IL-8 secretion by 16HBE14o- epithelia into the apical compartment was significantly higher than that from the basolateral compartment. Using specific inhibitors, the production of IL-6 and IL-8 was found to be dependent on p38 MAPK, ERK1/2 MAPK, and NF-kB pathways.&amp;Conclusions/Significance: The results clearly demonstrate that damage to the bronchial epithelia by poly-L-arginine stimulates polarized IL-6 and IL-8 secretion. This apically directed secretion of cytokines may play an important role in orchestrating epithelial cell responses to inflammation. © 2010 Chow et al.","author":[{"dropping-particle":"","family":"Chow","given":"Alison Wai ming","non-dropping-particle":"","parse-names":false,"suffix":""},{"dropping-particle":"","family":"Ko","given":"Wing hung","non-dropping-particle":"","parse-names":false,"suffix":""},{"dropping-particle":"","family":"Liang","given":"Jocelyn Feng ting","non-dropping-particle":"","parse-names":false,"suffix":""},{"dropping-particle":"","family":"Wong","given":"Janice Siu chong","non-dropping-particle":"","parse-names":false,"suffix":""},{"dropping-particle":"","family":"Fu","given":"Yan","non-dropping-particle":"","parse-names":false,"suffix":""},{"dropping-particle":"","family":"Tang","given":"Nelson Leung sang","non-dropping-particle":"","parse-names":false,"suffix":""}],"container-title":"PLoS ONE","id":"ITEM-1","issue":"8","issued":{"date-parts":[["2010"]]},"title":"Polarized secretion of interleukin (IL)-6 and IL-8 by human airway epithelia 16HBE14o- cells in response to cationic polypeptide challenge","type":"article-journal","volume":"5"},"uris":["http://www.mendeley.com/documents/?uuid=df2447b0-c5a5-4e6c-b677-5c4b28727cd1"]}],"mendeley":{"formattedCitation":"[16]","plainTextFormattedCitation":"[16]","previouslyFormattedCitation":"[16]"},"properties":{"noteIndex":0},"schema":"https://github.com/citation-style-language/schema/raw/master/csl-citation.json"}</w:instrText>
      </w:r>
      <w:r w:rsidR="00101989" w:rsidRPr="00794EC7">
        <w:rPr>
          <w:rFonts w:eastAsia="Arial Unicode MS" w:cs="Arial"/>
        </w:rPr>
        <w:fldChar w:fldCharType="separate"/>
      </w:r>
      <w:r w:rsidR="00CB64F5" w:rsidRPr="00794EC7">
        <w:rPr>
          <w:rFonts w:eastAsia="Arial Unicode MS" w:cs="Arial"/>
          <w:noProof/>
        </w:rPr>
        <w:t>[16]</w:t>
      </w:r>
      <w:r w:rsidR="00101989" w:rsidRPr="00794EC7">
        <w:rPr>
          <w:rFonts w:eastAsia="Arial Unicode MS" w:cs="Arial"/>
        </w:rPr>
        <w:fldChar w:fldCharType="end"/>
      </w:r>
      <w:r w:rsidR="00101989" w:rsidRPr="00794EC7">
        <w:rPr>
          <w:rFonts w:eastAsia="Arial Unicode MS" w:cs="Arial"/>
        </w:rPr>
        <w:t xml:space="preserve"> </w:t>
      </w:r>
      <w:r w:rsidR="00101989" w:rsidRPr="00794EC7">
        <w:rPr>
          <w:rFonts w:eastAsia="Arial Unicode MS" w:cs="Arial"/>
        </w:rPr>
        <w:fldChar w:fldCharType="begin" w:fldLock="1"/>
      </w:r>
      <w:r w:rsidR="00CB64F5" w:rsidRPr="00794EC7">
        <w:rPr>
          <w:rFonts w:eastAsia="Arial Unicode MS" w:cs="Arial"/>
        </w:rPr>
        <w:instrText>ADDIN CSL_CITATION {"citationItems":[{"id":"ITEM-1","itemData":{"DOI":"10.14814/phy2.12334","ISBN":"2051-817X (Electronic)\\r2051-817X (Linking)","ISSN":"2051817X","PMID":"25847914","abstract":"Respiratory viruses invade the upper airway of the lung, triggering a potent immune response that often exacerbates preexisting conditions such as asthma and COPD. Poly(I:C) is a synthetic analog of viral dsRNA that induces the characteristic inflammatory response associated with viral infection, such as loss of ep</w:instrText>
      </w:r>
      <w:r w:rsidR="00CB64F5" w:rsidRPr="00794EC7">
        <w:rPr>
          <w:rFonts w:eastAsia="Arial Unicode MS" w:cs="Arial" w:hint="eastAsia"/>
        </w:rPr>
        <w:instrText>ithelial integrity, and increased production of mucus and inflammatory cytokines. Here, we explore the mechanistic responses to poly(I:C) in a well</w:instrText>
      </w:r>
      <w:r w:rsidR="00CB64F5" w:rsidRPr="00794EC7">
        <w:rPr>
          <w:rFonts w:eastAsia="Arial Unicode MS" w:cs="Arial" w:hint="eastAsia"/>
        </w:rPr>
        <w:instrText>‐</w:instrText>
      </w:r>
      <w:r w:rsidR="00CB64F5" w:rsidRPr="00794EC7">
        <w:rPr>
          <w:rFonts w:eastAsia="Arial Unicode MS" w:cs="Arial" w:hint="eastAsia"/>
        </w:rPr>
        <w:instrText>defined primary normal human bronchial epithelial (NHBE) model that recapitulates in vivo functions and res</w:instrText>
      </w:r>
      <w:r w:rsidR="00CB64F5" w:rsidRPr="00794EC7">
        <w:rPr>
          <w:rFonts w:eastAsia="Arial Unicode MS" w:cs="Arial"/>
        </w:rPr>
        <w:instrText>ponses. We developed functional and quantifiable methods to evaluate the physiology of our model in both healthy and inflamed states. Through gene and protein expression, we validated the differentiation state and population of essential cell subtypes (i.e., ciliated, goblet, club, and basal cells) as compared to the human lung. Assays for total mucus production, cytokine secretion, and barrier function were used to evaluate in vitro physiology and response to viral insult. Cells were treated apically wit</w:instrText>
      </w:r>
      <w:r w:rsidR="00CB64F5" w:rsidRPr="00794EC7">
        <w:rPr>
          <w:rFonts w:eastAsia="Arial Unicode MS" w:cs="Arial" w:hint="eastAsia"/>
        </w:rPr>
        <w:instrText>h poly(I:C) and evaluated 48 h after induction. Results revealed a dose</w:instrText>
      </w:r>
      <w:r w:rsidR="00CB64F5" w:rsidRPr="00794EC7">
        <w:rPr>
          <w:rFonts w:eastAsia="Arial Unicode MS" w:cs="Arial" w:hint="eastAsia"/>
        </w:rPr>
        <w:instrText>‐</w:instrText>
      </w:r>
      <w:r w:rsidR="00CB64F5" w:rsidRPr="00794EC7">
        <w:rPr>
          <w:rFonts w:eastAsia="Arial Unicode MS" w:cs="Arial" w:hint="eastAsia"/>
        </w:rPr>
        <w:instrText>dependent increase in goblet cell differentiation, as well as, an increase in mucus production relative to controls. There was also a dose</w:instrText>
      </w:r>
      <w:r w:rsidR="00CB64F5" w:rsidRPr="00794EC7">
        <w:rPr>
          <w:rFonts w:eastAsia="Arial Unicode MS" w:cs="Arial" w:hint="eastAsia"/>
        </w:rPr>
        <w:instrText>‐</w:instrText>
      </w:r>
      <w:r w:rsidR="00CB64F5" w:rsidRPr="00794EC7">
        <w:rPr>
          <w:rFonts w:eastAsia="Arial Unicode MS" w:cs="Arial" w:hint="eastAsia"/>
        </w:rPr>
        <w:instrText>dependent increase in secretion of IL</w:instrText>
      </w:r>
      <w:r w:rsidR="00CB64F5" w:rsidRPr="00794EC7">
        <w:rPr>
          <w:rFonts w:eastAsia="Arial Unicode MS" w:cs="Arial" w:hint="eastAsia"/>
        </w:rPr>
        <w:instrText>‐</w:instrText>
      </w:r>
      <w:r w:rsidR="00CB64F5" w:rsidRPr="00794EC7">
        <w:rPr>
          <w:rFonts w:eastAsia="Arial Unicode MS" w:cs="Arial" w:hint="eastAsia"/>
        </w:rPr>
        <w:instrText>6, IL</w:instrText>
      </w:r>
      <w:r w:rsidR="00CB64F5" w:rsidRPr="00794EC7">
        <w:rPr>
          <w:rFonts w:eastAsia="Arial Unicode MS" w:cs="Arial" w:hint="eastAsia"/>
        </w:rPr>
        <w:instrText>‐</w:instrText>
      </w:r>
      <w:r w:rsidR="00CB64F5" w:rsidRPr="00794EC7">
        <w:rPr>
          <w:rFonts w:eastAsia="Arial Unicode MS" w:cs="Arial" w:hint="eastAsia"/>
        </w:rPr>
        <w:instrText>8, TNF</w:instrText>
      </w:r>
      <w:r w:rsidR="00CB64F5" w:rsidRPr="00794EC7">
        <w:rPr>
          <w:rFonts w:eastAsia="Arial Unicode MS" w:cs="Arial" w:hint="eastAsia"/>
        </w:rPr>
        <w:instrText>‐α</w:instrText>
      </w:r>
      <w:r w:rsidR="00CB64F5" w:rsidRPr="00794EC7">
        <w:rPr>
          <w:rFonts w:eastAsia="Arial Unicode MS" w:cs="Arial" w:hint="eastAsia"/>
        </w:rPr>
        <w:instrText>, and RANTES. Epithelial barrier function, as measured by TEER, was maintained at 1501 </w:instrText>
      </w:r>
      <w:r w:rsidR="00CB64F5" w:rsidRPr="00794EC7">
        <w:rPr>
          <w:rFonts w:eastAsia="Arial Unicode MS" w:cs="Arial" w:hint="eastAsia"/>
        </w:rPr>
        <w:instrText>±</w:instrText>
      </w:r>
      <w:r w:rsidR="00CB64F5" w:rsidRPr="00794EC7">
        <w:rPr>
          <w:rFonts w:eastAsia="Arial Unicode MS" w:cs="Arial" w:hint="eastAsia"/>
        </w:rPr>
        <w:instrText> 355 </w:instrText>
      </w:r>
      <w:r w:rsidR="00CB64F5" w:rsidRPr="00794EC7">
        <w:rPr>
          <w:rFonts w:eastAsia="Arial Unicode MS" w:cs="Arial" w:hint="eastAsia"/>
        </w:rPr>
        <w:instrText>Ω</w:instrText>
      </w:r>
      <w:r w:rsidR="00CB64F5" w:rsidRPr="00794EC7">
        <w:rPr>
          <w:rFonts w:eastAsia="Arial Unicode MS" w:cs="Arial" w:hint="eastAsia"/>
        </w:rPr>
        <w:instrText>*cm</w:instrText>
      </w:r>
      <w:r w:rsidR="00CB64F5" w:rsidRPr="00794EC7">
        <w:rPr>
          <w:rFonts w:eastAsia="Arial Unicode MS" w:cs="Arial" w:hint="eastAsia"/>
        </w:rPr>
        <w:instrText>²</w:instrText>
      </w:r>
      <w:r w:rsidR="00CB64F5" w:rsidRPr="00794EC7">
        <w:rPr>
          <w:rFonts w:eastAsia="Arial Unicode MS" w:cs="Arial" w:hint="eastAsia"/>
        </w:rPr>
        <w:instrText xml:space="preserve"> postdifferentiation, but dropped significantly when challenged with poly(I:C). This study provides first steps toward a well</w:instrText>
      </w:r>
      <w:r w:rsidR="00CB64F5" w:rsidRPr="00794EC7">
        <w:rPr>
          <w:rFonts w:eastAsia="Arial Unicode MS" w:cs="Arial" w:hint="eastAsia"/>
        </w:rPr>
        <w:instrText>‐</w:instrText>
      </w:r>
      <w:r w:rsidR="00CB64F5" w:rsidRPr="00794EC7">
        <w:rPr>
          <w:rFonts w:eastAsia="Arial Unicode MS" w:cs="Arial" w:hint="eastAsia"/>
        </w:rPr>
        <w:instrText>characterized model with defined functional methods for understanding dsRNA stimulated inflammatory responses in a physiologically relevant manner. A. R. Lever, H. Park, T. J. Mulhern, G. R. Jackson, J. C. Comolli, J. T. Borenstein, P. J. Hayden, R. Prantil</w:instrText>
      </w:r>
      <w:r w:rsidR="00CB64F5" w:rsidRPr="00794EC7">
        <w:rPr>
          <w:rFonts w:eastAsia="Arial Unicode MS" w:cs="Arial" w:hint="eastAsia"/>
        </w:rPr>
        <w:instrText>‐</w:instrText>
      </w:r>
      <w:r w:rsidR="00CB64F5" w:rsidRPr="00794EC7">
        <w:rPr>
          <w:rFonts w:eastAsia="Arial Unicode MS" w:cs="Arial" w:hint="eastAsia"/>
        </w:rPr>
        <w:instrText xml:space="preserve">Baun, Comprehensive </w:instrText>
      </w:r>
      <w:r w:rsidR="00CB64F5" w:rsidRPr="00794EC7">
        <w:rPr>
          <w:rFonts w:eastAsia="Arial Unicode MS" w:cs="Arial"/>
        </w:rPr>
        <w:instrText>evaluation of poly(I:C) induced inflammatory response in an airway epithelial model, Physiol Rep, 3(4), 2015, e12334, doi: 10.14814/phy2.12334","author":[{"dropping-particle":"","family":"Lever","given":"Amanda R.","non-dropping-particle":"","parse-names":false,"suffix":""},{"dropping-particle":"","family":"Park","given":"Hyoungshin","non-dropping-particle":"","parse-names":false,"suffix":""},{"dropping-particle":"","family":"Mulhern","given":"Thomas J.","non-dropping-particle":"","parse-names":false,"suffix":""},{"dropping-particle":"","family":"Jackson","given":"George R.","non-dropping-particle":"","parse-names":false,"suffix":""},{"dropping-particle":"","family":"Comolli","given":"James C.","non-dropping-particle":"","parse-names":false,"suffix":""},{"dropping-particle":"","family":"Borenstein","given":"Jeffrey T.","non-dropping-particle":"","parse-names":false,"suffix":""},{"dropping-particle":"","family":"Hayden","given":"Patrick J.","non-dropping-particle":"","parse-names":false,"suffix":""},{"dropping-particle":"","family":"Prantil-Baun","given":"Rachelle","non-dropping-particle":"","parse-names":false,"suffix":""}],"container-title":"Physiological Reports","id":"ITEM-1","issue":"4","issued":{"date-parts":[["2015"]]},"page":"1-11","title":"Comprehensive evaluation of poly(I:C) induced inflammatory response in an airway epithelial model","type":"article-journal","volume":"3"},"uris":["http://www.mendeley.com/documents/?uuid=ca0095a2-be53-40dd-8261-2c7379846f9a"]}],"mendeley":{"formattedCitation":"[17]","plainTextFormattedCitation":"[17]","previouslyFormattedCitation":"[17]"},"properties":{"noteIndex":0},"schema":"https://github.com/citation-style-language/schema/raw/master/csl-citation.json"}</w:instrText>
      </w:r>
      <w:r w:rsidR="00101989" w:rsidRPr="00794EC7">
        <w:rPr>
          <w:rFonts w:eastAsia="Arial Unicode MS" w:cs="Arial"/>
        </w:rPr>
        <w:fldChar w:fldCharType="separate"/>
      </w:r>
      <w:r w:rsidR="00CB64F5" w:rsidRPr="00794EC7">
        <w:rPr>
          <w:rFonts w:eastAsia="Arial Unicode MS" w:cs="Arial"/>
          <w:noProof/>
        </w:rPr>
        <w:t>[17]</w:t>
      </w:r>
      <w:r w:rsidR="00101989" w:rsidRPr="00794EC7">
        <w:rPr>
          <w:rFonts w:eastAsia="Arial Unicode MS" w:cs="Arial"/>
        </w:rPr>
        <w:fldChar w:fldCharType="end"/>
      </w:r>
      <w:r w:rsidR="00672B9F" w:rsidRPr="00794EC7">
        <w:rPr>
          <w:rFonts w:cs="Arial"/>
        </w:rPr>
        <w:t xml:space="preserve">. </w:t>
      </w:r>
      <w:r w:rsidR="0015518D" w:rsidRPr="00794EC7">
        <w:rPr>
          <w:rFonts w:cs="Arial"/>
        </w:rPr>
        <w:t xml:space="preserve">The </w:t>
      </w:r>
      <w:r w:rsidRPr="00794EC7">
        <w:rPr>
          <w:rFonts w:cs="Arial"/>
        </w:rPr>
        <w:t xml:space="preserve">concentration </w:t>
      </w:r>
      <w:r w:rsidR="0015518D" w:rsidRPr="00794EC7">
        <w:rPr>
          <w:rFonts w:cs="Arial"/>
        </w:rPr>
        <w:t>of inflammatory cytokines (IL-8, IL-6 and TNF</w:t>
      </w:r>
      <w:r w:rsidR="000F6F2C" w:rsidRPr="00794EC7">
        <w:rPr>
          <w:rFonts w:cs="Arial"/>
        </w:rPr>
        <w:t>-</w:t>
      </w:r>
      <w:r w:rsidR="0015518D" w:rsidRPr="00794EC7">
        <w:rPr>
          <w:rFonts w:eastAsia="Arial Unicode MS" w:cs="Arial"/>
        </w:rPr>
        <w:t>α)</w:t>
      </w:r>
      <w:r w:rsidR="0015518D" w:rsidRPr="00794EC7">
        <w:t xml:space="preserve"> </w:t>
      </w:r>
      <w:r w:rsidR="00380C21" w:rsidRPr="00794EC7">
        <w:t>was measured</w:t>
      </w:r>
      <w:r w:rsidR="0015518D" w:rsidRPr="00794EC7">
        <w:t xml:space="preserve"> </w:t>
      </w:r>
      <w:r w:rsidRPr="00794EC7">
        <w:t xml:space="preserve">24 hours </w:t>
      </w:r>
      <w:r w:rsidR="00101989" w:rsidRPr="00794EC7">
        <w:t xml:space="preserve">post </w:t>
      </w:r>
      <w:r w:rsidR="0015518D" w:rsidRPr="00794EC7">
        <w:t xml:space="preserve">challenge </w:t>
      </w:r>
      <w:r w:rsidRPr="00794EC7">
        <w:t xml:space="preserve">by </w:t>
      </w:r>
      <w:r w:rsidR="0015518D" w:rsidRPr="00794EC7">
        <w:t>ELISA</w:t>
      </w:r>
      <w:r w:rsidRPr="00794EC7">
        <w:t xml:space="preserve"> and t</w:t>
      </w:r>
      <w:r w:rsidR="0015518D" w:rsidRPr="00794EC7">
        <w:t xml:space="preserve">he results </w:t>
      </w:r>
      <w:r w:rsidRPr="00794EC7">
        <w:t>are summarised i</w:t>
      </w:r>
      <w:r w:rsidR="0015518D" w:rsidRPr="00794EC7">
        <w:t xml:space="preserve">n </w:t>
      </w:r>
      <w:r w:rsidR="0015518D" w:rsidRPr="00794EC7">
        <w:fldChar w:fldCharType="begin"/>
      </w:r>
      <w:r w:rsidR="0015518D" w:rsidRPr="00794EC7">
        <w:instrText xml:space="preserve"> REF _Ref86919005 \h </w:instrText>
      </w:r>
      <w:r w:rsidR="00902F19" w:rsidRPr="00794EC7">
        <w:instrText xml:space="preserve"> \* MERGEFORMAT </w:instrText>
      </w:r>
      <w:r w:rsidR="0015518D" w:rsidRPr="00794EC7">
        <w:fldChar w:fldCharType="separate"/>
      </w:r>
      <w:r w:rsidR="0015518D" w:rsidRPr="00794EC7">
        <w:rPr>
          <w:color w:val="000000" w:themeColor="text1"/>
        </w:rPr>
        <w:t xml:space="preserve">Figure </w:t>
      </w:r>
      <w:r w:rsidR="0015518D" w:rsidRPr="00794EC7">
        <w:rPr>
          <w:noProof/>
          <w:color w:val="000000" w:themeColor="text1"/>
        </w:rPr>
        <w:t>2</w:t>
      </w:r>
      <w:r w:rsidR="0015518D" w:rsidRPr="00794EC7">
        <w:fldChar w:fldCharType="end"/>
      </w:r>
      <w:r w:rsidRPr="00794EC7">
        <w:t xml:space="preserve">. </w:t>
      </w:r>
      <w:r w:rsidR="00111967" w:rsidRPr="00794EC7">
        <w:t>To facilitate comparison of th</w:t>
      </w:r>
      <w:r w:rsidRPr="00794EC7">
        <w:t>e data</w:t>
      </w:r>
      <w:r w:rsidR="00111967" w:rsidRPr="00794EC7">
        <w:t>,</w:t>
      </w:r>
      <w:r w:rsidRPr="00794EC7">
        <w:t xml:space="preserve"> </w:t>
      </w:r>
      <w:r w:rsidR="00111967" w:rsidRPr="00794EC7">
        <w:t xml:space="preserve">the concentrations are normalised </w:t>
      </w:r>
      <w:r w:rsidR="0015518D" w:rsidRPr="00794EC7">
        <w:t xml:space="preserve">by subtracting the </w:t>
      </w:r>
      <w:r w:rsidRPr="00794EC7">
        <w:t xml:space="preserve">cytokine </w:t>
      </w:r>
      <w:r w:rsidR="00380C21" w:rsidRPr="00794EC7">
        <w:t xml:space="preserve">concentrations </w:t>
      </w:r>
      <w:r w:rsidRPr="00794EC7">
        <w:t xml:space="preserve">for the media control </w:t>
      </w:r>
      <w:r w:rsidR="0015518D" w:rsidRPr="00794EC7">
        <w:t>and normalising</w:t>
      </w:r>
      <w:r w:rsidRPr="00794EC7">
        <w:t xml:space="preserve"> </w:t>
      </w:r>
      <w:r w:rsidR="0015518D" w:rsidRPr="00794EC7">
        <w:t xml:space="preserve">to </w:t>
      </w:r>
      <w:r w:rsidR="00380C21" w:rsidRPr="00794EC7">
        <w:t xml:space="preserve">the </w:t>
      </w:r>
      <w:r w:rsidR="002679E3" w:rsidRPr="00794EC7">
        <w:t>Poly</w:t>
      </w:r>
      <w:r w:rsidR="0015518D" w:rsidRPr="00794EC7">
        <w:t xml:space="preserve"> I:C </w:t>
      </w:r>
      <w:r w:rsidR="00380C21" w:rsidRPr="00794EC7">
        <w:t>values</w:t>
      </w:r>
      <w:r w:rsidR="0015518D" w:rsidRPr="00794EC7">
        <w:t xml:space="preserve">. </w:t>
      </w:r>
    </w:p>
    <w:p w14:paraId="7842EA49" w14:textId="77777777" w:rsidR="00880CC2" w:rsidRPr="00794EC7" w:rsidRDefault="00880CC2" w:rsidP="00902F19"/>
    <w:p w14:paraId="44B5FFB0" w14:textId="29EBC00C" w:rsidR="003C6C1E" w:rsidRPr="00794EC7" w:rsidRDefault="00111967" w:rsidP="00902F19">
      <w:pPr>
        <w:rPr>
          <w:rFonts w:eastAsia="Arial Unicode MS" w:cs="Arial"/>
        </w:rPr>
      </w:pPr>
      <w:r w:rsidRPr="00794EC7">
        <w:rPr>
          <w:rFonts w:eastAsia="Arial Unicode MS" w:cs="Arial"/>
        </w:rPr>
        <w:t xml:space="preserve">Figure 2 </w:t>
      </w:r>
      <w:r w:rsidR="00380C21" w:rsidRPr="00794EC7">
        <w:rPr>
          <w:rFonts w:eastAsia="Arial Unicode MS" w:cs="Arial"/>
        </w:rPr>
        <w:t xml:space="preserve">shows that </w:t>
      </w:r>
      <w:r w:rsidRPr="00794EC7">
        <w:rPr>
          <w:rFonts w:eastAsia="Arial Unicode MS" w:cs="Arial"/>
        </w:rPr>
        <w:t xml:space="preserve">cells treated with </w:t>
      </w:r>
      <w:r w:rsidR="003C6C1E" w:rsidRPr="00794EC7">
        <w:rPr>
          <w:rFonts w:eastAsia="Arial Unicode MS" w:cs="Arial"/>
        </w:rPr>
        <w:t xml:space="preserve">EV </w:t>
      </w:r>
      <w:r w:rsidR="00D3669C" w:rsidRPr="00794EC7">
        <w:rPr>
          <w:rFonts w:eastAsia="Arial Unicode MS" w:cs="Arial"/>
        </w:rPr>
        <w:t>or</w:t>
      </w:r>
      <w:r w:rsidR="003C6C1E" w:rsidRPr="00794EC7">
        <w:rPr>
          <w:rFonts w:eastAsia="Arial Unicode MS" w:cs="Arial"/>
        </w:rPr>
        <w:t xml:space="preserve"> EV-</w:t>
      </w:r>
      <w:r w:rsidR="003E1328" w:rsidRPr="00794EC7">
        <w:rPr>
          <w:rFonts w:eastAsia="Arial Unicode MS" w:cs="Arial"/>
        </w:rPr>
        <w:t>dpl</w:t>
      </w:r>
      <w:r w:rsidR="003C6C1E" w:rsidRPr="00794EC7">
        <w:rPr>
          <w:rFonts w:eastAsia="Arial Unicode MS" w:cs="Arial"/>
        </w:rPr>
        <w:t xml:space="preserve"> </w:t>
      </w:r>
      <w:r w:rsidR="00BD4AF6" w:rsidRPr="00794EC7">
        <w:rPr>
          <w:rFonts w:eastAsia="Arial Unicode MS" w:cs="Arial"/>
        </w:rPr>
        <w:t xml:space="preserve">only </w:t>
      </w:r>
      <w:r w:rsidR="003C6C1E" w:rsidRPr="00794EC7">
        <w:rPr>
          <w:rFonts w:eastAsia="Arial Unicode MS" w:cs="Arial"/>
        </w:rPr>
        <w:t xml:space="preserve">produced </w:t>
      </w:r>
      <w:r w:rsidR="00672B9F" w:rsidRPr="00794EC7">
        <w:rPr>
          <w:rFonts w:eastAsia="Arial Unicode MS" w:cs="Arial"/>
        </w:rPr>
        <w:t xml:space="preserve">levels of </w:t>
      </w:r>
      <w:r w:rsidR="00672B9F" w:rsidRPr="00794EC7">
        <w:rPr>
          <w:rFonts w:cs="Arial"/>
        </w:rPr>
        <w:t xml:space="preserve">IL-8, IL-6 and </w:t>
      </w:r>
      <w:r w:rsidR="007F3EF3" w:rsidRPr="00794EC7">
        <w:rPr>
          <w:rFonts w:cs="Arial"/>
        </w:rPr>
        <w:t>TNF</w:t>
      </w:r>
      <w:r w:rsidR="000F6F2C" w:rsidRPr="00794EC7">
        <w:rPr>
          <w:rFonts w:cs="Arial"/>
        </w:rPr>
        <w:t>-</w:t>
      </w:r>
      <w:r w:rsidR="007F3EF3" w:rsidRPr="00794EC7">
        <w:rPr>
          <w:rFonts w:eastAsia="Arial Unicode MS" w:cs="Arial"/>
        </w:rPr>
        <w:t>α</w:t>
      </w:r>
      <w:r w:rsidR="00F7707E" w:rsidRPr="00794EC7">
        <w:rPr>
          <w:rFonts w:eastAsia="Arial Unicode MS" w:cs="Arial"/>
        </w:rPr>
        <w:t xml:space="preserve"> </w:t>
      </w:r>
      <w:r w:rsidR="000F6F2C" w:rsidRPr="00794EC7">
        <w:rPr>
          <w:rFonts w:eastAsia="Arial Unicode MS" w:cs="Arial"/>
        </w:rPr>
        <w:t xml:space="preserve">similar </w:t>
      </w:r>
      <w:r w:rsidRPr="00794EC7">
        <w:rPr>
          <w:rFonts w:eastAsia="Arial Unicode MS" w:cs="Arial"/>
        </w:rPr>
        <w:t xml:space="preserve">to </w:t>
      </w:r>
      <w:r w:rsidR="00D3669C" w:rsidRPr="00794EC7">
        <w:rPr>
          <w:rFonts w:eastAsia="Arial Unicode MS" w:cs="Arial"/>
        </w:rPr>
        <w:t xml:space="preserve">the </w:t>
      </w:r>
      <w:r w:rsidR="00672B9F" w:rsidRPr="00794EC7">
        <w:rPr>
          <w:rFonts w:eastAsia="Arial Unicode MS" w:cs="Arial"/>
        </w:rPr>
        <w:t xml:space="preserve">unstimulated </w:t>
      </w:r>
      <w:r w:rsidR="00380C21" w:rsidRPr="00794EC7">
        <w:rPr>
          <w:rFonts w:eastAsia="Arial Unicode MS" w:cs="Arial"/>
        </w:rPr>
        <w:t>media control</w:t>
      </w:r>
      <w:r w:rsidR="003C6C1E" w:rsidRPr="00794EC7">
        <w:rPr>
          <w:rFonts w:eastAsia="Arial Unicode MS" w:cs="Arial"/>
        </w:rPr>
        <w:t>. When cells</w:t>
      </w:r>
      <w:r w:rsidR="00A9380D" w:rsidRPr="00794EC7">
        <w:rPr>
          <w:rFonts w:eastAsia="Arial Unicode MS" w:cs="Arial"/>
        </w:rPr>
        <w:t xml:space="preserve"> were challenged with</w:t>
      </w:r>
      <w:r w:rsidR="003C6C1E" w:rsidRPr="00794EC7">
        <w:rPr>
          <w:rFonts w:eastAsia="Arial Unicode MS" w:cs="Arial"/>
        </w:rPr>
        <w:t xml:space="preserve"> </w:t>
      </w:r>
      <w:r w:rsidR="002679E3" w:rsidRPr="00794EC7">
        <w:rPr>
          <w:rFonts w:eastAsia="Arial Unicode MS" w:cs="Arial"/>
        </w:rPr>
        <w:t>Poly</w:t>
      </w:r>
      <w:r w:rsidR="00A9380D" w:rsidRPr="00794EC7">
        <w:rPr>
          <w:rFonts w:eastAsia="Arial Unicode MS" w:cs="Arial"/>
        </w:rPr>
        <w:t xml:space="preserve"> I:C </w:t>
      </w:r>
      <w:r w:rsidR="00FB5DD0" w:rsidRPr="00794EC7">
        <w:rPr>
          <w:rFonts w:eastAsia="Arial Unicode MS" w:cs="Arial"/>
        </w:rPr>
        <w:t xml:space="preserve">in the presence </w:t>
      </w:r>
      <w:r w:rsidR="00A9380D" w:rsidRPr="00794EC7">
        <w:rPr>
          <w:rFonts w:eastAsia="Arial Unicode MS" w:cs="Arial"/>
        </w:rPr>
        <w:t>of</w:t>
      </w:r>
      <w:r w:rsidR="003C6C1E" w:rsidRPr="00794EC7">
        <w:rPr>
          <w:rFonts w:eastAsia="Arial Unicode MS" w:cs="Arial"/>
        </w:rPr>
        <w:t xml:space="preserve"> EV-</w:t>
      </w:r>
      <w:r w:rsidR="003E1328" w:rsidRPr="00794EC7">
        <w:rPr>
          <w:rFonts w:eastAsia="Arial Unicode MS" w:cs="Arial"/>
        </w:rPr>
        <w:t>dpl</w:t>
      </w:r>
      <w:r w:rsidR="003C6C1E" w:rsidRPr="00794EC7">
        <w:rPr>
          <w:rFonts w:eastAsia="Arial Unicode MS" w:cs="Arial"/>
        </w:rPr>
        <w:t xml:space="preserve">, cytokine </w:t>
      </w:r>
      <w:r w:rsidR="00D3669C" w:rsidRPr="00794EC7">
        <w:rPr>
          <w:rFonts w:eastAsia="Arial Unicode MS" w:cs="Arial"/>
        </w:rPr>
        <w:t>release</w:t>
      </w:r>
      <w:r w:rsidR="003C6C1E" w:rsidRPr="00794EC7">
        <w:rPr>
          <w:rFonts w:eastAsia="Arial Unicode MS" w:cs="Arial"/>
        </w:rPr>
        <w:t xml:space="preserve"> </w:t>
      </w:r>
      <w:r w:rsidR="00FB5DD0" w:rsidRPr="00794EC7">
        <w:rPr>
          <w:rFonts w:eastAsia="Arial Unicode MS" w:cs="Arial"/>
        </w:rPr>
        <w:t xml:space="preserve">was reduced </w:t>
      </w:r>
      <w:r w:rsidR="003C6C1E" w:rsidRPr="00794EC7">
        <w:rPr>
          <w:rFonts w:eastAsia="Arial Unicode MS" w:cs="Arial"/>
        </w:rPr>
        <w:t xml:space="preserve">in </w:t>
      </w:r>
      <w:r w:rsidR="00FB5DD0" w:rsidRPr="00794EC7">
        <w:rPr>
          <w:rFonts w:eastAsia="Arial Unicode MS" w:cs="Arial"/>
        </w:rPr>
        <w:t xml:space="preserve">both </w:t>
      </w:r>
      <w:r w:rsidR="003C6C1E" w:rsidRPr="00794EC7">
        <w:rPr>
          <w:rFonts w:eastAsia="Arial Unicode MS" w:cs="Arial"/>
        </w:rPr>
        <w:t xml:space="preserve">the apical and basolateral compartments </w:t>
      </w:r>
      <w:r w:rsidR="000269B9" w:rsidRPr="00794EC7">
        <w:rPr>
          <w:rFonts w:eastAsia="Arial Unicode MS" w:cs="Arial"/>
        </w:rPr>
        <w:t xml:space="preserve">by 64% and 65% </w:t>
      </w:r>
      <w:r w:rsidR="003C6C1E" w:rsidRPr="00794EC7">
        <w:rPr>
          <w:rFonts w:eastAsia="Arial Unicode MS" w:cs="Arial"/>
        </w:rPr>
        <w:t xml:space="preserve">for IL-8, </w:t>
      </w:r>
      <w:r w:rsidR="000269B9" w:rsidRPr="00794EC7">
        <w:rPr>
          <w:rFonts w:eastAsia="Arial Unicode MS" w:cs="Arial"/>
        </w:rPr>
        <w:t>45</w:t>
      </w:r>
      <w:r w:rsidR="003C6C1E" w:rsidRPr="00794EC7">
        <w:rPr>
          <w:rFonts w:eastAsia="Arial Unicode MS" w:cs="Arial"/>
        </w:rPr>
        <w:t xml:space="preserve">% and </w:t>
      </w:r>
      <w:r w:rsidR="000269B9" w:rsidRPr="00794EC7">
        <w:rPr>
          <w:rFonts w:eastAsia="Arial Unicode MS" w:cs="Arial"/>
        </w:rPr>
        <w:t>53</w:t>
      </w:r>
      <w:r w:rsidR="003C6C1E" w:rsidRPr="00794EC7">
        <w:rPr>
          <w:rFonts w:eastAsia="Arial Unicode MS" w:cs="Arial"/>
        </w:rPr>
        <w:t xml:space="preserve">% for IL-6 and </w:t>
      </w:r>
      <w:r w:rsidR="000269B9" w:rsidRPr="00794EC7">
        <w:rPr>
          <w:rFonts w:eastAsia="Arial Unicode MS" w:cs="Arial"/>
        </w:rPr>
        <w:t>57%</w:t>
      </w:r>
      <w:r w:rsidR="003C6C1E" w:rsidRPr="00794EC7">
        <w:rPr>
          <w:rFonts w:eastAsia="Arial Unicode MS" w:cs="Arial"/>
        </w:rPr>
        <w:t xml:space="preserve"> and </w:t>
      </w:r>
      <w:r w:rsidR="000269B9" w:rsidRPr="00794EC7">
        <w:rPr>
          <w:rFonts w:eastAsia="Arial Unicode MS" w:cs="Arial"/>
        </w:rPr>
        <w:t>53</w:t>
      </w:r>
      <w:r w:rsidR="003C6C1E" w:rsidRPr="00794EC7">
        <w:rPr>
          <w:rFonts w:eastAsia="Arial Unicode MS" w:cs="Arial"/>
        </w:rPr>
        <w:t>% for TNF</w:t>
      </w:r>
      <w:r w:rsidR="009719B7" w:rsidRPr="00794EC7">
        <w:rPr>
          <w:rFonts w:eastAsia="Arial Unicode MS" w:cs="Arial"/>
        </w:rPr>
        <w:t>-</w:t>
      </w:r>
      <w:r w:rsidR="003C6C1E" w:rsidRPr="00794EC7">
        <w:rPr>
          <w:rFonts w:eastAsia="Arial Unicode MS" w:cs="Arial"/>
        </w:rPr>
        <w:t xml:space="preserve">α respectively. </w:t>
      </w:r>
      <w:r w:rsidR="00BD4AF6" w:rsidRPr="00794EC7">
        <w:rPr>
          <w:rFonts w:eastAsia="Arial Unicode MS" w:cs="Arial"/>
        </w:rPr>
        <w:t>However, s</w:t>
      </w:r>
      <w:r w:rsidR="00A2302E" w:rsidRPr="00794EC7">
        <w:rPr>
          <w:rFonts w:eastAsia="Arial Unicode MS" w:cs="Arial"/>
        </w:rPr>
        <w:t>ignif</w:t>
      </w:r>
      <w:r w:rsidR="00A11A8B" w:rsidRPr="00794EC7">
        <w:rPr>
          <w:rFonts w:eastAsia="Arial Unicode MS" w:cs="Arial"/>
        </w:rPr>
        <w:t>ic</w:t>
      </w:r>
      <w:r w:rsidR="00A2302E" w:rsidRPr="00794EC7">
        <w:rPr>
          <w:rFonts w:eastAsia="Arial Unicode MS" w:cs="Arial"/>
        </w:rPr>
        <w:t>antly stronger effects</w:t>
      </w:r>
      <w:r w:rsidR="003C6C1E" w:rsidRPr="00794EC7">
        <w:rPr>
          <w:rFonts w:eastAsia="Arial Unicode MS" w:cs="Arial"/>
        </w:rPr>
        <w:t xml:space="preserve"> were </w:t>
      </w:r>
      <w:r w:rsidR="00D3669C" w:rsidRPr="00794EC7">
        <w:rPr>
          <w:rFonts w:eastAsia="Arial Unicode MS" w:cs="Arial"/>
        </w:rPr>
        <w:t>observed</w:t>
      </w:r>
      <w:r w:rsidR="003C6C1E" w:rsidRPr="00794EC7">
        <w:rPr>
          <w:rFonts w:eastAsia="Arial Unicode MS" w:cs="Arial"/>
        </w:rPr>
        <w:t xml:space="preserve"> </w:t>
      </w:r>
      <w:r w:rsidR="00380C21" w:rsidRPr="00794EC7">
        <w:rPr>
          <w:rFonts w:eastAsia="Arial Unicode MS" w:cs="Arial"/>
        </w:rPr>
        <w:t>for</w:t>
      </w:r>
      <w:r w:rsidR="003C6C1E" w:rsidRPr="00794EC7">
        <w:rPr>
          <w:rFonts w:eastAsia="Arial Unicode MS" w:cs="Arial"/>
        </w:rPr>
        <w:t xml:space="preserve"> cells </w:t>
      </w:r>
      <w:r w:rsidR="00FB5DD0" w:rsidRPr="00794EC7">
        <w:rPr>
          <w:rFonts w:eastAsia="Arial Unicode MS" w:cs="Arial"/>
        </w:rPr>
        <w:t xml:space="preserve">treated </w:t>
      </w:r>
      <w:r w:rsidR="00380C21" w:rsidRPr="00794EC7">
        <w:rPr>
          <w:rFonts w:eastAsia="Arial Unicode MS" w:cs="Arial"/>
        </w:rPr>
        <w:t>with</w:t>
      </w:r>
      <w:r w:rsidR="003C6C1E" w:rsidRPr="00794EC7">
        <w:rPr>
          <w:rFonts w:eastAsia="Arial Unicode MS" w:cs="Arial"/>
        </w:rPr>
        <w:t xml:space="preserve"> EVs, </w:t>
      </w:r>
      <w:r w:rsidR="00380C21" w:rsidRPr="00794EC7">
        <w:rPr>
          <w:rFonts w:eastAsia="Arial Unicode MS" w:cs="Arial"/>
        </w:rPr>
        <w:t>with a</w:t>
      </w:r>
      <w:r w:rsidR="00FB5DD0" w:rsidRPr="00794EC7">
        <w:rPr>
          <w:rFonts w:eastAsia="Arial Unicode MS" w:cs="Arial"/>
        </w:rPr>
        <w:t xml:space="preserve"> </w:t>
      </w:r>
      <w:r w:rsidR="00BD4AF6" w:rsidRPr="00794EC7">
        <w:rPr>
          <w:rFonts w:eastAsia="Arial Unicode MS" w:cs="Arial"/>
        </w:rPr>
        <w:t xml:space="preserve">substantial </w:t>
      </w:r>
      <w:r w:rsidR="003C6C1E" w:rsidRPr="00794EC7">
        <w:rPr>
          <w:rFonts w:eastAsia="Arial Unicode MS" w:cs="Arial"/>
        </w:rPr>
        <w:t xml:space="preserve">reduction of </w:t>
      </w:r>
      <w:r w:rsidR="00BD4AF6" w:rsidRPr="00794EC7">
        <w:rPr>
          <w:rFonts w:eastAsia="Arial Unicode MS" w:cs="Arial"/>
        </w:rPr>
        <w:t>~</w:t>
      </w:r>
      <w:r w:rsidR="003C6C1E" w:rsidRPr="00794EC7">
        <w:rPr>
          <w:rFonts w:eastAsia="Arial Unicode MS" w:cs="Arial"/>
        </w:rPr>
        <w:t xml:space="preserve">90% </w:t>
      </w:r>
      <w:r w:rsidR="00FB5DD0" w:rsidRPr="00794EC7">
        <w:rPr>
          <w:rFonts w:eastAsia="Arial Unicode MS" w:cs="Arial"/>
        </w:rPr>
        <w:t xml:space="preserve">in </w:t>
      </w:r>
      <w:r w:rsidR="003C6C1E" w:rsidRPr="00794EC7">
        <w:rPr>
          <w:rFonts w:eastAsia="Arial Unicode MS" w:cs="Arial"/>
        </w:rPr>
        <w:t>the cytokine ratios for IL-8 and IL-6</w:t>
      </w:r>
      <w:r w:rsidR="00FB5DD0" w:rsidRPr="00794EC7">
        <w:rPr>
          <w:rFonts w:eastAsia="Arial Unicode MS" w:cs="Arial"/>
        </w:rPr>
        <w:t>,</w:t>
      </w:r>
      <w:r w:rsidR="003C6C1E" w:rsidRPr="00794EC7">
        <w:rPr>
          <w:rFonts w:eastAsia="Arial Unicode MS" w:cs="Arial"/>
        </w:rPr>
        <w:t xml:space="preserve"> whilst TNF</w:t>
      </w:r>
      <w:r w:rsidR="009719B7" w:rsidRPr="00794EC7">
        <w:rPr>
          <w:rFonts w:eastAsia="Arial Unicode MS" w:cs="Arial"/>
        </w:rPr>
        <w:t>-</w:t>
      </w:r>
      <w:r w:rsidR="003C6C1E" w:rsidRPr="00794EC7">
        <w:rPr>
          <w:rFonts w:eastAsia="Arial Unicode MS" w:cs="Arial"/>
        </w:rPr>
        <w:t xml:space="preserve">α release was inhibited completely in the apical compartment and </w:t>
      </w:r>
      <w:r w:rsidR="0094423E" w:rsidRPr="00794EC7">
        <w:rPr>
          <w:rFonts w:eastAsia="Arial Unicode MS" w:cs="Arial"/>
        </w:rPr>
        <w:t>significantly</w:t>
      </w:r>
      <w:r w:rsidR="00BD4AF6" w:rsidRPr="00794EC7">
        <w:rPr>
          <w:rFonts w:eastAsia="Arial Unicode MS" w:cs="Arial"/>
        </w:rPr>
        <w:t xml:space="preserve"> </w:t>
      </w:r>
      <w:r w:rsidR="003C6C1E" w:rsidRPr="00794EC7">
        <w:rPr>
          <w:rFonts w:eastAsia="Arial Unicode MS" w:cs="Arial"/>
        </w:rPr>
        <w:t>reduced by 95% in the basolateral compartment</w:t>
      </w:r>
      <w:r w:rsidR="00FB5DD0" w:rsidRPr="00794EC7">
        <w:rPr>
          <w:rFonts w:eastAsia="Arial Unicode MS" w:cs="Arial"/>
        </w:rPr>
        <w:t>.</w:t>
      </w:r>
      <w:r w:rsidR="003C6C1E" w:rsidRPr="00794EC7">
        <w:rPr>
          <w:rFonts w:eastAsia="Arial Unicode MS" w:cs="Arial"/>
        </w:rPr>
        <w:t xml:space="preserve"> </w:t>
      </w:r>
      <w:r w:rsidR="00FB5DD0" w:rsidRPr="00794EC7">
        <w:rPr>
          <w:rFonts w:eastAsia="Arial Unicode MS" w:cs="Arial"/>
        </w:rPr>
        <w:t>Th</w:t>
      </w:r>
      <w:r w:rsidR="00D3669C" w:rsidRPr="00794EC7">
        <w:rPr>
          <w:rFonts w:eastAsia="Arial Unicode MS" w:cs="Arial"/>
        </w:rPr>
        <w:t>ese</w:t>
      </w:r>
      <w:r w:rsidR="00FB5DD0" w:rsidRPr="00794EC7">
        <w:rPr>
          <w:rFonts w:eastAsia="Arial Unicode MS" w:cs="Arial"/>
        </w:rPr>
        <w:t xml:space="preserve"> data </w:t>
      </w:r>
      <w:r w:rsidR="002679E3" w:rsidRPr="00794EC7">
        <w:rPr>
          <w:rFonts w:eastAsia="Arial Unicode MS" w:cs="Arial"/>
        </w:rPr>
        <w:t>suggest</w:t>
      </w:r>
      <w:r w:rsidR="003C6C1E" w:rsidRPr="00794EC7">
        <w:rPr>
          <w:rFonts w:eastAsia="Arial Unicode MS" w:cs="Arial"/>
        </w:rPr>
        <w:t xml:space="preserve"> that</w:t>
      </w:r>
      <w:r w:rsidR="00FB5DD0" w:rsidRPr="00794EC7">
        <w:rPr>
          <w:rFonts w:eastAsia="Arial Unicode MS" w:cs="Arial"/>
        </w:rPr>
        <w:t xml:space="preserve"> </w:t>
      </w:r>
      <w:r w:rsidR="0018499F" w:rsidRPr="00794EC7">
        <w:rPr>
          <w:rFonts w:eastAsia="Arial Unicode MS" w:cs="Arial"/>
        </w:rPr>
        <w:t xml:space="preserve">in the presence of </w:t>
      </w:r>
      <w:r w:rsidR="00D3669C" w:rsidRPr="00794EC7">
        <w:rPr>
          <w:rFonts w:eastAsia="Arial Unicode MS" w:cs="Arial"/>
        </w:rPr>
        <w:t xml:space="preserve">EVs there is a significant modulation of </w:t>
      </w:r>
      <w:r w:rsidR="002679E3" w:rsidRPr="00794EC7">
        <w:rPr>
          <w:rFonts w:eastAsia="Arial Unicode MS" w:cs="Arial"/>
        </w:rPr>
        <w:t>Poly</w:t>
      </w:r>
      <w:r w:rsidR="0018499F" w:rsidRPr="00794EC7">
        <w:rPr>
          <w:rFonts w:eastAsia="Arial Unicode MS" w:cs="Arial"/>
        </w:rPr>
        <w:t xml:space="preserve"> I:C</w:t>
      </w:r>
      <w:r w:rsidR="00D3669C" w:rsidRPr="00794EC7">
        <w:rPr>
          <w:rFonts w:eastAsia="Arial Unicode MS" w:cs="Arial"/>
        </w:rPr>
        <w:t xml:space="preserve">-induced </w:t>
      </w:r>
      <w:r w:rsidR="003C6C1E" w:rsidRPr="00794EC7">
        <w:rPr>
          <w:rFonts w:cs="Arial"/>
        </w:rPr>
        <w:t xml:space="preserve"> cytokine production</w:t>
      </w:r>
      <w:r w:rsidR="00BD4AF6" w:rsidRPr="00794EC7">
        <w:rPr>
          <w:rFonts w:cs="Arial"/>
        </w:rPr>
        <w:t xml:space="preserve">, whilst a smaller </w:t>
      </w:r>
      <w:r w:rsidR="00D3669C" w:rsidRPr="00794EC7">
        <w:rPr>
          <w:rFonts w:cs="Arial"/>
        </w:rPr>
        <w:t xml:space="preserve">effect is observed </w:t>
      </w:r>
      <w:r w:rsidR="00BD4AF6" w:rsidRPr="00794EC7">
        <w:rPr>
          <w:rFonts w:cs="Arial"/>
        </w:rPr>
        <w:t xml:space="preserve">with EV-dpl samples. </w:t>
      </w:r>
    </w:p>
    <w:p w14:paraId="27103BC5" w14:textId="1026287D" w:rsidR="00D01DF2" w:rsidRPr="00794EC7" w:rsidRDefault="00D01DF2" w:rsidP="00902F19"/>
    <w:p w14:paraId="5BC0D9DE" w14:textId="77777777" w:rsidR="00D01DF2" w:rsidRPr="00794EC7" w:rsidRDefault="00D01DF2" w:rsidP="00902F19"/>
    <w:p w14:paraId="4FF62BD3" w14:textId="4F3C8A73" w:rsidR="00BA16B3" w:rsidRPr="00794EC7" w:rsidRDefault="00BF77AF" w:rsidP="00902F19">
      <w:pPr>
        <w:keepNext/>
      </w:pPr>
      <w:r w:rsidRPr="00794EC7">
        <w:rPr>
          <w:noProof/>
        </w:rPr>
        <w:lastRenderedPageBreak/>
        <w:drawing>
          <wp:inline distT="0" distB="0" distL="0" distR="0" wp14:anchorId="60982DCD" wp14:editId="696C1359">
            <wp:extent cx="5731510" cy="410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107180"/>
                    </a:xfrm>
                    <a:prstGeom prst="rect">
                      <a:avLst/>
                    </a:prstGeom>
                  </pic:spPr>
                </pic:pic>
              </a:graphicData>
            </a:graphic>
          </wp:inline>
        </w:drawing>
      </w:r>
    </w:p>
    <w:p w14:paraId="31FC1073" w14:textId="786C95C2" w:rsidR="00BA16B3" w:rsidRPr="00794EC7" w:rsidRDefault="00BA16B3" w:rsidP="00902F19">
      <w:pPr>
        <w:pStyle w:val="Caption"/>
        <w:rPr>
          <w:rFonts w:eastAsia="Arial Unicode MS" w:cs="Arial"/>
          <w:color w:val="000000" w:themeColor="text1"/>
        </w:rPr>
      </w:pPr>
      <w:bookmarkStart w:id="1" w:name="_Ref86919005"/>
      <w:r w:rsidRPr="00794EC7">
        <w:rPr>
          <w:color w:val="000000" w:themeColor="text1"/>
        </w:rPr>
        <w:t xml:space="preserve">Figure </w:t>
      </w:r>
      <w:r w:rsidRPr="00794EC7">
        <w:rPr>
          <w:color w:val="000000" w:themeColor="text1"/>
        </w:rPr>
        <w:fldChar w:fldCharType="begin"/>
      </w:r>
      <w:r w:rsidRPr="00794EC7">
        <w:rPr>
          <w:color w:val="000000" w:themeColor="text1"/>
        </w:rPr>
        <w:instrText xml:space="preserve"> SEQ Figure \* ARABIC </w:instrText>
      </w:r>
      <w:r w:rsidRPr="00794EC7">
        <w:rPr>
          <w:color w:val="000000" w:themeColor="text1"/>
        </w:rPr>
        <w:fldChar w:fldCharType="separate"/>
      </w:r>
      <w:r w:rsidRPr="00794EC7">
        <w:rPr>
          <w:noProof/>
          <w:color w:val="000000" w:themeColor="text1"/>
        </w:rPr>
        <w:t>2</w:t>
      </w:r>
      <w:r w:rsidRPr="00794EC7">
        <w:rPr>
          <w:color w:val="000000" w:themeColor="text1"/>
        </w:rPr>
        <w:fldChar w:fldCharType="end"/>
      </w:r>
      <w:bookmarkEnd w:id="1"/>
      <w:r w:rsidRPr="00794EC7">
        <w:rPr>
          <w:color w:val="000000" w:themeColor="text1"/>
        </w:rPr>
        <w:t xml:space="preserve">: </w:t>
      </w:r>
      <w:r w:rsidR="00CC5F24" w:rsidRPr="00794EC7">
        <w:rPr>
          <w:b/>
          <w:bCs/>
          <w:color w:val="000000" w:themeColor="text1"/>
        </w:rPr>
        <w:t>M</w:t>
      </w:r>
      <w:r w:rsidR="00560399" w:rsidRPr="00794EC7">
        <w:rPr>
          <w:b/>
          <w:bCs/>
          <w:color w:val="000000" w:themeColor="text1"/>
        </w:rPr>
        <w:t>ilk EV</w:t>
      </w:r>
      <w:r w:rsidR="00560399" w:rsidRPr="00794EC7" w:rsidDel="00560399">
        <w:rPr>
          <w:b/>
          <w:bCs/>
          <w:color w:val="000000" w:themeColor="text1"/>
        </w:rPr>
        <w:t xml:space="preserve"> </w:t>
      </w:r>
      <w:r w:rsidRPr="00794EC7">
        <w:rPr>
          <w:b/>
          <w:bCs/>
          <w:color w:val="000000" w:themeColor="text1"/>
        </w:rPr>
        <w:t>modulation of cytokine responses following challenge with</w:t>
      </w:r>
      <w:r w:rsidR="007F1829" w:rsidRPr="00794EC7">
        <w:rPr>
          <w:b/>
          <w:bCs/>
          <w:color w:val="000000" w:themeColor="text1"/>
        </w:rPr>
        <w:t xml:space="preserve"> </w:t>
      </w:r>
      <w:r w:rsidR="002679E3" w:rsidRPr="00794EC7">
        <w:rPr>
          <w:b/>
          <w:bCs/>
          <w:color w:val="000000" w:themeColor="text1"/>
        </w:rPr>
        <w:t>Poly</w:t>
      </w:r>
      <w:r w:rsidR="00F7707E" w:rsidRPr="00794EC7">
        <w:rPr>
          <w:b/>
          <w:bCs/>
          <w:color w:val="000000" w:themeColor="text1"/>
        </w:rPr>
        <w:t xml:space="preserve"> I:C</w:t>
      </w:r>
      <w:r w:rsidRPr="00794EC7">
        <w:rPr>
          <w:color w:val="000000" w:themeColor="text1"/>
        </w:rPr>
        <w:t xml:space="preserve">. </w:t>
      </w:r>
      <w:r w:rsidR="008D497C" w:rsidRPr="00794EC7">
        <w:rPr>
          <w:color w:val="000000" w:themeColor="text1"/>
        </w:rPr>
        <w:t xml:space="preserve">Polarised </w:t>
      </w:r>
      <w:r w:rsidR="008D497C" w:rsidRPr="00794EC7">
        <w:rPr>
          <w:rFonts w:cs="Arial"/>
          <w:color w:val="000000" w:themeColor="text1"/>
        </w:rPr>
        <w:t xml:space="preserve">16HBE14o- cells were apically challenged with Poly I:C (5 </w:t>
      </w:r>
      <w:r w:rsidR="008D497C" w:rsidRPr="00794EC7">
        <w:rPr>
          <w:rFonts w:eastAsia="Arial Unicode MS" w:cs="Arial"/>
          <w:color w:val="000000" w:themeColor="text1"/>
        </w:rPr>
        <w:t>μ</w:t>
      </w:r>
      <w:r w:rsidR="008D497C" w:rsidRPr="00794EC7">
        <w:rPr>
          <w:rFonts w:cs="Arial"/>
          <w:color w:val="000000" w:themeColor="text1"/>
        </w:rPr>
        <w:t xml:space="preserve">g/mL) in the presence or absence (100 </w:t>
      </w:r>
      <w:r w:rsidR="008D497C" w:rsidRPr="00794EC7">
        <w:rPr>
          <w:rFonts w:ascii="Symbol" w:hAnsi="Symbol" w:cs="Arial"/>
          <w:color w:val="000000" w:themeColor="text1"/>
        </w:rPr>
        <w:t></w:t>
      </w:r>
      <w:r w:rsidR="008D497C" w:rsidRPr="00794EC7">
        <w:rPr>
          <w:rFonts w:cs="Arial"/>
          <w:color w:val="000000" w:themeColor="text1"/>
        </w:rPr>
        <w:t xml:space="preserve">L) of EV or EV-DPL samples. </w:t>
      </w:r>
      <w:r w:rsidR="005E17BA" w:rsidRPr="00794EC7">
        <w:rPr>
          <w:color w:val="000000" w:themeColor="text1"/>
        </w:rPr>
        <w:t>24 hours after challenge the apical and basolateral samples were centrifuged at 300 x g for 5 minutes with the supernatants analysed for IL-8, IL-6 and TN</w:t>
      </w:r>
      <w:r w:rsidR="005E17BA" w:rsidRPr="00794EC7">
        <w:rPr>
          <w:rFonts w:cs="Arial"/>
          <w:color w:val="000000" w:themeColor="text1"/>
        </w:rPr>
        <w:t>F</w:t>
      </w:r>
      <w:r w:rsidR="00D3669C" w:rsidRPr="00794EC7">
        <w:rPr>
          <w:rFonts w:cs="Arial"/>
          <w:color w:val="000000" w:themeColor="text1"/>
        </w:rPr>
        <w:t>-</w:t>
      </w:r>
      <w:r w:rsidR="005E17BA" w:rsidRPr="00794EC7">
        <w:rPr>
          <w:rFonts w:eastAsia="Arial Unicode MS" w:cs="Arial"/>
          <w:color w:val="000000" w:themeColor="text1"/>
        </w:rPr>
        <w:t xml:space="preserve">α </w:t>
      </w:r>
      <w:r w:rsidR="00D3669C" w:rsidRPr="00794EC7">
        <w:rPr>
          <w:rFonts w:eastAsia="Arial Unicode MS" w:cs="Arial"/>
          <w:color w:val="000000" w:themeColor="text1"/>
        </w:rPr>
        <w:t>by</w:t>
      </w:r>
      <w:r w:rsidR="005E17BA" w:rsidRPr="00794EC7">
        <w:rPr>
          <w:rFonts w:eastAsia="Arial Unicode MS" w:cs="Arial"/>
          <w:color w:val="000000" w:themeColor="text1"/>
        </w:rPr>
        <w:t xml:space="preserve"> ELISA</w:t>
      </w:r>
      <w:r w:rsidR="005E17BA" w:rsidRPr="00794EC7">
        <w:rPr>
          <w:color w:val="000000" w:themeColor="text1"/>
        </w:rPr>
        <w:t xml:space="preserve">. </w:t>
      </w:r>
      <w:r w:rsidRPr="00794EC7">
        <w:rPr>
          <w:rFonts w:eastAsia="Arial Unicode MS" w:cs="Arial"/>
          <w:color w:val="000000" w:themeColor="text1"/>
        </w:rPr>
        <w:t xml:space="preserve">The </w:t>
      </w:r>
      <w:r w:rsidR="009209CD" w:rsidRPr="00794EC7">
        <w:rPr>
          <w:rFonts w:eastAsia="Arial Unicode MS" w:cs="Arial"/>
          <w:color w:val="000000" w:themeColor="text1"/>
        </w:rPr>
        <w:t xml:space="preserve">cytokine </w:t>
      </w:r>
      <w:r w:rsidR="0018499F" w:rsidRPr="00794EC7">
        <w:rPr>
          <w:rFonts w:eastAsia="Arial Unicode MS" w:cs="Arial"/>
          <w:color w:val="000000" w:themeColor="text1"/>
        </w:rPr>
        <w:t xml:space="preserve">concentrations </w:t>
      </w:r>
      <w:r w:rsidR="00D3669C" w:rsidRPr="00794EC7">
        <w:rPr>
          <w:rFonts w:eastAsia="Arial Unicode MS" w:cs="Arial"/>
          <w:color w:val="000000" w:themeColor="text1"/>
        </w:rPr>
        <w:t>we</w:t>
      </w:r>
      <w:r w:rsidR="0018499F" w:rsidRPr="00794EC7">
        <w:rPr>
          <w:rFonts w:eastAsia="Arial Unicode MS" w:cs="Arial"/>
          <w:color w:val="000000" w:themeColor="text1"/>
        </w:rPr>
        <w:t>re</w:t>
      </w:r>
      <w:r w:rsidR="007F1829" w:rsidRPr="00794EC7">
        <w:rPr>
          <w:rFonts w:eastAsia="Arial Unicode MS" w:cs="Arial"/>
          <w:color w:val="000000" w:themeColor="text1"/>
        </w:rPr>
        <w:t xml:space="preserve"> plotted </w:t>
      </w:r>
      <w:r w:rsidRPr="00794EC7">
        <w:rPr>
          <w:rFonts w:eastAsia="Arial Unicode MS" w:cs="Arial"/>
          <w:color w:val="000000" w:themeColor="text1"/>
        </w:rPr>
        <w:t>by</w:t>
      </w:r>
      <w:r w:rsidR="0018499F" w:rsidRPr="00794EC7">
        <w:rPr>
          <w:rFonts w:eastAsia="Arial Unicode MS" w:cs="Arial"/>
          <w:color w:val="000000" w:themeColor="text1"/>
        </w:rPr>
        <w:t xml:space="preserve"> first</w:t>
      </w:r>
      <w:r w:rsidRPr="00794EC7">
        <w:rPr>
          <w:rFonts w:eastAsia="Arial Unicode MS" w:cs="Arial"/>
          <w:color w:val="000000" w:themeColor="text1"/>
        </w:rPr>
        <w:t xml:space="preserve"> </w:t>
      </w:r>
      <w:r w:rsidR="007F1829" w:rsidRPr="00794EC7">
        <w:rPr>
          <w:rFonts w:eastAsia="Arial Unicode MS" w:cs="Arial"/>
          <w:color w:val="000000" w:themeColor="text1"/>
        </w:rPr>
        <w:t>subtracting the</w:t>
      </w:r>
      <w:r w:rsidRPr="00794EC7">
        <w:rPr>
          <w:rFonts w:eastAsia="Arial Unicode MS" w:cs="Arial"/>
          <w:color w:val="000000" w:themeColor="text1"/>
        </w:rPr>
        <w:t xml:space="preserve"> </w:t>
      </w:r>
      <w:r w:rsidR="008328FA" w:rsidRPr="00794EC7">
        <w:rPr>
          <w:rFonts w:eastAsia="Arial Unicode MS" w:cs="Arial"/>
          <w:color w:val="000000" w:themeColor="text1"/>
        </w:rPr>
        <w:t xml:space="preserve">unstimulated </w:t>
      </w:r>
      <w:r w:rsidRPr="00794EC7">
        <w:rPr>
          <w:rFonts w:eastAsia="Arial Unicode MS" w:cs="Arial"/>
          <w:color w:val="000000" w:themeColor="text1"/>
        </w:rPr>
        <w:t xml:space="preserve">media concentrations </w:t>
      </w:r>
      <w:r w:rsidR="0018499F" w:rsidRPr="00794EC7">
        <w:rPr>
          <w:rFonts w:eastAsia="Arial Unicode MS" w:cs="Arial"/>
          <w:color w:val="000000" w:themeColor="text1"/>
        </w:rPr>
        <w:t xml:space="preserve">then </w:t>
      </w:r>
      <w:r w:rsidRPr="00794EC7">
        <w:rPr>
          <w:rFonts w:eastAsia="Arial Unicode MS" w:cs="Arial"/>
          <w:color w:val="000000" w:themeColor="text1"/>
        </w:rPr>
        <w:t xml:space="preserve">normalising to </w:t>
      </w:r>
      <w:r w:rsidR="0018499F" w:rsidRPr="00794EC7">
        <w:rPr>
          <w:rFonts w:eastAsia="Arial Unicode MS" w:cs="Arial"/>
          <w:color w:val="000000" w:themeColor="text1"/>
        </w:rPr>
        <w:t xml:space="preserve">concentration after </w:t>
      </w:r>
      <w:r w:rsidR="002679E3" w:rsidRPr="00794EC7">
        <w:rPr>
          <w:rFonts w:eastAsia="Arial Unicode MS" w:cs="Arial"/>
          <w:color w:val="000000" w:themeColor="text1"/>
        </w:rPr>
        <w:t>Poly</w:t>
      </w:r>
      <w:r w:rsidRPr="00794EC7">
        <w:rPr>
          <w:rFonts w:eastAsia="Arial Unicode MS" w:cs="Arial"/>
          <w:color w:val="000000" w:themeColor="text1"/>
        </w:rPr>
        <w:t xml:space="preserve"> I:C</w:t>
      </w:r>
      <w:r w:rsidR="0018499F" w:rsidRPr="00794EC7">
        <w:rPr>
          <w:rFonts w:eastAsia="Arial Unicode MS" w:cs="Arial"/>
          <w:color w:val="000000" w:themeColor="text1"/>
        </w:rPr>
        <w:t xml:space="preserve"> challenge</w:t>
      </w:r>
      <w:r w:rsidR="00F44088" w:rsidRPr="00794EC7">
        <w:rPr>
          <w:rFonts w:eastAsia="Arial Unicode MS" w:cs="Arial"/>
          <w:color w:val="000000" w:themeColor="text1"/>
        </w:rPr>
        <w:t xml:space="preserve">. </w:t>
      </w:r>
      <w:r w:rsidR="002679E3" w:rsidRPr="00794EC7">
        <w:rPr>
          <w:rFonts w:eastAsia="Arial Unicode MS" w:cs="Arial"/>
          <w:color w:val="000000" w:themeColor="text1"/>
        </w:rPr>
        <w:t xml:space="preserve">The different symbols detail the significance of multiple comparisons: </w:t>
      </w:r>
      <w:r w:rsidR="002679E3" w:rsidRPr="00794EC7">
        <w:rPr>
          <w:rFonts w:cs="Arial"/>
          <w:color w:val="000000" w:themeColor="text1"/>
        </w:rPr>
        <w:t xml:space="preserve">♦♦♦ p≤0.001 and ♦♦♦♦ p≤0.0001 vs Poly I:C and </w:t>
      </w:r>
      <w:r w:rsidR="002679E3" w:rsidRPr="00794EC7">
        <w:rPr>
          <w:rFonts w:eastAsia="Arial Unicode MS" w:cs="Arial"/>
          <w:color w:val="000000" w:themeColor="text1"/>
        </w:rPr>
        <w:t>■</w:t>
      </w:r>
      <w:r w:rsidR="00812BCC" w:rsidRPr="00794EC7">
        <w:rPr>
          <w:rFonts w:eastAsia="Arial Unicode MS" w:cs="Arial"/>
          <w:color w:val="000000" w:themeColor="text1"/>
        </w:rPr>
        <w:t>■ p</w:t>
      </w:r>
      <w:r w:rsidR="00812BCC" w:rsidRPr="00794EC7">
        <w:rPr>
          <w:rFonts w:cs="Arial"/>
          <w:color w:val="000000" w:themeColor="text1"/>
        </w:rPr>
        <w:t>≤0.01</w:t>
      </w:r>
      <w:r w:rsidR="00812BCC" w:rsidRPr="00794EC7">
        <w:rPr>
          <w:rFonts w:eastAsia="Arial Unicode MS" w:cs="Arial"/>
          <w:color w:val="000000" w:themeColor="text1"/>
        </w:rPr>
        <w:t>, ■■■ p</w:t>
      </w:r>
      <w:r w:rsidR="00812BCC" w:rsidRPr="00794EC7">
        <w:rPr>
          <w:rFonts w:cs="Arial"/>
          <w:color w:val="000000" w:themeColor="text1"/>
        </w:rPr>
        <w:t>≤0.001</w:t>
      </w:r>
      <w:r w:rsidR="00812BCC" w:rsidRPr="00794EC7">
        <w:rPr>
          <w:rFonts w:eastAsia="Arial Unicode MS" w:cs="Arial"/>
          <w:color w:val="000000" w:themeColor="text1"/>
        </w:rPr>
        <w:t xml:space="preserve"> and ■■■■ p</w:t>
      </w:r>
      <w:r w:rsidR="00812BCC" w:rsidRPr="00794EC7">
        <w:rPr>
          <w:rFonts w:cs="Arial"/>
          <w:color w:val="000000" w:themeColor="text1"/>
        </w:rPr>
        <w:t xml:space="preserve">≤0.0001 vs EV-dpl + Poly I:C </w:t>
      </w:r>
      <w:r w:rsidR="002679E3" w:rsidRPr="00794EC7">
        <w:rPr>
          <w:rFonts w:cs="Arial"/>
          <w:color w:val="000000" w:themeColor="text1"/>
        </w:rPr>
        <w:t>as determined by one-way ANOVA with Bonferroni correction for multiple testing.</w:t>
      </w:r>
      <w:r w:rsidR="00812BCC" w:rsidRPr="00794EC7">
        <w:rPr>
          <w:rFonts w:cs="Arial"/>
          <w:color w:val="000000" w:themeColor="text1"/>
        </w:rPr>
        <w:t xml:space="preserve"> </w:t>
      </w:r>
      <w:r w:rsidR="007F1829" w:rsidRPr="00794EC7">
        <w:rPr>
          <w:rFonts w:eastAsia="Arial Unicode MS" w:cs="Arial"/>
          <w:color w:val="000000" w:themeColor="text1"/>
        </w:rPr>
        <w:t xml:space="preserve">The data shows the </w:t>
      </w:r>
      <w:r w:rsidR="00F44088" w:rsidRPr="00794EC7">
        <w:rPr>
          <w:color w:val="000000" w:themeColor="text1"/>
        </w:rPr>
        <w:t xml:space="preserve">average </w:t>
      </w:r>
      <w:r w:rsidR="00F44088" w:rsidRPr="00794EC7">
        <w:rPr>
          <w:rFonts w:cs="Arial"/>
          <w:color w:val="000000" w:themeColor="text1"/>
        </w:rPr>
        <w:t>±</w:t>
      </w:r>
      <w:r w:rsidR="00F44088" w:rsidRPr="00794EC7">
        <w:rPr>
          <w:color w:val="000000" w:themeColor="text1"/>
        </w:rPr>
        <w:t xml:space="preserve"> stan</w:t>
      </w:r>
      <w:r w:rsidR="00F44088" w:rsidRPr="00794EC7">
        <w:rPr>
          <w:rFonts w:cs="Arial"/>
          <w:color w:val="000000" w:themeColor="text1"/>
        </w:rPr>
        <w:t xml:space="preserve">dard deviation </w:t>
      </w:r>
      <w:r w:rsidR="007F1829" w:rsidRPr="00794EC7">
        <w:rPr>
          <w:rFonts w:eastAsia="Arial Unicode MS" w:cs="Arial"/>
          <w:color w:val="000000" w:themeColor="text1"/>
        </w:rPr>
        <w:t>of n=3 repeats in triplicate (3 donors in singlet)</w:t>
      </w:r>
      <w:r w:rsidR="0018499F" w:rsidRPr="00794EC7">
        <w:rPr>
          <w:rFonts w:eastAsia="Arial Unicode MS" w:cs="Arial"/>
          <w:color w:val="000000" w:themeColor="text1"/>
        </w:rPr>
        <w:t>.</w:t>
      </w:r>
      <w:r w:rsidR="00F44088" w:rsidRPr="00794EC7">
        <w:rPr>
          <w:color w:val="000000" w:themeColor="text1"/>
        </w:rPr>
        <w:t xml:space="preserve"> </w:t>
      </w:r>
    </w:p>
    <w:p w14:paraId="70709DA6" w14:textId="753914F7" w:rsidR="00D01DF2" w:rsidRPr="00794EC7" w:rsidRDefault="00D01DF2" w:rsidP="00902F19">
      <w:pPr>
        <w:pStyle w:val="Heading1"/>
      </w:pPr>
      <w:r w:rsidRPr="00794EC7">
        <w:t>Extracellular Vesicles Display Concentration Depend</w:t>
      </w:r>
      <w:r w:rsidR="004B2A93" w:rsidRPr="00794EC7">
        <w:t>e</w:t>
      </w:r>
      <w:r w:rsidRPr="00794EC7">
        <w:t xml:space="preserve">nt Modulation of </w:t>
      </w:r>
      <w:r w:rsidR="003A5706" w:rsidRPr="00794EC7">
        <w:t xml:space="preserve">Barrier Integrity Following Challenge with dsRNA analogue. </w:t>
      </w:r>
    </w:p>
    <w:p w14:paraId="42AFF2DA" w14:textId="77777777" w:rsidR="00356B4E" w:rsidRPr="00794EC7" w:rsidRDefault="00356B4E" w:rsidP="00902F19"/>
    <w:p w14:paraId="0C128EB5" w14:textId="36EAD1C9" w:rsidR="005E17BA" w:rsidRPr="00794EC7" w:rsidRDefault="00182EDE" w:rsidP="00902F19">
      <w:r w:rsidRPr="00794EC7">
        <w:t xml:space="preserve">To determine </w:t>
      </w:r>
      <w:r w:rsidR="00A11A8B" w:rsidRPr="00794EC7">
        <w:t xml:space="preserve">whether </w:t>
      </w:r>
      <w:r w:rsidR="0023051A" w:rsidRPr="00794EC7">
        <w:t xml:space="preserve">the protective function of EVs was </w:t>
      </w:r>
      <w:r w:rsidR="00A11A8B" w:rsidRPr="00794EC7">
        <w:t>concentration</w:t>
      </w:r>
      <w:r w:rsidR="008150B4" w:rsidRPr="00794EC7">
        <w:t xml:space="preserve"> dependent, different concentrations of EVs and corresponding </w:t>
      </w:r>
      <w:r w:rsidR="00356B4E" w:rsidRPr="00794EC7">
        <w:t>EV-</w:t>
      </w:r>
      <w:r w:rsidR="003E1328" w:rsidRPr="00794EC7">
        <w:t>dpl</w:t>
      </w:r>
      <w:r w:rsidR="00356B4E" w:rsidRPr="00794EC7">
        <w:t xml:space="preserve"> </w:t>
      </w:r>
      <w:r w:rsidR="00E31DB7" w:rsidRPr="00794EC7">
        <w:t xml:space="preserve">controls </w:t>
      </w:r>
      <w:r w:rsidR="008150B4" w:rsidRPr="00794EC7">
        <w:t>were tested in the</w:t>
      </w:r>
      <w:r w:rsidR="00747F7F" w:rsidRPr="00794EC7">
        <w:t xml:space="preserve"> presence of</w:t>
      </w:r>
      <w:r w:rsidR="00E31DB7" w:rsidRPr="00794EC7">
        <w:rPr>
          <w:rFonts w:cs="Arial"/>
        </w:rPr>
        <w:t xml:space="preserve"> </w:t>
      </w:r>
      <w:r w:rsidR="002679E3" w:rsidRPr="00794EC7">
        <w:t>Poly</w:t>
      </w:r>
      <w:r w:rsidR="00356B4E" w:rsidRPr="00794EC7">
        <w:t xml:space="preserve"> I:C </w:t>
      </w:r>
      <w:r w:rsidR="009209CD" w:rsidRPr="00794EC7">
        <w:t xml:space="preserve">(5 </w:t>
      </w:r>
      <w:r w:rsidR="009209CD" w:rsidRPr="00794EC7">
        <w:rPr>
          <w:rFonts w:ascii="Symbol" w:hAnsi="Symbol"/>
        </w:rPr>
        <w:t></w:t>
      </w:r>
      <w:r w:rsidR="009209CD" w:rsidRPr="00794EC7">
        <w:t>g/mL)</w:t>
      </w:r>
      <w:r w:rsidR="0023051A" w:rsidRPr="00794EC7">
        <w:t>, by analysing the TER and IL-8 release</w:t>
      </w:r>
      <w:r w:rsidR="008150B4" w:rsidRPr="00794EC7">
        <w:t xml:space="preserve">. </w:t>
      </w:r>
      <w:r w:rsidR="009209CD" w:rsidRPr="00794EC7">
        <w:t xml:space="preserve"> </w:t>
      </w:r>
      <w:r w:rsidR="005E17BA" w:rsidRPr="00794EC7">
        <w:t>T</w:t>
      </w:r>
      <w:r w:rsidR="00747F7F" w:rsidRPr="00794EC7">
        <w:t xml:space="preserve">he </w:t>
      </w:r>
      <w:r w:rsidR="005E17BA" w:rsidRPr="00794EC7">
        <w:t xml:space="preserve">milk EV </w:t>
      </w:r>
      <w:r w:rsidR="00747F7F" w:rsidRPr="00794EC7">
        <w:t xml:space="preserve">concentration was varied by </w:t>
      </w:r>
      <w:r w:rsidR="005E17BA" w:rsidRPr="00794EC7">
        <w:t xml:space="preserve">diluting the EV samples in media, such that 100 </w:t>
      </w:r>
      <w:r w:rsidR="005E17BA" w:rsidRPr="00794EC7">
        <w:rPr>
          <w:rFonts w:ascii="Symbol" w:hAnsi="Symbol"/>
        </w:rPr>
        <w:t></w:t>
      </w:r>
      <w:r w:rsidR="005E17BA" w:rsidRPr="00794EC7">
        <w:t xml:space="preserve">L of EVs in a 200 </w:t>
      </w:r>
      <w:r w:rsidR="005E17BA" w:rsidRPr="00794EC7">
        <w:rPr>
          <w:rFonts w:ascii="Symbol" w:hAnsi="Symbol"/>
        </w:rPr>
        <w:t></w:t>
      </w:r>
      <w:r w:rsidR="005E17BA" w:rsidRPr="00794EC7">
        <w:t xml:space="preserve">L final volume </w:t>
      </w:r>
      <w:r w:rsidR="00D3669C" w:rsidRPr="00794EC7">
        <w:t xml:space="preserve">equated to </w:t>
      </w:r>
      <w:r w:rsidR="005E17BA" w:rsidRPr="00794EC7">
        <w:t xml:space="preserve">50% of the physiological milk EV concentration down to 5 </w:t>
      </w:r>
      <w:r w:rsidR="005E17BA" w:rsidRPr="00794EC7">
        <w:rPr>
          <w:rFonts w:ascii="Symbol" w:hAnsi="Symbol"/>
        </w:rPr>
        <w:t></w:t>
      </w:r>
      <w:r w:rsidR="005E17BA" w:rsidRPr="00794EC7">
        <w:t xml:space="preserve">L EVs in a final volume of 200 </w:t>
      </w:r>
      <w:r w:rsidR="005E17BA" w:rsidRPr="00794EC7">
        <w:rPr>
          <w:rFonts w:ascii="Symbol" w:hAnsi="Symbol"/>
        </w:rPr>
        <w:t></w:t>
      </w:r>
      <w:r w:rsidR="005E17BA" w:rsidRPr="00794EC7">
        <w:t>L which</w:t>
      </w:r>
      <w:r w:rsidR="00D3669C" w:rsidRPr="00794EC7">
        <w:t xml:space="preserve"> equated to</w:t>
      </w:r>
      <w:r w:rsidR="005E17BA" w:rsidRPr="00794EC7">
        <w:t xml:space="preserve"> 2.5% of the physiological concentration. </w:t>
      </w:r>
    </w:p>
    <w:p w14:paraId="1CDF6752" w14:textId="77777777" w:rsidR="00E31DB7" w:rsidRPr="00794EC7" w:rsidRDefault="00E31DB7" w:rsidP="00902F19">
      <w:pPr>
        <w:rPr>
          <w:rFonts w:cs="Arial"/>
        </w:rPr>
      </w:pPr>
    </w:p>
    <w:p w14:paraId="618CA5AB" w14:textId="6FE84316" w:rsidR="003A5706" w:rsidRPr="00794EC7" w:rsidRDefault="005148F8" w:rsidP="0085141B">
      <w:pPr>
        <w:rPr>
          <w:rFonts w:eastAsia="Arial Unicode MS" w:cs="Arial"/>
        </w:rPr>
      </w:pPr>
      <w:r w:rsidRPr="00794EC7">
        <w:rPr>
          <w:rFonts w:cs="Arial"/>
        </w:rPr>
        <w:fldChar w:fldCharType="begin"/>
      </w:r>
      <w:r w:rsidRPr="00794EC7">
        <w:rPr>
          <w:rFonts w:cs="Arial"/>
        </w:rPr>
        <w:instrText xml:space="preserve"> REF _Ref86916593 \h </w:instrText>
      </w:r>
      <w:r w:rsidR="00902F19" w:rsidRPr="00794EC7">
        <w:rPr>
          <w:rFonts w:cs="Arial"/>
        </w:rPr>
        <w:instrText xml:space="preserve"> \* MERGEFORMAT </w:instrText>
      </w:r>
      <w:r w:rsidRPr="00794EC7">
        <w:rPr>
          <w:rFonts w:cs="Arial"/>
        </w:rPr>
      </w:r>
      <w:r w:rsidRPr="00794EC7">
        <w:rPr>
          <w:rFonts w:cs="Arial"/>
        </w:rPr>
        <w:fldChar w:fldCharType="separate"/>
      </w:r>
      <w:r w:rsidRPr="00794EC7">
        <w:rPr>
          <w:color w:val="000000" w:themeColor="text1"/>
        </w:rPr>
        <w:t>Figure</w:t>
      </w:r>
      <w:r w:rsidR="00906A9D" w:rsidRPr="00794EC7">
        <w:rPr>
          <w:color w:val="000000" w:themeColor="text1"/>
        </w:rPr>
        <w:t xml:space="preserve"> </w:t>
      </w:r>
      <w:r w:rsidRPr="00794EC7">
        <w:rPr>
          <w:noProof/>
          <w:color w:val="000000" w:themeColor="text1"/>
        </w:rPr>
        <w:t>3</w:t>
      </w:r>
      <w:r w:rsidRPr="00794EC7">
        <w:rPr>
          <w:rFonts w:cs="Arial"/>
        </w:rPr>
        <w:fldChar w:fldCharType="end"/>
      </w:r>
      <w:r w:rsidR="009C2AA9" w:rsidRPr="00794EC7">
        <w:rPr>
          <w:rFonts w:cs="Arial"/>
        </w:rPr>
        <w:t xml:space="preserve"> shows </w:t>
      </w:r>
      <w:r w:rsidR="00906A9D" w:rsidRPr="00794EC7">
        <w:rPr>
          <w:rFonts w:cs="Arial"/>
        </w:rPr>
        <w:t xml:space="preserve">the change in </w:t>
      </w:r>
      <w:r w:rsidR="00E31DB7" w:rsidRPr="00794EC7">
        <w:rPr>
          <w:rFonts w:cs="Arial"/>
        </w:rPr>
        <w:t>(</w:t>
      </w:r>
      <w:r w:rsidR="009C2AA9" w:rsidRPr="00794EC7">
        <w:rPr>
          <w:rFonts w:cs="Arial"/>
        </w:rPr>
        <w:t>normalised</w:t>
      </w:r>
      <w:r w:rsidR="00E31DB7" w:rsidRPr="00794EC7">
        <w:rPr>
          <w:rFonts w:cs="Arial"/>
        </w:rPr>
        <w:t>)</w:t>
      </w:r>
      <w:r w:rsidR="009C2AA9" w:rsidRPr="00794EC7">
        <w:rPr>
          <w:rFonts w:cs="Arial"/>
        </w:rPr>
        <w:t xml:space="preserve"> </w:t>
      </w:r>
      <w:r w:rsidR="00747F7F" w:rsidRPr="00794EC7">
        <w:rPr>
          <w:rFonts w:cs="Arial"/>
        </w:rPr>
        <w:t>TER</w:t>
      </w:r>
      <w:r w:rsidR="00906A9D" w:rsidRPr="00794EC7">
        <w:rPr>
          <w:rFonts w:cs="Arial"/>
        </w:rPr>
        <w:t xml:space="preserve"> over 24 hours</w:t>
      </w:r>
      <w:r w:rsidR="003E5EBB" w:rsidRPr="00794EC7">
        <w:rPr>
          <w:rFonts w:cs="Arial"/>
        </w:rPr>
        <w:t xml:space="preserve"> </w:t>
      </w:r>
      <w:r w:rsidR="00747F7F" w:rsidRPr="00794EC7">
        <w:rPr>
          <w:rFonts w:cs="Arial"/>
        </w:rPr>
        <w:t>for different concentrations</w:t>
      </w:r>
      <w:r w:rsidR="00986E15" w:rsidRPr="00794EC7">
        <w:rPr>
          <w:rFonts w:cs="Arial"/>
        </w:rPr>
        <w:t xml:space="preserve"> of EVs following </w:t>
      </w:r>
      <w:r w:rsidR="002679E3" w:rsidRPr="00794EC7">
        <w:rPr>
          <w:rFonts w:cs="Arial"/>
        </w:rPr>
        <w:t>Poly</w:t>
      </w:r>
      <w:r w:rsidR="00986E15" w:rsidRPr="00794EC7">
        <w:rPr>
          <w:rFonts w:cs="Arial"/>
        </w:rPr>
        <w:t xml:space="preserve"> I:C challenge</w:t>
      </w:r>
      <w:r w:rsidR="00906A9D" w:rsidRPr="00794EC7">
        <w:rPr>
          <w:rFonts w:cs="Arial"/>
        </w:rPr>
        <w:t xml:space="preserve">. </w:t>
      </w:r>
      <w:r w:rsidR="00747F7F" w:rsidRPr="00794EC7">
        <w:rPr>
          <w:rFonts w:cs="Arial"/>
        </w:rPr>
        <w:t>T</w:t>
      </w:r>
      <w:r w:rsidR="00E31DB7" w:rsidRPr="00794EC7">
        <w:rPr>
          <w:rFonts w:cs="Arial"/>
        </w:rPr>
        <w:t>he barrier integrity was</w:t>
      </w:r>
      <w:r w:rsidR="008D77BF" w:rsidRPr="00794EC7">
        <w:rPr>
          <w:rFonts w:cs="Arial"/>
        </w:rPr>
        <w:t xml:space="preserve"> highly</w:t>
      </w:r>
      <w:r w:rsidR="00E06C02" w:rsidRPr="00794EC7">
        <w:rPr>
          <w:rFonts w:cs="Arial"/>
        </w:rPr>
        <w:t xml:space="preserve"> </w:t>
      </w:r>
      <w:r w:rsidR="00EA666E" w:rsidRPr="00794EC7">
        <w:rPr>
          <w:rFonts w:cs="Arial"/>
        </w:rPr>
        <w:t>modulated</w:t>
      </w:r>
      <w:r w:rsidR="00E06C02" w:rsidRPr="00794EC7">
        <w:rPr>
          <w:rFonts w:cs="Arial"/>
        </w:rPr>
        <w:t xml:space="preserve"> in the presence </w:t>
      </w:r>
      <w:r w:rsidR="0019141F" w:rsidRPr="00794EC7">
        <w:rPr>
          <w:rFonts w:cs="Arial"/>
        </w:rPr>
        <w:t xml:space="preserve">of </w:t>
      </w:r>
      <w:r w:rsidR="00E06C02" w:rsidRPr="00794EC7">
        <w:rPr>
          <w:rFonts w:cs="Arial"/>
        </w:rPr>
        <w:t xml:space="preserve">EV samples in a </w:t>
      </w:r>
      <w:r w:rsidR="00986E15" w:rsidRPr="00794EC7">
        <w:rPr>
          <w:rFonts w:cs="Arial"/>
        </w:rPr>
        <w:t xml:space="preserve">time and </w:t>
      </w:r>
      <w:r w:rsidR="00E06C02" w:rsidRPr="00794EC7">
        <w:rPr>
          <w:rFonts w:cs="Arial"/>
        </w:rPr>
        <w:t>concentration</w:t>
      </w:r>
      <w:r w:rsidR="00986E15" w:rsidRPr="00794EC7">
        <w:rPr>
          <w:rFonts w:cs="Arial"/>
        </w:rPr>
        <w:t>-</w:t>
      </w:r>
      <w:r w:rsidR="00E06C02" w:rsidRPr="00794EC7">
        <w:rPr>
          <w:rFonts w:cs="Arial"/>
        </w:rPr>
        <w:t>dependent man</w:t>
      </w:r>
      <w:r w:rsidR="00986E15" w:rsidRPr="00794EC7">
        <w:rPr>
          <w:rFonts w:cs="Arial"/>
        </w:rPr>
        <w:t>ne</w:t>
      </w:r>
      <w:r w:rsidR="00E06C02" w:rsidRPr="00794EC7">
        <w:rPr>
          <w:rFonts w:cs="Arial"/>
        </w:rPr>
        <w:t>r</w:t>
      </w:r>
      <w:r w:rsidR="00986E15" w:rsidRPr="00794EC7">
        <w:rPr>
          <w:rFonts w:cs="Arial"/>
        </w:rPr>
        <w:t>. One</w:t>
      </w:r>
      <w:r w:rsidR="008D77BF" w:rsidRPr="00794EC7">
        <w:rPr>
          <w:rFonts w:cs="Arial"/>
        </w:rPr>
        <w:t xml:space="preserve"> hour after challenge </w:t>
      </w:r>
      <w:r w:rsidR="00E06C02" w:rsidRPr="00794EC7">
        <w:rPr>
          <w:rFonts w:cs="Arial"/>
        </w:rPr>
        <w:t xml:space="preserve">the higher </w:t>
      </w:r>
      <w:r w:rsidR="009209CD" w:rsidRPr="00794EC7">
        <w:rPr>
          <w:rFonts w:cs="Arial"/>
        </w:rPr>
        <w:t>volumes</w:t>
      </w:r>
      <w:r w:rsidR="002B2D48" w:rsidRPr="00794EC7">
        <w:rPr>
          <w:rFonts w:cs="Arial"/>
        </w:rPr>
        <w:t xml:space="preserve"> </w:t>
      </w:r>
      <w:r w:rsidR="00E06C02" w:rsidRPr="00794EC7">
        <w:rPr>
          <w:rFonts w:cs="Arial"/>
        </w:rPr>
        <w:t>of EVs 25</w:t>
      </w:r>
      <w:r w:rsidR="00F7707E" w:rsidRPr="00794EC7">
        <w:rPr>
          <w:rFonts w:cs="Arial"/>
        </w:rPr>
        <w:t>, 50 and 100</w:t>
      </w:r>
      <w:r w:rsidR="00E06C02" w:rsidRPr="00794EC7">
        <w:rPr>
          <w:rFonts w:cs="Arial"/>
        </w:rPr>
        <w:sym w:font="Symbol" w:char="F06D"/>
      </w:r>
      <w:r w:rsidR="00E06C02" w:rsidRPr="00794EC7">
        <w:rPr>
          <w:rFonts w:cs="Arial"/>
        </w:rPr>
        <w:t xml:space="preserve">L </w:t>
      </w:r>
      <w:r w:rsidR="008D77BF" w:rsidRPr="00794EC7">
        <w:rPr>
          <w:rFonts w:cs="Arial"/>
        </w:rPr>
        <w:t>generated</w:t>
      </w:r>
      <w:r w:rsidR="00E06C02" w:rsidRPr="00794EC7">
        <w:rPr>
          <w:rFonts w:cs="Arial"/>
        </w:rPr>
        <w:t xml:space="preserve"> TERs</w:t>
      </w:r>
      <w:r w:rsidR="008D77BF" w:rsidRPr="00794EC7">
        <w:rPr>
          <w:rFonts w:cs="Arial"/>
        </w:rPr>
        <w:t xml:space="preserve"> similar</w:t>
      </w:r>
      <w:r w:rsidR="00E06C02" w:rsidRPr="00794EC7">
        <w:rPr>
          <w:rFonts w:cs="Arial"/>
        </w:rPr>
        <w:t xml:space="preserve"> to the media control</w:t>
      </w:r>
      <w:r w:rsidR="008D77BF" w:rsidRPr="00794EC7">
        <w:rPr>
          <w:rFonts w:cs="Arial"/>
        </w:rPr>
        <w:t xml:space="preserve">, whilst EV-dpl samples </w:t>
      </w:r>
      <w:r w:rsidR="009719B7" w:rsidRPr="00794EC7">
        <w:rPr>
          <w:rFonts w:cs="Arial"/>
        </w:rPr>
        <w:t xml:space="preserve">also </w:t>
      </w:r>
      <w:r w:rsidR="008D77BF" w:rsidRPr="00794EC7">
        <w:rPr>
          <w:rFonts w:cs="Arial"/>
        </w:rPr>
        <w:t>showed some modulation but to a lesser extent</w:t>
      </w:r>
      <w:r w:rsidR="00E06C02" w:rsidRPr="00794EC7">
        <w:rPr>
          <w:rFonts w:cs="Arial"/>
        </w:rPr>
        <w:t xml:space="preserve">. The difference </w:t>
      </w:r>
      <w:r w:rsidR="00EA666E" w:rsidRPr="00794EC7">
        <w:rPr>
          <w:rFonts w:cs="Arial"/>
        </w:rPr>
        <w:t>with</w:t>
      </w:r>
      <w:r w:rsidR="00E06C02" w:rsidRPr="00794EC7">
        <w:rPr>
          <w:rFonts w:cs="Arial"/>
        </w:rPr>
        <w:t xml:space="preserve">in concentration and sample type </w:t>
      </w:r>
      <w:r w:rsidR="00EA666E" w:rsidRPr="00794EC7">
        <w:rPr>
          <w:rFonts w:cs="Arial"/>
        </w:rPr>
        <w:t>was</w:t>
      </w:r>
      <w:r w:rsidR="002B2D48" w:rsidRPr="00794EC7">
        <w:rPr>
          <w:rFonts w:cs="Arial"/>
        </w:rPr>
        <w:t xml:space="preserve"> </w:t>
      </w:r>
      <w:r w:rsidR="00E06C02" w:rsidRPr="00794EC7">
        <w:rPr>
          <w:rFonts w:cs="Arial"/>
        </w:rPr>
        <w:t>more pronounced as time increased</w:t>
      </w:r>
      <w:r w:rsidR="002B2D48" w:rsidRPr="00794EC7">
        <w:rPr>
          <w:rFonts w:cs="Arial"/>
        </w:rPr>
        <w:t xml:space="preserve">. </w:t>
      </w:r>
      <w:r w:rsidR="00986E15" w:rsidRPr="00794EC7">
        <w:rPr>
          <w:rFonts w:cs="Arial"/>
        </w:rPr>
        <w:t>After 2 hours</w:t>
      </w:r>
      <w:r w:rsidR="00576011" w:rsidRPr="00794EC7">
        <w:rPr>
          <w:rFonts w:cs="Arial"/>
        </w:rPr>
        <w:t>,</w:t>
      </w:r>
      <w:r w:rsidR="0005379D" w:rsidRPr="00794EC7">
        <w:rPr>
          <w:rFonts w:cs="Arial"/>
        </w:rPr>
        <w:t xml:space="preserve"> a protective effect of EVs was observed </w:t>
      </w:r>
      <w:r w:rsidR="00951895" w:rsidRPr="00794EC7">
        <w:rPr>
          <w:rFonts w:cs="Arial"/>
        </w:rPr>
        <w:t xml:space="preserve">on the </w:t>
      </w:r>
      <w:r w:rsidR="002679E3" w:rsidRPr="00794EC7">
        <w:rPr>
          <w:rFonts w:cs="Arial"/>
        </w:rPr>
        <w:t>Poly</w:t>
      </w:r>
      <w:r w:rsidR="008328FA" w:rsidRPr="00794EC7">
        <w:rPr>
          <w:rFonts w:cs="Arial"/>
        </w:rPr>
        <w:t xml:space="preserve"> I:C</w:t>
      </w:r>
      <w:r w:rsidR="00951895" w:rsidRPr="00794EC7">
        <w:rPr>
          <w:rFonts w:cs="Arial"/>
        </w:rPr>
        <w:t xml:space="preserve">-induced </w:t>
      </w:r>
      <w:r w:rsidR="0005379D" w:rsidRPr="00794EC7">
        <w:rPr>
          <w:rFonts w:cs="Arial"/>
        </w:rPr>
        <w:t>reduction in TER</w:t>
      </w:r>
      <w:r w:rsidR="00951895" w:rsidRPr="00794EC7">
        <w:rPr>
          <w:rFonts w:cs="Arial"/>
        </w:rPr>
        <w:t xml:space="preserve"> </w:t>
      </w:r>
      <w:r w:rsidR="0005379D" w:rsidRPr="00794EC7">
        <w:rPr>
          <w:rFonts w:cs="Arial"/>
        </w:rPr>
        <w:t xml:space="preserve">from </w:t>
      </w:r>
      <w:r w:rsidR="00951895" w:rsidRPr="00794EC7">
        <w:rPr>
          <w:rFonts w:cs="Arial"/>
        </w:rPr>
        <w:t>2</w:t>
      </w:r>
      <w:r w:rsidR="00D52B1C" w:rsidRPr="00794EC7">
        <w:rPr>
          <w:rFonts w:cs="Arial"/>
        </w:rPr>
        <w:t>0</w:t>
      </w:r>
      <w:r w:rsidR="00951895" w:rsidRPr="00794EC7">
        <w:rPr>
          <w:rFonts w:cs="Arial"/>
        </w:rPr>
        <w:t xml:space="preserve">% </w:t>
      </w:r>
      <w:r w:rsidR="00D52B1C" w:rsidRPr="00794EC7">
        <w:rPr>
          <w:rFonts w:cs="Arial"/>
        </w:rPr>
        <w:t xml:space="preserve">to 83% </w:t>
      </w:r>
      <w:r w:rsidR="00951895" w:rsidRPr="00794EC7">
        <w:rPr>
          <w:rFonts w:cs="Arial"/>
        </w:rPr>
        <w:t xml:space="preserve">in the presence of 100 </w:t>
      </w:r>
      <w:r w:rsidR="008328FA" w:rsidRPr="00794EC7">
        <w:rPr>
          <w:rFonts w:ascii="Symbol" w:hAnsi="Symbol" w:cs="Arial"/>
        </w:rPr>
        <w:t></w:t>
      </w:r>
      <w:r w:rsidR="008328FA" w:rsidRPr="00794EC7">
        <w:rPr>
          <w:rFonts w:cs="Arial"/>
        </w:rPr>
        <w:t xml:space="preserve">L </w:t>
      </w:r>
      <w:r w:rsidR="00951895" w:rsidRPr="00794EC7">
        <w:rPr>
          <w:rFonts w:cs="Arial"/>
        </w:rPr>
        <w:t>of EVs</w:t>
      </w:r>
      <w:r w:rsidR="0085141B" w:rsidRPr="00794EC7">
        <w:rPr>
          <w:rFonts w:cs="Arial"/>
        </w:rPr>
        <w:t xml:space="preserve">. </w:t>
      </w:r>
      <w:r w:rsidR="0085141B" w:rsidRPr="00794EC7">
        <w:rPr>
          <w:rFonts w:eastAsia="Arial Unicode MS" w:cs="Arial"/>
        </w:rPr>
        <w:t xml:space="preserve">After 3 hours a similar pattern was observed with EVs at 100 </w:t>
      </w:r>
      <w:r w:rsidR="008328FA" w:rsidRPr="00794EC7">
        <w:rPr>
          <w:rFonts w:ascii="Symbol" w:eastAsia="Arial Unicode MS" w:hAnsi="Symbol" w:cs="Arial"/>
        </w:rPr>
        <w:t></w:t>
      </w:r>
      <w:r w:rsidR="008328FA" w:rsidRPr="00794EC7">
        <w:rPr>
          <w:rFonts w:eastAsia="Arial Unicode MS" w:cs="Arial"/>
        </w:rPr>
        <w:t xml:space="preserve">L </w:t>
      </w:r>
      <w:r w:rsidR="0085141B" w:rsidRPr="00794EC7">
        <w:rPr>
          <w:rFonts w:eastAsia="Arial Unicode MS" w:cs="Arial"/>
        </w:rPr>
        <w:t xml:space="preserve">and 50 </w:t>
      </w:r>
      <w:r w:rsidR="008328FA" w:rsidRPr="00794EC7">
        <w:rPr>
          <w:rFonts w:ascii="Symbol" w:eastAsia="Arial Unicode MS" w:hAnsi="Symbol" w:cs="Arial"/>
        </w:rPr>
        <w:t></w:t>
      </w:r>
      <w:r w:rsidR="008328FA" w:rsidRPr="00794EC7">
        <w:rPr>
          <w:rFonts w:eastAsia="Arial Unicode MS" w:cs="Arial"/>
        </w:rPr>
        <w:t>L</w:t>
      </w:r>
      <w:r w:rsidR="0085141B" w:rsidRPr="00794EC7">
        <w:rPr>
          <w:rFonts w:eastAsia="Arial Unicode MS" w:cs="Arial"/>
        </w:rPr>
        <w:t xml:space="preserve"> demonstrating a significant protection in the </w:t>
      </w:r>
      <w:r w:rsidR="002679E3" w:rsidRPr="00794EC7">
        <w:rPr>
          <w:rFonts w:eastAsia="Arial Unicode MS" w:cs="Arial"/>
        </w:rPr>
        <w:t>Poly</w:t>
      </w:r>
      <w:r w:rsidR="0085141B" w:rsidRPr="00794EC7">
        <w:rPr>
          <w:rFonts w:eastAsia="Arial Unicode MS" w:cs="Arial"/>
        </w:rPr>
        <w:t xml:space="preserve"> I:C-induced increase in ionic permeability of the epithelial barrier (from</w:t>
      </w:r>
      <w:r w:rsidR="0085141B" w:rsidRPr="00794EC7">
        <w:rPr>
          <w:rFonts w:eastAsia="Arial Unicode MS" w:cs="Arial"/>
          <w:color w:val="000000" w:themeColor="text1"/>
        </w:rPr>
        <w:t xml:space="preserve"> </w:t>
      </w:r>
      <w:r w:rsidR="00325B32" w:rsidRPr="00794EC7">
        <w:rPr>
          <w:rFonts w:eastAsia="Arial Unicode MS" w:cs="Arial"/>
          <w:color w:val="000000" w:themeColor="text1"/>
        </w:rPr>
        <w:t>16</w:t>
      </w:r>
      <w:r w:rsidR="0085141B" w:rsidRPr="00794EC7">
        <w:rPr>
          <w:rFonts w:eastAsia="Arial Unicode MS" w:cs="Arial"/>
          <w:color w:val="000000" w:themeColor="text1"/>
        </w:rPr>
        <w:t xml:space="preserve">% for </w:t>
      </w:r>
      <w:r w:rsidR="002679E3" w:rsidRPr="00794EC7">
        <w:rPr>
          <w:rFonts w:eastAsia="Arial Unicode MS" w:cs="Arial"/>
          <w:color w:val="000000" w:themeColor="text1"/>
        </w:rPr>
        <w:t>Poly</w:t>
      </w:r>
      <w:r w:rsidR="008328FA" w:rsidRPr="00794EC7">
        <w:rPr>
          <w:rFonts w:eastAsia="Arial Unicode MS" w:cs="Arial"/>
          <w:color w:val="000000" w:themeColor="text1"/>
        </w:rPr>
        <w:t xml:space="preserve"> I:C</w:t>
      </w:r>
      <w:r w:rsidR="0085141B" w:rsidRPr="00794EC7">
        <w:rPr>
          <w:rFonts w:eastAsia="Arial Unicode MS" w:cs="Arial"/>
          <w:color w:val="000000" w:themeColor="text1"/>
        </w:rPr>
        <w:t xml:space="preserve"> alone compared to </w:t>
      </w:r>
      <w:r w:rsidR="00325B32" w:rsidRPr="00794EC7">
        <w:rPr>
          <w:rFonts w:eastAsia="Arial Unicode MS" w:cs="Arial"/>
          <w:color w:val="000000" w:themeColor="text1"/>
        </w:rPr>
        <w:t>62</w:t>
      </w:r>
      <w:r w:rsidR="0085141B" w:rsidRPr="00794EC7">
        <w:rPr>
          <w:rFonts w:eastAsia="Arial Unicode MS" w:cs="Arial"/>
          <w:color w:val="000000" w:themeColor="text1"/>
        </w:rPr>
        <w:t>% for 100</w:t>
      </w:r>
      <w:r w:rsidR="008328FA" w:rsidRPr="00794EC7">
        <w:rPr>
          <w:rFonts w:eastAsia="Arial Unicode MS" w:cs="Arial"/>
          <w:color w:val="000000" w:themeColor="text1"/>
        </w:rPr>
        <w:t xml:space="preserve"> </w:t>
      </w:r>
      <w:r w:rsidR="00325B32" w:rsidRPr="00794EC7">
        <w:rPr>
          <w:rFonts w:eastAsia="Arial Unicode MS" w:cs="Arial"/>
        </w:rPr>
        <w:sym w:font="Symbol" w:char="F06D"/>
      </w:r>
      <w:r w:rsidR="008328FA" w:rsidRPr="00794EC7">
        <w:rPr>
          <w:rFonts w:eastAsia="Arial Unicode MS" w:cs="Arial"/>
          <w:color w:val="000000" w:themeColor="text1"/>
        </w:rPr>
        <w:t>L</w:t>
      </w:r>
      <w:r w:rsidR="0085141B" w:rsidRPr="00794EC7">
        <w:rPr>
          <w:rFonts w:eastAsia="Arial Unicode MS" w:cs="Arial"/>
          <w:color w:val="000000" w:themeColor="text1"/>
        </w:rPr>
        <w:t xml:space="preserve"> EVs</w:t>
      </w:r>
      <w:r w:rsidR="00602BD7" w:rsidRPr="00794EC7">
        <w:rPr>
          <w:rFonts w:eastAsia="Arial Unicode MS" w:cs="Arial"/>
          <w:color w:val="000000" w:themeColor="text1"/>
        </w:rPr>
        <w:t xml:space="preserve"> </w:t>
      </w:r>
      <w:r w:rsidR="0085141B" w:rsidRPr="00794EC7">
        <w:rPr>
          <w:rFonts w:eastAsia="Arial Unicode MS" w:cs="Arial"/>
          <w:color w:val="000000" w:themeColor="text1"/>
        </w:rPr>
        <w:t>+</w:t>
      </w:r>
      <w:r w:rsidR="00602BD7" w:rsidRPr="00794EC7">
        <w:rPr>
          <w:rFonts w:eastAsia="Arial Unicode MS" w:cs="Arial"/>
          <w:color w:val="000000" w:themeColor="text1"/>
        </w:rPr>
        <w:t xml:space="preserve"> </w:t>
      </w:r>
      <w:r w:rsidR="002679E3" w:rsidRPr="00794EC7">
        <w:rPr>
          <w:rFonts w:eastAsia="Arial Unicode MS" w:cs="Arial"/>
          <w:color w:val="000000" w:themeColor="text1"/>
        </w:rPr>
        <w:t>Poly</w:t>
      </w:r>
      <w:r w:rsidR="00602BD7" w:rsidRPr="00794EC7">
        <w:rPr>
          <w:rFonts w:eastAsia="Arial Unicode MS" w:cs="Arial"/>
          <w:color w:val="000000" w:themeColor="text1"/>
        </w:rPr>
        <w:t xml:space="preserve"> I:C (</w:t>
      </w:r>
      <w:r w:rsidR="0085141B" w:rsidRPr="00794EC7">
        <w:rPr>
          <w:rFonts w:eastAsia="Arial Unicode MS" w:cs="Arial"/>
          <w:color w:val="000000" w:themeColor="text1"/>
        </w:rPr>
        <w:t>Contro</w:t>
      </w:r>
      <w:r w:rsidR="0085141B" w:rsidRPr="00794EC7">
        <w:rPr>
          <w:rFonts w:eastAsia="Arial Unicode MS" w:cs="Arial"/>
        </w:rPr>
        <w:t>l = 100%) (Figure 3C). While the effect was not as pronounced at 4-5hr stimulation, a</w:t>
      </w:r>
      <w:r w:rsidR="002B2D48" w:rsidRPr="00794EC7">
        <w:rPr>
          <w:rFonts w:eastAsia="Arial Unicode MS" w:cs="Arial"/>
        </w:rPr>
        <w:t xml:space="preserve">t </w:t>
      </w:r>
      <w:r w:rsidR="00C45804" w:rsidRPr="00794EC7">
        <w:rPr>
          <w:rFonts w:eastAsia="Arial Unicode MS" w:cs="Arial"/>
        </w:rPr>
        <w:t xml:space="preserve">24 hours </w:t>
      </w:r>
      <w:r w:rsidR="002B2D48" w:rsidRPr="00794EC7">
        <w:rPr>
          <w:rFonts w:eastAsia="Arial Unicode MS" w:cs="Arial"/>
        </w:rPr>
        <w:t xml:space="preserve">post </w:t>
      </w:r>
      <w:r w:rsidR="00C45804" w:rsidRPr="00794EC7">
        <w:rPr>
          <w:rFonts w:eastAsia="Arial Unicode MS" w:cs="Arial"/>
        </w:rPr>
        <w:t xml:space="preserve">challenge </w:t>
      </w:r>
      <w:r w:rsidR="003E5EBB" w:rsidRPr="00794EC7">
        <w:rPr>
          <w:rFonts w:eastAsia="Arial Unicode MS" w:cs="Arial"/>
        </w:rPr>
        <w:t xml:space="preserve">the highest concentration </w:t>
      </w:r>
      <w:r w:rsidR="0085141B" w:rsidRPr="00794EC7">
        <w:rPr>
          <w:rFonts w:eastAsia="Arial Unicode MS" w:cs="Arial"/>
        </w:rPr>
        <w:t xml:space="preserve">of </w:t>
      </w:r>
      <w:r w:rsidR="003E5EBB" w:rsidRPr="00794EC7">
        <w:rPr>
          <w:rFonts w:eastAsia="Arial Unicode MS" w:cs="Arial"/>
        </w:rPr>
        <w:t xml:space="preserve">EVs (100 </w:t>
      </w:r>
      <w:r w:rsidR="003E5EBB" w:rsidRPr="00794EC7">
        <w:rPr>
          <w:rFonts w:eastAsia="Arial Unicode MS" w:cs="Arial"/>
        </w:rPr>
        <w:sym w:font="Symbol" w:char="F06D"/>
      </w:r>
      <w:r w:rsidR="003E5EBB" w:rsidRPr="00794EC7">
        <w:rPr>
          <w:rFonts w:eastAsia="Arial Unicode MS" w:cs="Arial"/>
        </w:rPr>
        <w:t xml:space="preserve">L) </w:t>
      </w:r>
      <w:r w:rsidR="0085141B" w:rsidRPr="00794EC7">
        <w:rPr>
          <w:rFonts w:eastAsia="Arial Unicode MS" w:cs="Arial"/>
        </w:rPr>
        <w:t xml:space="preserve">showed protection from the </w:t>
      </w:r>
      <w:r w:rsidR="002679E3" w:rsidRPr="00794EC7">
        <w:rPr>
          <w:rFonts w:eastAsia="Arial Unicode MS" w:cs="Arial"/>
        </w:rPr>
        <w:t>Poly</w:t>
      </w:r>
      <w:r w:rsidR="00602BD7" w:rsidRPr="00794EC7">
        <w:rPr>
          <w:rFonts w:eastAsia="Arial Unicode MS" w:cs="Arial"/>
        </w:rPr>
        <w:t xml:space="preserve"> I:C</w:t>
      </w:r>
      <w:r w:rsidR="0085141B" w:rsidRPr="00794EC7">
        <w:rPr>
          <w:rFonts w:eastAsia="Arial Unicode MS" w:cs="Arial"/>
        </w:rPr>
        <w:t xml:space="preserve">-induced reduction in TER (from </w:t>
      </w:r>
      <w:r w:rsidR="00325B32" w:rsidRPr="00794EC7">
        <w:rPr>
          <w:rFonts w:eastAsia="Arial Unicode MS" w:cs="Arial"/>
        </w:rPr>
        <w:lastRenderedPageBreak/>
        <w:t>2</w:t>
      </w:r>
      <w:r w:rsidR="0085141B" w:rsidRPr="00794EC7">
        <w:rPr>
          <w:rFonts w:eastAsia="Arial Unicode MS" w:cs="Arial"/>
        </w:rPr>
        <w:t xml:space="preserve">% for </w:t>
      </w:r>
      <w:r w:rsidR="002679E3" w:rsidRPr="00794EC7">
        <w:rPr>
          <w:rFonts w:eastAsia="Arial Unicode MS" w:cs="Arial"/>
        </w:rPr>
        <w:t>Poly</w:t>
      </w:r>
      <w:r w:rsidR="00602BD7" w:rsidRPr="00794EC7">
        <w:rPr>
          <w:rFonts w:eastAsia="Arial Unicode MS" w:cs="Arial"/>
        </w:rPr>
        <w:t xml:space="preserve"> I:C</w:t>
      </w:r>
      <w:r w:rsidR="0085141B" w:rsidRPr="00794EC7">
        <w:rPr>
          <w:rFonts w:eastAsia="Arial Unicode MS" w:cs="Arial"/>
        </w:rPr>
        <w:t xml:space="preserve"> alone to </w:t>
      </w:r>
      <w:r w:rsidR="00325B32" w:rsidRPr="00794EC7">
        <w:rPr>
          <w:rFonts w:eastAsia="Arial Unicode MS" w:cs="Arial"/>
        </w:rPr>
        <w:t>45</w:t>
      </w:r>
      <w:r w:rsidR="0085141B" w:rsidRPr="00794EC7">
        <w:rPr>
          <w:rFonts w:eastAsia="Arial Unicode MS" w:cs="Arial"/>
        </w:rPr>
        <w:t>% for EV</w:t>
      </w:r>
      <w:r w:rsidR="00602BD7" w:rsidRPr="00794EC7">
        <w:rPr>
          <w:rFonts w:eastAsia="Arial Unicode MS" w:cs="Arial"/>
        </w:rPr>
        <w:t xml:space="preserve"> + </w:t>
      </w:r>
      <w:r w:rsidR="002679E3" w:rsidRPr="00794EC7">
        <w:rPr>
          <w:rFonts w:eastAsia="Arial Unicode MS" w:cs="Arial"/>
        </w:rPr>
        <w:t>Poly</w:t>
      </w:r>
      <w:r w:rsidR="00602BD7" w:rsidRPr="00794EC7">
        <w:rPr>
          <w:rFonts w:eastAsia="Arial Unicode MS" w:cs="Arial"/>
        </w:rPr>
        <w:t xml:space="preserve"> I:C</w:t>
      </w:r>
      <w:r w:rsidR="0085141B" w:rsidRPr="00794EC7">
        <w:rPr>
          <w:rFonts w:eastAsia="Arial Unicode MS" w:cs="Arial"/>
        </w:rPr>
        <w:t>)</w:t>
      </w:r>
      <w:r w:rsidR="00C44AE3" w:rsidRPr="00794EC7">
        <w:rPr>
          <w:rFonts w:eastAsia="Arial Unicode MS" w:cs="Arial"/>
        </w:rPr>
        <w:t xml:space="preserve"> </w:t>
      </w:r>
      <w:r w:rsidR="002643F2" w:rsidRPr="00794EC7">
        <w:rPr>
          <w:rFonts w:eastAsia="Arial Unicode MS" w:cs="Arial"/>
        </w:rPr>
        <w:t xml:space="preserve">while for the corresponding </w:t>
      </w:r>
      <w:r w:rsidR="003E5EBB" w:rsidRPr="00794EC7">
        <w:rPr>
          <w:rFonts w:eastAsia="Arial Unicode MS" w:cs="Arial"/>
        </w:rPr>
        <w:t xml:space="preserve"> EV-</w:t>
      </w:r>
      <w:r w:rsidR="003E1328" w:rsidRPr="00794EC7">
        <w:rPr>
          <w:rFonts w:eastAsia="Arial Unicode MS" w:cs="Arial"/>
        </w:rPr>
        <w:t>dpl</w:t>
      </w:r>
      <w:r w:rsidR="003E5EBB" w:rsidRPr="00794EC7">
        <w:rPr>
          <w:rFonts w:eastAsia="Arial Unicode MS" w:cs="Arial"/>
        </w:rPr>
        <w:t xml:space="preserve"> </w:t>
      </w:r>
      <w:r w:rsidR="002643F2" w:rsidRPr="00794EC7">
        <w:rPr>
          <w:rFonts w:eastAsia="Arial Unicode MS" w:cs="Arial"/>
        </w:rPr>
        <w:t xml:space="preserve">control </w:t>
      </w:r>
      <w:r w:rsidR="00C44AE3" w:rsidRPr="00794EC7">
        <w:rPr>
          <w:rFonts w:eastAsia="Arial Unicode MS" w:cs="Arial"/>
        </w:rPr>
        <w:t xml:space="preserve">the TER </w:t>
      </w:r>
      <w:r w:rsidR="005737B9" w:rsidRPr="00794EC7">
        <w:rPr>
          <w:rFonts w:eastAsia="Arial Unicode MS" w:cs="Arial"/>
        </w:rPr>
        <w:t>dropped</w:t>
      </w:r>
      <w:r w:rsidR="00C44AE3" w:rsidRPr="00794EC7">
        <w:rPr>
          <w:rFonts w:eastAsia="Arial Unicode MS" w:cs="Arial"/>
        </w:rPr>
        <w:t xml:space="preserve"> to 10% of the initial value. </w:t>
      </w:r>
      <w:r w:rsidR="005737B9" w:rsidRPr="00794EC7">
        <w:rPr>
          <w:rFonts w:eastAsia="Arial Unicode MS" w:cs="Arial"/>
        </w:rPr>
        <w:t>Th</w:t>
      </w:r>
      <w:r w:rsidR="00E6551D" w:rsidRPr="00794EC7">
        <w:rPr>
          <w:rFonts w:eastAsia="Arial Unicode MS" w:cs="Arial"/>
        </w:rPr>
        <w:t>ese</w:t>
      </w:r>
      <w:r w:rsidR="003E5EBB" w:rsidRPr="00794EC7">
        <w:rPr>
          <w:rFonts w:eastAsia="Arial Unicode MS" w:cs="Arial"/>
        </w:rPr>
        <w:t xml:space="preserve"> data show</w:t>
      </w:r>
      <w:r w:rsidR="003E2FCA" w:rsidRPr="00794EC7">
        <w:rPr>
          <w:rFonts w:eastAsia="Arial Unicode MS" w:cs="Arial"/>
        </w:rPr>
        <w:t xml:space="preserve"> that </w:t>
      </w:r>
      <w:r w:rsidR="0063249B" w:rsidRPr="00794EC7">
        <w:rPr>
          <w:rFonts w:eastAsia="Arial Unicode MS" w:cs="Arial"/>
        </w:rPr>
        <w:t xml:space="preserve">the </w:t>
      </w:r>
      <w:r w:rsidR="003E2FCA" w:rsidRPr="00794EC7">
        <w:rPr>
          <w:rFonts w:eastAsia="Arial Unicode MS" w:cs="Arial"/>
        </w:rPr>
        <w:t>effect</w:t>
      </w:r>
      <w:r w:rsidR="005737B9" w:rsidRPr="00794EC7">
        <w:rPr>
          <w:rFonts w:eastAsia="Arial Unicode MS" w:cs="Arial"/>
        </w:rPr>
        <w:t xml:space="preserve"> of EVs on the TER is </w:t>
      </w:r>
      <w:r w:rsidR="003E2FCA" w:rsidRPr="00794EC7">
        <w:rPr>
          <w:rFonts w:eastAsia="Arial Unicode MS" w:cs="Arial"/>
        </w:rPr>
        <w:t xml:space="preserve">influenced by both time and </w:t>
      </w:r>
      <w:r w:rsidR="00F3371E" w:rsidRPr="00794EC7">
        <w:rPr>
          <w:rFonts w:eastAsia="Arial Unicode MS" w:cs="Arial"/>
        </w:rPr>
        <w:t>concentration,</w:t>
      </w:r>
      <w:r w:rsidR="005737B9" w:rsidRPr="00794EC7">
        <w:rPr>
          <w:rFonts w:eastAsia="Arial Unicode MS" w:cs="Arial"/>
        </w:rPr>
        <w:t xml:space="preserve"> </w:t>
      </w:r>
      <w:r w:rsidR="00F3371E" w:rsidRPr="00794EC7">
        <w:rPr>
          <w:rFonts w:eastAsia="Arial Unicode MS" w:cs="Arial"/>
        </w:rPr>
        <w:t xml:space="preserve">where </w:t>
      </w:r>
      <w:r w:rsidR="00660499" w:rsidRPr="00794EC7">
        <w:rPr>
          <w:rFonts w:eastAsia="Arial Unicode MS" w:cs="Arial"/>
        </w:rPr>
        <w:t>just 50%</w:t>
      </w:r>
      <w:r w:rsidR="00F3371E" w:rsidRPr="00794EC7">
        <w:rPr>
          <w:rFonts w:eastAsia="Arial Unicode MS" w:cs="Arial"/>
        </w:rPr>
        <w:t xml:space="preserve"> of physiological milk</w:t>
      </w:r>
      <w:r w:rsidR="003E2FCA" w:rsidRPr="00794EC7">
        <w:rPr>
          <w:rFonts w:eastAsia="Arial Unicode MS" w:cs="Arial"/>
        </w:rPr>
        <w:t xml:space="preserve"> concentrations of </w:t>
      </w:r>
      <w:r w:rsidR="001D71FC" w:rsidRPr="00794EC7">
        <w:rPr>
          <w:rFonts w:eastAsia="Arial Unicode MS" w:cs="Arial"/>
        </w:rPr>
        <w:t>EVs</w:t>
      </w:r>
      <w:r w:rsidR="003E2FCA" w:rsidRPr="00794EC7">
        <w:rPr>
          <w:rFonts w:eastAsia="Arial Unicode MS" w:cs="Arial"/>
        </w:rPr>
        <w:t xml:space="preserve"> provid</w:t>
      </w:r>
      <w:r w:rsidR="005737B9" w:rsidRPr="00794EC7">
        <w:rPr>
          <w:rFonts w:eastAsia="Arial Unicode MS" w:cs="Arial"/>
        </w:rPr>
        <w:t>e</w:t>
      </w:r>
      <w:r w:rsidR="003E2FCA" w:rsidRPr="00794EC7">
        <w:rPr>
          <w:rFonts w:eastAsia="Arial Unicode MS" w:cs="Arial"/>
        </w:rPr>
        <w:t xml:space="preserve"> protecti</w:t>
      </w:r>
      <w:r w:rsidR="005737B9" w:rsidRPr="00794EC7">
        <w:rPr>
          <w:rFonts w:eastAsia="Arial Unicode MS" w:cs="Arial"/>
        </w:rPr>
        <w:t>on</w:t>
      </w:r>
      <w:r w:rsidR="003E2FCA" w:rsidRPr="00794EC7">
        <w:rPr>
          <w:rFonts w:eastAsia="Arial Unicode MS" w:cs="Arial"/>
        </w:rPr>
        <w:t xml:space="preserve"> 24 hours after administration</w:t>
      </w:r>
      <w:r w:rsidR="005737B9" w:rsidRPr="00794EC7">
        <w:rPr>
          <w:rFonts w:eastAsia="Arial Unicode MS" w:cs="Arial"/>
        </w:rPr>
        <w:t xml:space="preserve">. </w:t>
      </w:r>
      <w:r w:rsidR="00CD344F" w:rsidRPr="00794EC7">
        <w:rPr>
          <w:rFonts w:eastAsia="Arial Unicode MS" w:cs="Arial"/>
        </w:rPr>
        <w:t>Supporting</w:t>
      </w:r>
      <w:r w:rsidR="0063249B" w:rsidRPr="00794EC7">
        <w:rPr>
          <w:rFonts w:eastAsia="Arial Unicode MS" w:cs="Arial"/>
        </w:rPr>
        <w:t xml:space="preserve"> this conclusion are the ELISA results where</w:t>
      </w:r>
      <w:r w:rsidR="00EA666E" w:rsidRPr="00794EC7">
        <w:rPr>
          <w:rFonts w:eastAsia="Arial Unicode MS" w:cs="Arial"/>
        </w:rPr>
        <w:t xml:space="preserve"> </w:t>
      </w:r>
      <w:r w:rsidR="002679E3" w:rsidRPr="00794EC7">
        <w:rPr>
          <w:rFonts w:eastAsia="Arial Unicode MS" w:cs="Arial"/>
        </w:rPr>
        <w:t>Poly</w:t>
      </w:r>
      <w:r w:rsidR="00EA666E" w:rsidRPr="00794EC7">
        <w:rPr>
          <w:rFonts w:eastAsia="Arial Unicode MS" w:cs="Arial"/>
        </w:rPr>
        <w:t xml:space="preserve"> I:C alone generated the greatest amount of IL-</w:t>
      </w:r>
      <w:r w:rsidR="00325B32" w:rsidRPr="00794EC7">
        <w:rPr>
          <w:rFonts w:eastAsia="Arial Unicode MS" w:cs="Arial"/>
        </w:rPr>
        <w:t>8,</w:t>
      </w:r>
      <w:r w:rsidR="0063249B" w:rsidRPr="00794EC7">
        <w:rPr>
          <w:rFonts w:eastAsia="Arial Unicode MS" w:cs="Arial"/>
        </w:rPr>
        <w:t xml:space="preserve"> </w:t>
      </w:r>
      <w:r w:rsidR="00660499" w:rsidRPr="00794EC7">
        <w:rPr>
          <w:rFonts w:eastAsia="Arial Unicode MS" w:cs="Arial"/>
        </w:rPr>
        <w:t>which was</w:t>
      </w:r>
      <w:r w:rsidR="00EA666E" w:rsidRPr="00794EC7">
        <w:rPr>
          <w:rFonts w:eastAsia="Arial Unicode MS" w:cs="Arial"/>
        </w:rPr>
        <w:t xml:space="preserve"> </w:t>
      </w:r>
      <w:r w:rsidR="001873C9" w:rsidRPr="00794EC7">
        <w:rPr>
          <w:rFonts w:eastAsia="Arial Unicode MS" w:cs="Arial"/>
        </w:rPr>
        <w:t xml:space="preserve">markedly </w:t>
      </w:r>
      <w:r w:rsidR="00EA666E" w:rsidRPr="00794EC7">
        <w:rPr>
          <w:rFonts w:eastAsia="Arial Unicode MS" w:cs="Arial"/>
        </w:rPr>
        <w:t xml:space="preserve">reduced in the presence of the </w:t>
      </w:r>
      <w:r w:rsidR="00F3371E" w:rsidRPr="00794EC7">
        <w:rPr>
          <w:rFonts w:eastAsia="Arial Unicode MS" w:cs="Arial"/>
        </w:rPr>
        <w:t>50% and 25%</w:t>
      </w:r>
      <w:r w:rsidR="00EA666E" w:rsidRPr="00794EC7">
        <w:rPr>
          <w:rFonts w:eastAsia="Arial Unicode MS" w:cs="Arial"/>
        </w:rPr>
        <w:t xml:space="preserve"> of </w:t>
      </w:r>
      <w:r w:rsidR="00F3371E" w:rsidRPr="00794EC7">
        <w:rPr>
          <w:rFonts w:eastAsia="Arial Unicode MS" w:cs="Arial"/>
        </w:rPr>
        <w:t xml:space="preserve">the physiological concentration of </w:t>
      </w:r>
      <w:r w:rsidR="00EA666E" w:rsidRPr="00794EC7">
        <w:rPr>
          <w:rFonts w:eastAsia="Arial Unicode MS" w:cs="Arial"/>
        </w:rPr>
        <w:t xml:space="preserve">EVs (100-50 </w:t>
      </w:r>
      <w:r w:rsidR="00EA666E" w:rsidRPr="00794EC7">
        <w:rPr>
          <w:rFonts w:ascii="Symbol" w:eastAsia="Arial Unicode MS" w:hAnsi="Symbol" w:cs="Arial"/>
        </w:rPr>
        <w:t></w:t>
      </w:r>
      <w:r w:rsidR="00EA666E" w:rsidRPr="00794EC7">
        <w:rPr>
          <w:rFonts w:eastAsia="Arial Unicode MS" w:cs="Arial"/>
        </w:rPr>
        <w:t>L) an</w:t>
      </w:r>
      <w:r w:rsidR="00F3371E" w:rsidRPr="00794EC7">
        <w:rPr>
          <w:rFonts w:eastAsia="Arial Unicode MS" w:cs="Arial"/>
        </w:rPr>
        <w:t xml:space="preserve">d </w:t>
      </w:r>
      <w:r w:rsidR="00EA666E" w:rsidRPr="00794EC7">
        <w:rPr>
          <w:rFonts w:eastAsia="Arial Unicode MS" w:cs="Arial"/>
        </w:rPr>
        <w:t xml:space="preserve">EV-dpl (100 </w:t>
      </w:r>
      <w:r w:rsidR="00EA666E" w:rsidRPr="00794EC7">
        <w:rPr>
          <w:rFonts w:ascii="Symbol" w:eastAsia="Arial Unicode MS" w:hAnsi="Symbol" w:cs="Arial"/>
        </w:rPr>
        <w:t></w:t>
      </w:r>
      <w:r w:rsidR="00EA666E" w:rsidRPr="00794EC7">
        <w:rPr>
          <w:rFonts w:eastAsia="Arial Unicode MS" w:cs="Arial"/>
        </w:rPr>
        <w:t>L) samples</w:t>
      </w:r>
      <w:r w:rsidR="00DB5CB6" w:rsidRPr="00794EC7">
        <w:rPr>
          <w:rFonts w:eastAsia="Arial Unicode MS" w:cs="Arial"/>
        </w:rPr>
        <w:t xml:space="preserve"> </w:t>
      </w:r>
      <w:r w:rsidR="005737B9" w:rsidRPr="00794EC7">
        <w:rPr>
          <w:rFonts w:eastAsia="Arial Unicode MS" w:cs="Arial"/>
        </w:rPr>
        <w:t>(see</w:t>
      </w:r>
      <w:r w:rsidR="00C43CC3" w:rsidRPr="00794EC7">
        <w:rPr>
          <w:rFonts w:eastAsia="Arial Unicode MS" w:cs="Arial"/>
        </w:rPr>
        <w:t xml:space="preserve"> </w:t>
      </w:r>
      <w:r w:rsidR="0060596C" w:rsidRPr="00794EC7">
        <w:rPr>
          <w:rFonts w:cs="Arial"/>
        </w:rPr>
        <w:t>ESI</w:t>
      </w:r>
      <w:r w:rsidR="005737B9" w:rsidRPr="00794EC7">
        <w:rPr>
          <w:rFonts w:cs="Arial"/>
        </w:rPr>
        <w:t>)</w:t>
      </w:r>
      <w:r w:rsidR="003E2FCA" w:rsidRPr="00794EC7">
        <w:rPr>
          <w:rFonts w:eastAsia="Arial Unicode MS" w:cs="Arial"/>
        </w:rPr>
        <w:t xml:space="preserve">. </w:t>
      </w:r>
    </w:p>
    <w:p w14:paraId="41E29403" w14:textId="38BEEB1E" w:rsidR="0014295B" w:rsidRPr="00794EC7" w:rsidRDefault="0014295B" w:rsidP="00902F19">
      <w:pPr>
        <w:pStyle w:val="Caption"/>
      </w:pPr>
    </w:p>
    <w:p w14:paraId="4E3264F1" w14:textId="7ABD5888" w:rsidR="00FB7A8D" w:rsidRPr="00794EC7" w:rsidRDefault="00494994" w:rsidP="00902F19">
      <w:pPr>
        <w:keepNext/>
      </w:pPr>
      <w:r w:rsidRPr="00794EC7">
        <w:rPr>
          <w:noProof/>
        </w:rPr>
        <w:drawing>
          <wp:inline distT="0" distB="0" distL="0" distR="0" wp14:anchorId="4243BC9B" wp14:editId="1F6181CD">
            <wp:extent cx="5731510" cy="3884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84930"/>
                    </a:xfrm>
                    <a:prstGeom prst="rect">
                      <a:avLst/>
                    </a:prstGeom>
                  </pic:spPr>
                </pic:pic>
              </a:graphicData>
            </a:graphic>
          </wp:inline>
        </w:drawing>
      </w:r>
    </w:p>
    <w:p w14:paraId="3EAD1BE1" w14:textId="0A229ABD" w:rsidR="00F44088" w:rsidRPr="00794EC7" w:rsidRDefault="00FB7A8D" w:rsidP="00902F19">
      <w:pPr>
        <w:pStyle w:val="Caption"/>
        <w:rPr>
          <w:rFonts w:eastAsia="Arial Unicode MS" w:cs="Arial"/>
          <w:color w:val="000000" w:themeColor="text1"/>
        </w:rPr>
      </w:pPr>
      <w:bookmarkStart w:id="2" w:name="_Ref86916593"/>
      <w:r w:rsidRPr="00794EC7">
        <w:rPr>
          <w:rFonts w:cs="Arial"/>
          <w:color w:val="000000" w:themeColor="text1"/>
        </w:rPr>
        <w:t xml:space="preserve">Figure </w:t>
      </w:r>
      <w:r w:rsidRPr="00794EC7">
        <w:rPr>
          <w:rFonts w:cs="Arial"/>
          <w:color w:val="000000" w:themeColor="text1"/>
        </w:rPr>
        <w:fldChar w:fldCharType="begin"/>
      </w:r>
      <w:r w:rsidRPr="00794EC7">
        <w:rPr>
          <w:rFonts w:cs="Arial"/>
          <w:color w:val="000000" w:themeColor="text1"/>
        </w:rPr>
        <w:instrText xml:space="preserve"> SEQ Figure \* ARABIC </w:instrText>
      </w:r>
      <w:r w:rsidRPr="00794EC7">
        <w:rPr>
          <w:rFonts w:cs="Arial"/>
          <w:color w:val="000000" w:themeColor="text1"/>
        </w:rPr>
        <w:fldChar w:fldCharType="separate"/>
      </w:r>
      <w:r w:rsidR="00193DED" w:rsidRPr="00794EC7">
        <w:rPr>
          <w:rFonts w:cs="Arial"/>
          <w:noProof/>
          <w:color w:val="000000" w:themeColor="text1"/>
        </w:rPr>
        <w:t>3</w:t>
      </w:r>
      <w:r w:rsidRPr="00794EC7">
        <w:rPr>
          <w:rFonts w:cs="Arial"/>
          <w:color w:val="000000" w:themeColor="text1"/>
        </w:rPr>
        <w:fldChar w:fldCharType="end"/>
      </w:r>
      <w:bookmarkEnd w:id="2"/>
      <w:r w:rsidR="00970413" w:rsidRPr="00794EC7">
        <w:rPr>
          <w:rFonts w:cs="Arial"/>
          <w:color w:val="000000" w:themeColor="text1"/>
        </w:rPr>
        <w:t xml:space="preserve">: </w:t>
      </w:r>
      <w:r w:rsidR="00B27199" w:rsidRPr="00794EC7">
        <w:rPr>
          <w:rStyle w:val="CommentReference"/>
          <w:rFonts w:cs="Arial"/>
          <w:b/>
          <w:bCs/>
          <w:color w:val="auto"/>
          <w:sz w:val="18"/>
          <w:szCs w:val="18"/>
        </w:rPr>
        <w:t>Co</w:t>
      </w:r>
      <w:r w:rsidR="00817DA8" w:rsidRPr="00794EC7">
        <w:rPr>
          <w:rFonts w:cs="Arial"/>
          <w:b/>
          <w:bCs/>
          <w:color w:val="000000" w:themeColor="text1"/>
        </w:rPr>
        <w:t>ncentration depend</w:t>
      </w:r>
      <w:r w:rsidR="00E31DB7" w:rsidRPr="00794EC7">
        <w:rPr>
          <w:rFonts w:cs="Arial"/>
          <w:b/>
          <w:bCs/>
          <w:color w:val="000000" w:themeColor="text1"/>
        </w:rPr>
        <w:t>e</w:t>
      </w:r>
      <w:r w:rsidR="00817DA8" w:rsidRPr="00794EC7">
        <w:rPr>
          <w:rFonts w:cs="Arial"/>
          <w:b/>
          <w:bCs/>
          <w:color w:val="000000" w:themeColor="text1"/>
        </w:rPr>
        <w:t>nt modulation of</w:t>
      </w:r>
      <w:r w:rsidR="00B27199" w:rsidRPr="00794EC7">
        <w:rPr>
          <w:rFonts w:cs="Arial"/>
          <w:b/>
          <w:bCs/>
          <w:color w:val="000000" w:themeColor="text1"/>
        </w:rPr>
        <w:t xml:space="preserve"> TER with</w:t>
      </w:r>
      <w:r w:rsidR="00817DA8" w:rsidRPr="00794EC7">
        <w:rPr>
          <w:rFonts w:cs="Arial"/>
          <w:b/>
          <w:bCs/>
          <w:color w:val="000000" w:themeColor="text1"/>
        </w:rPr>
        <w:t xml:space="preserve"> </w:t>
      </w:r>
      <w:r w:rsidR="00560399" w:rsidRPr="00794EC7">
        <w:rPr>
          <w:rFonts w:cs="Arial"/>
          <w:b/>
          <w:bCs/>
          <w:color w:val="000000" w:themeColor="text1"/>
        </w:rPr>
        <w:t>milk EVs</w:t>
      </w:r>
      <w:r w:rsidR="00560399" w:rsidRPr="00794EC7" w:rsidDel="00560399">
        <w:rPr>
          <w:rFonts w:cs="Arial"/>
          <w:b/>
          <w:bCs/>
          <w:color w:val="000000" w:themeColor="text1"/>
        </w:rPr>
        <w:t xml:space="preserve"> </w:t>
      </w:r>
      <w:r w:rsidR="00B27199" w:rsidRPr="00794EC7">
        <w:rPr>
          <w:rFonts w:cs="Arial"/>
          <w:b/>
          <w:bCs/>
          <w:color w:val="000000" w:themeColor="text1"/>
        </w:rPr>
        <w:t xml:space="preserve">in the presence of </w:t>
      </w:r>
      <w:r w:rsidR="002679E3" w:rsidRPr="00794EC7">
        <w:rPr>
          <w:rFonts w:cs="Arial"/>
          <w:b/>
          <w:bCs/>
          <w:color w:val="000000" w:themeColor="text1"/>
        </w:rPr>
        <w:t>Poly</w:t>
      </w:r>
      <w:r w:rsidR="00B27199" w:rsidRPr="00794EC7">
        <w:rPr>
          <w:rFonts w:cs="Arial"/>
          <w:b/>
          <w:bCs/>
          <w:color w:val="000000" w:themeColor="text1"/>
        </w:rPr>
        <w:t xml:space="preserve"> I:C</w:t>
      </w:r>
      <w:r w:rsidR="00970413" w:rsidRPr="00794EC7">
        <w:rPr>
          <w:rFonts w:cs="Arial"/>
          <w:color w:val="000000" w:themeColor="text1"/>
        </w:rPr>
        <w:t xml:space="preserve">. </w:t>
      </w:r>
      <w:r w:rsidR="008D497C" w:rsidRPr="00794EC7">
        <w:rPr>
          <w:color w:val="000000" w:themeColor="text1"/>
        </w:rPr>
        <w:t xml:space="preserve">Polarised </w:t>
      </w:r>
      <w:r w:rsidR="008D497C" w:rsidRPr="00794EC7">
        <w:rPr>
          <w:rFonts w:cs="Arial"/>
          <w:color w:val="000000" w:themeColor="text1"/>
        </w:rPr>
        <w:t xml:space="preserve">16HBE14o- cells were apically challenged with Poly I:C (5 </w:t>
      </w:r>
      <w:r w:rsidR="008D497C" w:rsidRPr="00794EC7">
        <w:rPr>
          <w:rFonts w:eastAsia="Arial Unicode MS" w:cs="Arial"/>
          <w:color w:val="000000" w:themeColor="text1"/>
        </w:rPr>
        <w:t>μ</w:t>
      </w:r>
      <w:r w:rsidR="008D497C" w:rsidRPr="00794EC7">
        <w:rPr>
          <w:rFonts w:cs="Arial"/>
          <w:color w:val="000000" w:themeColor="text1"/>
        </w:rPr>
        <w:t xml:space="preserve">g/mL) in the presence or absence (5 to 100 </w:t>
      </w:r>
      <w:r w:rsidR="008D497C" w:rsidRPr="00794EC7">
        <w:rPr>
          <w:rFonts w:ascii="Symbol" w:hAnsi="Symbol" w:cs="Arial"/>
          <w:color w:val="000000" w:themeColor="text1"/>
        </w:rPr>
        <w:t></w:t>
      </w:r>
      <w:r w:rsidR="008D497C" w:rsidRPr="00794EC7">
        <w:rPr>
          <w:rFonts w:cs="Arial"/>
          <w:color w:val="000000" w:themeColor="text1"/>
        </w:rPr>
        <w:t xml:space="preserve">L) of EV or EV-DPL samples </w:t>
      </w:r>
      <w:r w:rsidR="00F3371E" w:rsidRPr="00794EC7">
        <w:rPr>
          <w:rFonts w:cs="Arial"/>
          <w:color w:val="000000" w:themeColor="text1"/>
        </w:rPr>
        <w:t xml:space="preserve">to achieve a total apical volume of 200 </w:t>
      </w:r>
      <w:r w:rsidR="00F000B6" w:rsidRPr="00794EC7">
        <w:rPr>
          <w:rFonts w:eastAsia="Arial Unicode MS" w:cs="Arial"/>
          <w:color w:val="000000" w:themeColor="text1"/>
        </w:rPr>
        <w:t>μ</w:t>
      </w:r>
      <w:r w:rsidR="00F3371E" w:rsidRPr="00794EC7">
        <w:rPr>
          <w:rFonts w:cs="Arial"/>
          <w:color w:val="000000" w:themeColor="text1"/>
        </w:rPr>
        <w:t>L</w:t>
      </w:r>
      <w:r w:rsidR="008D497C" w:rsidRPr="00794EC7">
        <w:rPr>
          <w:rFonts w:cs="Arial"/>
          <w:color w:val="000000" w:themeColor="text1"/>
        </w:rPr>
        <w:t>. The TER was measured periodically over a 24-hour period.</w:t>
      </w:r>
      <w:r w:rsidR="00F3371E" w:rsidRPr="00794EC7">
        <w:rPr>
          <w:rFonts w:cs="Arial"/>
          <w:color w:val="000000" w:themeColor="text1"/>
        </w:rPr>
        <w:t xml:space="preserve"> Following apical challenge ionic barrier integrity was monitored by hourly transepithelial electrical resistance (TER) measurements for 5 hours (A) and then at 24 hours (B) using “chopstick” electrodes. The results in (A and B) are normalised to the day 5 value (100%). </w:t>
      </w:r>
      <w:r w:rsidR="00F44088" w:rsidRPr="00794EC7">
        <w:rPr>
          <w:rFonts w:eastAsia="Arial Unicode MS" w:cs="Arial"/>
          <w:color w:val="000000" w:themeColor="text1"/>
        </w:rPr>
        <w:t xml:space="preserve">The different symbols detail the significance of multiple comparisons: ● </w:t>
      </w:r>
      <w:r w:rsidR="00F44088" w:rsidRPr="00794EC7">
        <w:rPr>
          <w:rFonts w:cs="Arial"/>
          <w:color w:val="000000" w:themeColor="text1"/>
        </w:rPr>
        <w:t>p≤0.05</w:t>
      </w:r>
      <w:r w:rsidR="00325B32" w:rsidRPr="00794EC7">
        <w:rPr>
          <w:rFonts w:cs="Arial"/>
          <w:color w:val="000000" w:themeColor="text1"/>
        </w:rPr>
        <w:t xml:space="preserve">, </w:t>
      </w:r>
      <w:r w:rsidR="00325B32" w:rsidRPr="00794EC7">
        <w:rPr>
          <w:rFonts w:eastAsia="Arial Unicode MS" w:cs="Arial"/>
          <w:color w:val="000000" w:themeColor="text1"/>
        </w:rPr>
        <w:t xml:space="preserve">●●  </w:t>
      </w:r>
      <w:r w:rsidR="00325B32" w:rsidRPr="00794EC7">
        <w:rPr>
          <w:rFonts w:cs="Arial"/>
          <w:color w:val="000000" w:themeColor="text1"/>
        </w:rPr>
        <w:t xml:space="preserve">p≤0.001 and </w:t>
      </w:r>
      <w:r w:rsidR="00F44088" w:rsidRPr="00794EC7">
        <w:rPr>
          <w:rFonts w:eastAsia="Arial Unicode MS" w:cs="Arial"/>
          <w:color w:val="000000" w:themeColor="text1"/>
        </w:rPr>
        <w:t xml:space="preserve">●●●● </w:t>
      </w:r>
      <w:r w:rsidR="00F44088" w:rsidRPr="00794EC7">
        <w:rPr>
          <w:rFonts w:cs="Arial"/>
          <w:color w:val="000000" w:themeColor="text1"/>
        </w:rPr>
        <w:t xml:space="preserve">p≤0.0001 vs the Media Control, </w:t>
      </w:r>
      <w:r w:rsidR="00325B32" w:rsidRPr="00794EC7">
        <w:rPr>
          <w:rFonts w:cs="Arial"/>
          <w:color w:val="000000" w:themeColor="text1"/>
        </w:rPr>
        <w:t xml:space="preserve">♦ p≤0.05, </w:t>
      </w:r>
      <w:r w:rsidR="00F44088" w:rsidRPr="00794EC7">
        <w:rPr>
          <w:rFonts w:cs="Arial"/>
          <w:color w:val="000000" w:themeColor="text1"/>
        </w:rPr>
        <w:t>♦♦♦ p≤0.001 and ♦♦♦♦ p≤0.0001 vs Poly I:</w:t>
      </w:r>
      <w:r w:rsidR="00325B32" w:rsidRPr="00794EC7">
        <w:rPr>
          <w:rFonts w:cs="Arial"/>
          <w:color w:val="000000" w:themeColor="text1"/>
        </w:rPr>
        <w:t>C</w:t>
      </w:r>
      <w:r w:rsidR="00F44088" w:rsidRPr="00794EC7">
        <w:rPr>
          <w:rFonts w:cs="Arial"/>
          <w:color w:val="000000" w:themeColor="text1"/>
        </w:rPr>
        <w:t xml:space="preserve"> and </w:t>
      </w:r>
      <w:r w:rsidR="00F44088" w:rsidRPr="00794EC7">
        <w:rPr>
          <w:rFonts w:eastAsia="Arial Unicode MS" w:cs="Arial"/>
          <w:color w:val="000000" w:themeColor="text1"/>
        </w:rPr>
        <w:t>■■ p</w:t>
      </w:r>
      <w:r w:rsidR="00F44088" w:rsidRPr="00794EC7">
        <w:rPr>
          <w:rFonts w:cs="Arial"/>
          <w:color w:val="000000" w:themeColor="text1"/>
        </w:rPr>
        <w:t>≤0.01</w:t>
      </w:r>
      <w:r w:rsidR="00F44088" w:rsidRPr="00794EC7">
        <w:rPr>
          <w:rFonts w:eastAsia="Arial Unicode MS" w:cs="Arial"/>
          <w:color w:val="000000" w:themeColor="text1"/>
        </w:rPr>
        <w:t xml:space="preserve"> and ■■■■ p</w:t>
      </w:r>
      <w:r w:rsidR="00F44088" w:rsidRPr="00794EC7">
        <w:rPr>
          <w:rFonts w:cs="Arial"/>
          <w:color w:val="000000" w:themeColor="text1"/>
        </w:rPr>
        <w:t>≤0.0001 vs EV-dpl + Poly I:C as determined by one-way ANOVA</w:t>
      </w:r>
      <w:r w:rsidR="00325B32" w:rsidRPr="00794EC7">
        <w:rPr>
          <w:rFonts w:cs="Arial"/>
          <w:color w:val="000000" w:themeColor="text1"/>
        </w:rPr>
        <w:t xml:space="preserve"> or Friedman test</w:t>
      </w:r>
      <w:r w:rsidR="00F44088" w:rsidRPr="00794EC7">
        <w:rPr>
          <w:rFonts w:cs="Arial"/>
          <w:color w:val="000000" w:themeColor="text1"/>
        </w:rPr>
        <w:t xml:space="preserve"> with </w:t>
      </w:r>
      <w:r w:rsidR="00325B32" w:rsidRPr="00794EC7">
        <w:rPr>
          <w:rFonts w:cs="Arial"/>
          <w:color w:val="000000" w:themeColor="text1"/>
        </w:rPr>
        <w:t xml:space="preserve">a </w:t>
      </w:r>
      <w:r w:rsidR="00F44088" w:rsidRPr="00794EC7">
        <w:rPr>
          <w:rFonts w:cs="Arial"/>
          <w:color w:val="000000" w:themeColor="text1"/>
        </w:rPr>
        <w:t xml:space="preserve">Bonferroni </w:t>
      </w:r>
      <w:r w:rsidR="00325B32" w:rsidRPr="00794EC7">
        <w:rPr>
          <w:rFonts w:cs="Arial"/>
          <w:color w:val="000000" w:themeColor="text1"/>
        </w:rPr>
        <w:t xml:space="preserve">or Dunn’s </w:t>
      </w:r>
      <w:r w:rsidR="00F44088" w:rsidRPr="00794EC7">
        <w:rPr>
          <w:rFonts w:cs="Arial"/>
          <w:color w:val="000000" w:themeColor="text1"/>
        </w:rPr>
        <w:t xml:space="preserve">correction for multiple testing. </w:t>
      </w:r>
      <w:r w:rsidR="00F44088" w:rsidRPr="00794EC7">
        <w:rPr>
          <w:rFonts w:eastAsia="Arial Unicode MS" w:cs="Arial"/>
          <w:color w:val="000000" w:themeColor="text1"/>
        </w:rPr>
        <w:t xml:space="preserve">The data shows the </w:t>
      </w:r>
      <w:r w:rsidR="00F44088" w:rsidRPr="00794EC7">
        <w:rPr>
          <w:rFonts w:cs="Arial"/>
          <w:color w:val="000000" w:themeColor="text1"/>
        </w:rPr>
        <w:t xml:space="preserve">average ± standard deviation </w:t>
      </w:r>
      <w:r w:rsidR="00F44088" w:rsidRPr="00794EC7">
        <w:rPr>
          <w:rFonts w:eastAsia="Arial Unicode MS" w:cs="Arial"/>
          <w:color w:val="000000" w:themeColor="text1"/>
        </w:rPr>
        <w:t>of n=3 repeats in triplicate (3 donors in singlet).</w:t>
      </w:r>
      <w:r w:rsidR="00F44088" w:rsidRPr="00794EC7">
        <w:rPr>
          <w:rFonts w:cs="Arial"/>
          <w:color w:val="000000" w:themeColor="text1"/>
        </w:rPr>
        <w:t xml:space="preserve"> </w:t>
      </w:r>
    </w:p>
    <w:p w14:paraId="3287C63E" w14:textId="130111CE" w:rsidR="00C84612" w:rsidRPr="00794EC7" w:rsidRDefault="00C84612" w:rsidP="00902F19">
      <w:pPr>
        <w:pStyle w:val="Heading1"/>
      </w:pPr>
      <w:r w:rsidRPr="00794EC7">
        <w:t xml:space="preserve">Extracellular Vesicles Preserve Tight Junction Organisation Following Challenge with </w:t>
      </w:r>
      <w:r w:rsidR="002679E3" w:rsidRPr="00794EC7">
        <w:t>Poly</w:t>
      </w:r>
      <w:r w:rsidR="001A520B" w:rsidRPr="00794EC7">
        <w:t xml:space="preserve"> I:C</w:t>
      </w:r>
      <w:r w:rsidRPr="00794EC7">
        <w:t xml:space="preserve">. </w:t>
      </w:r>
    </w:p>
    <w:p w14:paraId="2F599EEA" w14:textId="77777777" w:rsidR="0018418E" w:rsidRPr="00794EC7" w:rsidRDefault="0018418E" w:rsidP="00902F19">
      <w:pPr>
        <w:rPr>
          <w:color w:val="000000" w:themeColor="text1"/>
        </w:rPr>
      </w:pPr>
    </w:p>
    <w:p w14:paraId="426D7958" w14:textId="018DB26A" w:rsidR="00410782" w:rsidRPr="00794EC7" w:rsidRDefault="00D86F5B" w:rsidP="00902F19">
      <w:pPr>
        <w:rPr>
          <w:color w:val="000000" w:themeColor="text1"/>
        </w:rPr>
      </w:pPr>
      <w:r w:rsidRPr="00794EC7">
        <w:rPr>
          <w:color w:val="000000" w:themeColor="text1"/>
        </w:rPr>
        <w:t xml:space="preserve">To determine </w:t>
      </w:r>
      <w:r w:rsidR="0063249B" w:rsidRPr="00794EC7">
        <w:rPr>
          <w:color w:val="000000" w:themeColor="text1"/>
        </w:rPr>
        <w:t>whether the</w:t>
      </w:r>
      <w:r w:rsidRPr="00794EC7">
        <w:rPr>
          <w:color w:val="000000" w:themeColor="text1"/>
        </w:rPr>
        <w:t xml:space="preserve"> EVs were able to </w:t>
      </w:r>
      <w:r w:rsidR="0063249B" w:rsidRPr="00794EC7">
        <w:rPr>
          <w:color w:val="000000" w:themeColor="text1"/>
        </w:rPr>
        <w:t>maintain the integrity of</w:t>
      </w:r>
      <w:r w:rsidRPr="00794EC7">
        <w:rPr>
          <w:color w:val="000000" w:themeColor="text1"/>
        </w:rPr>
        <w:t xml:space="preserve"> tight junction organisation</w:t>
      </w:r>
      <w:r w:rsidR="00677A24" w:rsidRPr="00794EC7">
        <w:rPr>
          <w:color w:val="000000" w:themeColor="text1"/>
        </w:rPr>
        <w:t xml:space="preserve"> and formation</w:t>
      </w:r>
      <w:r w:rsidRPr="00794EC7">
        <w:rPr>
          <w:color w:val="000000" w:themeColor="text1"/>
        </w:rPr>
        <w:t>, samples were immunofluorescently stained</w:t>
      </w:r>
      <w:r w:rsidR="00F3371E" w:rsidRPr="00794EC7">
        <w:rPr>
          <w:color w:val="000000" w:themeColor="text1"/>
        </w:rPr>
        <w:t xml:space="preserve"> </w:t>
      </w:r>
      <w:r w:rsidR="004D4F3B" w:rsidRPr="00794EC7">
        <w:rPr>
          <w:color w:val="000000" w:themeColor="text1"/>
        </w:rPr>
        <w:t>with an occludin antibody</w:t>
      </w:r>
      <w:r w:rsidR="00602BD7" w:rsidRPr="00794EC7">
        <w:rPr>
          <w:color w:val="000000" w:themeColor="text1"/>
        </w:rPr>
        <w:t xml:space="preserve"> </w:t>
      </w:r>
      <w:r w:rsidR="004D4F3B" w:rsidRPr="00794EC7">
        <w:rPr>
          <w:color w:val="000000" w:themeColor="text1"/>
        </w:rPr>
        <w:t xml:space="preserve">and counterstained with </w:t>
      </w:r>
      <w:r w:rsidR="00F3371E" w:rsidRPr="00794EC7">
        <w:rPr>
          <w:color w:val="000000" w:themeColor="text1"/>
        </w:rPr>
        <w:t xml:space="preserve">DAPI </w:t>
      </w:r>
      <w:r w:rsidR="004D4F3B" w:rsidRPr="00794EC7">
        <w:rPr>
          <w:color w:val="000000" w:themeColor="text1"/>
        </w:rPr>
        <w:t>to visual</w:t>
      </w:r>
      <w:r w:rsidR="00602BD7" w:rsidRPr="00794EC7">
        <w:rPr>
          <w:color w:val="000000" w:themeColor="text1"/>
        </w:rPr>
        <w:t>ise</w:t>
      </w:r>
      <w:r w:rsidR="004D4F3B" w:rsidRPr="00794EC7">
        <w:rPr>
          <w:color w:val="000000" w:themeColor="text1"/>
        </w:rPr>
        <w:t xml:space="preserve"> nuclei and phalloidin to visualise the </w:t>
      </w:r>
      <w:r w:rsidR="00F3371E" w:rsidRPr="00794EC7">
        <w:rPr>
          <w:color w:val="000000" w:themeColor="text1"/>
        </w:rPr>
        <w:t>cytoskeleton</w:t>
      </w:r>
      <w:r w:rsidRPr="00794EC7">
        <w:rPr>
          <w:color w:val="000000" w:themeColor="text1"/>
        </w:rPr>
        <w:t>. I</w:t>
      </w:r>
      <w:r w:rsidR="00E87C15" w:rsidRPr="00794EC7">
        <w:rPr>
          <w:color w:val="000000" w:themeColor="text1"/>
        </w:rPr>
        <w:t>mages of</w:t>
      </w:r>
      <w:r w:rsidR="00F3371E" w:rsidRPr="00794EC7">
        <w:rPr>
          <w:color w:val="000000" w:themeColor="text1"/>
        </w:rPr>
        <w:t xml:space="preserve"> only </w:t>
      </w:r>
      <w:r w:rsidR="00C63B7B" w:rsidRPr="00794EC7">
        <w:rPr>
          <w:color w:val="000000" w:themeColor="text1"/>
        </w:rPr>
        <w:t>tight junction</w:t>
      </w:r>
      <w:r w:rsidR="001A520B" w:rsidRPr="00794EC7">
        <w:rPr>
          <w:color w:val="000000" w:themeColor="text1"/>
        </w:rPr>
        <w:t xml:space="preserve">s are shown </w:t>
      </w:r>
      <w:r w:rsidR="00C63B7B" w:rsidRPr="00794EC7">
        <w:rPr>
          <w:color w:val="000000" w:themeColor="text1"/>
        </w:rPr>
        <w:t xml:space="preserve">in </w:t>
      </w:r>
      <w:r w:rsidR="00C63B7B" w:rsidRPr="00794EC7">
        <w:rPr>
          <w:color w:val="000000" w:themeColor="text1"/>
        </w:rPr>
        <w:fldChar w:fldCharType="begin"/>
      </w:r>
      <w:r w:rsidR="00C63B7B" w:rsidRPr="00794EC7">
        <w:rPr>
          <w:color w:val="000000" w:themeColor="text1"/>
        </w:rPr>
        <w:instrText xml:space="preserve"> REF _Ref86927674 \h </w:instrText>
      </w:r>
      <w:r w:rsidR="00902F19" w:rsidRPr="00794EC7">
        <w:rPr>
          <w:color w:val="000000" w:themeColor="text1"/>
        </w:rPr>
        <w:instrText xml:space="preserve"> \* MERGEFORMAT </w:instrText>
      </w:r>
      <w:r w:rsidR="00C63B7B" w:rsidRPr="00794EC7">
        <w:rPr>
          <w:color w:val="000000" w:themeColor="text1"/>
        </w:rPr>
      </w:r>
      <w:r w:rsidR="00C63B7B" w:rsidRPr="00794EC7">
        <w:rPr>
          <w:color w:val="000000" w:themeColor="text1"/>
        </w:rPr>
        <w:fldChar w:fldCharType="separate"/>
      </w:r>
      <w:r w:rsidR="00C63B7B" w:rsidRPr="00794EC7">
        <w:rPr>
          <w:color w:val="000000" w:themeColor="text1"/>
        </w:rPr>
        <w:t xml:space="preserve">Figure </w:t>
      </w:r>
      <w:r w:rsidR="00C63B7B" w:rsidRPr="00794EC7">
        <w:rPr>
          <w:noProof/>
          <w:color w:val="000000" w:themeColor="text1"/>
        </w:rPr>
        <w:t>4</w:t>
      </w:r>
      <w:r w:rsidR="00C63B7B" w:rsidRPr="00794EC7">
        <w:rPr>
          <w:color w:val="000000" w:themeColor="text1"/>
        </w:rPr>
        <w:fldChar w:fldCharType="end"/>
      </w:r>
      <w:r w:rsidR="00C63B7B" w:rsidRPr="00794EC7">
        <w:rPr>
          <w:color w:val="000000" w:themeColor="text1"/>
        </w:rPr>
        <w:t xml:space="preserve"> </w:t>
      </w:r>
      <w:r w:rsidR="0051490D" w:rsidRPr="00794EC7">
        <w:rPr>
          <w:color w:val="000000" w:themeColor="text1"/>
        </w:rPr>
        <w:t>(</w:t>
      </w:r>
      <w:r w:rsidR="00C63B7B" w:rsidRPr="00794EC7">
        <w:rPr>
          <w:color w:val="000000" w:themeColor="text1"/>
        </w:rPr>
        <w:t>overlaid imag</w:t>
      </w:r>
      <w:r w:rsidR="00E94C7B" w:rsidRPr="00794EC7">
        <w:rPr>
          <w:color w:val="000000" w:themeColor="text1"/>
        </w:rPr>
        <w:t>es</w:t>
      </w:r>
      <w:r w:rsidR="00F3371E" w:rsidRPr="00794EC7">
        <w:rPr>
          <w:color w:val="000000" w:themeColor="text1"/>
        </w:rPr>
        <w:t xml:space="preserve"> with nuclear and actin staining</w:t>
      </w:r>
      <w:r w:rsidR="00C63B7B" w:rsidRPr="00794EC7">
        <w:rPr>
          <w:color w:val="000000" w:themeColor="text1"/>
        </w:rPr>
        <w:t xml:space="preserve"> </w:t>
      </w:r>
      <w:r w:rsidR="00F3371E" w:rsidRPr="00794EC7">
        <w:rPr>
          <w:color w:val="000000" w:themeColor="text1"/>
        </w:rPr>
        <w:t xml:space="preserve">available </w:t>
      </w:r>
      <w:r w:rsidR="00C63B7B" w:rsidRPr="00794EC7">
        <w:rPr>
          <w:color w:val="000000" w:themeColor="text1"/>
        </w:rPr>
        <w:t>in</w:t>
      </w:r>
      <w:r w:rsidR="00F3371E" w:rsidRPr="00794EC7">
        <w:rPr>
          <w:color w:val="000000" w:themeColor="text1"/>
        </w:rPr>
        <w:t xml:space="preserve"> the</w:t>
      </w:r>
      <w:r w:rsidR="00C63B7B" w:rsidRPr="00794EC7">
        <w:rPr>
          <w:color w:val="000000" w:themeColor="text1"/>
        </w:rPr>
        <w:t xml:space="preserve"> </w:t>
      </w:r>
      <w:r w:rsidR="0060596C" w:rsidRPr="00794EC7">
        <w:rPr>
          <w:color w:val="000000" w:themeColor="text1"/>
        </w:rPr>
        <w:t>ESI</w:t>
      </w:r>
      <w:r w:rsidR="0051490D" w:rsidRPr="00794EC7">
        <w:rPr>
          <w:color w:val="000000" w:themeColor="text1"/>
        </w:rPr>
        <w:t>)</w:t>
      </w:r>
      <w:r w:rsidR="00C63B7B" w:rsidRPr="00794EC7">
        <w:rPr>
          <w:color w:val="000000" w:themeColor="text1"/>
        </w:rPr>
        <w:t xml:space="preserve">. </w:t>
      </w:r>
      <w:r w:rsidR="0051490D" w:rsidRPr="00794EC7">
        <w:rPr>
          <w:color w:val="000000" w:themeColor="text1"/>
        </w:rPr>
        <w:t>M</w:t>
      </w:r>
      <w:r w:rsidR="0018418E" w:rsidRPr="00794EC7">
        <w:rPr>
          <w:color w:val="000000" w:themeColor="text1"/>
        </w:rPr>
        <w:t>edia control,</w:t>
      </w:r>
      <w:r w:rsidR="00DD2738" w:rsidRPr="00794EC7">
        <w:rPr>
          <w:color w:val="000000" w:themeColor="text1"/>
        </w:rPr>
        <w:t xml:space="preserve"> </w:t>
      </w:r>
      <w:r w:rsidR="00F3371E" w:rsidRPr="00794EC7">
        <w:rPr>
          <w:color w:val="000000" w:themeColor="text1"/>
        </w:rPr>
        <w:t>as well as</w:t>
      </w:r>
      <w:r w:rsidR="0018418E" w:rsidRPr="00794EC7">
        <w:rPr>
          <w:color w:val="000000" w:themeColor="text1"/>
        </w:rPr>
        <w:t xml:space="preserve"> </w:t>
      </w:r>
      <w:r w:rsidR="00E94C7B" w:rsidRPr="00794EC7">
        <w:rPr>
          <w:color w:val="000000" w:themeColor="text1"/>
        </w:rPr>
        <w:t>EV-</w:t>
      </w:r>
      <w:r w:rsidR="003E1328" w:rsidRPr="00794EC7">
        <w:rPr>
          <w:color w:val="000000" w:themeColor="text1"/>
        </w:rPr>
        <w:t>dpl</w:t>
      </w:r>
      <w:r w:rsidR="00E94C7B" w:rsidRPr="00794EC7">
        <w:rPr>
          <w:color w:val="000000" w:themeColor="text1"/>
        </w:rPr>
        <w:t xml:space="preserve"> and EV</w:t>
      </w:r>
      <w:r w:rsidR="00DD2738" w:rsidRPr="00794EC7">
        <w:rPr>
          <w:color w:val="000000" w:themeColor="text1"/>
        </w:rPr>
        <w:t>s</w:t>
      </w:r>
      <w:r w:rsidR="00EF7517" w:rsidRPr="00794EC7">
        <w:rPr>
          <w:color w:val="000000" w:themeColor="text1"/>
        </w:rPr>
        <w:t xml:space="preserve"> in the absence of </w:t>
      </w:r>
      <w:r w:rsidR="002679E3" w:rsidRPr="00794EC7">
        <w:rPr>
          <w:color w:val="000000" w:themeColor="text1"/>
        </w:rPr>
        <w:t>Poly</w:t>
      </w:r>
      <w:r w:rsidR="00EF7517" w:rsidRPr="00794EC7">
        <w:rPr>
          <w:color w:val="000000" w:themeColor="text1"/>
        </w:rPr>
        <w:t xml:space="preserve"> I:C</w:t>
      </w:r>
      <w:r w:rsidR="00E94C7B" w:rsidRPr="00794EC7">
        <w:rPr>
          <w:color w:val="000000" w:themeColor="text1"/>
        </w:rPr>
        <w:t xml:space="preserve"> </w:t>
      </w:r>
      <w:r w:rsidR="001A520B" w:rsidRPr="00794EC7">
        <w:rPr>
          <w:color w:val="000000" w:themeColor="text1"/>
        </w:rPr>
        <w:t>ha</w:t>
      </w:r>
      <w:r w:rsidR="004D4F3B" w:rsidRPr="00794EC7">
        <w:rPr>
          <w:color w:val="000000" w:themeColor="text1"/>
        </w:rPr>
        <w:t>d</w:t>
      </w:r>
      <w:r w:rsidR="001A520B" w:rsidRPr="00794EC7">
        <w:rPr>
          <w:color w:val="000000" w:themeColor="text1"/>
        </w:rPr>
        <w:t xml:space="preserve"> </w:t>
      </w:r>
      <w:r w:rsidR="00DD2738" w:rsidRPr="00794EC7">
        <w:rPr>
          <w:color w:val="000000" w:themeColor="text1"/>
        </w:rPr>
        <w:t xml:space="preserve">a </w:t>
      </w:r>
      <w:r w:rsidR="00E94C7B" w:rsidRPr="00794EC7">
        <w:rPr>
          <w:color w:val="000000" w:themeColor="text1"/>
        </w:rPr>
        <w:t xml:space="preserve">similar </w:t>
      </w:r>
      <w:r w:rsidR="0018418E" w:rsidRPr="00794EC7">
        <w:rPr>
          <w:color w:val="000000" w:themeColor="text1"/>
        </w:rPr>
        <w:t>apicolateral localis</w:t>
      </w:r>
      <w:r w:rsidR="004D4F3B" w:rsidRPr="00794EC7">
        <w:rPr>
          <w:color w:val="000000" w:themeColor="text1"/>
        </w:rPr>
        <w:t xml:space="preserve">ation of the tight junction protein </w:t>
      </w:r>
      <w:r w:rsidR="0018418E" w:rsidRPr="00794EC7">
        <w:rPr>
          <w:color w:val="000000" w:themeColor="text1"/>
        </w:rPr>
        <w:t xml:space="preserve">occludin </w:t>
      </w:r>
      <w:r w:rsidR="004D4F3B" w:rsidRPr="00794EC7">
        <w:rPr>
          <w:color w:val="000000" w:themeColor="text1"/>
        </w:rPr>
        <w:t>with pericellular location</w:t>
      </w:r>
      <w:r w:rsidR="00E94C7B" w:rsidRPr="00794EC7">
        <w:rPr>
          <w:color w:val="000000" w:themeColor="text1"/>
        </w:rPr>
        <w:t xml:space="preserve"> (</w:t>
      </w:r>
      <w:r w:rsidR="00E94C7B" w:rsidRPr="00794EC7">
        <w:rPr>
          <w:color w:val="000000" w:themeColor="text1"/>
        </w:rPr>
        <w:fldChar w:fldCharType="begin"/>
      </w:r>
      <w:r w:rsidR="00E94C7B" w:rsidRPr="00794EC7">
        <w:rPr>
          <w:color w:val="000000" w:themeColor="text1"/>
        </w:rPr>
        <w:instrText xml:space="preserve"> REF _Ref86927674 \h </w:instrText>
      </w:r>
      <w:r w:rsidR="00902F19" w:rsidRPr="00794EC7">
        <w:rPr>
          <w:color w:val="000000" w:themeColor="text1"/>
        </w:rPr>
        <w:instrText xml:space="preserve"> \* MERGEFORMAT </w:instrText>
      </w:r>
      <w:r w:rsidR="00E94C7B" w:rsidRPr="00794EC7">
        <w:rPr>
          <w:color w:val="000000" w:themeColor="text1"/>
        </w:rPr>
      </w:r>
      <w:r w:rsidR="00E94C7B" w:rsidRPr="00794EC7">
        <w:rPr>
          <w:color w:val="000000" w:themeColor="text1"/>
        </w:rPr>
        <w:fldChar w:fldCharType="separate"/>
      </w:r>
      <w:r w:rsidR="00E94C7B" w:rsidRPr="00794EC7">
        <w:rPr>
          <w:color w:val="000000" w:themeColor="text1"/>
        </w:rPr>
        <w:t xml:space="preserve">Figure </w:t>
      </w:r>
      <w:r w:rsidR="00E94C7B" w:rsidRPr="00794EC7">
        <w:rPr>
          <w:noProof/>
          <w:color w:val="000000" w:themeColor="text1"/>
        </w:rPr>
        <w:t>4</w:t>
      </w:r>
      <w:r w:rsidR="00E94C7B" w:rsidRPr="00794EC7">
        <w:rPr>
          <w:color w:val="000000" w:themeColor="text1"/>
        </w:rPr>
        <w:fldChar w:fldCharType="end"/>
      </w:r>
      <w:r w:rsidR="00E94C7B" w:rsidRPr="00794EC7">
        <w:rPr>
          <w:color w:val="000000" w:themeColor="text1"/>
        </w:rPr>
        <w:t>A, C and D). Th</w:t>
      </w:r>
      <w:r w:rsidR="004D4F3B" w:rsidRPr="00794EC7">
        <w:rPr>
          <w:color w:val="000000" w:themeColor="text1"/>
        </w:rPr>
        <w:t>e distribution of occludin wa</w:t>
      </w:r>
      <w:r w:rsidR="00E94C7B" w:rsidRPr="00794EC7">
        <w:rPr>
          <w:color w:val="000000" w:themeColor="text1"/>
        </w:rPr>
        <w:t xml:space="preserve">s disrupted in the presence of </w:t>
      </w:r>
      <w:r w:rsidR="002679E3" w:rsidRPr="00794EC7">
        <w:rPr>
          <w:color w:val="000000" w:themeColor="text1"/>
        </w:rPr>
        <w:t>Poly</w:t>
      </w:r>
      <w:r w:rsidR="00E94C7B" w:rsidRPr="00794EC7">
        <w:rPr>
          <w:color w:val="000000" w:themeColor="text1"/>
        </w:rPr>
        <w:t xml:space="preserve"> I:C, where </w:t>
      </w:r>
      <w:r w:rsidR="0018418E" w:rsidRPr="00794EC7">
        <w:rPr>
          <w:color w:val="000000" w:themeColor="text1"/>
        </w:rPr>
        <w:t xml:space="preserve">the occludin </w:t>
      </w:r>
      <w:r w:rsidR="004D4F3B" w:rsidRPr="00794EC7">
        <w:rPr>
          <w:color w:val="000000" w:themeColor="text1"/>
        </w:rPr>
        <w:t>wa</w:t>
      </w:r>
      <w:r w:rsidR="0018418E" w:rsidRPr="00794EC7">
        <w:rPr>
          <w:color w:val="000000" w:themeColor="text1"/>
        </w:rPr>
        <w:t xml:space="preserve">s re-organised </w:t>
      </w:r>
      <w:r w:rsidR="00E94C7B" w:rsidRPr="00794EC7">
        <w:rPr>
          <w:color w:val="000000" w:themeColor="text1"/>
        </w:rPr>
        <w:t xml:space="preserve">and concentrated </w:t>
      </w:r>
      <w:r w:rsidR="00410782" w:rsidRPr="00794EC7">
        <w:rPr>
          <w:color w:val="000000" w:themeColor="text1"/>
        </w:rPr>
        <w:t>at</w:t>
      </w:r>
      <w:r w:rsidR="00E94C7B" w:rsidRPr="00794EC7">
        <w:rPr>
          <w:color w:val="000000" w:themeColor="text1"/>
        </w:rPr>
        <w:t xml:space="preserve"> </w:t>
      </w:r>
      <w:r w:rsidR="0018418E" w:rsidRPr="00794EC7">
        <w:rPr>
          <w:color w:val="000000" w:themeColor="text1"/>
        </w:rPr>
        <w:t>the cell-cell junctions</w:t>
      </w:r>
      <w:r w:rsidR="00E94C7B" w:rsidRPr="00794EC7">
        <w:rPr>
          <w:color w:val="000000" w:themeColor="text1"/>
        </w:rPr>
        <w:t>, also displaying gaps within the perimeter (</w:t>
      </w:r>
      <w:r w:rsidR="00E94C7B" w:rsidRPr="00794EC7">
        <w:rPr>
          <w:color w:val="000000" w:themeColor="text1"/>
        </w:rPr>
        <w:fldChar w:fldCharType="begin"/>
      </w:r>
      <w:r w:rsidR="00E94C7B" w:rsidRPr="00794EC7">
        <w:rPr>
          <w:color w:val="000000" w:themeColor="text1"/>
        </w:rPr>
        <w:instrText xml:space="preserve"> REF _Ref86927674 \h </w:instrText>
      </w:r>
      <w:r w:rsidR="00902F19" w:rsidRPr="00794EC7">
        <w:rPr>
          <w:color w:val="000000" w:themeColor="text1"/>
        </w:rPr>
        <w:instrText xml:space="preserve"> \* MERGEFORMAT </w:instrText>
      </w:r>
      <w:r w:rsidR="00E94C7B" w:rsidRPr="00794EC7">
        <w:rPr>
          <w:color w:val="000000" w:themeColor="text1"/>
        </w:rPr>
      </w:r>
      <w:r w:rsidR="00E94C7B" w:rsidRPr="00794EC7">
        <w:rPr>
          <w:color w:val="000000" w:themeColor="text1"/>
        </w:rPr>
        <w:fldChar w:fldCharType="separate"/>
      </w:r>
      <w:r w:rsidR="00E94C7B" w:rsidRPr="00794EC7">
        <w:rPr>
          <w:color w:val="000000" w:themeColor="text1"/>
        </w:rPr>
        <w:t xml:space="preserve">Figure </w:t>
      </w:r>
      <w:r w:rsidR="00E94C7B" w:rsidRPr="00794EC7">
        <w:rPr>
          <w:noProof/>
          <w:color w:val="000000" w:themeColor="text1"/>
        </w:rPr>
        <w:t>4</w:t>
      </w:r>
      <w:r w:rsidR="00E94C7B" w:rsidRPr="00794EC7">
        <w:rPr>
          <w:color w:val="000000" w:themeColor="text1"/>
        </w:rPr>
        <w:fldChar w:fldCharType="end"/>
      </w:r>
      <w:r w:rsidR="00E94C7B" w:rsidRPr="00794EC7">
        <w:rPr>
          <w:color w:val="000000" w:themeColor="text1"/>
        </w:rPr>
        <w:t xml:space="preserve">B). When EVs are applied in conjunction with </w:t>
      </w:r>
      <w:r w:rsidR="002679E3" w:rsidRPr="00794EC7">
        <w:rPr>
          <w:color w:val="000000" w:themeColor="text1"/>
        </w:rPr>
        <w:t>Poly</w:t>
      </w:r>
      <w:r w:rsidR="00E94C7B" w:rsidRPr="00794EC7">
        <w:rPr>
          <w:color w:val="000000" w:themeColor="text1"/>
        </w:rPr>
        <w:t xml:space="preserve"> I:C, the tight junction</w:t>
      </w:r>
      <w:r w:rsidR="004D4F3B" w:rsidRPr="00794EC7">
        <w:rPr>
          <w:color w:val="000000" w:themeColor="text1"/>
        </w:rPr>
        <w:t xml:space="preserve"> distribution appeared</w:t>
      </w:r>
      <w:r w:rsidR="00E94C7B" w:rsidRPr="00794EC7">
        <w:rPr>
          <w:color w:val="000000" w:themeColor="text1"/>
        </w:rPr>
        <w:t xml:space="preserve"> similar to </w:t>
      </w:r>
      <w:r w:rsidR="004D4F3B" w:rsidRPr="00794EC7">
        <w:rPr>
          <w:color w:val="000000" w:themeColor="text1"/>
        </w:rPr>
        <w:t xml:space="preserve">control </w:t>
      </w:r>
      <w:r w:rsidR="00E94C7B" w:rsidRPr="00794EC7">
        <w:rPr>
          <w:color w:val="000000" w:themeColor="text1"/>
        </w:rPr>
        <w:t xml:space="preserve">conditions without </w:t>
      </w:r>
      <w:r w:rsidR="002679E3" w:rsidRPr="00794EC7">
        <w:rPr>
          <w:color w:val="000000" w:themeColor="text1"/>
        </w:rPr>
        <w:t>Poly</w:t>
      </w:r>
      <w:r w:rsidR="00E94C7B" w:rsidRPr="00794EC7">
        <w:rPr>
          <w:color w:val="000000" w:themeColor="text1"/>
        </w:rPr>
        <w:t xml:space="preserve"> I:C</w:t>
      </w:r>
      <w:r w:rsidR="00C74BC5" w:rsidRPr="00794EC7">
        <w:rPr>
          <w:color w:val="000000" w:themeColor="text1"/>
        </w:rPr>
        <w:t xml:space="preserve"> with </w:t>
      </w:r>
      <w:r w:rsidR="00E94C7B" w:rsidRPr="00794EC7">
        <w:rPr>
          <w:color w:val="000000" w:themeColor="text1"/>
        </w:rPr>
        <w:t>prominent staining encircling the cells</w:t>
      </w:r>
      <w:r w:rsidR="00C74BC5" w:rsidRPr="00794EC7">
        <w:rPr>
          <w:color w:val="000000" w:themeColor="text1"/>
        </w:rPr>
        <w:t>, whereas the</w:t>
      </w:r>
      <w:r w:rsidR="00E94C7B" w:rsidRPr="00794EC7">
        <w:rPr>
          <w:color w:val="000000" w:themeColor="text1"/>
        </w:rPr>
        <w:t xml:space="preserve"> EV-</w:t>
      </w:r>
      <w:r w:rsidR="003E1328" w:rsidRPr="00794EC7">
        <w:rPr>
          <w:color w:val="000000" w:themeColor="text1"/>
        </w:rPr>
        <w:t>dpl</w:t>
      </w:r>
      <w:r w:rsidR="00E94C7B" w:rsidRPr="00794EC7">
        <w:rPr>
          <w:color w:val="000000" w:themeColor="text1"/>
        </w:rPr>
        <w:t xml:space="preserve"> </w:t>
      </w:r>
      <w:r w:rsidR="00E94C7B" w:rsidRPr="00794EC7">
        <w:rPr>
          <w:color w:val="000000" w:themeColor="text1"/>
        </w:rPr>
        <w:lastRenderedPageBreak/>
        <w:t>sample</w:t>
      </w:r>
      <w:r w:rsidR="00C74BC5" w:rsidRPr="00794EC7">
        <w:rPr>
          <w:color w:val="000000" w:themeColor="text1"/>
        </w:rPr>
        <w:t xml:space="preserve"> are less able to m</w:t>
      </w:r>
      <w:r w:rsidR="002B1629" w:rsidRPr="00794EC7">
        <w:rPr>
          <w:color w:val="000000" w:themeColor="text1"/>
        </w:rPr>
        <w:t>odulate</w:t>
      </w:r>
      <w:r w:rsidR="00C74BC5" w:rsidRPr="00794EC7">
        <w:rPr>
          <w:color w:val="000000" w:themeColor="text1"/>
        </w:rPr>
        <w:t xml:space="preserve"> the </w:t>
      </w:r>
      <w:r w:rsidR="002B1629" w:rsidRPr="00794EC7">
        <w:rPr>
          <w:color w:val="000000" w:themeColor="text1"/>
        </w:rPr>
        <w:t xml:space="preserve">Poly I:C </w:t>
      </w:r>
      <w:r w:rsidR="00C74BC5" w:rsidRPr="00794EC7">
        <w:rPr>
          <w:color w:val="000000" w:themeColor="text1"/>
        </w:rPr>
        <w:t>response with weaker tight junction staining in comparison to EVs</w:t>
      </w:r>
      <w:r w:rsidR="00660499" w:rsidRPr="00794EC7">
        <w:rPr>
          <w:color w:val="000000" w:themeColor="text1"/>
        </w:rPr>
        <w:t xml:space="preserve">. </w:t>
      </w:r>
    </w:p>
    <w:p w14:paraId="39EF75D2" w14:textId="7CD50C97" w:rsidR="00C84612" w:rsidRPr="00794EC7" w:rsidRDefault="00C84612" w:rsidP="00902F19"/>
    <w:p w14:paraId="2D477351" w14:textId="5554CCA4" w:rsidR="00BA16B3" w:rsidRPr="00794EC7" w:rsidRDefault="00A628AA" w:rsidP="00902F19">
      <w:pPr>
        <w:keepNext/>
      </w:pPr>
      <w:r w:rsidRPr="00794EC7">
        <w:rPr>
          <w:noProof/>
        </w:rPr>
        <w:drawing>
          <wp:inline distT="0" distB="0" distL="0" distR="0" wp14:anchorId="313B885F" wp14:editId="544DC4E3">
            <wp:extent cx="5731510" cy="4095115"/>
            <wp:effectExtent l="0" t="0" r="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95115"/>
                    </a:xfrm>
                    <a:prstGeom prst="rect">
                      <a:avLst/>
                    </a:prstGeom>
                  </pic:spPr>
                </pic:pic>
              </a:graphicData>
            </a:graphic>
          </wp:inline>
        </w:drawing>
      </w:r>
    </w:p>
    <w:p w14:paraId="40D4ED0C" w14:textId="2C52B00C" w:rsidR="00D10BDB" w:rsidRPr="00794EC7" w:rsidRDefault="00BA16B3" w:rsidP="00C74BC5">
      <w:pPr>
        <w:pStyle w:val="Caption"/>
      </w:pPr>
      <w:bookmarkStart w:id="3" w:name="_Ref86927674"/>
      <w:r w:rsidRPr="00794EC7">
        <w:rPr>
          <w:color w:val="000000" w:themeColor="text1"/>
        </w:rPr>
        <w:t xml:space="preserve">Figure </w:t>
      </w:r>
      <w:r w:rsidRPr="00794EC7">
        <w:rPr>
          <w:color w:val="000000" w:themeColor="text1"/>
        </w:rPr>
        <w:fldChar w:fldCharType="begin"/>
      </w:r>
      <w:r w:rsidRPr="00794EC7">
        <w:rPr>
          <w:color w:val="000000" w:themeColor="text1"/>
        </w:rPr>
        <w:instrText xml:space="preserve"> SEQ Figure \* ARABIC </w:instrText>
      </w:r>
      <w:r w:rsidRPr="00794EC7">
        <w:rPr>
          <w:color w:val="000000" w:themeColor="text1"/>
        </w:rPr>
        <w:fldChar w:fldCharType="separate"/>
      </w:r>
      <w:r w:rsidRPr="00794EC7">
        <w:rPr>
          <w:noProof/>
          <w:color w:val="000000" w:themeColor="text1"/>
        </w:rPr>
        <w:t>4</w:t>
      </w:r>
      <w:r w:rsidRPr="00794EC7">
        <w:rPr>
          <w:color w:val="000000" w:themeColor="text1"/>
        </w:rPr>
        <w:fldChar w:fldCharType="end"/>
      </w:r>
      <w:bookmarkEnd w:id="3"/>
      <w:r w:rsidRPr="00794EC7">
        <w:rPr>
          <w:color w:val="000000" w:themeColor="text1"/>
        </w:rPr>
        <w:t xml:space="preserve">: </w:t>
      </w:r>
      <w:r w:rsidR="001D7607" w:rsidRPr="00794EC7">
        <w:rPr>
          <w:b/>
          <w:bCs/>
          <w:color w:val="000000" w:themeColor="text1"/>
        </w:rPr>
        <w:t>B</w:t>
      </w:r>
      <w:r w:rsidRPr="00794EC7">
        <w:rPr>
          <w:b/>
          <w:bCs/>
          <w:color w:val="000000" w:themeColor="text1"/>
        </w:rPr>
        <w:t xml:space="preserve">ronchial epithelium tight junction organisation following challenge with </w:t>
      </w:r>
      <w:r w:rsidR="002679E3" w:rsidRPr="00794EC7">
        <w:rPr>
          <w:b/>
          <w:bCs/>
          <w:color w:val="000000" w:themeColor="text1"/>
        </w:rPr>
        <w:t>Poly</w:t>
      </w:r>
      <w:r w:rsidR="001A520B" w:rsidRPr="00794EC7">
        <w:rPr>
          <w:b/>
          <w:bCs/>
          <w:color w:val="000000" w:themeColor="text1"/>
        </w:rPr>
        <w:t xml:space="preserve"> I:C</w:t>
      </w:r>
      <w:r w:rsidR="0063249B" w:rsidRPr="00794EC7">
        <w:rPr>
          <w:b/>
          <w:bCs/>
          <w:color w:val="000000" w:themeColor="text1"/>
        </w:rPr>
        <w:t xml:space="preserve"> </w:t>
      </w:r>
      <w:r w:rsidR="00B76487" w:rsidRPr="00794EC7">
        <w:rPr>
          <w:b/>
          <w:bCs/>
          <w:color w:val="000000" w:themeColor="text1"/>
        </w:rPr>
        <w:t>in the absence of presence of</w:t>
      </w:r>
      <w:r w:rsidRPr="00794EC7">
        <w:rPr>
          <w:b/>
          <w:bCs/>
          <w:color w:val="000000" w:themeColor="text1"/>
        </w:rPr>
        <w:t xml:space="preserve"> </w:t>
      </w:r>
      <w:r w:rsidR="00560399" w:rsidRPr="00794EC7">
        <w:rPr>
          <w:b/>
          <w:bCs/>
          <w:color w:val="000000" w:themeColor="text1"/>
        </w:rPr>
        <w:t>milk EVs</w:t>
      </w:r>
      <w:r w:rsidR="00B76487" w:rsidRPr="00794EC7">
        <w:rPr>
          <w:b/>
          <w:bCs/>
          <w:color w:val="000000" w:themeColor="text1"/>
        </w:rPr>
        <w:t xml:space="preserve"> or EV-dpl controls</w:t>
      </w:r>
      <w:r w:rsidR="0063249B" w:rsidRPr="00794EC7">
        <w:rPr>
          <w:b/>
          <w:bCs/>
          <w:color w:val="000000" w:themeColor="text1"/>
        </w:rPr>
        <w:t>,</w:t>
      </w:r>
      <w:r w:rsidRPr="00794EC7">
        <w:rPr>
          <w:b/>
          <w:bCs/>
          <w:color w:val="000000" w:themeColor="text1"/>
        </w:rPr>
        <w:t xml:space="preserve"> </w:t>
      </w:r>
      <w:r w:rsidR="001D7607" w:rsidRPr="00794EC7">
        <w:rPr>
          <w:b/>
          <w:bCs/>
          <w:color w:val="000000" w:themeColor="text1"/>
        </w:rPr>
        <w:t xml:space="preserve">imaged </w:t>
      </w:r>
      <w:r w:rsidR="0063249B" w:rsidRPr="00794EC7">
        <w:rPr>
          <w:b/>
          <w:bCs/>
          <w:color w:val="000000" w:themeColor="text1"/>
        </w:rPr>
        <w:t>by</w:t>
      </w:r>
      <w:r w:rsidR="001D7607" w:rsidRPr="00794EC7">
        <w:rPr>
          <w:b/>
          <w:bCs/>
          <w:color w:val="000000" w:themeColor="text1"/>
        </w:rPr>
        <w:t xml:space="preserve"> </w:t>
      </w:r>
      <w:r w:rsidRPr="00794EC7">
        <w:rPr>
          <w:b/>
          <w:bCs/>
          <w:color w:val="000000" w:themeColor="text1"/>
        </w:rPr>
        <w:t xml:space="preserve">immunofluorescent staining. </w:t>
      </w:r>
      <w:r w:rsidR="008D497C" w:rsidRPr="00794EC7">
        <w:rPr>
          <w:color w:val="000000" w:themeColor="text1"/>
        </w:rPr>
        <w:t xml:space="preserve">Polarised </w:t>
      </w:r>
      <w:r w:rsidR="008D497C" w:rsidRPr="00794EC7">
        <w:rPr>
          <w:rFonts w:cs="Arial"/>
          <w:color w:val="000000" w:themeColor="text1"/>
        </w:rPr>
        <w:t xml:space="preserve">16HBE14o- cells were apically challenged with Poly I:C (5 </w:t>
      </w:r>
      <w:r w:rsidR="008D497C" w:rsidRPr="00794EC7">
        <w:rPr>
          <w:rFonts w:eastAsia="Arial Unicode MS" w:cs="Arial"/>
          <w:color w:val="000000" w:themeColor="text1"/>
        </w:rPr>
        <w:t>μ</w:t>
      </w:r>
      <w:r w:rsidR="008D497C" w:rsidRPr="00794EC7">
        <w:rPr>
          <w:rFonts w:cs="Arial"/>
          <w:color w:val="000000" w:themeColor="text1"/>
        </w:rPr>
        <w:t xml:space="preserve">g/mL) in the presence or absence (100 </w:t>
      </w:r>
      <w:r w:rsidR="008D497C" w:rsidRPr="00794EC7">
        <w:rPr>
          <w:rFonts w:ascii="Symbol" w:hAnsi="Symbol" w:cs="Arial"/>
          <w:color w:val="000000" w:themeColor="text1"/>
        </w:rPr>
        <w:t></w:t>
      </w:r>
      <w:r w:rsidR="008D497C" w:rsidRPr="00794EC7">
        <w:rPr>
          <w:rFonts w:cs="Arial"/>
          <w:color w:val="000000" w:themeColor="text1"/>
        </w:rPr>
        <w:t>L) of EV or EV-DPL samples</w:t>
      </w:r>
      <w:r w:rsidR="00F000B6" w:rsidRPr="00794EC7">
        <w:rPr>
          <w:color w:val="000000" w:themeColor="text1"/>
        </w:rPr>
        <w:t xml:space="preserve">. </w:t>
      </w:r>
      <w:r w:rsidR="00C74BC5" w:rsidRPr="00794EC7">
        <w:rPr>
          <w:color w:val="000000" w:themeColor="text1"/>
        </w:rPr>
        <w:t>Samples were fixed using 4% PFA, 24-hours after challenge then</w:t>
      </w:r>
      <w:r w:rsidR="00A628AA" w:rsidRPr="00794EC7">
        <w:rPr>
          <w:color w:val="000000" w:themeColor="text1"/>
        </w:rPr>
        <w:t xml:space="preserve"> </w:t>
      </w:r>
      <w:r w:rsidR="00C74BC5" w:rsidRPr="00794EC7">
        <w:rPr>
          <w:color w:val="000000" w:themeColor="text1"/>
        </w:rPr>
        <w:t xml:space="preserve">immunofluorescently stained using DAPI nuclear, Actin cytoskeleton and occludin tight junction staining.  Images show the occludin tight junction apicolateral region of </w:t>
      </w:r>
      <w:r w:rsidR="00C74BC5" w:rsidRPr="00794EC7">
        <w:rPr>
          <w:noProof/>
          <w:color w:val="000000" w:themeColor="text1"/>
        </w:rPr>
        <w:t>Z projection stack only, captured using confocal imaging at 63X at wavelengths 405 (DAPI), 561 (Actin) and 488 (Occludin) (Leica TCS laser scanning microscope). The images are representative of n=3 donors.</w:t>
      </w:r>
    </w:p>
    <w:p w14:paraId="38FC5EA5" w14:textId="44411A42" w:rsidR="001E0A4D" w:rsidRPr="00794EC7" w:rsidRDefault="001E0A4D" w:rsidP="00902F19">
      <w:pPr>
        <w:pStyle w:val="Title"/>
      </w:pPr>
      <w:r w:rsidRPr="00794EC7">
        <w:t>Discussion</w:t>
      </w:r>
    </w:p>
    <w:p w14:paraId="551AB210" w14:textId="77777777" w:rsidR="00927C6A" w:rsidRPr="00794EC7" w:rsidRDefault="00927C6A" w:rsidP="00902F19"/>
    <w:p w14:paraId="7D9BA7EA" w14:textId="2C65A02C" w:rsidR="00D65E10" w:rsidRPr="00794EC7" w:rsidRDefault="00927C6A" w:rsidP="00902F19">
      <w:pPr>
        <w:rPr>
          <w:color w:val="000000" w:themeColor="text1"/>
        </w:rPr>
      </w:pPr>
      <w:r w:rsidRPr="00794EC7">
        <w:rPr>
          <w:color w:val="000000" w:themeColor="text1"/>
        </w:rPr>
        <w:t xml:space="preserve">The airways host a large surface area with a continuous epithelium that interacts with the external environment </w:t>
      </w:r>
      <w:r w:rsidRPr="00794EC7">
        <w:rPr>
          <w:color w:val="000000" w:themeColor="text1"/>
        </w:rPr>
        <w:fldChar w:fldCharType="begin" w:fldLock="1"/>
      </w:r>
      <w:r w:rsidR="00E52841" w:rsidRPr="00794EC7">
        <w:rPr>
          <w:color w:val="000000" w:themeColor="text1"/>
        </w:rPr>
        <w:instrText>ADDIN CSL_CITATION {"citationItems":[{"id":"ITEM-1","itemData":{"DOI":"10.1038/mi.2017.71","ISSN":"19353456","PMID":"28812547","abstract":"Lung epithelial cells are increasingly recognized to be active effectors of microbial defense, contributing to both innate and adaptive immune function in the lower respiratory tract. As immune sentinels, lung epithelial cells detect diverse pathogens through an ample repertoire of membrane-bound, endosomal, and cytosolic pattern-recognition receptors (PRRs). The highly plastic epithelial barrier responds to detected threats via modulation of paracellular flux, intercellular communications, mucin production, and periciliary fluid composition. Epithelial PRR stimulation also induces production of cytokines that recruit and sculpt leukocyte-mediated responses, and promotes epithelial generation of antimicrobial effector molecules that are directly microbicidal. The epithelium can alternately enhance tolerance to pathogens, preventing tissue damage through PRR-induced inhibitory signals, opsonization of pathogen-associated molecular patterns, and attenuation of injurious leukocyte responses. The inducibility of these protective responses has prompted attempts to therapeutically harness epithelial defense mechanisms to protect against pneumonias. Recent reports describe successful strategies for manipulation of epithelial defenses to protect against a wide range of respiratory pathogens. The lung epithelium is capable of both significant antimicrobial responses that reduce pathogen burdens and tolerance mechanisms that attenuate immunopathology. This manuscript reviews inducible lung epithelial defense mechanisms that offer opportunities for therapeutic manipulation to protect vulnerable populations against pneumonia.","author":[{"dropping-particle":"","family":"Leiva-Juárez","given":"M. M.","non-dropping-particle":"","parse-names":false,"suffix":""},{"dropping-particle":"","family":"Kolls","given":"J. K.","non-dropping-particle":"","parse-names":false,"suffix":""},{"dropping-particle":"","family":"Evans","given":"S. E.","non-dropping-particle":"","parse-names":false,"suffix":""}],"container-title":"Mucosal Immunology","id":"ITEM-1","issue":"1","issued":{"date-parts":[["2018"]]},"page":"21-34","title":"Lung epithelial cells: Therapeutically inducible effectors of antimicrobial defense","type":"article-journal","volume":"11"},"uris":["http://www.mendeley.com/documents/?uuid=db19a8e4-910d-4de5-863d-7ac5a787c222"]}],"mendeley":{"formattedCitation":"[18]","plainTextFormattedCitation":"[18]","previouslyFormattedCitation":"[18]"},"properties":{"noteIndex":0},"schema":"https://github.com/citation-style-language/schema/raw/master/csl-citation.json"}</w:instrText>
      </w:r>
      <w:r w:rsidRPr="00794EC7">
        <w:rPr>
          <w:color w:val="000000" w:themeColor="text1"/>
        </w:rPr>
        <w:fldChar w:fldCharType="separate"/>
      </w:r>
      <w:r w:rsidR="006113C9" w:rsidRPr="00794EC7">
        <w:rPr>
          <w:noProof/>
          <w:color w:val="000000" w:themeColor="text1"/>
        </w:rPr>
        <w:t>[18]</w:t>
      </w:r>
      <w:r w:rsidRPr="00794EC7">
        <w:rPr>
          <w:color w:val="000000" w:themeColor="text1"/>
        </w:rPr>
        <w:fldChar w:fldCharType="end"/>
      </w:r>
      <w:r w:rsidR="006113C9" w:rsidRPr="00794EC7">
        <w:rPr>
          <w:color w:val="000000" w:themeColor="text1"/>
        </w:rPr>
        <w:t xml:space="preserve">, where the barrier function is essential to maintain homeostasis. During </w:t>
      </w:r>
      <w:r w:rsidR="00E52841" w:rsidRPr="00794EC7">
        <w:rPr>
          <w:color w:val="000000" w:themeColor="text1"/>
        </w:rPr>
        <w:t xml:space="preserve">the early stages of </w:t>
      </w:r>
      <w:r w:rsidR="006113C9" w:rsidRPr="00794EC7">
        <w:rPr>
          <w:color w:val="000000" w:themeColor="text1"/>
        </w:rPr>
        <w:t>development</w:t>
      </w:r>
      <w:r w:rsidR="00E52841" w:rsidRPr="00794EC7">
        <w:rPr>
          <w:color w:val="000000" w:themeColor="text1"/>
        </w:rPr>
        <w:t xml:space="preserve"> before adaptive immunity has been gained, the infant is protected by the pattern recognition receptors (such as TLRs) expressed on airway epithelial cells, which are able to recognise pathogens and hazards</w:t>
      </w:r>
      <w:r w:rsidR="00221E62" w:rsidRPr="00794EC7">
        <w:rPr>
          <w:color w:val="000000" w:themeColor="text1"/>
        </w:rPr>
        <w:t xml:space="preserve"> and aid the</w:t>
      </w:r>
      <w:r w:rsidR="00783798" w:rsidRPr="00794EC7">
        <w:rPr>
          <w:color w:val="000000" w:themeColor="text1"/>
        </w:rPr>
        <w:t xml:space="preserve"> development of </w:t>
      </w:r>
      <w:r w:rsidR="00E52841" w:rsidRPr="00794EC7">
        <w:rPr>
          <w:color w:val="000000" w:themeColor="text1"/>
        </w:rPr>
        <w:t xml:space="preserve"> adaptive immun</w:t>
      </w:r>
      <w:r w:rsidR="00783798" w:rsidRPr="00794EC7">
        <w:rPr>
          <w:color w:val="000000" w:themeColor="text1"/>
        </w:rPr>
        <w:t>ity</w:t>
      </w:r>
      <w:r w:rsidR="00E52841" w:rsidRPr="00794EC7">
        <w:rPr>
          <w:color w:val="000000" w:themeColor="text1"/>
        </w:rPr>
        <w:t xml:space="preserve"> </w:t>
      </w:r>
      <w:r w:rsidR="00E52841" w:rsidRPr="00794EC7">
        <w:rPr>
          <w:color w:val="000000" w:themeColor="text1"/>
        </w:rPr>
        <w:fldChar w:fldCharType="begin" w:fldLock="1"/>
      </w:r>
      <w:r w:rsidR="00582686" w:rsidRPr="00794EC7">
        <w:rPr>
          <w:color w:val="000000" w:themeColor="text1"/>
        </w:rPr>
        <w:instrText>ADDIN CSL_CITATION {"citationItems":[{"id":"ITEM-1","itemData":{"DOI":"10.1016/j.prrv.2021.04.002","ISSN":"15260550","PMID":"34030977","abstract":"The airway epithelium is a complex multicellular layer that extends from the nasopharynx to the small airways. It functions as an immune respiratory barrier during early life that develops, matures, and regenerates to adapt to the changes in the environment. While airway epithelial abnormalities have been identified in several clinical disorders, there is increasing interest in understanding its basic regulation and structure in humans. Indeed, recent advances in technology (e.g. single-cell analysis and new human airway epithelial cell models) have allowed us to identify additional cellular subtypes and functions that overall have greatly improved our understanding of the airway epithelium during health and disease. In this review we summarize key features of the airway epithelium including: 1) multilayer structure and cell heterogeneity; 2) adaptability to different environmental and developmental stimuli; 3) innate recognition; and 4) orchestration of immune responses. We discuss these features with a translational and clinical prospective focusing on the development of human respiratory immunity, particularly during early life.","author":[{"dropping-particle":"","family":"Xu-Chen","given":"Xilei","non-dropping-particle":"","parse-names":false,"suffix":""},{"dropping-particle":"","family":"Weinstock","given":"Jered","non-dropping-particle":"","parse-names":false,"suffix":""},{"dropping-particle":"","family":"Rastogi","given":"Deepa","non-dropping-particle":"","parse-names":false,"suffix":""},{"dropping-particle":"","family":"Koumbourlis","given":"Anastassios","non-dropping-particle":"","parse-names":false,"suffix":""},{"dropping-particle":"","family":"Nino","given":"Gustavo","non-dropping-particle":"","parse-names":false,"suffix":""}],"container-title":"Paediatric Respiratory Reviews","id":"ITEM-1","issued":{"date-parts":[["2021"]]},"page":"9-15","publisher":"Elsevier Ltd","title":"The airway epithelium during infancy and childhood: A complex multicellular immune barrier. Basic review for clinicians","type":"article-journal","volume":"38"},"uris":["http://www.mendeley.com/documents/?uuid=4542a68a-a2bf-44c9-af26-6851959725e1"]}],"mendeley":{"formattedCitation":"[19]","plainTextFormattedCitation":"[19]","previouslyFormattedCitation":"[19]"},"properties":{"noteIndex":0},"schema":"https://github.com/citation-style-language/schema/raw/master/csl-citation.json"}</w:instrText>
      </w:r>
      <w:r w:rsidR="00E52841" w:rsidRPr="00794EC7">
        <w:rPr>
          <w:color w:val="000000" w:themeColor="text1"/>
        </w:rPr>
        <w:fldChar w:fldCharType="separate"/>
      </w:r>
      <w:r w:rsidR="00E52841" w:rsidRPr="00794EC7">
        <w:rPr>
          <w:noProof/>
          <w:color w:val="000000" w:themeColor="text1"/>
        </w:rPr>
        <w:t>[19]</w:t>
      </w:r>
      <w:r w:rsidR="00E52841" w:rsidRPr="00794EC7">
        <w:rPr>
          <w:color w:val="000000" w:themeColor="text1"/>
        </w:rPr>
        <w:fldChar w:fldCharType="end"/>
      </w:r>
      <w:r w:rsidR="00E52841" w:rsidRPr="00794EC7">
        <w:rPr>
          <w:color w:val="000000" w:themeColor="text1"/>
        </w:rPr>
        <w:t xml:space="preserve">. </w:t>
      </w:r>
      <w:r w:rsidR="00783798" w:rsidRPr="00794EC7">
        <w:rPr>
          <w:color w:val="000000" w:themeColor="text1"/>
        </w:rPr>
        <w:t xml:space="preserve"> Breast milk </w:t>
      </w:r>
      <w:r w:rsidR="009039F6" w:rsidRPr="00794EC7">
        <w:rPr>
          <w:color w:val="000000" w:themeColor="text1"/>
        </w:rPr>
        <w:t xml:space="preserve">plays an important role in this immunological programming. </w:t>
      </w:r>
      <w:r w:rsidR="00582686" w:rsidRPr="00794EC7">
        <w:rPr>
          <w:color w:val="000000" w:themeColor="text1"/>
        </w:rPr>
        <w:t>Where i</w:t>
      </w:r>
      <w:r w:rsidR="00273DE1" w:rsidRPr="00794EC7">
        <w:rPr>
          <w:color w:val="000000" w:themeColor="text1"/>
        </w:rPr>
        <w:t xml:space="preserve">t has been shown that </w:t>
      </w:r>
      <w:r w:rsidR="009039F6" w:rsidRPr="00794EC7">
        <w:rPr>
          <w:color w:val="000000" w:themeColor="text1"/>
        </w:rPr>
        <w:t xml:space="preserve">in </w:t>
      </w:r>
      <w:r w:rsidR="004D023E" w:rsidRPr="00794EC7">
        <w:rPr>
          <w:color w:val="000000" w:themeColor="text1"/>
        </w:rPr>
        <w:t xml:space="preserve">breast fed infants </w:t>
      </w:r>
      <w:r w:rsidR="009039F6" w:rsidRPr="00794EC7">
        <w:rPr>
          <w:color w:val="000000" w:themeColor="text1"/>
        </w:rPr>
        <w:t xml:space="preserve">compared to formula fed infants a more </w:t>
      </w:r>
      <w:r w:rsidR="00582686" w:rsidRPr="00794EC7">
        <w:rPr>
          <w:color w:val="000000" w:themeColor="text1"/>
        </w:rPr>
        <w:t>anti-inflammatory</w:t>
      </w:r>
      <w:r w:rsidR="009039F6" w:rsidRPr="00794EC7">
        <w:rPr>
          <w:color w:val="000000" w:themeColor="text1"/>
        </w:rPr>
        <w:t xml:space="preserve"> milieu is created</w:t>
      </w:r>
      <w:r w:rsidR="00582686" w:rsidRPr="00794EC7">
        <w:rPr>
          <w:color w:val="000000" w:themeColor="text1"/>
        </w:rPr>
        <w:t xml:space="preserve"> </w:t>
      </w:r>
      <w:r w:rsidR="00582686" w:rsidRPr="00794EC7">
        <w:rPr>
          <w:color w:val="000000" w:themeColor="text1"/>
        </w:rPr>
        <w:fldChar w:fldCharType="begin" w:fldLock="1"/>
      </w:r>
      <w:r w:rsidR="00582686" w:rsidRPr="00794EC7">
        <w:rPr>
          <w:color w:val="000000" w:themeColor="text1"/>
        </w:rPr>
        <w:instrText>ADDIN CSL_CITATION {"citationItems":[{"id":"ITEM-1","itemData":{"DOI":"10.1017/S0007114512004229","ISSN":"00071145","PMID":"23110822","abstract":"Breast milk provides important maturational stimuli to an infant's developing immune system. However, data concerning the role of breast-feeding in reducing the risk of allergic disease remain contradictory. Previous studies have centred on comparative analyses of breast milk and formula compositions. We chose a slightly different angle, whereby we focused on the effects of the chosen diet on the infant himself, comparing the immune development of formula-fed and breast-fed children. The objective of the present study was to determine how the mode of feeding affects infant immunology. Altogether, eighteen formula-fed infants with limited breast-feeding for &lt; 3 months and twenty-nine infants who were exclusively breast-fed for &gt;3 months were included in the study. Concentrations of interferon γ, TNF-α IL-10, IL-5, IL-4 and IL-2 were measured simultaneously from the same serum sample through use of a multiplexed flow cytometric assay at the ages of 1, 3, 6 and 12 months. Transforming growth factor β2 (TGF-β2) was measured using ELISA at the same time points. Serum TNF-α and IL-2 concentrations were significantly higher in formula-fed than in breast-fed infants during the first year of life (ANOVA, P= 0·002). The serum concentrations of TGF-β were significantly lower in formula-fed than in breast-fed infants throughout the first year of life (ANOVA, P≤ 0·0001). Exclusive breast-feeding promotes an anti-inflammatory cytokine milieu, which is maintained throughout infancy. Such an immunological environment limits hyper-responsiveness and promotes tolerisation, possibly prohibiting the onset of allergic disease. Copyright © 2012 The Authors.","author":[{"dropping-particle":"","family":"Kainonen","given":"Essi","non-dropping-particle":"","parse-names":false,"suffix":""},{"dropping-particle":"","family":"Rautava","given":"Samuli","non-dropping-particle":"","parse-names":false,"suffix":""},{"dropping-particle":"","family":"Isolauri","given":"Erika","non-dropping-particle":"","parse-names":false,"suffix":""}],"container-title":"British Journal of Nutrition","id":"ITEM-1","issue":"11","issued":{"date-parts":[["2013"]]},"page":"1962-1970","title":"Immunological programming by breast milk creates an anti-inflammatory cytokine milieu in breast-fed infants compared to formula-fed infants","type":"article-journal","volume":"109"},"uris":["http://www.mendeley.com/documents/?uuid=a2dacc31-ee41-4867-9e7e-c8085c26dfb2"]}],"mendeley":{"formattedCitation":"[20]","plainTextFormattedCitation":"[20]","previouslyFormattedCitation":"[20]"},"properties":{"noteIndex":0},"schema":"https://github.com/citation-style-language/schema/raw/master/csl-citation.json"}</w:instrText>
      </w:r>
      <w:r w:rsidR="00582686" w:rsidRPr="00794EC7">
        <w:rPr>
          <w:color w:val="000000" w:themeColor="text1"/>
        </w:rPr>
        <w:fldChar w:fldCharType="separate"/>
      </w:r>
      <w:r w:rsidR="00582686" w:rsidRPr="00794EC7">
        <w:rPr>
          <w:noProof/>
          <w:color w:val="000000" w:themeColor="text1"/>
        </w:rPr>
        <w:t>[20]</w:t>
      </w:r>
      <w:r w:rsidR="00582686" w:rsidRPr="00794EC7">
        <w:rPr>
          <w:color w:val="000000" w:themeColor="text1"/>
        </w:rPr>
        <w:fldChar w:fldCharType="end"/>
      </w:r>
      <w:r w:rsidR="00582686" w:rsidRPr="00794EC7">
        <w:rPr>
          <w:color w:val="000000" w:themeColor="text1"/>
        </w:rPr>
        <w:t xml:space="preserve">. Breast milk is enriched in a variety of molecules that have </w:t>
      </w:r>
      <w:r w:rsidR="00431725" w:rsidRPr="00794EC7">
        <w:rPr>
          <w:color w:val="000000" w:themeColor="text1"/>
        </w:rPr>
        <w:t>demonstrated an ability</w:t>
      </w:r>
      <w:r w:rsidR="00582686" w:rsidRPr="00794EC7">
        <w:rPr>
          <w:color w:val="000000" w:themeColor="text1"/>
        </w:rPr>
        <w:t xml:space="preserve"> to modulate immune responses </w:t>
      </w:r>
      <w:r w:rsidR="00582686" w:rsidRPr="00794EC7">
        <w:rPr>
          <w:rFonts w:eastAsia="Arial Unicode MS" w:cs="Arial"/>
        </w:rPr>
        <w:fldChar w:fldCharType="begin" w:fldLock="1"/>
      </w:r>
      <w:r w:rsidR="003C43A1" w:rsidRPr="00794EC7">
        <w:rPr>
          <w:rFonts w:eastAsia="Arial Unicode MS" w:cs="Arial"/>
        </w:rPr>
        <w:instrText>ADDIN CSL_CITATION {"citationItems":[{"id":"ITEM-1","itemData":{"DOI":"10.3390/nu12020581","ISSN":"2072-6643","abstract":"Human breast milk is well known as the ideal source of nutrition during early life, ensuring optimal growth during infancy and early childhood. Breast milk is also the source of many unique and dynamic bioactive components that play a key role in the development of the immune system. These bioactive components include essential microbes, human milk oligosaccharides (HMOs), immunoglobulins, lactoferrin and dietary polyunsaturated fatty acids. These factors all interact with intestinal commensal bacteria and/or immune cells, playing a critical role in establishment of the intestinal microbiome and ultimately influencing intestinal inflammation and gut health during early life. Exposure to breast milk has been associated with a decreased incidence and severity of necrotizing enterocolitis (NEC), a devastating disease characterized by overwhelming intestinal inflammation and high morbidity among preterm infants. For this reason, breast milk is considered a protective factor against NEC and aberrant intestinal inflammation common in preterm infants. In this review, we will describe the key microbial, immunological, and metabolic components of breast milk that have been shown to play a role in the mechanisms of intestinal inflammation and/or NEC prevention.","author":[{"dropping-particle":"","family":"Thai","given":"Julie D.","non-dropping-particle":"","parse-names":false,"suffix":""},{"dropping-particle":"","family":"Gregory","given":"Katherine E.","non-dropping-particle":"","parse-names":false,"suffix":""}],"container-title":"Nutrients","id":"ITEM-1","issue":"2","issued":{"date-parts":[["2020","2","23"]]},"page":"581","title":"Bioactive Factors in Human Breast Milk Attenuate Intestinal Inflammation during Early Life","type":"article-journal","volume":"12"},"uris":["http://www.mendeley.com/documents/?uuid=005730bc-1497-4c99-8a90-fb4f0692b703"]}],"mendeley":{"formattedCitation":"[21]","plainTextFormattedCitation":"[21]","previouslyFormattedCitation":"[21]"},"properties":{"noteIndex":0},"schema":"https://github.com/citation-style-language/schema/raw/master/csl-citation.json"}</w:instrText>
      </w:r>
      <w:r w:rsidR="00582686" w:rsidRPr="00794EC7">
        <w:rPr>
          <w:rFonts w:eastAsia="Arial Unicode MS" w:cs="Arial"/>
        </w:rPr>
        <w:fldChar w:fldCharType="separate"/>
      </w:r>
      <w:r w:rsidR="00582686" w:rsidRPr="00794EC7">
        <w:rPr>
          <w:rFonts w:eastAsia="Arial Unicode MS" w:cs="Arial"/>
          <w:noProof/>
        </w:rPr>
        <w:t>[21]</w:t>
      </w:r>
      <w:r w:rsidR="00582686" w:rsidRPr="00794EC7">
        <w:rPr>
          <w:rFonts w:eastAsia="Arial Unicode MS" w:cs="Arial"/>
        </w:rPr>
        <w:fldChar w:fldCharType="end"/>
      </w:r>
      <w:r w:rsidR="00582686" w:rsidRPr="00794EC7">
        <w:rPr>
          <w:color w:val="000000" w:themeColor="text1"/>
        </w:rPr>
        <w:t xml:space="preserve">, an example of which are milk EVs that </w:t>
      </w:r>
      <w:r w:rsidR="00771BA9" w:rsidRPr="00794EC7">
        <w:rPr>
          <w:color w:val="000000" w:themeColor="text1"/>
        </w:rPr>
        <w:t xml:space="preserve">can </w:t>
      </w:r>
      <w:r w:rsidR="00582686" w:rsidRPr="00794EC7">
        <w:rPr>
          <w:color w:val="000000" w:themeColor="text1"/>
        </w:rPr>
        <w:t xml:space="preserve">dampen TLR </w:t>
      </w:r>
      <w:r w:rsidR="00D65E10" w:rsidRPr="00794EC7">
        <w:rPr>
          <w:color w:val="000000" w:themeColor="text1"/>
        </w:rPr>
        <w:t>activation</w:t>
      </w:r>
      <w:r w:rsidR="00582686" w:rsidRPr="00794EC7">
        <w:rPr>
          <w:color w:val="000000" w:themeColor="text1"/>
        </w:rPr>
        <w:t xml:space="preserve"> </w:t>
      </w:r>
      <w:r w:rsidR="00431725" w:rsidRPr="00794EC7">
        <w:rPr>
          <w:color w:val="000000" w:themeColor="text1"/>
        </w:rPr>
        <w:t xml:space="preserve">in the </w:t>
      </w:r>
      <w:r w:rsidR="00771BA9" w:rsidRPr="00794EC7">
        <w:rPr>
          <w:color w:val="000000" w:themeColor="text1"/>
        </w:rPr>
        <w:t xml:space="preserve">oral cavity and </w:t>
      </w:r>
      <w:r w:rsidR="00582686" w:rsidRPr="00794EC7">
        <w:t xml:space="preserve">gut </w:t>
      </w:r>
      <w:r w:rsidR="00582686" w:rsidRPr="00794EC7">
        <w:fldChar w:fldCharType="begin" w:fldLock="1"/>
      </w:r>
      <w:r w:rsidR="00582686" w:rsidRPr="00794EC7">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582686" w:rsidRPr="00794EC7">
        <w:rPr>
          <w:rFonts w:ascii="Cambria Math" w:hAnsi="Cambria Math" w:cs="Cambria Math"/>
        </w:rPr>
        <w:instrText>‐</w:instrText>
      </w:r>
      <w:r w:rsidR="00582686" w:rsidRPr="00794EC7">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582686" w:rsidRPr="00794EC7">
        <w:rPr>
          <w:rFonts w:ascii="Cambria Math" w:hAnsi="Cambria Math" w:cs="Cambria Math"/>
        </w:rPr>
        <w:instrText>‐</w:instrText>
      </w:r>
      <w:r w:rsidR="00582686" w:rsidRPr="00794EC7">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responses","type":"article-journal","volume":"10"},"uris":["http://www.mendeley.com/documents/?uuid=63393057-d867-4895-a841-2a25c927482a"]},{"id":"ITEM-2","itemData":{"DOI":"10.1007/s00383-019-04562-6","ISBN":"0123456789","ISSN":"14379813","PMID":"31576466","abstract":"Aim of the study: Human breast milk reduces the risk and severity of necrotizing enterocolitis (NEC). Exosomes are extracellular vesicles (EVs) found in high concentrations in milk, and they mediate intercellular communication and immune responses. The aim of this study is to compare the protective effects of exosomes that are derived from different time periods of breast milk production against intestinal injury using an ex vivo intestinal organoid model. Methods: Colostrum, transitional and mature breast milk samples from healthy lactating mothers were collected. Exosomes were isolated using serial ultracentrifugation and filtration. Exosomes’ presence was confirmed using transmission electron microscopy (TEM) and western blot. To form the intestinal organoids, terminal ileum was harvested from neonatal mice pups at postnatal day 9, crypts were isolated and organoids were cultured in matrigel. Organoids were either cultured with exposure to lipopolysaccharide (LPS), or in treatment groups where both LPS and exosomes were added in the culturing medium. Inflammatory markers and organoids viability were evaluated. Main results: Human milk-derived exosomes were successfully isolated and characterized. LPS administration reduced the size of intestinal organoids, induced inflammation through increasing TNFα and TLR4 expression, and stimulated intestinal regeneration. Colostrum, transitional and mature human milk-derived exosome treatment all prevented inflammatory injury, while exosomes derived from colostrum were most effective at reducing inflammatory cytokine. Conclusions: Human breast milk-derived exosomes were able to protect intestine organoids against epithelial injury induced by LPS. Colostrum exosomes offer the best protective effect among the breast-milk derived exosomes. Human milk exosomes can be protective against the development of intestinal injury such as that seen in NEC.","author":[{"dropping-particle":"","family":"Gao","given":"Runnan","non-dropping-particle":"","parse-names":false,"suffix":""},{"dropping-particle":"","family":"Zhang","given":"Rong","non-dropping-particle":"","parse-names":false,"suffix":""},{"dropping-particle":"","family":"Qian","given":"Tian","non-dropping-particle":"","parse-names":false,"suffix":""},{"dropping-particle":"","family":"Peng","given":"Xueni","non-dropping-particle":"","parse-names":false,"suffix":""},{"dropping-particle":"","family":"He","given":"Weijing","non-dropping-particle":"","parse-names":false,"suffix":""},{"dropping-particle":"","family":"Zheng","given":"Shan","non-dropping-particle":"","parse-names":false,"suffix":""},{"dropping-particle":"","family":"Cao","given":"Yun","non-dropping-particle":"","parse-names":false,"suffix":""},{"dropping-particle":"","family":"Pierro","given":"Agostino","non-dropping-particle":"","parse-names":false,"suffix":""},{"dropping-particle":"","family":"Shen","given":"Chun","non-dropping-particle":"","parse-names":false,"suffix":""}],"container-title":"Pediatric Surgery International","id":"ITEM-2","issue":"12","issued":{"date-parts":[["2019"]]},"page":"1363-1368","publisher":"Springer Berlin Heidelberg","title":"A comparison of exosomes derived from different periods breast milk on protecting against intestinal organoid injury","type":"article-journal","volume":"35"},"uris":["http://www.mendeley.com/documents/?uuid=42ce37c7-ed43-436b-a831-44fc423e9810"]},{"id":"ITEM-3","itemData":{"DOI":"10.1007/s00383-019-04559-1","ISBN":"0123456789","ISSN":"14379813","PMID":"31555862","abstract":"Background: Necrotizing enterocolitis (NEC) is one of the most severe gastrointestinal diseases in infancy. Hypoxia is known as one of the major risk factors for the development of NEC. Endothelin, known to regulate vasoconstriction, has two receptors (A and B). However, the role of endothelin receptor B (EDNRB) in neonatal intestinal injury remains unclear. We aimed to investigate whether EDNRB is involved in NEC pathophysiology. Methods: Following ethical approval (#44032), EDNRB hetero knockout mice pups (EDNRB±) and their wild-type (WT) littermates were studied. NEC was induced from postnatal day 5–9 (P5–P9) by hypoxia, gavage feeding of formula and administration of lipopolysaccharide. On P9, the ileum was harvested. Results: NEC induction in WT mice was associated with mucosal injury. However, EDNRB± NEC mice had reduced mucosal injury. Similarly, EDNRB± mice had significantly lower expression of IL-6 mRNA compared to WT NEC mice. Pimonidazole immunostaining was also significantly lower in EDNRB± compared to WT NEC, suggesting reduced tissue hypoxia. Conclusions: Partial knockout of EDNRB results in reduced NEC severity and reduced tissue hypoxia. Intestinal perfusion and hypoxia are important elements of NEC pathogenesis. These findings are relevant to the understanding of NEC pathophysiology and to the development of novel preventive strategies for NEC.","author":[{"dropping-particle":"","family":"Miyake","given":"Hiromu","non-dropping-particle":"","parse-names":false,"suffix":""},{"dropping-particle":"","family":"Seo","given":"Shogo","non-dropping-particle":"","parse-names":false,"suffix":""},{"dropping-particle":"","family":"Fujiwara","given":"Naho","non-dropping-particle":"","parse-names":false,"suffix":""},{"dropping-particle":"","family":"Miyahara","given":"Katsumi","non-dropping-particle":"","parse-names":false,"suffix":""},{"dropping-particle":"","family":"Lee","given":"Carol","non-dropping-particle":"","parse-names":false,"suffix":""},{"dropping-particle":"","family":"Li","given":"Bo","non-dropping-particle":"","parse-names":false,"suffix":""},{"dropping-particle":"","family":"Chen","given":"Yong","non-dropping-particle":"","parse-names":false,"suffix":""},{"dropping-particle":"","family":"Yamataka","given":"Atsuyuki","non-dropping-particle":"","parse-names":false,"suffix":""},{"dropping-particle":"","family":"Pierro","given":"Agostino","non-dropping-particle":"","parse-names":false,"suffix":""}],"container-title":"Pediatric Surgery International","id":"ITEM-3","issue":"12","issued":{"date-parts":[["2019"]]},"page":"1339-1343","title":"Endothelin receptor B affects the perfusion of newborn intestine: possible mechanism of necrotizing enterocolitis development","type":"article-journal","volume":"35"},"uris":["http://www.mendeley.com/documents/?uuid=97fc07b8-7837-415c-811a-55faaa0b2539"]},{"id":"ITEM-4","itemData":{"DOI":"10.1177/0963689720912690","ISSN":"15553892","PMID":"32193954","abstract":"Breastfeeding has been shown to have a protective effect on the occurrence of necrotizing enterocolitis (NEC), but the mechanism remains unclear. In the context of NEC pathogenesis, many of the protective properties of exosomes on the intestinal epithelial compartment make it an ideal therapeutic target. In the present study, our hypothesis was that intestinal stem cells (ISCs) would be protected from injury by human milk-derived exosomes (HMDEs). Human breast milk was collected, and exosomes were isolated using ExoQuick reagent. Magnetic-activated cell sorting isolation of prominin-1+ ISCs was performed from small intestines of neonatal rat. ISCs were treated with or without H2O2, and HMDEs, an equal volume of HMDE-free milk, or a control solution [phosphate-buffered solution (PBS)] was added, respectively. In the absence of HMDEs, exposure of ISCs to H2O2 led to decreased cell viability. However, addition of HMDEs to ISCs exposed to H2O2 led to significantly increased ISC viability. There was a significant upregulation of mRNA expression of Axin2, c-Myc, and Cyclin D1 genes of the Wnt/β-catenin axis in ISCs treated with HMDEs (6.99 ± 2.34, 4.21 ± 1.68, 6.17 ± 2.22, respectively, P &lt; 0.05 for all), as compared to control. In the presence of carnosic acid (a specific Wnt/β-catenin signaling inhibitor), the cell viability was significantly decreased. Thus, HMDEs protect ISCs from oxidative stress injury in vitro, which were possibly mediated via the Wnt/β-catenin signaling pathway. Our findings indicate that oral administration of HMDEs might be a promising measure in treating NEC or in preventing the development of NEC in high-risk infants when breast milk is not available.","author":[{"dropping-particle":"","family":"Dong","given":"Ping","non-dropping-particle":"","parse-names":false,"suffix":""},{"dropping-particle":"","family":"Zhang","given":"Ying","non-dropping-particle":"","parse-names":false,"suffix":""},{"dropping-particle":"","family":"Yan","given":"Dong Yong","non-dropping-particle":"","parse-names":false,"suffix":""},{"dropping-particle":"","family":"Wang","given":"Yi","non-dropping-particle":"","parse-names":false,"suffix":""},{"dropping-particle":"","family":"Xu","given":"Xiu","non-dropping-particle":"","parse-names":false,"suffix":""},{"dropping-particle":"","family":"Zhao","given":"Ying Chun","non-dropping-particle":"","parse-names":false,"suffix":""},{"dropping-particle":"","family":"Xiao","given":"Tian Tian","non-dropping-particle":"","parse-names":false,"suffix":""}],"container-title":"Cell Transplantation","id":"ITEM-4","issued":{"date-parts":[["2020"]]},"page":"1-8","title":"Protective Effects of Human Milk-Derived Exosomes on Intestinal Stem Cells Damaged by Oxidative Stress","type":"article-journal","volume":"29"},"uris":["http://www.mendeley.com/documents/?uuid=2e4299e7-3f23-455b-9139-e7a0eeb467db"]}],"mendeley":{"formattedCitation":"[3], [7]–[9]","plainTextFormattedCitation":"[3], [7]–[9]","previouslyFormattedCitation":"[3], [7]–[9]"},"properties":{"noteIndex":0},"schema":"https://github.com/citation-style-language/schema/raw/master/csl-citation.json"}</w:instrText>
      </w:r>
      <w:r w:rsidR="00582686" w:rsidRPr="00794EC7">
        <w:fldChar w:fldCharType="separate"/>
      </w:r>
      <w:r w:rsidR="00582686" w:rsidRPr="00794EC7">
        <w:rPr>
          <w:noProof/>
        </w:rPr>
        <w:t>[3], [7]–[9]</w:t>
      </w:r>
      <w:r w:rsidR="00582686" w:rsidRPr="00794EC7">
        <w:fldChar w:fldCharType="end"/>
      </w:r>
      <w:r w:rsidR="00771BA9" w:rsidRPr="00794EC7">
        <w:t>. Since</w:t>
      </w:r>
      <w:r w:rsidR="00DB5CB6" w:rsidRPr="00794EC7">
        <w:rPr>
          <w:color w:val="000000" w:themeColor="text1"/>
        </w:rPr>
        <w:t xml:space="preserve"> </w:t>
      </w:r>
      <w:r w:rsidR="00431725" w:rsidRPr="00794EC7">
        <w:rPr>
          <w:color w:val="000000" w:themeColor="text1"/>
        </w:rPr>
        <w:t xml:space="preserve">milk aerosols </w:t>
      </w:r>
      <w:r w:rsidR="00DB5CB6" w:rsidRPr="00794EC7">
        <w:rPr>
          <w:color w:val="000000" w:themeColor="text1"/>
        </w:rPr>
        <w:t>could be</w:t>
      </w:r>
      <w:r w:rsidR="00431725" w:rsidRPr="00794EC7">
        <w:rPr>
          <w:color w:val="000000" w:themeColor="text1"/>
        </w:rPr>
        <w:t xml:space="preserve"> inhaled by infants during breast feeding </w:t>
      </w:r>
      <w:r w:rsidR="00431725" w:rsidRPr="00794EC7">
        <w:t xml:space="preserve">due to the intermittent periods required to swallow milk during a continuous </w:t>
      </w:r>
      <w:r w:rsidR="00431725" w:rsidRPr="00794EC7">
        <w:rPr>
          <w:bCs/>
          <w:color w:val="000000" w:themeColor="text1"/>
        </w:rPr>
        <w:t xml:space="preserve">sucking and breathing cycle </w:t>
      </w:r>
      <w:r w:rsidR="00431725" w:rsidRPr="00794EC7">
        <w:rPr>
          <w:bCs/>
          <w:color w:val="000000" w:themeColor="text1"/>
        </w:rPr>
        <w:fldChar w:fldCharType="begin" w:fldLock="1"/>
      </w:r>
      <w:r w:rsidR="00431725" w:rsidRPr="00794EC7">
        <w:rPr>
          <w:bCs/>
          <w:color w:val="000000" w:themeColor="text1"/>
        </w:rPr>
        <w:instrText>ADDIN CSL_CITATION {"citationItems":[{"id":"ITEM-1","itemData":{"DOI":"10.1203/01.pdr.0000238378.24238.9d","ISSN":"00313998","PMID":"16940236","abstract":"This prospective study compared the coordination of sucking, swallowing, and breathing and its relationship to oxygen saturation in infants during breast-feeding and bottle-feeding. After 4 to 6 wk of exclusive breast-feeding, infants began bottle-feedings of expressed human milk using one of two systems: a soft-walled bottle and nipple (system 1, Playtex) or a hard-walled bottle and nipple (system 2, Avent). Infants' sucking, swallowing, breathing, and oxygenation were measured during breast-feeding and bottle-feeding, and coordination of these activities during breast-feeding and bottle-feeding were compared. During breast-feeding, swallowing occurred nonrandomly between breaths and did not interfere with breathing. The same distribution of swallowing occurred in infants fed with system 1, while swallowing occurred randomly in infants fed with system 2. Swallowing significantly increased during bottle-feeding among infants using system 2, but decreased among infants using system 1. Infants using system 2 also had a greater instability in the coordination of sucking, swallowing, and breathing and more perturbation of breathing. Oxygen saturation was significantly higher in infants fed with system 1 compared with system 2. These results suggest that the overall feeding pattern and oxygenation of system 1 are closer to the physiologic norm than system 2. Copyright © 2006 International Pediatric Research Foundation, Inc.","author":[{"dropping-particle":"","family":"Goldfield","given":"Eugene C.","non-dropping-particle":"","parse-names":false,"suffix":""},{"dropping-particle":"","family":"Richardson","given":"Michael J.","non-dropping-particle":"","parse-names":false,"suffix":""},{"dropping-particle":"","family":"Lee","given":"Kimberly G.","non-dropping-particle":"","parse-names":false,"suffix":""},{"dropping-particle":"","family":"Margetts","given":"Stacey","non-dropping-particle":"","parse-names":false,"suffix":""}],"container-title":"Pediatric Research","id":"ITEM-1","issue":"4","issued":{"date-parts":[["2006"]]},"page":"450-455","title":"Coordination of sucking, swallowing, and breathing and oxygen saturation during early infant breast-feeding and bottle-feeding","type":"article-journal","volume":"60"},"uris":["http://www.mendeley.com/documents/?uuid=a3fc861a-73a1-4e84-8297-6919cb3ba450"]}],"mendeley":{"formattedCitation":"[10]","plainTextFormattedCitation":"[10]","previouslyFormattedCitation":"[10]"},"properties":{"noteIndex":0},"schema":"https://github.com/citation-style-language/schema/raw/master/csl-citation.json"}</w:instrText>
      </w:r>
      <w:r w:rsidR="00431725" w:rsidRPr="00794EC7">
        <w:rPr>
          <w:bCs/>
          <w:color w:val="000000" w:themeColor="text1"/>
        </w:rPr>
        <w:fldChar w:fldCharType="separate"/>
      </w:r>
      <w:r w:rsidR="00431725" w:rsidRPr="00794EC7">
        <w:rPr>
          <w:bCs/>
          <w:noProof/>
          <w:color w:val="000000" w:themeColor="text1"/>
        </w:rPr>
        <w:t>[10]</w:t>
      </w:r>
      <w:r w:rsidR="00431725" w:rsidRPr="00794EC7">
        <w:rPr>
          <w:bCs/>
          <w:color w:val="000000" w:themeColor="text1"/>
        </w:rPr>
        <w:fldChar w:fldCharType="end"/>
      </w:r>
      <w:r w:rsidR="00431725" w:rsidRPr="00794EC7">
        <w:rPr>
          <w:bCs/>
          <w:color w:val="000000" w:themeColor="text1"/>
        </w:rPr>
        <w:t>,</w:t>
      </w:r>
      <w:r w:rsidR="00431725" w:rsidRPr="00794EC7">
        <w:t xml:space="preserve"> </w:t>
      </w:r>
      <w:r w:rsidR="00771BA9" w:rsidRPr="00794EC7">
        <w:t xml:space="preserve">this </w:t>
      </w:r>
      <w:r w:rsidR="00431725" w:rsidRPr="00794EC7">
        <w:t>provid</w:t>
      </w:r>
      <w:r w:rsidR="00771BA9" w:rsidRPr="00794EC7">
        <w:t>es</w:t>
      </w:r>
      <w:r w:rsidR="00431725" w:rsidRPr="00794EC7">
        <w:t xml:space="preserve"> a route for milk particles to travel into the airways. To study </w:t>
      </w:r>
      <w:r w:rsidR="00CC5263" w:rsidRPr="00794EC7">
        <w:t xml:space="preserve">possible </w:t>
      </w:r>
      <w:r w:rsidR="00771BA9" w:rsidRPr="00794EC7">
        <w:t>immune modulatory effects of milk EVs</w:t>
      </w:r>
      <w:r w:rsidR="00CC5263" w:rsidRPr="00794EC7">
        <w:t xml:space="preserve"> on infant’s airways we used</w:t>
      </w:r>
      <w:r w:rsidR="00431725" w:rsidRPr="00794EC7">
        <w:rPr>
          <w:color w:val="000000" w:themeColor="text1"/>
        </w:rPr>
        <w:t xml:space="preserve"> t</w:t>
      </w:r>
      <w:r w:rsidR="001D7607" w:rsidRPr="00794EC7">
        <w:rPr>
          <w:rFonts w:cs="Arial"/>
        </w:rPr>
        <w:t xml:space="preserve">he </w:t>
      </w:r>
      <w:r w:rsidR="009067A9" w:rsidRPr="00794EC7">
        <w:rPr>
          <w:rFonts w:cs="Arial"/>
        </w:rPr>
        <w:t xml:space="preserve">immortalised </w:t>
      </w:r>
      <w:r w:rsidR="00C638D0" w:rsidRPr="00794EC7">
        <w:rPr>
          <w:rFonts w:cs="Arial"/>
        </w:rPr>
        <w:t xml:space="preserve">bronchial epithelial cell line 16HBE14o- </w:t>
      </w:r>
      <w:r w:rsidR="009067A9" w:rsidRPr="00794EC7">
        <w:rPr>
          <w:rFonts w:cs="Arial"/>
        </w:rPr>
        <w:t xml:space="preserve">(originally obtained from a 1 year old male </w:t>
      </w:r>
      <w:r w:rsidR="009067A9" w:rsidRPr="00794EC7">
        <w:rPr>
          <w:rFonts w:cs="Arial"/>
        </w:rPr>
        <w:fldChar w:fldCharType="begin" w:fldLock="1"/>
      </w:r>
      <w:r w:rsidR="004D3D25" w:rsidRPr="00794EC7">
        <w:rPr>
          <w:rFonts w:cs="Arial"/>
        </w:rPr>
        <w:instrText>ADDIN CSL_CITATION {"citationItems":[{"id":"ITEM-1","itemData":{"DOI":"10.1042/BSR20201532","ISSN":"15734935","PMID":"32985670","abstract":"The human bronchial epithelial cell line, 16HBE14o- (16HBE), is widely used as a model for respiratory epithelial diseases and barrier function. During differentiation, transepithelial electrical resistance (TER) increased to approximately 800 Ohms × cm2, while 14C-D-mannitol flux rates (Jm) simultaneously decreased. Tight junctions (TJs) were shown by diffusion potential studies to be anion-selective with PC1/PNa = 1.9. Transepithelial leakiness could be induced by the phorbol ester, protein kinase C (PKC) activator, 12-O-tetradecanoylphorbol-13-acetate (TPA), and the proinflammatory cytokine, tumor necrosis factor-α (TNF-α). Basal barrier function could not be improved by the micronutrients, zinc, or quercetin. Of methodological significance, TER was observed to be more variable and to spontaneously, significantly decrease after initial barrier formation, whereas Jm did not significantly fluctuate or increase. Unlike the strong inverse relationship between TER and Jm during differentiation, differentiated cell layers manifested no relationship between TER and Jm. There was also much greater variability for TER values compared with Jm. Investigating the dependence of 16HBE TER on transcellular ion conductance, inhibition of the Cystic Fibrosis Transmembrane Conductance Regulator (CFTR) chloride channel with GlyH-101 produced a large decrease in short-circuit current (Isc) and a slight increase in TER, but no significant change in Jm. A strong temperature dependence was observed not only for Isc, but also for TER. In summary, research utilizing 16HBE as a model in airway barrier function studies needs to be aware of the complexity of TER as a parameter of barrier function given the influence of CFTR-dependent transcellular conductance on TER.","author":[{"dropping-particle":"","family":"Callaghan","given":"Patrick J.","non-dropping-particle":"","parse-names":false,"suffix":""},{"dropping-particle":"","family":"Ferrick","given":"Bryan","non-dropping-particle":"","parse-names":false,"suffix":""},{"dropping-particle":"","family":"Rybakovsky","given":"Elizabeth","non-dropping-particle":"","parse-names":false,"suffix":""},{"dropping-particle":"","family":"Thomas","given":"Sunil","non-dropping-particle":"","parse-names":false,"suffix":""},{"dropping-particle":"","family":"Mullin","given":"James M.","non-dropping-particle":"","parse-names":false,"suffix":""}],"container-title":"Bioscience Reports","id":"ITEM-1","issue":"10","issued":{"date-parts":[["2020"]]},"page":"1-16","title":"Epithelial barrier function properties of the 16HBE14o- human bronchial epithelial cell culture model","type":"article-journal","volume":"40"},"uris":["http://www.mendeley.com/documents/?uuid=366dcab6-45d7-4292-a79c-028e87810250"]}],"mendeley":{"formattedCitation":"[15]","plainTextFormattedCitation":"[15]","previouslyFormattedCitation":"[15]"},"properties":{"noteIndex":0},"schema":"https://github.com/citation-style-language/schema/raw/master/csl-citation.json"}</w:instrText>
      </w:r>
      <w:r w:rsidR="009067A9" w:rsidRPr="00794EC7">
        <w:rPr>
          <w:rFonts w:cs="Arial"/>
        </w:rPr>
        <w:fldChar w:fldCharType="separate"/>
      </w:r>
      <w:r w:rsidR="009067A9" w:rsidRPr="00794EC7">
        <w:rPr>
          <w:rFonts w:cs="Arial"/>
          <w:noProof/>
        </w:rPr>
        <w:t>[15]</w:t>
      </w:r>
      <w:r w:rsidR="009067A9" w:rsidRPr="00794EC7">
        <w:rPr>
          <w:rFonts w:cs="Arial"/>
        </w:rPr>
        <w:fldChar w:fldCharType="end"/>
      </w:r>
      <w:r w:rsidR="009067A9" w:rsidRPr="00794EC7">
        <w:rPr>
          <w:rFonts w:cs="Arial"/>
        </w:rPr>
        <w:t>)</w:t>
      </w:r>
      <w:r w:rsidR="00D65E10" w:rsidRPr="00794EC7">
        <w:rPr>
          <w:rFonts w:cs="Arial"/>
        </w:rPr>
        <w:t>.</w:t>
      </w:r>
    </w:p>
    <w:p w14:paraId="4EFD7C30" w14:textId="77777777" w:rsidR="00D65E10" w:rsidRPr="00794EC7" w:rsidRDefault="00D65E10" w:rsidP="00902F19">
      <w:pPr>
        <w:rPr>
          <w:rFonts w:cs="Arial"/>
        </w:rPr>
      </w:pPr>
    </w:p>
    <w:p w14:paraId="58948A03" w14:textId="77777777" w:rsidR="006F727F" w:rsidRPr="00794EC7" w:rsidRDefault="006F727F" w:rsidP="00902F19">
      <w:pPr>
        <w:rPr>
          <w:rFonts w:cs="Arial"/>
        </w:rPr>
      </w:pPr>
    </w:p>
    <w:p w14:paraId="3C774D68" w14:textId="5A9F77E6" w:rsidR="00044FAA" w:rsidRPr="00794EC7" w:rsidRDefault="004163B6" w:rsidP="00902F19">
      <w:pPr>
        <w:rPr>
          <w:rFonts w:cs="Arial"/>
        </w:rPr>
      </w:pPr>
      <w:r w:rsidRPr="00794EC7">
        <w:rPr>
          <w:rFonts w:cs="Arial"/>
        </w:rPr>
        <w:t>As indicated by the MISEV guidelines</w:t>
      </w:r>
      <w:r w:rsidR="00677A24" w:rsidRPr="00794EC7">
        <w:rPr>
          <w:rFonts w:cs="Arial"/>
        </w:rPr>
        <w:t xml:space="preserve"> </w:t>
      </w:r>
      <w:r w:rsidR="00677A24" w:rsidRPr="00794EC7">
        <w:rPr>
          <w:rFonts w:cs="Arial"/>
        </w:rPr>
        <w:fldChar w:fldCharType="begin" w:fldLock="1"/>
      </w:r>
      <w:r w:rsidR="00044FAA" w:rsidRPr="00794EC7">
        <w:rPr>
          <w:rFonts w:cs="Arial"/>
        </w:rPr>
        <w:instrText>ADDIN CSL_CITATION {"citationItems":[{"id":"ITEM-1","itemData":{"DOI":"10.1080/20013078.2018.1535750","ISSN":"20013078","abstract":"The last decade has seen a sharp increase in the number of scientific publications describing physiological and pathological functions of extracellular vesicles (EVs), a collective term covering various subtypes of cell-released, membranous structures, called exosomes, microvesicles, microparticles, ectosomes, oncosomes, apoptotic bodies, and many other names. However, specific issues arise when working with these entities, whose size and amount often make them difficult to obtain as relatively pure preparations, and to characterize properly. The International Society for Extracellular Vesicles (ISEV) proposed Minimal Information for Studies of Extracellular Vesicles (“MISEV”) guidelines for the field in 2014. We now update these “MISEV2014” guidelines based on evolution of the collective knowledge in the last four years. An important point to consider is that ascribing a specific function to EVs in general, or to subtypes of EVs, requires reporting of specific information beyond mere description of function in a crude, potentially contaminated, and heterogeneous preparation. For example, claims that exosomes are endowed with exquisite and specific activities remain difficult to support experimentally, given our still limited knowledge of their specific molecular machineries of biogenesis and release, as compared with other biophysically similar EVs. The MISEV2018 guidelines include tables and outlines of suggested protocols and steps to follow to document specific EV-associated functional activities. Finally, a checklist is provided with summaries of key points.","author":[{"dropping-particle":"","family":"Théry","given":"Clotilde","non-dropping-particle":"","parse-names":false,"suffix":""},{"dropping-particle":"","family":"Witwer","given":"Kenneth W.","non-dropping-particle":"","parse-names":false,"suffix":""},{"dropping-particle":"","family":"Aikawa","given":"Elena","non-dropping-particle":"","parse-names":false,"suffix":""},{"dropping-particle":"","family":"Alcaraz","given":"Maria Jose","non-dropping-particle":"","parse-names":false,"suffix":""},{"dropping-particle":"","family":"Anderson","given":"Johnathon D.","non-dropping-particle":"","parse-names":false,"suffix":""},{"dropping-particle":"","family":"Andriantsitohaina","given":"Ramaroson","non-dropping-particle":"","parse-names":false,"suffix":""},{"dropping-particle":"","family":"Antoniou","given":"Anna","non-dropping-particle":"","parse-names":false,"suffix":""},{"dropping-particle":"","family":"Arab","given":"Tanina","non-dropping-particle":"","parse-names":false,"suffix":""},{"dropping-particle":"","family":"Archer","given":"Fabienne","non-dropping-particle":"","parse-names":false,"suffix":""},{"dropping-particle":"","family":"Atkin-Smith","given":"Georgia K.","non-dropping-particle":"","parse-names":false,"suffix":""},{"dropping-particle":"","family":"Ayre","given":"D. Craig","non-dropping-particle":"","parse-names":false,"suffix":""},{"dropping-particle":"","family":"Bach","given":"Jean Marie","non-dropping-particle":"","parse-names":false,"suffix":""},{"dropping-particle":"","family":"Bachurski","given":"Daniel","non-dropping-particle":"","parse-names":false,"suffix":""},{"dropping-particle":"","family":"Baharvand","given":"Hossein","non-dropping-particle":"","parse-names":false,"suffix":""},{"dropping-particle":"","family":"Balaj","given":"Leonora","non-dropping-particle":"","parse-names":false,"suffix":""},{"dropping-particle":"","family":"Baldacchino","given":"Shawn","non-dropping-particle":"","parse-names":false,"suffix":""},{"dropping-particle":"","family":"Bauer","given":"Natalie N.","non-dropping-particle":"","parse-names":false,"suffix":""},{"dropping-particle":"","family":"Baxter","given":"Amy A.","non-dropping-particle":"","parse-names":false,"suffix":""},{"dropping-particle":"","family":"Bebawy","given":"Mary","non-dropping-particle":"","parse-names":false,"suffix":""},{"dropping-particle":"","family":"Beckham","given":"Carla","non-dropping-particle":"","parse-names":false,"suffix":""},{"dropping-particle":"","family":"Bedina Zavec","given":"Apolonija","non-dropping-particle":"","parse-names":false,"suffix":""},{"dropping-particle":"","family":"Benmoussa","given":"Abderrahim","non-dropping-particle":"","parse-names":false,"suffix":""},{"dropping-particle":"","family":"Berardi","given":"Anna C.","non-dropping-particle":"","parse-names":false,"suffix":""},{"dropping-particle":"","family":"Bergese","given":"Paolo","non-dropping-particle":"","parse-names":false,"suffix":""},{"dropping-particle":"","family":"Bielska","given":"Ewa","non-dropping-particle":"","parse-names":false,"suffix":""},{"dropping-particle":"","family":"Blenkiron","given":"Cherie","non-dropping-particle":"","parse-names":false,"suffix":""},{"dropping-particle":"","family":"Bobis-Wozowicz","given":"Sylwia","non-dropping-particle":"","parse-names":false,"suffix":""},{"dropping-particle":"","family":"Boilard","given":"Eric","non-dropping-particle":"","parse-names":false,"suffix":""},{"dropping-particle":"","family":"Boireau","given":"Wilfrid","non-dropping-particle":"","parse-names":false,"suffix":""},{"dropping-particle":"","family":"Bongiovanni","given":"Antonella","non-dropping-particle":"","parse-names":false,"suffix":""},{"dropping-particle":"","family":"Borràs","given":"Francesc E.","non-dropping-particle":"","parse-names":false,"suffix":""},{"dropping-particle":"","family":"Bosch","given":"Steffi","non-dropping-particle":"","parse-names":false,"suffix":""},{"dropping-particle":"","family":"Boulanger","given":"Chantal M.","non-dropping-particle":"","parse-names":false,"suffix":""},{"dropping-particle":"","family":"Breakefield","given":"Xandra","non-dropping-particle":"","parse-names":false,"suffix":""},{"dropping-particle":"","family":"Breglio","given":"Andrew M.","non-dropping-particle":"","parse-names":false,"suffix":""},{"dropping-particle":"","family":"Brennan","given":"Meadhbh","non-dropping-particle":"","parse-names":false,"suffix":""},{"dropping-particle":"","family":"Brigstock","given":"David R.","non-dropping-particle":"","parse-names":false,"suffix":""},{"dropping-particle":"","family":"Brisson","given":"Alain","non-dropping-particle":"","parse-names":false,"suffix":""},{"dropping-particle":"","family":"Broekman","given":"Marike L.D.","non-dropping-particle":"","parse-names":false,"suffix":""},{"dropping-particle":"","family":"Bromberg","given":"Jacqueline F.","non-dropping-particle":"","parse-names":false,"suffix":""},{"dropping-particle":"","family":"Bryl-Górecka","given":"Paulina","non-dropping-particle":"","parse-names":false,"suffix":""},{"dropping-particle":"","family":"Buch","given":"Shilpa","non-dropping-particle":"","parse-names":false,"suffix":""},{"dropping-particle":"","family":"Buck","given":"Amy H.","non-dropping-particle":"","parse-names":false,"suffix":""},{"dropping-particle":"","family":"Burger","given":"Dylan","non-dropping-particle":"","parse-names":false,"suffix":""},{"dropping-particle":"","family":"Busatto","given":"Sara","non-dropping-particle":"","parse-names":false,"suffix":""},{"dropping-particle":"","family":"Buschmann","given":"Dominik","non-dropping-particle":"","parse-names":false,"suffix":""},{"dropping-particle":"","family":"Bussolati","given":"Benedetta","non-dropping-particle":"","parse-names":false,"suffix":""},{"dropping-particle":"","family":"Buzás","given":"Edit I.","non-dropping-particle":"","parse-names":false,"suffix":""},{"dropping-particle":"","family":"Byrd","given":"James Bryan","non-dropping-particle":"","parse-names":false,"suffix":""},{"dropping-particle":"","family":"Camussi","given":"Giovanni","non-dropping-particle":"","parse-names":false,"suffix":""},{"dropping-particle":"","family":"Carter","given":"David R.F.","non-dropping-particle":"","parse-names":false,"suffix":""},{"dropping-particle":"","family":"Caruso","given":"Sarah","non-dropping-particle":"","parse-names":false,"suffix":""},{"dropping-particle":"","family":"Chamley","given":"Lawrence W.","non-dropping-particle":"","parse-names":false,"suffix":""},{"dropping-particle":"","family":"Chang","given":"Yu Ting","non-dropping-particle":"","parse-names":false,"suffix":""},{"dropping-particle":"","family":"Chaudhuri","given":"Amrita Datta","non-dropping-particle":"","parse-names":false,"suffix":""},{"dropping-particle":"","family":"Chen","given":"Chihchen","non-dropping-particle":"","parse-names":false,"suffix":""},{"dropping-particle":"","family":"Chen","given":"Shuai","non-dropping-particle":"","parse-names":false,"suffix":""},{"dropping-particle":"","family":"Cheng","given":"Lesley","non-dropping-particle":"","parse-names":false,"suffix":""},{"dropping-particle":"","family":"Chin","given":"Andrew R.","non-dropping-particle":"","parse-names":false,"suffix":""},{"dropping-particle":"","family":"Clayton","given":"Aled","non-dropping-particle":"","parse-names":false,"suffix":""},{"dropping-particle":"","family":"Clerici","given":"Stefano P.","non-dropping-particle":"","parse-names":false,"suffix":""},{"dropping-particle":"","family":"Cocks","given":"Alex","non-dropping-particle":"","parse-names":false,"suffix":""},{"dropping-particle":"","family":"Cocucci","given":"Emanuele","non-dropping-particle":"","parse-names":false,"suffix":""},{"dropping-particle":"","family":"Coffey","given":"Robert J.","non-dropping-particle":"","parse-names":false,"suffix":""},{"dropping-particle":"","family":"Cordeiro-da-Silva","given":"Anabela","non-dropping-particle":"","parse-names":false,"suffix":""},{"dropping-particle":"","family":"Couch","given":"Yvonne","non-dropping-particle":"","parse-names":false,"suffix":""},{"dropping-particle":"","family":"Coumans","given":"Frank A.W.","non-dropping-particle":"","parse-names":false,"suffix":""},{"dropping-particle":"","family":"Coyle","given":"Beth","non-dropping-particle":"","parse-names":false,"suffix":""},{"dropping-particle":"","family":"Crescitelli","given":"Rossella","non-dropping-particle":"","parse-names":false,"suffix":""},{"dropping-particle":"","family":"Criado","given":"Miria Ferreira","non-dropping-particle":"","parse-names":false,"suffix":""},{"dropping-particle":"","family":"D’Souza-Schorey","given":"Crislyn","non-dropping-particle":"","parse-names":false,"suffix":""},{"dropping-particle":"","family":"Das","given":"Saumya","non-dropping-particle":"","parse-names":false,"suffix":""},{"dropping-particle":"","family":"Candia","given":"Paola","non-dropping-particle":"de","parse-names":false,"suffix":""},{"dropping-particle":"","family":"Santana","given":"Eliezer F.","non-dropping-particle":"De","parse-names":false,"suffix":""},{"dropping-particle":"","family":"Wever","given":"Olivier","non-dropping-particle":"De","parse-names":false,"suffix":""},{"dropping-particle":"","family":"Portillo","given":"Hernando A.","non-dropping-particle":"del","parse-names":false,"suffix":""},{"dropping-particle":"","family":"Demaret","given":"Tanguy","non-dropping-particle":"","parse-names":false,"suffix":""},{"dropping-particle":"","family":"Deville","given":"Sarah","non-dropping-particle":"","parse-names":false,"suffix":""},{"dropping-particle":"","family":"Devitt","given":"Andrew","non-dropping-particle":"","parse-names":false,"suffix":""},{"dropping-particle":"","family":"Dhondt","given":"Bert","non-dropping-particle":"","parse-names":false,"suffix":""},{"dropping-particle":"","family":"Vizio","given":"Dolores","non-dropping-particle":"Di","parse-names":false,"suffix":""},{"dropping-particle":"","family":"Dieterich","given":"Lothar C.","non-dropping-particle":"","parse-names":false,"suffix":""},{"dropping-particle":"","family":"Dolo","given":"Vincenza","non-dropping-particle":"","parse-names":false,"suffix":""},{"dropping-particle":"","family":"Dominguez Rubio","given":"Ana Paula","non-dropping-particle":"","parse-names":false,"suffix":""},{"dropping-particle":"","family":"Dominici","given":"Massimo","non-dropping-particle":"","parse-names":false,"suffix":""},{"dropping-particle":"","family":"Dourado","given":"Mauricio R.","non-dropping-particle":"","parse-names":false,"suffix":""},{"dropping-particle":"","family":"Driedonks","given":"Tom A.P.","non-dropping-particle":"","parse-names":false,"suffix":""},{"dropping-particle":"V.","family":"Duarte","given":"Filipe","non-dropping-particle":"","parse-names":false,"suffix":""},{"dropping-particle":"","family":"Duncan","given":"Heather M.","non-dropping-particle":"","parse-names":false,"suffix":""},{"dropping-particle":"","family":"Eichenberger","given":"Ramon M.","non-dropping-particle":"","parse-names":false,"suffix":""},{"dropping-particle":"","family":"Ekström","given":"Karin","non-dropping-particle":"","parse-names":false,"suffix":""},{"dropping-particle":"","family":"Andaloussi","given":"Samir","non-dropping-particle":"EL","parse-names":false,"suffix":""},{"dropping-particle":"","family":"Elie-Caille","given":"Celine","non-dropping-particle":"","parse-names":false,"suffix":""},{"dropping-particle":"","family":"Erdbrügger","given":"Uta","non-dropping-particle":"","parse-names":false,"suffix":""},{"dropping-particle":"","family":"Falcón-Pérez","given":"Juan M.","non-dropping-particle":"","parse-names":false,"suffix":""},{"dropping-particle":"","family":"Fatima","given":"Farah","non-dropping-particle":"","parse-names":false,"suffix":""},{"dropping-particle":"","family":"Fish","given":"Jason E.","non-dropping-particle":"","parse-names":false,"suffix":""},{"dropping-particle":"","family":"Flores-Bellver","given":"Miguel","non-dropping-particle":"","parse-names":false,"suffix":""},{"dropping-particle":"","family":"Försönits","given":"András","non-dropping-particle":"","parse-names":false,"suffix":""},{"dropping-particle":"","family":"Frelet-Barrand","given":"Annie","non-dropping-particle":"","parse-names":false,"suffix":""},{"dropping-particle":"","family":"Fricke","given":"Fabia","non-dropping-particle":"","parse-names":false,"suffix":""},{"dropping-particle":"","family":"Fuhrmann","given":"Gregor","non-dropping-particle":"","parse-names":false,"suffix":""},{"dropping-particle":"","family":"Gabrielsson","given":"Susanne","non-dropping-particle":"","parse-names":false,"suffix":""},{"dropping-particle":"","family":"Gámez-Valero","given":"Ana","non-dropping-particle":"","parse-names":false,"suffix":""},{"dropping-particle":"","family":"Gardiner","given":"Chris","non-dropping-particle":"","parse-names":false,"suffix":""},{"dropping-particle":"","family":"Gärtner","given":"Kathrin","non-dropping-particle":"","parse-names":false,"suffix":""},{"dropping-particle":"","family":"Gaudin","given":"Raphael","non-dropping-particle":"","parse-names":false,"suffix":""},{"dropping-particle":"","family":"Gho","given":"Yong Song","non-dropping-particle":"","parse-names":false,"suffix":""},{"dropping-particle":"","family":"Giebel","given":"Bernd","non-dropping-particle":"","parse-names":false,"suffix":""},{"dropping-particle":"","family":"Gilbert","given":"Caroline","non-dropping-particle":"","parse-names":false,"suffix":""},{"dropping-particle":"","family":"Gimona","given":"Mario","non-dropping-particle":"","parse-names":false,"suffix":""},{"dropping-particle":"","family":"Giusti","given":"Ilaria","non-dropping-particle":"","parse-names":false,"suffix":""},{"dropping-particle":"","family":"Goberdhan","given":"Deborah C.I.","non-dropping-particle":"","parse-names":false,"suffix":""},{"dropping-particle":"","family":"Görgens","given":"André","non-dropping-particle":"","parse-names":false,"suffix":""},{"dropping-particle":"","family":"Gorski","given":"Sharon M.","non-dropping-particle":"","parse-names":false,"suffix":""},{"dropping-particle":"","family":"Greening","given":"David W.","non-dropping-particle":"","parse-names":false,"suffix":""},{"dropping-particle":"","family":"Gross","given":"Julia Christina","non-dropping-particle":"","parse-names":false,"suffix":""},{"dropping-particle":"","family":"Gualerzi","given":"Alice","non-dropping-particle":"","parse-names":false,"suffix":""},{"dropping-particle":"","family":"Gupta","given":"Gopal N.","non-dropping-particle":"","parse-names":false,"suffix":""},{"dropping-particle":"","family":"Gustafson","given":"Dakota","non-dropping-particle":"","parse-names":false,"suffix":""},{"dropping-particle":"","family":"Handberg","given":"Aase","non-dropping-particle":"","parse-names":false,"suffix":""},{"dropping-particle":"","family":"Haraszti","given":"Reka A.","non-dropping-particle":"","parse-names":false,"suffix":""},{"dropping-particle":"","family":"Harrison","given":"Paul","non-dropping-particle":"","parse-names":false,"suffix":""},{"dropping-particle":"","family":"Hegyesi","given":"Hargita","non-dropping-particle":"","parse-names":false,"suffix":""},{"dropping-particle":"","family":"Hendrix","given":"An","non-dropping-particle":"","parse-names":false,"suffix":""},{"dropping-particle":"","family":"Hill","given":"Andrew F.","non-dropping-particle":"","parse-names":false,"suffix":""},{"dropping-particle":"","family":"Hochberg","given":"Fred H.","non-dropping-particle":"","parse-names":false,"suffix":""},{"dropping-particle":"","family":"Hoffmann","given":"Karl F.","non-dropping-particle":"","parse-names":false,"suffix":""},{"dropping-particle":"","family":"Holder","given":"Beth","non-dropping-particle":"","parse-names":false,"suffix":""},{"dropping-particle":"","family":"Holthofer","given":"Harry","non-dropping-particle":"","parse-names":false,"suffix":""},{"dropping-particle":"","family":"Hosseinkhani","given":"Baharak","non-dropping-particle":"","parse-names":false,"suffix":""},{"dropping-particle":"","family":"Hu","given":"Guoku","non-dropping-particle":"","parse-names":false,"suffix":""},{"dropping-particle":"","family":"Huang","given":"Yiyao","non-dropping-particle":"","parse-names":false,"suffix":""},{"dropping-particle":"","family":"Huber","given":"Veronica","non-dropping-particle":"","parse-names":false,"suffix":""},{"dropping-particle":"","family":"Hunt","given":"Stuart","non-dropping-particle":"","parse-names":false,"suffix":""},{"dropping-particle":"","family":"Ibrahim","given":"Ahmed Gamal Eldin","non-dropping-particle":"","parse-names":false,"suffix":""},{"dropping-particle":"","family":"Ikezu","given":"Tsuneya","non-dropping-particle":"","parse-names":false,"suffix":""},{"dropping-particle":"","family":"Inal","given":"Jameel M.","non-dropping-particle":"","parse-names":false,"suffix":""},{"dropping-particle":"","family":"Isin","given":"Mustafa","non-dropping-particle":"","parse-names":false,"suffix":""},{"dropping-particle":"","family":"Ivanova","given":"Alena","non-dropping-particle":"","parse-names":false,"suffix":""},{"dropping-particle":"","family":"Jackson","given":"Hannah K.","non-dropping-particle":"","parse-names":false,"suffix":""},{"dropping-particle":"","family":"Jacobsen","given":"Soren","non-dropping-particle":"","parse-names":false,"suffix":""},{"dropping-particle":"","family":"Jay","given":"Steven M.","non-dropping-particle":"","parse-names":false,"suffix":""},{"dropping-particle":"","family":"Jayachandran","given":"Muthuvel","non-dropping-particle":"","parse-names":false,"suffix":""},{"dropping-particle":"","family":"Jenster","given":"Guido","non-dropping-particle":"","parse-names":false,"suffix":""},{"dropping-particle":"","family":"Jiang","given":"Lanzhou","non-dropping-particle":"","parse-names":false,"suffix":""},{"dropping-particle":"","family":"Johnson","given":"Suzanne M.","non-dropping-particle":"","parse-names":false,"suffix":""},{"dropping-particle":"","family":"Jones","given":"Jennifer C.","non-dropping-particle":"","parse-names":false,"suffix":""},{"dropping-particle":"","family":"Jong","given":"Ambrose","non-dropping-particle":"","parse-names":false,"suffix":""},{"dropping-particle":"","family":"Jovanovic-Talisman","given":"Tijana","non-dropping-particle":"","parse-names":false,"suffix":""},{"dropping-particle":"","family":"Jung","given":"Stephanie","non-dropping-particle":"","parse-names":false,"suffix":""},{"dropping-particle":"","family":"Kalluri","given":"Raghu","non-dropping-particle":"","parse-names":false,"suffix":""},{"dropping-particle":"","family":"Kano","given":"Shin ichi","non-dropping-particle":"","parse-names":false,"suffix":""},{"dropping-particle":"","family":"Kaur","given":"Sukhbir","non-dropping-particle":"","parse-names":false,"suffix":""},{"dropping-particle":"","family":"Kawamura","given":"Yumi","non-dropping-particle":"","parse-names":false,"suffix":""},{"dropping-particle":"","family":"Keller","given":"Evan T.","non-dropping-particle":"","parse-names":false,"suffix":""},{"dropping-particle":"","family":"Khamari","given":"Delaram","non-dropping-particle":"","parse-names":false,"suffix":""},{"dropping-particle":"","family":"Khomyakova","given":"Elena","non-dropping-particle":"","parse-names":false,"suffix":""},{"dropping-particle":"","family":"Khvorova","given":"Anastasia","non-dropping-particle":"","parse-names":false,"suffix":""},{"dropping-particle":"","family":"Kierulf","given":"Peter","non-dropping-particle":"","parse-names":false,"suffix":""},{"dropping-particle":"","family":"Kim","given":"Kwang Pyo","non-dropping-particle":"","parse-names":false,"suffix":""},{"dropping-particle":"","family":"Kislinger","given":"Thomas","non-dropping-particle":"","parse-names":false,"suffix":""},{"dropping-particle":"","family":"Klingeborn","given":"Mikael","non-dropping-particle":"","parse-names":false,"suffix":""},{"dropping-particle":"","family":"Klinke","given":"David J.","non-dropping-particle":"","parse-names":false,"suffix":""},{"dropping-particle":"","family":"Kornek","given":"Miroslaw","non-dropping-particle":"","parse-names":false,"suffix":""},{"dropping-particle":"","family":"Kosanović","given":"Maja M.","non-dropping-particle":"","parse-names":false,"suffix":""},{"dropping-particle":"","family":"Kovács","given":"Árpád Ferenc","non-dropping-particle":"","parse-names":false,"suffix":""},{"dropping-particle":"","family":"Krämer-Albers","given":"Eva Maria","non-dropping-particle":"","parse-names":false,"suffix":""},{"dropping-particle":"","family":"Krasemann","given":"Susanne","non-dropping-particle":"","parse-names":false,"suffix":""},{"dropping-particle":"","family":"Krause","given":"Mirja","non-dropping-particle":"","parse-names":false,"suffix":""},{"dropping-particle":"V.","family":"Kurochkin","given":"Igor","non-dropping-particle":"","parse-names":false,"suffix":""},{"dropping-particle":"","family":"Kusuma","given":"Gina D.","non-dropping-particle":"","parse-names":false,"suffix":""},{"dropping-particle":"","family":"Kuypers","given":"Sören","non-dropping-particle":"","parse-names":false,"suffix":""},{"dropping-particle":"","family":"Laitinen","given":"Saara","non-dropping-particle":"","parse-names":false,"suffix":""},{"dropping-particle":"","family":"Langevin","given":"Scott M.","non-dropping-particle":"","parse-names":false,"suffix":""},{"dropping-particle":"","family":"Languino","given":"Lucia R.","non-dropping-particle":"","parse-names":false,"suffix":""},{"dropping-particle":"","family":"Lannigan","given":"Joanne","non-dropping-particle":"","parse-names":false,"suffix":""},{"dropping-particle":"","family":"Lässer","given":"Cecilia","non-dropping-particle":"","parse-names":false,"suffix":""},{"dropping-particle":"","family":"Laurent","given":"Louise C.","non-dropping-particle":"","parse-names":false,"suffix":""},{"dropping-particle":"","family":"Lavieu","given":"Gregory","non-dropping-particle":"","parse-names":false,"suffix":""},{"dropping-particle":"","family":"Lázaro-Ibáñez","given":"Elisa","non-dropping-particle":"","parse-names":false,"suffix":""},{"dropping-particle":"","family":"Lay","given":"Soazig","non-dropping-particle":"Le","parse-names":false,"suffix":""},{"dropping-particle":"","family":"Lee","given":"Myung Shin","non-dropping-particle":"","parse-names":false,"suffix":""},{"dropping-particle":"","family":"Lee","given":"Yi Xin Fiona","non-dropping-particle":"","parse-names":false,"suffix":""},{"dropping-particle":"","family":"Lemos","given":"Debora S.","non-dropping-particle":"","parse-names":false,"suffix":""},{"dropping-particle":"","family":"Lenassi","given":"Metka","non-dropping-particle":"","parse-names":false,"suffix":""},{"dropping-particle":"","family":"Leszczynska","given":"Aleksandra","non-dropping-particle":"","parse-names":false,"suffix":""},{"dropping-particle":"","family":"Li","given":"Isaac T.S.","non-dropping-particle":"","parse-names":false,"suffix":""},{"dropping-particle":"","family":"Liao","given":"Ke","non-dropping-particle":"","parse-names":false,"suffix":""},{"dropping-particle":"","family":"Libregts","given":"Sten F.","non-dropping-particle":"","parse-names":false,"suffix":""},{"dropping-particle":"","family":"Ligeti","given":"Erzsebet","non-dropping-particle":"","parse-names":false,"suffix":""},{"dropping-particle":"","family":"Lim","given":"Rebecca","non-dropping-particle":"","parse-names":false,"suffix":""},{"dropping-particle":"","family":"Lim","given":"Sai Kiang","non-dropping-particle":"","parse-names":false,"suffix":""},{"dropping-particle":"","family":"Linē","given":"Aija","non-dropping-particle":"","parse-names":false,"suffix":""},{"dropping-particle":"","family":"Linnemannstöns","given":"Karen","non-dropping-particle":"","parse-names":false,"suffix":""},{"dropping-particle":"","family":"Llorente","given":"Alicia","non-dropping-particle":"","parse-names":false,"suffix":""},{"dropping-particle":"","family":"Lombard","given":"Catherine A.","non-dropping-particle":"","parse-names":false,"suffix":""},{"dropping-particle":"","family":"Lorenowicz","given":"Magdalena J.","non-dropping-particle":"","parse-names":false,"suffix":""},{"dropping-particle":"","family":"Lörincz","given":"Ákos M.","non-dropping-particle":"","parse-names":false,"suffix":""},{"dropping-particle":"","family":"Lötvall","given":"Jan","non-dropping-particle":"","parse-names":false,"suffix":""},{"dropping-particle":"","family":"Lovett","given":"Jason","non-dropping-particle":"","parse-names":false,"suffix":""},{"dropping-particle":"","family":"Lowry","given":"Michelle C.","non-dropping-particle":"","parse-names":false,"suffix":""},{"dropping-particle":"","family":"Loyer","given":"Xavier","non-dropping-particle":"","parse-names":false,"suffix":""},{"dropping-particle":"","family":"Lu","given":"Quan","non-dropping-particle":"","parse-names":false,"suffix":""},{"dropping-particle":"","family":"Lukomska","given":"Barbara","non-dropping-particle":"","parse-names":false,"suffix":""},{"dropping-particle":"","family":"Lunavat","given":"Taral R.","non-dropping-particle":"","parse-names":false,"suffix":""},{"dropping-particle":"","family":"Maas","given":"Sybren L.N.","non-dropping-particle":"","parse-names":false,"suffix":""},{"dropping-particle":"","family":"Malhi","given":"Harmeet","non-dropping-particle":"","parse-names":false,"suffix":""},{"dropping-particle":"","family":"Marcilla","given":"Antonio","non-dropping-particle":"","parse-names":false,"suffix":""},{"dropping-particle":"","family":"Mariani","given":"Jacopo","non-dropping-particle":"","parse-names":false,"suffix":""},{"dropping-particle":"","family":"Mariscal","given":"Javier","non-dropping-particle":"","parse-names":false,"suffix":""},{"dropping-particle":"","family":"Martens-Uzunova","given":"Elena S.","non-dropping-particle":"","parse-names":false,"suffix":""},{"dropping-particle":"","family":"Martin-Jaular","given":"Lorena","non-dropping-particle":"","parse-names":false,"suffix":""},{"dropping-particle":"","family":"Martinez","given":"M. Carmen","non-dropping-particle":"","parse-names":false,"suffix":""},{"dropping-particle":"","family":"Martins","given":"Vilma Regina","non-dropping-particle":"","parse-names":false,"suffix":""},{"dropping-particle":"","family":"Mathieu","given":"Mathilde","non-dropping-particle":"","parse-names":false,"suffix":""},{"dropping-particle":"","family":"Mathivanan","given":"Suresh","non-dropping-particle":"","parse-names":false,"suffix":""},{"dropping-particle":"","family":"Maugeri","given":"Marco","non-dropping-particle":"","parse-names":false,"suffix":""},{"dropping-particle":"","family":"McGinnis","given":"Lynda K.","non-dropping-particle":"","parse-names":false,"suffix":""},{"dropping-particle":"","family":"McVey","given":"Mark J.","non-dropping-particle":"","parse-names":false,"suffix":""},{"dropping-particle":"","family":"Meckes","given":"David G.","non-dropping-particle":"","parse-names":false,"suffix":""},{"dropping-particle":"","family":"Meehan","given":"Katie L.","non-dropping-particle":"","parse-names":false,"suffix":""},{"dropping-particle":"","family":"Mertens","given":"Inge","non-dropping-particle":"","parse-names":false,"suffix":""},{"dropping-particle":"","family":"Minciacchi","given":"Valentina R.","non-dropping-particle":"","parse-names":false,"suffix":""},{"dropping-particle":"","family":"Möller","given":"Andreas","non-dropping-particle":"","parse-names":false,"suffix":""},{"dropping-particle":"","family":"Møller Jørgensen","given":"Malene","non-dropping-particle":"","parse-names":false,"suffix":""},{"dropping-particle":"","family":"Morales-Kastresana","given":"Aizea","non-dropping-particle":"","parse-names":false,"suffix":""},{"dropping-particle":"","family":"Morhayim","given":"Jess","non-dropping-particle":"","parse-names":false,"suffix":""},{"dropping-particle":"","family":"Mullier","given":"François","non-dropping-particle":"","parse-names":false,"suffix":""},{"dropping-particle":"","family":"Muraca","given":"Maurizio","non-dropping-particle":"","parse-names":false,"suffix":""},{"dropping-particle":"","family":"Musante","given":"Luca","non-dropping-particle":"","parse-names":false,"suffix":""},{"dropping-particle":"","family":"Mussack","given":"Veronika","non-dropping-particle":"","parse-names":false,"suffix":""},{"dropping-particle":"","family":"Muth","given":"Dillon C.","non-dropping-particle":"","parse-names":false,"suffix":""},{"dropping-particle":"","family":"Myburgh","given":"Kathryn H.","non-dropping-particle":"","parse-names":false,"suffix":""},{"dropping-particle":"","family":"Najrana","given":"Tanbir","non-dropping-particle":"","parse-names":false,"suffix":""},{"dropping-particle":"","family":"Nawaz","given":"Muhammad","non-dropping-particle":"","parse-names":false,"suffix":""},{"dropping-particle":"","family":"Nazarenko","given":"Irina","non-dropping-particle":"","parse-names":false,"suffix":""},{"dropping-particle":"","family":"Nejsum","given":"Peter","non-dropping-particle":"","parse-names":false,"suffix":""},{"dropping-particle":"","family":"Neri","given":"Christian","non-dropping-particle":"","parse-names":false,"suffix":""},{"dropping-particle":"","family":"Neri","given":"Tommaso","non-dropping-particle":"","parse-names":false,"suffix":""},{"dropping-particle":"","family":"Nieuwland","given":"Rienk","non-dropping-particle":"","parse-names":false,"suffix":""},{"dropping-particle":"","family":"Nimrichter","given":"Leonardo","non-dropping-particle":"","parse-names":false,"suffix":""},{"dropping-particle":"","family":"Nolan","given":"John P.","non-dropping-particle":"","parse-names":false,"suffix":""},{"dropping-particle":"","family":"Nolte-’t Hoen","given":"Esther N.M.","non-dropping-particle":"","parse-names":false,"suffix":""},{"dropping-particle":"","family":"Noren Hooten","given":"Nicole","non-dropping-particle":"","parse-names":false,"suffix":""},{"dropping-particle":"","family":"O’Driscoll","given":"Lorraine","non-dropping-particle":"","parse-names":false,"suffix":""},{"dropping-particle":"","family":"O’Grady","given":"Tina","non-dropping-particle":"","parse-names":false,"suffix":""},{"dropping-particle":"","family":"O’Loghlen","given":"Ana","non-dropping-particle":"","parse-names":false,"suffix":""},{"dropping-particle":"","family":"Ochiya","given":"Takahiro","non-dropping-particle":"","parse-names":false,"suffix":""},{"dropping-particle":"","family":"Olivier","given":"Martin","non-dropping-particle":"","parse-names":false,"suffix":""},{"dropping-particle":"","family":"Ortiz","given":"Alberto","non-dropping-particle":"","parse-names":false,"suffix":""},{"dropping-particle":"","family":"Ortiz","given":"Luis A.","non-dropping-particle":"","parse-names":false,"suffix":""},{"dropping-particle":"","family":"Osteikoetxea","given":"Xabier","non-dropping-particle":"","parse-names":false,"suffix":""},{"dropping-particle":"","family":"Ostegaard","given":"Ole","non-dropping-particle":"","parse-names":false,"suffix":""},{"dropping-particle":"","family":"Ostrowski","given":"Matias","non-dropping-particle":"","parse-names":false,"suffix":""},{"dropping-particle":"","family":"Park","given":"Jaesung","non-dropping-particle":"","parse-names":false,"suffix":""},{"dropping-particle":"","family":"Pegtel","given":"D. Michiel","non-dropping-particle":"","parse-names":false,"suffix":""},{"dropping-particle":"","family":"Peinado","given":"Hector","non-dropping-particle":"","parse-names":false,"suffix":""},{"dropping-particle":"","family":"Perut","given":"Francesca","non-dropping-particle":"","parse-names":false,"suffix":""},{"dropping-particle":"","family":"Pfaffl","given":"Michael W.","non-dropping-particle":"","parse-names":false,"suffix":""},{"dropping-particle":"","family":"Phinney","given":"Donald G.","non-dropping-particle":"","parse-names":false,"suffix":""},{"dropping-particle":"","family":"Pieters","given":"Bartijn C.H.","non-dropping-particle":"","parse-names":false,"suffix":""},{"dropping-particle":"","family":"Pink","given":"Ryan C.","non-dropping-particle":"","parse-names":false,"suffix":""},{"dropping-particle":"","family":"Pisetsky","given":"David S.","non-dropping-particle":"","parse-names":false,"suffix":""},{"dropping-particle":"","family":"Pogge von Strandmann","given":"Elke","non-dropping-particle":"","parse-names":false,"suffix":""},{"dropping-particle":"","family":"Polakovicova","given":"Iva","non-dropping-particle":"","parse-names":false,"suffix":""},{"dropping-particle":"","family":"Poon","given":"Ivan K.H.","non-dropping-particle":"","parse-names":false,"suffix":""},{"dropping-particle":"","family":"Powell","given":"Bonita H.","non-dropping-particle":"","parse-names":false,"suffix":""},{"dropping-particle":"","family":"Prada","given":"Ilaria","non-dropping-particle":"","parse-names":false,"suffix":""},{"dropping-particle":"","family":"Pulliam","given":"Lynn","non-dropping-particle":"","parse-names":false,"suffix":""},{"dropping-particle":"","family":"Quesenberry","given":"Peter","non-dropping-particle":"","parse-names":false,"suffix":""},{"dropping-particle":"","family":"Radeghieri","given":"Annalisa","non-dropping-particle":"","parse-names":false,"suffix":""},{"dropping-particle":"","family":"Raffai","given":"Robert L.","non-dropping-particle":"","parse-names":false,"suffix":""},{"dropping-particle":"","family":"Raimondo","given":"Stefania","non-dropping-particle":"","parse-names":false,"suffix":""},{"dropping-particle":"","family":"Rak","given":"Janusz","non-dropping-particle":"","parse-names":false,"suffix":""},{"dropping-particle":"","family":"Ramirez","given":"Marcel I.","non-dropping-particle":"","parse-names":false,"suffix":""},{"dropping-particle":"","family":"Raposo","given":"Graça","non-dropping-particle":"","parse-names":false,"suffix":""},{"dropping-particle":"","family":"Rayyan","given":"Morsi S.","non-dropping-particle":"","parse-names":false,"suffix":""},{"dropping-particle":"","family":"Regev-Rudzki","given":"Neta","non-dropping-particle":"","parse-names":false,"suffix":""},{"dropping-particle":"","family":"Ricklefs","given":"Franz L.","non-dropping-particle":"","parse-names":false,"suffix":""},{"dropping-particle":"","family":"Robbins","given":"Paul D.","non-dropping-particle":"","parse-names":false,"suffix":""},{"dropping-particle":"","family":"Roberts","given":"David D.","non-dropping-particle":"","parse-names":false,"suffix":""},{"dropping-particle":"","family":"Rodrigues","given":"Silvia C.","non-dropping-particle":"","parse-names":false,"suffix":""},{"dropping-particle":"","family":"Rohde","given":"Eva","non-dropping-particle":"","parse-names":false,"suffix":""},{"dropping-particle":"","family":"Rome","given":"Sophie","non-dropping-particle":"","parse-names":false,"suffix":""},{"dropping-particle":"","family":"Rouschop","given":"Kasper M.A.","non-dropping-particle":"","parse-names":false,"suffix":""},{"dropping-particle":"","family":"Rughetti","given":"Aurelia","non-dropping-particle":"","parse-names":false,"suffix":""},{"dropping-particle":"","family":"Russell","given":"Ashley E.","non-dropping-particle":"","parse-names":false,"suffix":""},{"dropping-particle":"","family":"Saá","given":"Paula","non-dropping-particle":"","parse-names":false,"suffix":""},{"dropping-particle":"","family":"Sahoo","given":"Susmita","non-dropping-particle":"","parse-names":false,"suffix":""},{"dropping-particle":"","family":"Salas-Huenuleo","given":"Edison","non-dropping-particle":"","parse-names":false,"suffix":""},{"dropping-particle":"","family":"Sánchez","given":"Catherine","non-dropping-particle":"","parse-names":false,"suffix":""},{"dropping-particle":"","family":"Saugstad","given":"Julie A.","non-dropping-particle":"","parse-names":false,"suffix":""},{"dropping-particle":"","family":"Saul","given":"Meike J.","non-dropping-particle":"","parse-names":false,"suffix":""},{"dropping-particle":"","family":"Schiffelers","given":"Raymond M.","non-dropping-particle":"","parse-names":false,"suffix":""},{"dropping-particle":"","family":"Schneider","given":"Raphael","non-dropping-particle":"","parse-names":false,"suffix":""},{"dropping-particle":"","family":"Schøyen","given":"Tine Hiorth","non-dropping-particle":"","parse-names":false,"suffix":""},{"dropping-particle":"","family":"Scott","given":"Aaron","non-dropping-particle":"","parse-names":false,"suffix":""},{"dropping-particle":"","family":"Shahaj","given":"Eriomina","non-dropping-particle":"","parse-names":false,"suffix":""},{"dropping-particle":"","family":"Sharma","given":"Shivani","non-dropping-particle":"","parse-names":false,"suffix":""},{"dropping-particle":"","family":"Shatnyeva","given":"Olga","non-dropping-particle":"","parse-names":false,"suffix":""},{"dropping-particle":"","family":"Shekari","given":"Faezeh","non-dropping-particle":"","parse-names":false,"suffix":""},{"dropping-particle":"","family":"Shelke","given":"Ganesh Vilas","non-dropping-particle":"","parse-names":false,"suffix":""},{"dropping-particle":"","family":"Shetty","given":"Ashok K.","non-dropping-particle":"","parse-names":false,"suffix":""},{"dropping-particle":"","family":"Shiba","given":"Kiyotaka","non-dropping-particle":"","parse-names":false,"suffix":""},{"dropping-particle":"","family":"Siljander","given":"Pia R.M.","non-dropping-particle":"","parse-names":false,"suffix":""},{"dropping-particle":"","family":"Silva","given":"Andreia M.","non-dropping-particle":"","parse-names":false,"suffix":""},{"dropping-particle":"","family":"Skowronek","given":"Agata","non-dropping-particle":"","parse-names":false,"suffix":""},{"dropping-particle":"","family":"Snyder","given":"Orman L.","non-dropping-particle":"","parse-names":false,"suffix":""},{"dropping-particle":"","family":"Soares","given":"Rodrigo Pedro","non-dropping-particle":"","parse-names":false,"suffix":""},{"dropping-particle":"","family":"Sódar","given":"Barbara W.","non-dropping-particle":"","parse-names":false,"suffix":""},{"dropping-particle":"","family":"Soekmadji","given":"Carolina","non-dropping-particle":"","parse-names":false,"suffix":""},{"dropping-particle":"","family":"Sotillo","given":"Javier","non-dropping-particle":"","parse-names":false,"suffix":""},{"dropping-particle":"","family":"Stahl","given":"Philip D.","non-dropping-particle":"","parse-names":false,"suffix":""},{"dropping-particle":"","family":"Stoorvogel","given":"Willem","non-dropping-particle":"","parse-names":false,"suffix":""},{"dropping-particle":"","family":"Stott","given":"Shannon L.","non-dropping-particle":"","parse-names":false,"suffix":""},{"dropping-particle":"","family":"Strasser","given":"Erwin F.","non-dropping-particle":"","parse-names":false,"suffix":""},{"dropping-particle":"","family":"Swift","given":"Simon","non-dropping-particle":"","parse-names":false,"suffix":""},{"dropping-particle":"","family":"Tahara","given":"Hidetoshi","non-dropping-particle":"","parse-names":false,"suffix":""},{"dropping-particle":"","family":"Tewari","given":"Muneesh","non-dropping-particle":"","parse-names":false,"suffix":""},{"dropping-particle":"","family":"Timms","given":"Kate","non-dropping-particle":"","parse-names":false,"suffix":""},{"dropping-particle":"","family":"Tiwari","given":"Swasti","non-dropping-particle":"","parse-names":false,"suffix":""},{"dropping-particle":"","family":"Tixeira","given":"Rochelle","non-dropping-particle":"","parse-names":false,"suffix":""},{"dropping-particle":"","family":"Tkach","given":"Mercedes","non-dropping-particle":"","parse-names":false,"suffix":""},{"dropping-particle":"","family":"Toh","given":"Wei Seong","non-dropping-particle":"","parse-names":false,"suffix":""},{"dropping-particle":"","family":"Tomasini","given":"Richard","non-dropping-particle":"","parse-names":false,"suffix":""},{"dropping-particle":"","family":"Torrecilhas","given":"Ana Claudia","non-dropping-particle":"","parse-names":false,"suffix":""},{"dropping-particle":"","family":"Tosar","given":"Juan Pablo","non-dropping-particle":"","parse-names":false,"suffix":""},{"dropping-particle":"","family":"Toxavidis","given":"Vasilis","non-dropping-particle":"","parse-names":false,"suffix":""},{"dropping-particle":"","family":"Urbanelli","given":"Lorena","non-dropping-particle":"","parse-names":false,"suffix":""},{"dropping-particle":"","family":"Vader","given":"Pieter","non-dropping-particle":"","parse-names":false,"suffix":""},{"dropping-particle":"","family":"Balkom","given":"Bas W.M.","non-dropping-particle":"van","parse-names":false,"suffix":""},{"dropping-particle":"","family":"Grein","given":"Susanne G.","non-dropping-particle":"van der","parse-names":false,"suffix":""},{"dropping-particle":"","family":"Deun","given":"Jan","non-dropping-particle":"Van","parse-names":false,"suffix":""},{"dropping-particle":"","family":"Herwijnen","given":"Martijn J.C.","non-dropping-particle":"van","parse-names":false,"suffix":""},{"dropping-particle":"","family":"Keuren-Jensen","given":"Kendall","non-dropping-particle":"Van","parse-names":false,"suffix":""},{"dropping-particle":"","family":"Niel","given":"Guillaume","non-dropping-particle":"van","parse-names":false,"suffix":""},{"dropping-particle":"","family":"Royen","given":"Martin E.","non-dropping-particle":"van","parse-names":false,"suffix":""},{"dropping-particle":"","family":"Wijnen","given":"Andre J.","non-dropping-particle":"van","parse-names":false,"suffix":""},{"dropping-particle":"","family":"Vasconcelos","given":"M. Helena","non-dropping-particle":"","parse-names":false,"suffix":""},{"dropping-particle":"","family":"Vechetti","given":"Ivan J.","non-dropping-particle":"","parse-names":false,"suffix":""},{"dropping-particle":"","family":"Veit","given":"Tiago D.","non-dropping-particle":"","parse-names":false,"suffix":""},{"dropping-particle":"","family":"Vella","given":"Laura J.","non-dropping-particle":"","parse-names":false,"suffix":""},{"dropping-particle":"","family":"Velot","given":"Émilie","non-dropping-particle":"","parse-names":false,"suffix":""},{"dropping-particle":"","family":"Verweij","given":"Frederik J.","non-dropping-particle":"","parse-names":false,"suffix":""},{"dropping-particle":"","family":"Vestad","given":"Beate","non-dropping-particle":"","parse-names":false,"suffix":""},{"dropping-particle":"","family":"Viñas","given":"Jose L.","non-dropping-particle":"","parse-names":false,"suffix":""},{"dropping-particle":"","family":"Visnovitz","given":"Tamás","non-dropping-particle":"","parse-names":false,"suffix":""},{"dropping-particle":"V.","family":"Vukman","given":"Krisztina","non-dropping-particle":"","parse-names":false,"suffix":""},{"dropping-particle":"","family":"Wahlgren","given":"Jessica","non-dropping-particle":"","parse-names":false,"suffix":""},{"dropping-particle":"","family":"Watson","given":"Dionysios C.","non-dropping-particle":"","parse-names":false,"suffix":""},{"dropping-particle":"","family":"Wauben","given":"Marca H.M.","non-dropping-particle":"","parse-names":false,"suffix":""},{"dropping-particle":"","family":"Weaver","given":"Alissa","non-dropping-particle":"","parse-names":false,"suffix":""},{"dropping-particle":"","family":"Webber","given":"Jason P.","non-dropping-particle":"","parse-names":false,"suffix":""},{"dropping-particle":"","family":"Weber","given":"Viktoria","non-dropping-particle":"","parse-names":false,"suffix":""},{"dropping-particle":"","family":"Wehman","given":"Ann M.","non-dropping-particle":"","parse-names":false,"suffix":""},{"dropping-particle":"","family":"Weiss","given":"Daniel J.","non-dropping-particle":"","parse-names":false,"suffix":""},{"dropping-particle":"","family":"Welsh","given":"Joshua A.","non-dropping-particle":"","parse-names":false,"suffix":""},{"dropping-particle":"","family":"Wendt","given":"Sebastian","non-dropping-particle":"","parse-names":false,"suffix":""},{"dropping-particle":"","family":"Wheelock","given":"Asa M.","non-dropping-particle":"","parse-names":false,"suffix":""},{"dropping-particle":"","family":"Wiener","given":"Zoltán","non-dropping-particle":"","parse-names":false,"suffix":""},{"dropping-particle":"","family":"Witte","given":"Leonie","non-dropping-particle":"","parse-names":false,"suffix":""},{"dropping-particle":"","family":"Wolfram","given":"Joy","non-dropping-particle":"","parse-names":false,"suffix":""},{"dropping-particle":"","family":"Xagorari","given":"Angeliki","non-dropping-particle":"","parse-names":false,"suffix":""},{"dropping-particle":"","family":"Xander","given":"Patricia","non-dropping-particle":"","parse-names":false,"suffix":""},{"dropping-particle":"","family":"Xu","given":"Jing","non-dropping-particle":"","parse-names":false,"suffix":""},{"dropping-particle":"","family":"Yan","given":"Xiaomei","non-dropping-particle":"","parse-names":false,"suffix":""},{"dropping-particle":"","family":"Yáñez-Mó","given":"María","non-dropping-particle":"","parse-names":false,"suffix":""},{"dropping-particle":"","family":"Yin","given":"Hang","non-dropping-particle":"","parse-names":false,"suffix":""},{"dropping-particle":"","family":"Yuana","given":"Yuana","non-dropping-particle":"","parse-names":false,"suffix":""},{"dropping-particle":"","family":"Zappulli","given":"Valentina","non-dropping-particle":"","parse-names":false,"suffix":""},{"dropping-particle":"","family":"Zarubova","given":"Jana","non-dropping-particle":"","parse-names":false,"suffix":""},{"dropping-particle":"","family":"Žėkas","given":"Vytautas","non-dropping-particle":"","parse-names":false,"suffix":""},{"dropping-particle":"","family":"Zhang","given":"Jian ye","non-dropping-particle":"","parse-names":false,"suffix":""},{"dropping-particle":"","family":"Zhao","given":"Zezhou","non-dropping-particle":"","parse-names":false,"suffix":""},{"dropping-particle":"","family":"Zheng","given":"Lei","non-dropping-particle":"","parse-names":false,"suffix":""},{"dropping-particle":"","family":"Zheutlin","given":"Alexander R.","non-dropping-particle":"","parse-names":false,"suffix":""},{"dropping-particle":"","family":"Zickler","given":"Antje M.","non-dropping-particle":"","parse-names":false,"suffix":""},{"dropping-particle":"","family":"Zimmermann","given":"Pascale","non-dropping-particle":"","parse-names":false,"suffix":""},{"dropping-particle":"","family":"Zivkovic","given":"Angela M.","non-dropping-particle":"","parse-names":false,"suffix":""},{"dropping-particle":"","family":"Zocco","given":"Davide","non-dropping-particle":"","parse-names":false,"suffix":""},{"dropping-particle":"","family":"Zuba-Surma","given":"Ewa K.","non-dropping-particle":"","parse-names":false,"suffix":""}],"container-title":"Journal of Extracellular Vesicles","id":"ITEM-1","issue":"1","issued":{"date-parts":[["2018"]]},"title":"Minimal information for studies of extracellular vesicles 2018 (MISEV2018): a position statement of the International Society for Extracellular Vesicles and update of the MISEV2014 guidelines","type":"article-journal","volume":"7"},"uris":["http://www.mendeley.com/documents/?uuid=9d6eba57-8b01-4513-8c90-525ce60ea6e8"]}],"mendeley":{"formattedCitation":"[22]","plainTextFormattedCitation":"[22]","previouslyFormattedCitation":"[22]"},"properties":{"noteIndex":0},"schema":"https://github.com/citation-style-language/schema/raw/master/csl-citation.json"}</w:instrText>
      </w:r>
      <w:r w:rsidR="00677A24" w:rsidRPr="00794EC7">
        <w:rPr>
          <w:rFonts w:cs="Arial"/>
        </w:rPr>
        <w:fldChar w:fldCharType="separate"/>
      </w:r>
      <w:r w:rsidR="003C43A1" w:rsidRPr="00794EC7">
        <w:rPr>
          <w:rFonts w:cs="Arial"/>
          <w:noProof/>
        </w:rPr>
        <w:t>[22]</w:t>
      </w:r>
      <w:r w:rsidR="00677A24" w:rsidRPr="00794EC7">
        <w:rPr>
          <w:rFonts w:cs="Arial"/>
        </w:rPr>
        <w:fldChar w:fldCharType="end"/>
      </w:r>
      <w:r w:rsidRPr="00794EC7">
        <w:rPr>
          <w:rFonts w:cs="Arial"/>
        </w:rPr>
        <w:t xml:space="preserve">, in order to claim an EV-mediated effect, </w:t>
      </w:r>
      <w:r w:rsidR="00847327" w:rsidRPr="00794EC7">
        <w:rPr>
          <w:rFonts w:cs="Arial"/>
        </w:rPr>
        <w:t>appropriate</w:t>
      </w:r>
      <w:r w:rsidRPr="00794EC7">
        <w:rPr>
          <w:rFonts w:cs="Arial"/>
        </w:rPr>
        <w:t xml:space="preserve"> controls should be used in experiments</w:t>
      </w:r>
      <w:r w:rsidR="00D83621" w:rsidRPr="00794EC7">
        <w:rPr>
          <w:rFonts w:cs="Arial"/>
        </w:rPr>
        <w:t xml:space="preserve"> and effects should be titratable</w:t>
      </w:r>
      <w:r w:rsidR="00C638D0" w:rsidRPr="00794EC7">
        <w:rPr>
          <w:rFonts w:cs="Arial"/>
        </w:rPr>
        <w:t>.</w:t>
      </w:r>
      <w:r w:rsidRPr="00794EC7">
        <w:rPr>
          <w:rFonts w:cs="Arial"/>
        </w:rPr>
        <w:t xml:space="preserve"> For this, we deployed</w:t>
      </w:r>
      <w:r w:rsidR="00C638D0" w:rsidRPr="00794EC7">
        <w:rPr>
          <w:rFonts w:cs="Arial"/>
        </w:rPr>
        <w:t xml:space="preserve"> </w:t>
      </w:r>
      <w:r w:rsidR="00CD59D5" w:rsidRPr="00794EC7">
        <w:rPr>
          <w:rFonts w:cs="Arial"/>
        </w:rPr>
        <w:t xml:space="preserve">procedural controls made from EV-depleted milk supernatant which was subjected to the same </w:t>
      </w:r>
      <w:r w:rsidR="00CB0B01" w:rsidRPr="00794EC7">
        <w:rPr>
          <w:rFonts w:cs="Arial"/>
        </w:rPr>
        <w:lastRenderedPageBreak/>
        <w:t>isolation</w:t>
      </w:r>
      <w:r w:rsidR="00CD59D5" w:rsidRPr="00794EC7">
        <w:rPr>
          <w:rFonts w:cs="Arial"/>
        </w:rPr>
        <w:t xml:space="preserve"> protocol as the EV sample, resulting in a </w:t>
      </w:r>
      <w:r w:rsidR="00590A7D" w:rsidRPr="00794EC7">
        <w:rPr>
          <w:rFonts w:cs="Arial"/>
        </w:rPr>
        <w:t>donor</w:t>
      </w:r>
      <w:r w:rsidR="00CB0B01" w:rsidRPr="00794EC7">
        <w:rPr>
          <w:rFonts w:cs="Arial"/>
        </w:rPr>
        <w:t>-</w:t>
      </w:r>
      <w:r w:rsidR="00590A7D" w:rsidRPr="00794EC7">
        <w:rPr>
          <w:rFonts w:cs="Arial"/>
        </w:rPr>
        <w:t>matched procedural milk control</w:t>
      </w:r>
      <w:r w:rsidR="00F85098" w:rsidRPr="00794EC7">
        <w:rPr>
          <w:rFonts w:cs="Arial"/>
        </w:rPr>
        <w:t xml:space="preserve"> </w:t>
      </w:r>
      <w:r w:rsidR="00F85098" w:rsidRPr="00794EC7">
        <w:rPr>
          <w:rFonts w:cs="Arial"/>
        </w:rPr>
        <w:fldChar w:fldCharType="begin" w:fldLock="1"/>
      </w:r>
      <w:r w:rsidR="0012451B" w:rsidRPr="00794EC7">
        <w:rPr>
          <w:rFonts w:cs="Arial"/>
        </w:rPr>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12451B" w:rsidRPr="00794EC7">
        <w:rPr>
          <w:rFonts w:ascii="Cambria Math" w:hAnsi="Cambria Math" w:cs="Cambria Math"/>
        </w:rPr>
        <w:instrText>‐</w:instrText>
      </w:r>
      <w:r w:rsidR="0012451B" w:rsidRPr="00794EC7">
        <w:rPr>
          <w:rFonts w:cs="Arial"/>
        </w:rPr>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12451B" w:rsidRPr="00794EC7">
        <w:rPr>
          <w:rFonts w:ascii="Cambria Math" w:hAnsi="Cambria Math" w:cs="Cambria Math"/>
        </w:rPr>
        <w:instrText>‐</w:instrText>
      </w:r>
      <w:r w:rsidR="0012451B" w:rsidRPr="00794EC7">
        <w:rPr>
          <w:rFonts w:cs="Arial"/>
        </w:rPr>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F85098" w:rsidRPr="00794EC7">
        <w:rPr>
          <w:rFonts w:cs="Arial"/>
        </w:rPr>
        <w:fldChar w:fldCharType="separate"/>
      </w:r>
      <w:r w:rsidR="0012451B" w:rsidRPr="00794EC7">
        <w:rPr>
          <w:rFonts w:cs="Arial"/>
          <w:noProof/>
        </w:rPr>
        <w:t>[3]</w:t>
      </w:r>
      <w:r w:rsidR="00F85098" w:rsidRPr="00794EC7">
        <w:rPr>
          <w:rFonts w:cs="Arial"/>
        </w:rPr>
        <w:fldChar w:fldCharType="end"/>
      </w:r>
      <w:r w:rsidR="00CD59D5" w:rsidRPr="00794EC7">
        <w:rPr>
          <w:rFonts w:cs="Arial"/>
        </w:rPr>
        <w:t>.</w:t>
      </w:r>
      <w:r w:rsidR="00D83621" w:rsidRPr="00794EC7">
        <w:rPr>
          <w:rFonts w:cs="Arial"/>
        </w:rPr>
        <w:t xml:space="preserve"> To </w:t>
      </w:r>
      <w:r w:rsidR="006F727F" w:rsidRPr="00794EC7">
        <w:rPr>
          <w:rFonts w:cs="Arial"/>
        </w:rPr>
        <w:t xml:space="preserve">evaluate potential </w:t>
      </w:r>
      <w:r w:rsidR="00D65E10" w:rsidRPr="00794EC7">
        <w:rPr>
          <w:rFonts w:cs="Arial"/>
        </w:rPr>
        <w:t>immune modulatory</w:t>
      </w:r>
      <w:r w:rsidR="0096738B" w:rsidRPr="00794EC7">
        <w:rPr>
          <w:rFonts w:cs="Arial"/>
        </w:rPr>
        <w:t xml:space="preserve"> effects</w:t>
      </w:r>
      <w:r w:rsidR="006F727F" w:rsidRPr="00794EC7">
        <w:rPr>
          <w:rFonts w:cs="Arial"/>
        </w:rPr>
        <w:t xml:space="preserve"> of human milk EVs, we used </w:t>
      </w:r>
      <w:r w:rsidR="003013EF" w:rsidRPr="00794EC7">
        <w:rPr>
          <w:rFonts w:cs="Arial"/>
        </w:rPr>
        <w:t>a</w:t>
      </w:r>
      <w:r w:rsidR="006F727F" w:rsidRPr="00794EC7">
        <w:rPr>
          <w:rFonts w:cs="Arial"/>
        </w:rPr>
        <w:t xml:space="preserve"> previously described </w:t>
      </w:r>
      <w:r w:rsidR="003013EF" w:rsidRPr="00794EC7">
        <w:rPr>
          <w:rFonts w:cs="Arial"/>
        </w:rPr>
        <w:t>method</w:t>
      </w:r>
      <w:r w:rsidR="006F727F" w:rsidRPr="00794EC7">
        <w:rPr>
          <w:rFonts w:cs="Arial"/>
        </w:rPr>
        <w:t xml:space="preserve"> to test effects of milk EVs </w:t>
      </w:r>
      <w:r w:rsidR="003013EF" w:rsidRPr="00794EC7">
        <w:rPr>
          <w:rFonts w:cs="Arial"/>
        </w:rPr>
        <w:t xml:space="preserve">in a </w:t>
      </w:r>
      <w:r w:rsidR="006F727F" w:rsidRPr="00794EC7">
        <w:rPr>
          <w:rFonts w:cs="Arial"/>
        </w:rPr>
        <w:t>physiological conc</w:t>
      </w:r>
      <w:r w:rsidR="003013EF" w:rsidRPr="00794EC7">
        <w:rPr>
          <w:rFonts w:cs="Arial"/>
        </w:rPr>
        <w:t>en</w:t>
      </w:r>
      <w:r w:rsidR="006F727F" w:rsidRPr="00794EC7">
        <w:rPr>
          <w:rFonts w:cs="Arial"/>
        </w:rPr>
        <w:t>tration</w:t>
      </w:r>
      <w:r w:rsidR="00C74BC5" w:rsidRPr="00794EC7">
        <w:rPr>
          <w:rFonts w:cs="Arial"/>
        </w:rPr>
        <w:t xml:space="preserve"> </w:t>
      </w:r>
      <w:r w:rsidR="00C74BC5" w:rsidRPr="00794EC7">
        <w:rPr>
          <w:rFonts w:cs="Arial"/>
        </w:rPr>
        <w:fldChar w:fldCharType="begin" w:fldLock="1"/>
      </w:r>
      <w:r w:rsidR="00C74BC5" w:rsidRPr="00794EC7">
        <w:rPr>
          <w:rFonts w:cs="Arial"/>
        </w:rPr>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C74BC5" w:rsidRPr="00794EC7">
        <w:rPr>
          <w:rFonts w:ascii="Cambria Math" w:hAnsi="Cambria Math" w:cs="Cambria Math"/>
        </w:rPr>
        <w:instrText>‐</w:instrText>
      </w:r>
      <w:r w:rsidR="00C74BC5" w:rsidRPr="00794EC7">
        <w:rPr>
          <w:rFonts w:cs="Arial"/>
        </w:rPr>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C74BC5" w:rsidRPr="00794EC7">
        <w:rPr>
          <w:rFonts w:ascii="Cambria Math" w:hAnsi="Cambria Math" w:cs="Cambria Math"/>
        </w:rPr>
        <w:instrText>‐</w:instrText>
      </w:r>
      <w:r w:rsidR="00C74BC5" w:rsidRPr="00794EC7">
        <w:rPr>
          <w:rFonts w:cs="Arial"/>
        </w:rPr>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C74BC5" w:rsidRPr="00794EC7">
        <w:rPr>
          <w:rFonts w:cs="Arial"/>
        </w:rPr>
        <w:fldChar w:fldCharType="separate"/>
      </w:r>
      <w:r w:rsidR="00C74BC5" w:rsidRPr="00794EC7">
        <w:rPr>
          <w:rFonts w:cs="Arial"/>
          <w:noProof/>
        </w:rPr>
        <w:t>[3]</w:t>
      </w:r>
      <w:r w:rsidR="00C74BC5" w:rsidRPr="00794EC7">
        <w:rPr>
          <w:rFonts w:cs="Arial"/>
        </w:rPr>
        <w:fldChar w:fldCharType="end"/>
      </w:r>
      <w:r w:rsidR="003013EF" w:rsidRPr="00794EC7">
        <w:rPr>
          <w:rFonts w:cs="Arial"/>
        </w:rPr>
        <w:t>.</w:t>
      </w:r>
      <w:r w:rsidR="006F727F" w:rsidRPr="00794EC7">
        <w:rPr>
          <w:rFonts w:cs="Arial"/>
        </w:rPr>
        <w:t xml:space="preserve"> </w:t>
      </w:r>
      <w:r w:rsidR="003013EF" w:rsidRPr="00794EC7">
        <w:rPr>
          <w:rFonts w:cs="Arial"/>
        </w:rPr>
        <w:t xml:space="preserve">In this volume-based method, isolated EVs were tested in </w:t>
      </w:r>
      <w:r w:rsidR="00ED0A13" w:rsidRPr="00794EC7">
        <w:rPr>
          <w:rFonts w:cs="Arial"/>
          <w:i/>
          <w:iCs/>
        </w:rPr>
        <w:t>in vitro</w:t>
      </w:r>
      <w:r w:rsidR="00ED0A13" w:rsidRPr="00794EC7">
        <w:rPr>
          <w:rFonts w:cs="Arial"/>
        </w:rPr>
        <w:t xml:space="preserve"> </w:t>
      </w:r>
      <w:r w:rsidR="003013EF" w:rsidRPr="00794EC7">
        <w:rPr>
          <w:rFonts w:cs="Arial"/>
        </w:rPr>
        <w:t>c</w:t>
      </w:r>
      <w:r w:rsidR="00ED0A13" w:rsidRPr="00794EC7">
        <w:rPr>
          <w:rFonts w:cs="Arial"/>
        </w:rPr>
        <w:t>ell c</w:t>
      </w:r>
      <w:r w:rsidR="003013EF" w:rsidRPr="00794EC7">
        <w:rPr>
          <w:rFonts w:cs="Arial"/>
        </w:rPr>
        <w:t>ulture</w:t>
      </w:r>
      <w:r w:rsidR="00ED0A13" w:rsidRPr="00794EC7">
        <w:rPr>
          <w:rFonts w:cs="Arial"/>
        </w:rPr>
        <w:t>s</w:t>
      </w:r>
      <w:r w:rsidR="003013EF" w:rsidRPr="00794EC7">
        <w:rPr>
          <w:rFonts w:cs="Arial"/>
        </w:rPr>
        <w:t xml:space="preserve"> at concentration</w:t>
      </w:r>
      <w:r w:rsidR="00ED0A13" w:rsidRPr="00794EC7">
        <w:rPr>
          <w:rFonts w:cs="Arial"/>
        </w:rPr>
        <w:t>s</w:t>
      </w:r>
      <w:r w:rsidR="003013EF" w:rsidRPr="00794EC7">
        <w:rPr>
          <w:rFonts w:cs="Arial"/>
        </w:rPr>
        <w:t xml:space="preserve"> similar to their concentration in mil</w:t>
      </w:r>
      <w:r w:rsidR="00ED0A13" w:rsidRPr="00794EC7">
        <w:rPr>
          <w:rFonts w:cs="Arial"/>
        </w:rPr>
        <w:t>k (9</w:t>
      </w:r>
      <w:r w:rsidR="00ED0A13" w:rsidRPr="00794EC7">
        <w:rPr>
          <w:color w:val="1C1D1E"/>
        </w:rPr>
        <w:t>.3 × 10</w:t>
      </w:r>
      <w:r w:rsidR="00ED0A13" w:rsidRPr="00794EC7">
        <w:rPr>
          <w:color w:val="1C1D1E"/>
          <w:vertAlign w:val="superscript"/>
        </w:rPr>
        <w:t>10</w:t>
      </w:r>
      <w:r w:rsidR="00ED0A13" w:rsidRPr="00794EC7">
        <w:rPr>
          <w:color w:val="1C1D1E"/>
        </w:rPr>
        <w:t> ± 1.2 × 10</w:t>
      </w:r>
      <w:r w:rsidR="00ED0A13" w:rsidRPr="00794EC7">
        <w:rPr>
          <w:color w:val="1C1D1E"/>
          <w:vertAlign w:val="superscript"/>
        </w:rPr>
        <w:t>10</w:t>
      </w:r>
      <w:r w:rsidR="00ED0A13" w:rsidRPr="00794EC7">
        <w:rPr>
          <w:color w:val="1C1D1E"/>
        </w:rPr>
        <w:t> particles/mL)</w:t>
      </w:r>
      <w:r w:rsidR="009F490D" w:rsidRPr="00794EC7">
        <w:rPr>
          <w:rFonts w:cs="Arial"/>
        </w:rPr>
        <w:fldChar w:fldCharType="begin" w:fldLock="1"/>
      </w:r>
      <w:r w:rsidR="0012451B" w:rsidRPr="00794EC7">
        <w:rPr>
          <w:rFonts w:cs="Arial"/>
        </w:rPr>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I","non-dropping-particle":"","parse-names":false,"suffix":""},{"dropping-particle":"","family":"Herwijnen","given":"Martijn J.C.","non-dropping-particle":"","parse-names":false,"suffix":""},{"dropping-particle":"","family":"Fernandez</w:instrText>
      </w:r>
      <w:r w:rsidR="0012451B" w:rsidRPr="00794EC7">
        <w:rPr>
          <w:rFonts w:ascii="Cambria Math" w:hAnsi="Cambria Math" w:cs="Cambria Math"/>
        </w:rPr>
        <w:instrText>‐</w:instrText>
      </w:r>
      <w:r w:rsidR="0012451B" w:rsidRPr="00794EC7">
        <w:rPr>
          <w:rFonts w:cs="Arial"/>
        </w:rPr>
        <w:instrText>Gutierrez","given":"Marcela M.","non-dropping-particle":"","parse-names":false,"suffix":""},{"dropping-particle":"","family":"Giovanazzi","given":"Alberta","non-dropping-particle":"","parse-names":false,"suffix":""},{"dropping-particle":"","family":"Groot","given":"Anne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C.","non-dropping-particle":"","parse-names":false,"suffix":""},{"dropping-particle":"","family":"Kleerebezem","given":"Michiel","non-dropping-particle":"","parse-names":false,"suffix":""},{"dropping-particle":"","family":"Nolte</w:instrText>
      </w:r>
      <w:r w:rsidR="0012451B" w:rsidRPr="00794EC7">
        <w:rPr>
          <w:rFonts w:ascii="Cambria Math" w:hAnsi="Cambria Math" w:cs="Cambria Math"/>
        </w:rPr>
        <w:instrText>‐</w:instrText>
      </w:r>
      <w:r w:rsidR="0012451B" w:rsidRPr="00794EC7">
        <w:rPr>
          <w:rFonts w:cs="Arial"/>
        </w:rPr>
        <w:instrText>’t Hoen","given":"Esther N.M.","non-dropping-particle":"","parse-names":false,"suffix":""},{"dropping-particle":"","family":"Redegeld","given":"Frank A","non-dropping-particle":"","parse-names":false,"suffix":""},{"dropping-particle":"","family":"Wauben","given":"Marca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9F490D" w:rsidRPr="00794EC7">
        <w:rPr>
          <w:rFonts w:cs="Arial"/>
        </w:rPr>
        <w:fldChar w:fldCharType="separate"/>
      </w:r>
      <w:r w:rsidR="0012451B" w:rsidRPr="00794EC7">
        <w:rPr>
          <w:rFonts w:cs="Arial"/>
          <w:noProof/>
        </w:rPr>
        <w:t>[3]</w:t>
      </w:r>
      <w:r w:rsidR="009F490D" w:rsidRPr="00794EC7">
        <w:rPr>
          <w:rFonts w:cs="Arial"/>
        </w:rPr>
        <w:fldChar w:fldCharType="end"/>
      </w:r>
      <w:r w:rsidR="005F3B8C" w:rsidRPr="00794EC7">
        <w:rPr>
          <w:rFonts w:cs="Arial"/>
        </w:rPr>
        <w:t xml:space="preserve">. </w:t>
      </w:r>
      <w:r w:rsidR="00ED0A13" w:rsidRPr="00794EC7">
        <w:rPr>
          <w:rFonts w:cs="Arial"/>
        </w:rPr>
        <w:t xml:space="preserve"> </w:t>
      </w:r>
      <w:r w:rsidR="00D11A29" w:rsidRPr="00794EC7">
        <w:rPr>
          <w:rFonts w:cs="Arial"/>
        </w:rPr>
        <w:t>In our</w:t>
      </w:r>
      <w:r w:rsidR="005F3B8C" w:rsidRPr="00794EC7">
        <w:rPr>
          <w:rFonts w:cs="Arial"/>
        </w:rPr>
        <w:t xml:space="preserve"> study </w:t>
      </w:r>
      <w:r w:rsidR="00D11A29" w:rsidRPr="00794EC7">
        <w:rPr>
          <w:rFonts w:cs="Arial"/>
        </w:rPr>
        <w:t xml:space="preserve">cells were grown on </w:t>
      </w:r>
      <w:r w:rsidR="003F7FB3" w:rsidRPr="00794EC7">
        <w:rPr>
          <w:rFonts w:cs="Arial"/>
        </w:rPr>
        <w:t xml:space="preserve">Transwells </w:t>
      </w:r>
      <w:r w:rsidR="009F490D" w:rsidRPr="00794EC7">
        <w:rPr>
          <w:rFonts w:cs="Arial"/>
        </w:rPr>
        <w:t xml:space="preserve">at a liquid-liquid interface </w:t>
      </w:r>
      <w:r w:rsidR="008338D9" w:rsidRPr="00794EC7">
        <w:rPr>
          <w:rFonts w:cs="Arial"/>
        </w:rPr>
        <w:t xml:space="preserve">and EV samples were </w:t>
      </w:r>
      <w:r w:rsidR="005F3B8C" w:rsidRPr="00794EC7">
        <w:rPr>
          <w:rFonts w:cs="Arial"/>
        </w:rPr>
        <w:t xml:space="preserve">1:1 </w:t>
      </w:r>
      <w:r w:rsidR="008338D9" w:rsidRPr="00794EC7">
        <w:rPr>
          <w:rFonts w:cs="Arial"/>
        </w:rPr>
        <w:t xml:space="preserve">diluted </w:t>
      </w:r>
      <w:r w:rsidR="009E4345" w:rsidRPr="00794EC7">
        <w:rPr>
          <w:rFonts w:cs="Arial"/>
        </w:rPr>
        <w:t>with</w:t>
      </w:r>
      <w:r w:rsidR="005F3B8C" w:rsidRPr="00794EC7">
        <w:rPr>
          <w:rFonts w:cs="Arial"/>
        </w:rPr>
        <w:t xml:space="preserve"> </w:t>
      </w:r>
      <w:r w:rsidR="008338D9" w:rsidRPr="00794EC7">
        <w:rPr>
          <w:rFonts w:cs="Arial"/>
        </w:rPr>
        <w:t xml:space="preserve">apical </w:t>
      </w:r>
      <w:r w:rsidR="005F3B8C" w:rsidRPr="00794EC7">
        <w:rPr>
          <w:rFonts w:cs="Arial"/>
        </w:rPr>
        <w:t>media</w:t>
      </w:r>
      <w:r w:rsidR="00BD39C9" w:rsidRPr="00794EC7">
        <w:rPr>
          <w:rFonts w:cs="Arial"/>
        </w:rPr>
        <w:t xml:space="preserve"> </w:t>
      </w:r>
      <w:r w:rsidR="009E4345" w:rsidRPr="00794EC7">
        <w:rPr>
          <w:rFonts w:cs="Arial"/>
        </w:rPr>
        <w:t>giving a</w:t>
      </w:r>
      <w:r w:rsidR="003F7FB3" w:rsidRPr="00794EC7">
        <w:rPr>
          <w:rFonts w:cs="Arial"/>
        </w:rPr>
        <w:t xml:space="preserve">n EV </w:t>
      </w:r>
      <w:r w:rsidR="009E4345" w:rsidRPr="00794EC7">
        <w:rPr>
          <w:rFonts w:cs="Arial"/>
        </w:rPr>
        <w:t xml:space="preserve">concentration of </w:t>
      </w:r>
      <w:r w:rsidR="005F3B8C" w:rsidRPr="00794EC7">
        <w:rPr>
          <w:rFonts w:cs="Arial"/>
        </w:rPr>
        <w:t xml:space="preserve">half </w:t>
      </w:r>
      <w:r w:rsidR="003F7FB3" w:rsidRPr="00794EC7">
        <w:rPr>
          <w:rFonts w:cs="Arial"/>
        </w:rPr>
        <w:t xml:space="preserve">the </w:t>
      </w:r>
      <w:r w:rsidR="005F3B8C" w:rsidRPr="00794EC7">
        <w:rPr>
          <w:rFonts w:cs="Arial"/>
        </w:rPr>
        <w:t xml:space="preserve">physiological concentration </w:t>
      </w:r>
      <w:r w:rsidR="003F7FB3" w:rsidRPr="00794EC7">
        <w:rPr>
          <w:rFonts w:cs="Arial"/>
        </w:rPr>
        <w:t>found in</w:t>
      </w:r>
      <w:r w:rsidR="005F3B8C" w:rsidRPr="00794EC7">
        <w:rPr>
          <w:rFonts w:cs="Arial"/>
        </w:rPr>
        <w:t xml:space="preserve"> breast milk</w:t>
      </w:r>
      <w:r w:rsidR="003F7FB3" w:rsidRPr="00794EC7">
        <w:rPr>
          <w:rFonts w:cs="Arial"/>
        </w:rPr>
        <w:t>.</w:t>
      </w:r>
      <w:r w:rsidR="005F3B8C" w:rsidRPr="00794EC7">
        <w:rPr>
          <w:rFonts w:cs="Arial"/>
        </w:rPr>
        <w:t xml:space="preserve"> </w:t>
      </w:r>
      <w:r w:rsidR="00970FE1" w:rsidRPr="00794EC7">
        <w:rPr>
          <w:rFonts w:cs="Arial"/>
        </w:rPr>
        <w:t xml:space="preserve">This indicates that the observed effects in our study could be an underestimation of the physiological capacity to modulate epithelial cell responses. However, </w:t>
      </w:r>
      <w:r w:rsidR="004D4685" w:rsidRPr="00794EC7">
        <w:rPr>
          <w:rFonts w:cs="Arial"/>
        </w:rPr>
        <w:t>knowledge</w:t>
      </w:r>
      <w:r w:rsidR="0096738B" w:rsidRPr="00794EC7">
        <w:rPr>
          <w:rFonts w:cs="Arial"/>
        </w:rPr>
        <w:t xml:space="preserve"> is lacking</w:t>
      </w:r>
      <w:r w:rsidR="004D4685" w:rsidRPr="00794EC7">
        <w:rPr>
          <w:rFonts w:cs="Arial"/>
        </w:rPr>
        <w:t xml:space="preserve"> about the concentration of </w:t>
      </w:r>
      <w:r w:rsidR="0096738B" w:rsidRPr="00794EC7">
        <w:rPr>
          <w:rFonts w:cs="Arial"/>
        </w:rPr>
        <w:t xml:space="preserve">EVs in </w:t>
      </w:r>
      <w:r w:rsidR="004D4685" w:rsidRPr="00794EC7">
        <w:rPr>
          <w:rFonts w:cs="Arial"/>
        </w:rPr>
        <w:t xml:space="preserve">milk aerosols. </w:t>
      </w:r>
      <w:r w:rsidR="0096738B" w:rsidRPr="00794EC7">
        <w:rPr>
          <w:rFonts w:cs="Arial"/>
        </w:rPr>
        <w:t>By investigating</w:t>
      </w:r>
      <w:r w:rsidR="004D4685" w:rsidRPr="00794EC7">
        <w:rPr>
          <w:rFonts w:cs="Arial"/>
        </w:rPr>
        <w:t xml:space="preserve"> the </w:t>
      </w:r>
      <w:r w:rsidR="0096738B" w:rsidRPr="00794EC7">
        <w:rPr>
          <w:rFonts w:cs="Arial"/>
        </w:rPr>
        <w:t>potency</w:t>
      </w:r>
      <w:r w:rsidR="004D4685" w:rsidRPr="00794EC7">
        <w:rPr>
          <w:rFonts w:cs="Arial"/>
        </w:rPr>
        <w:t xml:space="preserve"> of different </w:t>
      </w:r>
      <w:r w:rsidR="0096738B" w:rsidRPr="00794EC7">
        <w:rPr>
          <w:rFonts w:cs="Arial"/>
        </w:rPr>
        <w:t xml:space="preserve">EV </w:t>
      </w:r>
      <w:r w:rsidR="004D4685" w:rsidRPr="00794EC7">
        <w:rPr>
          <w:rFonts w:cs="Arial"/>
        </w:rPr>
        <w:t>concentrations</w:t>
      </w:r>
      <w:r w:rsidR="0096738B" w:rsidRPr="00794EC7">
        <w:rPr>
          <w:rFonts w:cs="Arial"/>
        </w:rPr>
        <w:t>, we here</w:t>
      </w:r>
      <w:r w:rsidR="004D4685" w:rsidRPr="00794EC7">
        <w:rPr>
          <w:rFonts w:cs="Arial"/>
        </w:rPr>
        <w:t xml:space="preserve"> demonstrated that</w:t>
      </w:r>
      <w:r w:rsidR="00780710" w:rsidRPr="00794EC7">
        <w:rPr>
          <w:rFonts w:cs="Arial"/>
        </w:rPr>
        <w:t xml:space="preserve"> EV concentrations of</w:t>
      </w:r>
      <w:r w:rsidR="004D4685" w:rsidRPr="00794EC7">
        <w:rPr>
          <w:rFonts w:cs="Arial"/>
        </w:rPr>
        <w:t xml:space="preserve"> </w:t>
      </w:r>
      <w:r w:rsidR="008D497C" w:rsidRPr="00794EC7">
        <w:rPr>
          <w:rFonts w:cs="Arial"/>
        </w:rPr>
        <w:t>50%</w:t>
      </w:r>
      <w:r w:rsidR="004D4685" w:rsidRPr="00794EC7">
        <w:rPr>
          <w:rFonts w:cs="Arial"/>
        </w:rPr>
        <w:t xml:space="preserve"> of the physiological concentration was able to </w:t>
      </w:r>
      <w:r w:rsidR="00E610A6" w:rsidRPr="00794EC7">
        <w:rPr>
          <w:rFonts w:cs="Arial"/>
        </w:rPr>
        <w:t>inhibit viral dsRNA analogue Poly I:C activation</w:t>
      </w:r>
      <w:r w:rsidR="00E610A6" w:rsidRPr="00794EC7">
        <w:t xml:space="preserve"> </w:t>
      </w:r>
      <w:r w:rsidR="001042C1" w:rsidRPr="00794EC7">
        <w:t xml:space="preserve">of </w:t>
      </w:r>
      <w:r w:rsidR="00E610A6" w:rsidRPr="00794EC7">
        <w:rPr>
          <w:rFonts w:cs="Arial"/>
        </w:rPr>
        <w:t>the immortalised bronchial epithelial cell line 16HBE14o-up to</w:t>
      </w:r>
      <w:r w:rsidR="004D4685" w:rsidRPr="00794EC7">
        <w:rPr>
          <w:rFonts w:cs="Arial"/>
        </w:rPr>
        <w:t xml:space="preserve"> 24 hours post-challenge</w:t>
      </w:r>
      <w:r w:rsidR="00044FAA" w:rsidRPr="00794EC7">
        <w:rPr>
          <w:rFonts w:cs="Arial"/>
        </w:rPr>
        <w:t>.</w:t>
      </w:r>
      <w:r w:rsidR="001042C1" w:rsidRPr="00794EC7">
        <w:rPr>
          <w:rFonts w:cs="Arial"/>
        </w:rPr>
        <w:t xml:space="preserve"> </w:t>
      </w:r>
    </w:p>
    <w:p w14:paraId="2CCAF532" w14:textId="77777777" w:rsidR="00044FAA" w:rsidRPr="00794EC7" w:rsidRDefault="00044FAA" w:rsidP="00902F19">
      <w:pPr>
        <w:rPr>
          <w:rFonts w:cs="Arial"/>
        </w:rPr>
      </w:pPr>
    </w:p>
    <w:p w14:paraId="3F37C327" w14:textId="47E16420" w:rsidR="004B2E65" w:rsidRPr="00794EC7" w:rsidRDefault="00D65E10" w:rsidP="00902F19">
      <w:pPr>
        <w:rPr>
          <w:rFonts w:cs="Arial"/>
        </w:rPr>
      </w:pPr>
      <w:r w:rsidRPr="00794EC7">
        <w:rPr>
          <w:rFonts w:cs="Arial"/>
        </w:rPr>
        <w:t xml:space="preserve">Poly I:C activates signalling via the toll like receptor 3 (TLR-3) pathway [22] and has been shown to disassemble tight junction complexes and reorganise the cell actin cytoskeleton without inducing cell death [23], [24]. </w:t>
      </w:r>
      <w:r w:rsidR="00200CB9" w:rsidRPr="00794EC7">
        <w:rPr>
          <w:rFonts w:cs="Arial"/>
        </w:rPr>
        <w:t xml:space="preserve">EVs were found to greatly circumvent </w:t>
      </w:r>
      <w:r w:rsidR="002679E3" w:rsidRPr="00794EC7">
        <w:rPr>
          <w:rFonts w:cs="Arial"/>
        </w:rPr>
        <w:t>Poly</w:t>
      </w:r>
      <w:r w:rsidR="00200CB9" w:rsidRPr="00794EC7">
        <w:rPr>
          <w:rFonts w:cs="Arial"/>
        </w:rPr>
        <w:t xml:space="preserve"> I:C induced </w:t>
      </w:r>
      <w:r w:rsidR="00904317" w:rsidRPr="00794EC7">
        <w:rPr>
          <w:rFonts w:cs="Arial"/>
        </w:rPr>
        <w:t>barrier disruption compared to the control EV-dpl samples. The addition of EVs allowed barrier maintenance comparable to the unstimulated condition (TER</w:t>
      </w:r>
      <w:r w:rsidR="006C2E72" w:rsidRPr="00794EC7">
        <w:rPr>
          <w:rFonts w:cs="Arial"/>
        </w:rPr>
        <w:t>)</w:t>
      </w:r>
      <w:r w:rsidR="00904317" w:rsidRPr="00794EC7">
        <w:rPr>
          <w:rFonts w:cs="Arial"/>
        </w:rPr>
        <w:t xml:space="preserve">. This difference could be attributed in the variabilities observed in the organisation of tight junction occludin, as </w:t>
      </w:r>
      <w:r w:rsidR="002679E3" w:rsidRPr="00794EC7">
        <w:rPr>
          <w:rFonts w:cs="Arial"/>
        </w:rPr>
        <w:t>Poly</w:t>
      </w:r>
      <w:r w:rsidR="00904317" w:rsidRPr="00794EC7">
        <w:rPr>
          <w:rFonts w:cs="Arial"/>
        </w:rPr>
        <w:t xml:space="preserve"> I:C is able to reorganise and concentrate occludin to the cell-cell junctions, generating gaps around the perimeter leading to a reduction in ionic barrier integrity </w:t>
      </w:r>
      <w:r w:rsidR="00904317" w:rsidRPr="00794EC7">
        <w:rPr>
          <w:color w:val="000000" w:themeColor="text1"/>
        </w:rPr>
        <w:fldChar w:fldCharType="begin" w:fldLock="1"/>
      </w:r>
      <w:r w:rsidR="003C43A1" w:rsidRPr="00794EC7">
        <w:rPr>
          <w:color w:val="000000" w:themeColor="text1"/>
        </w:rPr>
        <w:instrText>ADDIN CSL_CITATION {"citationItems":[{"id":"ITEM-1","itemData":{"DOI":"10.1016/j.jaci.2011.08.035","ISSN":"00916749","author":[{"dropping-particle":"","family":"Rezaee","given":"Fariba","non-dropping-particle":"","parse-names":false,"suffix":""},{"dropping-particle":"","family":"Meednu","given":"Nida","non-dropping-particle":"","parse-names":false,"suffix":""},{"dropping-particle":"","family":"Emo","given":"Jason A.","non-dropping-particle":"","parse-names":false,"suffix":""},{"dropping-particle":"","family":"Saatian","given":"Bahman","non-dropping-particle":"","parse-names":false,"suffix":""},{"dropping-particle":"","family":"Chapman","given":"Timothy J.","non-dropping-particle":"","parse-names":false,"suffix":""},{"dropping-particle":"","family":"Naydenov","given":"Nayden G.","non-dropping-particle":"","parse-names":false,"suffix":""},{"dropping-particle":"","family":"Benedetto","given":"Anna","non-dropping-particle":"De","parse-names":false,"suffix":""},{"dropping-particle":"","family":"Beck","given":"Lisa A.","non-dropping-particle":"","parse-names":false,"suffix":""},{"dropping-particle":"","family":"Ivanov","given":"Andrei I.","non-dropping-particle":"","parse-names":false,"suffix":""},{"dropping-particle":"","family":"Georas","given":"Steve N.","non-dropping-particle":"","parse-names":false,"suffix":""}],"container-title":"Journal of Allergy and Clinical Immunology","id":"ITEM-1","issue":"6","issued":{"date-parts":[["2011","12"]]},"note":"From supplental methods online\n16HBE14o- cell line\nThe transformed epithelial cell line 16HBE14o-, which is derived from NHBE, was a gift from D. Gruenert (California Pacific Medical Center Research Institute, San Francisco, Calif). This cell line retains differentiated epithelial morphology and functions, including the presence of TJs and cilia and generation of transepithelial resistance. Experiments were carried out between passages 10 and 20 by using cells grown as polarized cultures at a liquid-liquid interface containing Dulbecco modified Eagle medium (GIBCO 11995; Gibco, Carlsbad, Calif) supplemented with 10% heat-inactivated FBS (Tissue Culture Biology), 1% wt/vol penicillin/streptomycin, 0.015 mol/L HEPES (Gibco), and 0.5 μg/mL Amphotericin B (Sigma-Aldrich, St Louis, Mo). 16HBE14o- cells were plated at a subconfluent density of 1.5 × 105 cells/cm2 on collagen-coated Transwell inserts (polyester membrane, 0.4-μm pore size, 6.5-mm insert; Costar 3470), and cell cultures were maintained in a humidified 5% CO2 atmosphere in air at 37°C. Rat tail collagen (type 1) was from BD Biosciences. The medium was changed on the following day and subsequently changed every other day for the duration of the experiment.\n\nFig E1Time course of TEER in 16HBE14o- cells. Although cells reached confluence about 3 days after seeding, TEER started to increase on day 4 and reached a plateau by day 7. All experiments were conducted at this time point.","page":"1216-1224.e11","publisher":"Elsevier Ltd","title":"Polyinosinic:polycytidylic acid induces protein kinase D–dependent disassembly of apical junctions and barrier dysfunction in airway epithelial cells","type":"article-journal","volume":"128"},"uris":["http://www.mendeley.com/documents/?uuid=271a958b-575a-491f-8b57-f57caf5d5acb"]},{"id":"ITEM-2","itemData":{"DOI":"10.1371/journal.pone.0139872","ISBN":"1932-6203 (Electronic)\\r1932-6203 (Linking)","ISSN":"19326203","PMID":"26436734","abstract":"The airway epithelium is exposed to a variety of harmful agents during breathing and appropriate cellular responses are essential to maintain tissue homeostasis. Recent evidence has highlighted the contribution of epithelial barrier dysfunction in the development of many chronic respiratory diseases. Despite intense research efforts, the responses of the airway barrier to environmental agents are not fully understood, mainly due to lack of suitable in vitro models that recapitulate the complex in vivo situation accurately. Using an interdisciplinary approach, we describe a novel dynamic 3D in vitro model of the airway epithelium, incorporating fully differentiated primary human airway epithelial cells at the air-liquid interface and a basolateral microfluidic supply of nutrients simulating the interstitial flow observed in vivo. Through combination of the microfluidic culture system with an automated fraction collector the kinetics of cellular responses by the airway epithelium to environmental agents can be analysed at the early phases for the first time and with much higher sensitivity compared to common static in vitro models. Following exposure of primary differentiated epithelial cells to pollen we show that CXCL8/IL-8 release is detectable within the first 2h and peaks at 4-6h under microfluidic conditions, a response which was not observed in conventional static culture conditions. Such a microfluidic culture model is likely to have utility for high resolution temporal profiling of toxicological and pharmacological responses of the airway epithelial barrier, as well as for studies of disease mechanisms.","author":[{"dropping-particle":"","family":"Blume","given":"Cornelia","non-dropping-particle":"","parse-names":false,"suffix":""},{"dropping-particle":"","family":"Reale","given":"Riccardo","non-dropping-particle":"","parse-names":false,"suffix":""},{"dropping-particle":"","family":"Held","given":"Marie","non-dropping-particle":"","parse-names":false,"suffix":""},{"dropping-particle":"","family":"Millar","given":"Timothy M.","non-dropping-particle":"","parse-names":false,"suffix":""},{"dropping-particle":"","family":"Collins","given":"Jane E.","non-dropping-particle":"","parse-names":false,"suffix":""},{"dropping-particle":"","family":"Davies","given":"Donna E.","non-dropping-particle":"","parse-names":false,"suffix":""},{"dropping-particle":"","family":"Morgan","given":"Hywel","non-dropping-particle":"","parse-names":false,"suffix":""},{"dropping-particle":"","family":"Swindle","given":"Emily J.","non-dropping-particle":"","parse-names":false,"suffix":""}],"container-title":"PLoS ONE","id":"ITEM-2","issue":"10","issued":{"date-parts":[["2015"]]},"title":"Temporal monitoring of differentiated human airway epithelial cells using microfluidics","type":"article","volume":"10"},"uris":["http://www.mendeley.com/documents/?uuid=a762403b-420c-401e-a169-b0e0bc9d3148"]}],"mendeley":{"formattedCitation":"[23], [24]","plainTextFormattedCitation":"[23], [24]","previouslyFormattedCitation":"[23], [24]"},"properties":{"noteIndex":0},"schema":"https://github.com/citation-style-language/schema/raw/master/csl-citation.json"}</w:instrText>
      </w:r>
      <w:r w:rsidR="00904317" w:rsidRPr="00794EC7">
        <w:rPr>
          <w:color w:val="000000" w:themeColor="text1"/>
        </w:rPr>
        <w:fldChar w:fldCharType="separate"/>
      </w:r>
      <w:r w:rsidR="00582686" w:rsidRPr="00794EC7">
        <w:rPr>
          <w:noProof/>
          <w:color w:val="000000" w:themeColor="text1"/>
        </w:rPr>
        <w:t>[23], [24]</w:t>
      </w:r>
      <w:r w:rsidR="00904317" w:rsidRPr="00794EC7">
        <w:rPr>
          <w:color w:val="000000" w:themeColor="text1"/>
        </w:rPr>
        <w:fldChar w:fldCharType="end"/>
      </w:r>
      <w:r w:rsidR="00904317" w:rsidRPr="00794EC7">
        <w:rPr>
          <w:rFonts w:cs="Arial"/>
        </w:rPr>
        <w:t xml:space="preserve">. The addition of EVs </w:t>
      </w:r>
      <w:r w:rsidR="00A926A1" w:rsidRPr="00794EC7">
        <w:rPr>
          <w:rFonts w:cs="Arial"/>
        </w:rPr>
        <w:t xml:space="preserve">rescued tight junctions, maintaining strong apicolateral staining around cells, whereas this ability was less pronounced in the EV-dpl samples. </w:t>
      </w:r>
      <w:r w:rsidR="00EA5129" w:rsidRPr="00794EC7">
        <w:rPr>
          <w:rFonts w:cs="Arial"/>
        </w:rPr>
        <w:t>Th</w:t>
      </w:r>
      <w:r w:rsidR="00EA0822" w:rsidRPr="00794EC7">
        <w:rPr>
          <w:rFonts w:cs="Arial"/>
        </w:rPr>
        <w:t xml:space="preserve">ese observations suggest that addition </w:t>
      </w:r>
      <w:r w:rsidR="00BD39C9" w:rsidRPr="00794EC7">
        <w:rPr>
          <w:rFonts w:cs="Arial"/>
        </w:rPr>
        <w:t>of EVs</w:t>
      </w:r>
      <w:r w:rsidR="00EA5129" w:rsidRPr="00794EC7">
        <w:rPr>
          <w:rFonts w:cs="Arial"/>
        </w:rPr>
        <w:t xml:space="preserve"> </w:t>
      </w:r>
      <w:r w:rsidR="00EA0822" w:rsidRPr="00794EC7">
        <w:rPr>
          <w:rFonts w:cs="Arial"/>
        </w:rPr>
        <w:t xml:space="preserve">leads to </w:t>
      </w:r>
      <w:r w:rsidR="00EA5129" w:rsidRPr="00794EC7">
        <w:rPr>
          <w:rFonts w:cs="Arial"/>
        </w:rPr>
        <w:t>modulat</w:t>
      </w:r>
      <w:r w:rsidR="00EA0822" w:rsidRPr="00794EC7">
        <w:rPr>
          <w:rFonts w:cs="Arial"/>
        </w:rPr>
        <w:t xml:space="preserve">ion of </w:t>
      </w:r>
      <w:r w:rsidR="00EA5129" w:rsidRPr="00794EC7">
        <w:rPr>
          <w:rFonts w:cs="Arial"/>
        </w:rPr>
        <w:t xml:space="preserve">the </w:t>
      </w:r>
      <w:r w:rsidR="005C667D" w:rsidRPr="00794EC7">
        <w:rPr>
          <w:rFonts w:cs="Arial"/>
        </w:rPr>
        <w:t>inflammatory</w:t>
      </w:r>
      <w:r w:rsidR="00EA5129" w:rsidRPr="00794EC7">
        <w:rPr>
          <w:rFonts w:cs="Arial"/>
        </w:rPr>
        <w:t xml:space="preserve"> response </w:t>
      </w:r>
      <w:r w:rsidR="0063249B" w:rsidRPr="00794EC7">
        <w:rPr>
          <w:rFonts w:cs="Arial"/>
        </w:rPr>
        <w:t xml:space="preserve">when cells are challenged with </w:t>
      </w:r>
      <w:r w:rsidR="002679E3" w:rsidRPr="00794EC7">
        <w:rPr>
          <w:rFonts w:cs="Arial"/>
        </w:rPr>
        <w:t>Poly</w:t>
      </w:r>
      <w:r w:rsidR="00EA5129" w:rsidRPr="00794EC7">
        <w:rPr>
          <w:rFonts w:cs="Arial"/>
        </w:rPr>
        <w:t xml:space="preserve"> I:C</w:t>
      </w:r>
      <w:r w:rsidR="00EA0822" w:rsidRPr="00794EC7">
        <w:rPr>
          <w:rFonts w:cs="Arial"/>
        </w:rPr>
        <w:t xml:space="preserve">. </w:t>
      </w:r>
      <w:r w:rsidR="006C2E72" w:rsidRPr="00794EC7">
        <w:rPr>
          <w:rFonts w:cs="Arial"/>
        </w:rPr>
        <w:t xml:space="preserve">The </w:t>
      </w:r>
      <w:r w:rsidR="000C716B" w:rsidRPr="00794EC7">
        <w:rPr>
          <w:rFonts w:cs="Arial"/>
        </w:rPr>
        <w:t xml:space="preserve">less pronounced </w:t>
      </w:r>
      <w:r w:rsidR="006C2E72" w:rsidRPr="00794EC7">
        <w:rPr>
          <w:rFonts w:cs="Arial"/>
        </w:rPr>
        <w:t xml:space="preserve">modulatory effects </w:t>
      </w:r>
      <w:r w:rsidR="000C716B" w:rsidRPr="00794EC7">
        <w:rPr>
          <w:rFonts w:cs="Arial"/>
        </w:rPr>
        <w:t>of the EV-dpl samples might be caused by residual EVs but also</w:t>
      </w:r>
      <w:r w:rsidR="003C43A1" w:rsidRPr="00794EC7">
        <w:rPr>
          <w:rFonts w:cs="Arial"/>
        </w:rPr>
        <w:t xml:space="preserve"> </w:t>
      </w:r>
      <w:r w:rsidR="004D3D25" w:rsidRPr="00794EC7">
        <w:rPr>
          <w:rFonts w:cs="Arial"/>
        </w:rPr>
        <w:t xml:space="preserve">other </w:t>
      </w:r>
      <w:r w:rsidR="00CC5F24" w:rsidRPr="00794EC7">
        <w:rPr>
          <w:rFonts w:cs="Arial"/>
        </w:rPr>
        <w:t xml:space="preserve">bioactive agents </w:t>
      </w:r>
      <w:r w:rsidR="004D3D25" w:rsidRPr="00794EC7">
        <w:rPr>
          <w:rFonts w:cs="Arial"/>
        </w:rPr>
        <w:t>present in human breast milk</w:t>
      </w:r>
      <w:r w:rsidR="000C716B" w:rsidRPr="00794EC7">
        <w:rPr>
          <w:rFonts w:cs="Arial"/>
        </w:rPr>
        <w:t>,</w:t>
      </w:r>
      <w:r w:rsidR="004D3D25" w:rsidRPr="00794EC7">
        <w:rPr>
          <w:rFonts w:cs="Arial"/>
        </w:rPr>
        <w:t xml:space="preserve"> </w:t>
      </w:r>
      <w:r w:rsidR="00806DCB" w:rsidRPr="00794EC7">
        <w:rPr>
          <w:rFonts w:cs="Arial"/>
        </w:rPr>
        <w:t xml:space="preserve">such as </w:t>
      </w:r>
      <w:r w:rsidR="004D3D25" w:rsidRPr="00794EC7">
        <w:rPr>
          <w:rFonts w:cs="Arial"/>
        </w:rPr>
        <w:t>human milk oligosaccharides that have shown</w:t>
      </w:r>
      <w:r w:rsidR="008606D2" w:rsidRPr="00794EC7">
        <w:rPr>
          <w:rFonts w:cs="Arial"/>
        </w:rPr>
        <w:t xml:space="preserve"> in the intestines</w:t>
      </w:r>
      <w:r w:rsidR="004D3D25" w:rsidRPr="00794EC7">
        <w:rPr>
          <w:rFonts w:cs="Arial"/>
        </w:rPr>
        <w:t xml:space="preserve"> to modulate the TLR-3 pathway and lactoferrin that inhibits IL-6, TNF</w:t>
      </w:r>
      <w:r w:rsidR="009719B7" w:rsidRPr="00794EC7">
        <w:rPr>
          <w:rFonts w:cs="Arial"/>
        </w:rPr>
        <w:t>-</w:t>
      </w:r>
      <w:r w:rsidR="004D3D25" w:rsidRPr="00794EC7">
        <w:rPr>
          <w:rFonts w:eastAsia="Arial Unicode MS" w:cs="Arial"/>
        </w:rPr>
        <w:t>α and IL-8</w:t>
      </w:r>
      <w:r w:rsidR="000C716B" w:rsidRPr="00794EC7">
        <w:rPr>
          <w:rFonts w:eastAsia="Arial Unicode MS" w:cs="Arial"/>
        </w:rPr>
        <w:t xml:space="preserve"> production can be involved</w:t>
      </w:r>
      <w:r w:rsidR="004D3D25" w:rsidRPr="00794EC7">
        <w:rPr>
          <w:rFonts w:eastAsia="Arial Unicode MS" w:cs="Arial"/>
        </w:rPr>
        <w:t xml:space="preserve"> </w:t>
      </w:r>
      <w:r w:rsidR="004D3D25" w:rsidRPr="00794EC7">
        <w:rPr>
          <w:rFonts w:eastAsia="Arial Unicode MS" w:cs="Arial"/>
        </w:rPr>
        <w:fldChar w:fldCharType="begin" w:fldLock="1"/>
      </w:r>
      <w:r w:rsidR="003C43A1" w:rsidRPr="00794EC7">
        <w:rPr>
          <w:rFonts w:eastAsia="Arial Unicode MS" w:cs="Arial"/>
        </w:rPr>
        <w:instrText>ADDIN CSL_CITATION {"citationItems":[{"id":"ITEM-1","itemData":{"DOI":"10.3390/nu12020581","ISSN":"2072-6643","abstract":"Human breast milk is well known as the ideal source of nutrition during early life, ensuring optimal growth during infancy and early childhood. Breast milk is also the source of many unique and dynamic bioactive components that play a key role in the development of the immune system. These bioactive components include essential microbes, human milk oligosaccharides (HMOs), immunoglobulins, lactoferrin and dietary polyunsaturated fatty acids. These factors all interact with intestinal commensal bacteria and/or immune cells, playing a critical role in establishment of the intestinal microbiome and ultimately influencing intestinal inflammation and gut health during early life. Exposure to breast milk has been associated with a decreased incidence and severity of necrotizing enterocolitis (NEC), a devastating disease characterized by overwhelming intestinal inflammation and high morbidity among preterm infants. For this reason, breast milk is considered a protective factor against NEC and aberrant intestinal inflammation common in preterm infants. In this review, we will describe the key microbial, immunological, and metabolic components of breast milk that have been shown to play a role in the mechanisms of intestinal inflammation and/or NEC prevention.","author":[{"dropping-particle":"","family":"Thai","given":"Julie D.","non-dropping-particle":"","parse-names":false,"suffix":""},{"dropping-particle":"","family":"Gregory","given":"Katherine E.","non-dropping-particle":"","parse-names":false,"suffix":""}],"container-title":"Nutrients","id":"ITEM-1","issue":"2","issued":{"date-parts":[["2020","2","23"]]},"page":"581","title":"Bioactive Factors in Human Breast Milk Attenuate Intestinal Inflammation during Early Life","type":"article-journal","volume":"12"},"uris":["http://www.mendeley.com/documents/?uuid=005730bc-1497-4c99-8a90-fb4f0692b703"]}],"mendeley":{"formattedCitation":"[21]","plainTextFormattedCitation":"[21]","previouslyFormattedCitation":"[21]"},"properties":{"noteIndex":0},"schema":"https://github.com/citation-style-language/schema/raw/master/csl-citation.json"}</w:instrText>
      </w:r>
      <w:r w:rsidR="004D3D25" w:rsidRPr="00794EC7">
        <w:rPr>
          <w:rFonts w:eastAsia="Arial Unicode MS" w:cs="Arial"/>
        </w:rPr>
        <w:fldChar w:fldCharType="separate"/>
      </w:r>
      <w:r w:rsidR="00582686" w:rsidRPr="00794EC7">
        <w:rPr>
          <w:rFonts w:eastAsia="Arial Unicode MS" w:cs="Arial"/>
          <w:noProof/>
        </w:rPr>
        <w:t>[21]</w:t>
      </w:r>
      <w:r w:rsidR="004D3D25" w:rsidRPr="00794EC7">
        <w:rPr>
          <w:rFonts w:eastAsia="Arial Unicode MS" w:cs="Arial"/>
        </w:rPr>
        <w:fldChar w:fldCharType="end"/>
      </w:r>
      <w:r w:rsidR="000C716B" w:rsidRPr="00794EC7">
        <w:rPr>
          <w:rFonts w:eastAsia="Arial Unicode MS" w:cs="Arial"/>
        </w:rPr>
        <w:t>.</w:t>
      </w:r>
      <w:r w:rsidR="00806DCB" w:rsidRPr="00794EC7">
        <w:rPr>
          <w:rFonts w:eastAsia="Arial Unicode MS" w:cs="Arial"/>
        </w:rPr>
        <w:t xml:space="preserve"> </w:t>
      </w:r>
      <w:r w:rsidR="000C716B" w:rsidRPr="00794EC7">
        <w:rPr>
          <w:rFonts w:eastAsia="Arial Unicode MS" w:cs="Arial"/>
        </w:rPr>
        <w:t>Our results demonstrate the need for a proper procedural matrix control</w:t>
      </w:r>
      <w:r w:rsidR="00F603FE" w:rsidRPr="00794EC7">
        <w:rPr>
          <w:rFonts w:eastAsia="Arial Unicode MS" w:cs="Arial"/>
        </w:rPr>
        <w:t xml:space="preserve"> when evaluating EV-mediated effects.</w:t>
      </w:r>
    </w:p>
    <w:p w14:paraId="057958AA" w14:textId="1B4B338C" w:rsidR="00EA5129" w:rsidRPr="00794EC7" w:rsidRDefault="00EA5129" w:rsidP="00902F19">
      <w:pPr>
        <w:rPr>
          <w:rFonts w:cs="Arial"/>
        </w:rPr>
      </w:pPr>
    </w:p>
    <w:p w14:paraId="18AF299C" w14:textId="5568ABA6" w:rsidR="002904D4" w:rsidRPr="00794EC7" w:rsidRDefault="006C1C7A" w:rsidP="00902F19">
      <w:pPr>
        <w:rPr>
          <w:rFonts w:eastAsia="Arial Unicode MS" w:cs="Arial"/>
        </w:rPr>
      </w:pPr>
      <w:r w:rsidRPr="00794EC7">
        <w:rPr>
          <w:rFonts w:cs="Arial"/>
        </w:rPr>
        <w:t>The</w:t>
      </w:r>
      <w:r w:rsidR="001314FE" w:rsidRPr="00794EC7">
        <w:rPr>
          <w:rFonts w:cs="Arial"/>
        </w:rPr>
        <w:t xml:space="preserve"> inflammatory cytokines</w:t>
      </w:r>
      <w:r w:rsidR="008606D2" w:rsidRPr="00794EC7">
        <w:rPr>
          <w:rFonts w:cs="Arial"/>
        </w:rPr>
        <w:t xml:space="preserve"> </w:t>
      </w:r>
      <w:r w:rsidR="00EA5129" w:rsidRPr="00794EC7">
        <w:rPr>
          <w:rFonts w:cs="Arial"/>
        </w:rPr>
        <w:t>IL</w:t>
      </w:r>
      <w:r w:rsidR="008E456D" w:rsidRPr="00794EC7">
        <w:rPr>
          <w:rFonts w:cs="Arial"/>
        </w:rPr>
        <w:t>-</w:t>
      </w:r>
      <w:r w:rsidR="00EA5129" w:rsidRPr="00794EC7">
        <w:rPr>
          <w:rFonts w:cs="Arial"/>
        </w:rPr>
        <w:t>6, IL</w:t>
      </w:r>
      <w:r w:rsidR="008E456D" w:rsidRPr="00794EC7">
        <w:rPr>
          <w:rFonts w:cs="Arial"/>
        </w:rPr>
        <w:t>-</w:t>
      </w:r>
      <w:r w:rsidR="00EA5129" w:rsidRPr="00794EC7">
        <w:rPr>
          <w:rFonts w:cs="Arial"/>
        </w:rPr>
        <w:t>8 and TNF</w:t>
      </w:r>
      <w:r w:rsidR="009719B7" w:rsidRPr="00794EC7">
        <w:rPr>
          <w:rFonts w:cs="Arial"/>
        </w:rPr>
        <w:t>-</w:t>
      </w:r>
      <w:r w:rsidR="00EA5129" w:rsidRPr="00794EC7">
        <w:rPr>
          <w:rFonts w:eastAsia="Arial Unicode MS" w:cs="Arial"/>
        </w:rPr>
        <w:t>α</w:t>
      </w:r>
      <w:r w:rsidR="00BD2E34" w:rsidRPr="00794EC7">
        <w:rPr>
          <w:rFonts w:eastAsia="Arial Unicode MS" w:cs="Arial"/>
        </w:rPr>
        <w:t xml:space="preserve"> </w:t>
      </w:r>
      <w:r w:rsidR="008E456D" w:rsidRPr="00794EC7">
        <w:rPr>
          <w:rFonts w:eastAsia="Arial Unicode MS" w:cs="Arial"/>
        </w:rPr>
        <w:t>also play</w:t>
      </w:r>
      <w:r w:rsidR="00BD2E34" w:rsidRPr="00794EC7">
        <w:rPr>
          <w:rFonts w:eastAsia="Arial Unicode MS" w:cs="Arial"/>
        </w:rPr>
        <w:t xml:space="preserve"> an important role in bronchial epithelial barrier function </w:t>
      </w:r>
      <w:r w:rsidR="009E4345" w:rsidRPr="00794EC7">
        <w:rPr>
          <w:rFonts w:eastAsia="Arial Unicode MS" w:cs="Arial"/>
        </w:rPr>
        <w:t>in terms of</w:t>
      </w:r>
      <w:r w:rsidR="00BD2E34" w:rsidRPr="00794EC7">
        <w:rPr>
          <w:rFonts w:eastAsia="Arial Unicode MS" w:cs="Arial"/>
        </w:rPr>
        <w:t xml:space="preserve"> initiation and perpetuation of inflammatory responses </w:t>
      </w:r>
      <w:r w:rsidR="00BD2E34" w:rsidRPr="00794EC7">
        <w:rPr>
          <w:rFonts w:eastAsia="Arial Unicode MS" w:cs="Arial"/>
        </w:rPr>
        <w:fldChar w:fldCharType="begin" w:fldLock="1"/>
      </w:r>
      <w:r w:rsidR="00CB64F5" w:rsidRPr="00794EC7">
        <w:rPr>
          <w:rFonts w:eastAsia="Arial Unicode MS" w:cs="Arial"/>
        </w:rPr>
        <w:instrText>ADDIN CSL_CITATION {"citationItems":[{"id":"ITEM-1","itemData":{"DOI":"10.1371/journal.pone.0012091","ISSN":"19326203","PMID":"20711426","abstract":"Background:The airway epithelium participates in asthmatic inflammation in many ways. Target cells of the epithelium can respond to a variety of inflammatory mediators and cytokines. Damage to the surface epithelium occurs following the secretion of eosinophil-derived, highly toxic cationic proteins. Moreover, the surface epithelium itself is responsible for the synthesis and release of cytokines that cause the selective recruitment, retention, and accumulation of various inflammatory cells. To mimic the damage seen during asthmatic inflammation, the bronchial epithelium can be challenged with highly charged cationic polypeptides such as poly-L-arginine.&amp;Methodology/Principal Findings:In this study, human bronchial epithelial cells, 16HBE14o- cells, were ''chemically injured'' by exposing them to poly-L-arginine as a surrogate of the eosinophil cationic protein. Cytokine antibody array data showed that seven inflammatory mediators were elevated out of the 40 tested, including marked elevation in interleukin (IL)-6 and IL-8 secretion. IL-6 and IL-8 mRNA expression levels were elevated as measured with real-time PCR. Cell culture supernatants from apical and basolateral compartments were collected, and the IL-6 and IL-8 production was quantified with ELISA. IL-6 and IL-8 secretion by 16HBE14o- epithelia into the apical compartment was significantly higher than that from the basolateral compartment. Using specific inhibitors, the production of IL-6 and IL-8 was found to be dependent on p38 MAPK, ERK1/2 MAPK, and NF-kB pathways.&amp;Conclusions/Significance: The results clearly demonstrate that damage to the bronchial epithelia by poly-L-arginine stimulates polarized IL-6 and IL-8 secretion. This apically directed secretion of cytokines may play an important role in orchestrating epithelial cell responses to inflammation. © 2010 Chow et al.","author":[{"dropping-particle":"","family":"Chow","given":"Alison Wai ming","non-dropping-particle":"","parse-names":false,"suffix":""},{"dropping-particle":"","family":"Ko","given":"Wing hung","non-dropping-particle":"","parse-names":false,"suffix":""},{"dropping-particle":"","family":"Liang","given":"Jocelyn Feng ting","non-dropping-particle":"","parse-names":false,"suffix":""},{"dropping-particle":"","family":"Wong","given":"Janice Siu chong","non-dropping-particle":"","parse-names":false,"suffix":""},{"dropping-particle":"","family":"Fu","given":"Yan","non-dropping-particle":"","parse-names":false,"suffix":""},{"dropping-particle":"","family":"Tang","given":"Nelson Leung sang","non-dropping-particle":"","parse-names":false,"suffix":""}],"container-title":"PLoS ONE","id":"ITEM-1","issue":"8","issued":{"date-parts":[["2010"]]},"title":"Polarized secretion of interleukin (IL)-6 and IL-8 by human airway epithelia 16HBE14o- cells in response to cationic polypeptide challenge","type":"article-journal","volume":"5"},"uris":["http://www.mendeley.com/documents/?uuid=df2447b0-c5a5-4e6c-b677-5c4b28727cd1"]}],"mendeley":{"formattedCitation":"[16]","plainTextFormattedCitation":"[16]","previouslyFormattedCitation":"[16]"},"properties":{"noteIndex":0},"schema":"https://github.com/citation-style-language/schema/raw/master/csl-citation.json"}</w:instrText>
      </w:r>
      <w:r w:rsidR="00BD2E34" w:rsidRPr="00794EC7">
        <w:rPr>
          <w:rFonts w:eastAsia="Arial Unicode MS" w:cs="Arial"/>
        </w:rPr>
        <w:fldChar w:fldCharType="separate"/>
      </w:r>
      <w:r w:rsidR="00CB64F5" w:rsidRPr="00794EC7">
        <w:rPr>
          <w:rFonts w:eastAsia="Arial Unicode MS" w:cs="Arial"/>
          <w:noProof/>
        </w:rPr>
        <w:t>[16]</w:t>
      </w:r>
      <w:r w:rsidR="00BD2E34" w:rsidRPr="00794EC7">
        <w:rPr>
          <w:rFonts w:eastAsia="Arial Unicode MS" w:cs="Arial"/>
        </w:rPr>
        <w:fldChar w:fldCharType="end"/>
      </w:r>
      <w:r w:rsidR="003F7FB3" w:rsidRPr="00794EC7">
        <w:rPr>
          <w:rFonts w:eastAsia="Arial Unicode MS" w:cs="Arial"/>
        </w:rPr>
        <w:t>,</w:t>
      </w:r>
      <w:r w:rsidR="009E4345" w:rsidRPr="00794EC7">
        <w:rPr>
          <w:rFonts w:eastAsia="Arial Unicode MS" w:cs="Arial"/>
        </w:rPr>
        <w:t xml:space="preserve"> and </w:t>
      </w:r>
      <w:r w:rsidR="00BD39C9" w:rsidRPr="00794EC7">
        <w:rPr>
          <w:rFonts w:eastAsia="Arial Unicode MS" w:cs="Arial"/>
        </w:rPr>
        <w:t>a</w:t>
      </w:r>
      <w:r w:rsidR="004F43DD" w:rsidRPr="00794EC7">
        <w:rPr>
          <w:rFonts w:eastAsia="Arial Unicode MS" w:cs="Arial"/>
        </w:rPr>
        <w:t xml:space="preserve">ddition of </w:t>
      </w:r>
      <w:r w:rsidR="002679E3" w:rsidRPr="00794EC7">
        <w:rPr>
          <w:rFonts w:eastAsia="Arial Unicode MS" w:cs="Arial"/>
        </w:rPr>
        <w:t>Poly</w:t>
      </w:r>
      <w:r w:rsidR="00C75CFA" w:rsidRPr="00794EC7">
        <w:rPr>
          <w:rFonts w:cs="Arial"/>
        </w:rPr>
        <w:t xml:space="preserve"> I:C </w:t>
      </w:r>
      <w:r w:rsidR="004F43DD" w:rsidRPr="00794EC7">
        <w:rPr>
          <w:rFonts w:cs="Arial"/>
        </w:rPr>
        <w:t>leads to an</w:t>
      </w:r>
      <w:r w:rsidR="00C75CFA" w:rsidRPr="00794EC7">
        <w:rPr>
          <w:rFonts w:cs="Arial"/>
        </w:rPr>
        <w:t xml:space="preserve"> increase </w:t>
      </w:r>
      <w:r w:rsidR="004F43DD" w:rsidRPr="00794EC7">
        <w:rPr>
          <w:rFonts w:cs="Arial"/>
        </w:rPr>
        <w:t>in</w:t>
      </w:r>
      <w:r w:rsidR="00BD39C9" w:rsidRPr="00794EC7">
        <w:rPr>
          <w:rFonts w:cs="Arial"/>
        </w:rPr>
        <w:t xml:space="preserve"> their</w:t>
      </w:r>
      <w:r w:rsidR="004F43DD" w:rsidRPr="00794EC7">
        <w:rPr>
          <w:rFonts w:cs="Arial"/>
        </w:rPr>
        <w:t xml:space="preserve"> </w:t>
      </w:r>
      <w:r w:rsidR="00C75CFA" w:rsidRPr="00794EC7">
        <w:rPr>
          <w:rFonts w:cs="Arial"/>
        </w:rPr>
        <w:t xml:space="preserve">secretion </w:t>
      </w:r>
      <w:r w:rsidR="00C75CFA" w:rsidRPr="00794EC7">
        <w:rPr>
          <w:rFonts w:eastAsia="Arial Unicode MS" w:cs="Arial"/>
        </w:rPr>
        <w:fldChar w:fldCharType="begin" w:fldLock="1"/>
      </w:r>
      <w:r w:rsidR="00CB64F5" w:rsidRPr="00794EC7">
        <w:rPr>
          <w:rFonts w:eastAsia="Arial Unicode MS" w:cs="Arial"/>
        </w:rPr>
        <w:instrText>ADDIN CSL_CITATION {"citationItems":[{"id":"ITEM-1","itemData":{"DOI":"10.14814/phy2.12334","ISBN":"2051-817X (Electronic)\\r2051-817X (Linking)","ISSN":"2051817X","PMID":"25847914","abstract":"Respiratory viruses invade the upper airway of the lung, triggering a potent immune response that often exacerbates preexisting conditions such as asthma and COPD. Poly(I:C) is a synthetic analog of viral dsRNA that induces the characteristic inflammatory response associated with viral infection, such as loss of ep</w:instrText>
      </w:r>
      <w:r w:rsidR="00CB64F5" w:rsidRPr="00794EC7">
        <w:rPr>
          <w:rFonts w:eastAsia="Arial Unicode MS" w:cs="Arial" w:hint="eastAsia"/>
        </w:rPr>
        <w:instrText>ithelial integrity, and increased production of mucus and inflammatory cytokines. Here, we explore the mechanistic responses to poly(I:C) in a well</w:instrText>
      </w:r>
      <w:r w:rsidR="00CB64F5" w:rsidRPr="00794EC7">
        <w:rPr>
          <w:rFonts w:eastAsia="Arial Unicode MS" w:cs="Arial" w:hint="eastAsia"/>
        </w:rPr>
        <w:instrText>‐</w:instrText>
      </w:r>
      <w:r w:rsidR="00CB64F5" w:rsidRPr="00794EC7">
        <w:rPr>
          <w:rFonts w:eastAsia="Arial Unicode MS" w:cs="Arial" w:hint="eastAsia"/>
        </w:rPr>
        <w:instrText>defined primary normal human bronchial epithelial (NHBE) model that recapitulates in vivo functions and res</w:instrText>
      </w:r>
      <w:r w:rsidR="00CB64F5" w:rsidRPr="00794EC7">
        <w:rPr>
          <w:rFonts w:eastAsia="Arial Unicode MS" w:cs="Arial"/>
        </w:rPr>
        <w:instrText>ponses. We developed functional and quantifiable methods to evaluate the physiology of our model in both healthy and inflamed states. Through gene and protein expression, we validated the differentiation state and population of essential cell subtypes (i.e., ciliated, goblet, club, and basal cells) as compared to the human lung. Assays for total mucus production, cytokine secretion, and barrier function were used to evaluate in vitro physiology and response to viral insult. Cells were treated apically wit</w:instrText>
      </w:r>
      <w:r w:rsidR="00CB64F5" w:rsidRPr="00794EC7">
        <w:rPr>
          <w:rFonts w:eastAsia="Arial Unicode MS" w:cs="Arial" w:hint="eastAsia"/>
        </w:rPr>
        <w:instrText>h poly(I:C) and evaluated 48 h after induction. Results revealed a dose</w:instrText>
      </w:r>
      <w:r w:rsidR="00CB64F5" w:rsidRPr="00794EC7">
        <w:rPr>
          <w:rFonts w:eastAsia="Arial Unicode MS" w:cs="Arial" w:hint="eastAsia"/>
        </w:rPr>
        <w:instrText>‐</w:instrText>
      </w:r>
      <w:r w:rsidR="00CB64F5" w:rsidRPr="00794EC7">
        <w:rPr>
          <w:rFonts w:eastAsia="Arial Unicode MS" w:cs="Arial" w:hint="eastAsia"/>
        </w:rPr>
        <w:instrText>dependent increase in goblet cell differentiation, as well as, an increase in mucus production relative to controls. There was also a dose</w:instrText>
      </w:r>
      <w:r w:rsidR="00CB64F5" w:rsidRPr="00794EC7">
        <w:rPr>
          <w:rFonts w:eastAsia="Arial Unicode MS" w:cs="Arial" w:hint="eastAsia"/>
        </w:rPr>
        <w:instrText>‐</w:instrText>
      </w:r>
      <w:r w:rsidR="00CB64F5" w:rsidRPr="00794EC7">
        <w:rPr>
          <w:rFonts w:eastAsia="Arial Unicode MS" w:cs="Arial" w:hint="eastAsia"/>
        </w:rPr>
        <w:instrText>dependent increase in secretion of IL</w:instrText>
      </w:r>
      <w:r w:rsidR="00CB64F5" w:rsidRPr="00794EC7">
        <w:rPr>
          <w:rFonts w:eastAsia="Arial Unicode MS" w:cs="Arial" w:hint="eastAsia"/>
        </w:rPr>
        <w:instrText>‐</w:instrText>
      </w:r>
      <w:r w:rsidR="00CB64F5" w:rsidRPr="00794EC7">
        <w:rPr>
          <w:rFonts w:eastAsia="Arial Unicode MS" w:cs="Arial" w:hint="eastAsia"/>
        </w:rPr>
        <w:instrText>6, IL</w:instrText>
      </w:r>
      <w:r w:rsidR="00CB64F5" w:rsidRPr="00794EC7">
        <w:rPr>
          <w:rFonts w:eastAsia="Arial Unicode MS" w:cs="Arial" w:hint="eastAsia"/>
        </w:rPr>
        <w:instrText>‐</w:instrText>
      </w:r>
      <w:r w:rsidR="00CB64F5" w:rsidRPr="00794EC7">
        <w:rPr>
          <w:rFonts w:eastAsia="Arial Unicode MS" w:cs="Arial" w:hint="eastAsia"/>
        </w:rPr>
        <w:instrText>8, TNF</w:instrText>
      </w:r>
      <w:r w:rsidR="00CB64F5" w:rsidRPr="00794EC7">
        <w:rPr>
          <w:rFonts w:eastAsia="Arial Unicode MS" w:cs="Arial" w:hint="eastAsia"/>
        </w:rPr>
        <w:instrText>‐α</w:instrText>
      </w:r>
      <w:r w:rsidR="00CB64F5" w:rsidRPr="00794EC7">
        <w:rPr>
          <w:rFonts w:eastAsia="Arial Unicode MS" w:cs="Arial" w:hint="eastAsia"/>
        </w:rPr>
        <w:instrText>, and RANTES. Epithelial barrier function, as measured by TEER, was maintained at 1501 </w:instrText>
      </w:r>
      <w:r w:rsidR="00CB64F5" w:rsidRPr="00794EC7">
        <w:rPr>
          <w:rFonts w:eastAsia="Arial Unicode MS" w:cs="Arial" w:hint="eastAsia"/>
        </w:rPr>
        <w:instrText>±</w:instrText>
      </w:r>
      <w:r w:rsidR="00CB64F5" w:rsidRPr="00794EC7">
        <w:rPr>
          <w:rFonts w:eastAsia="Arial Unicode MS" w:cs="Arial" w:hint="eastAsia"/>
        </w:rPr>
        <w:instrText> 355 </w:instrText>
      </w:r>
      <w:r w:rsidR="00CB64F5" w:rsidRPr="00794EC7">
        <w:rPr>
          <w:rFonts w:eastAsia="Arial Unicode MS" w:cs="Arial" w:hint="eastAsia"/>
        </w:rPr>
        <w:instrText>Ω</w:instrText>
      </w:r>
      <w:r w:rsidR="00CB64F5" w:rsidRPr="00794EC7">
        <w:rPr>
          <w:rFonts w:eastAsia="Arial Unicode MS" w:cs="Arial" w:hint="eastAsia"/>
        </w:rPr>
        <w:instrText>*cm</w:instrText>
      </w:r>
      <w:r w:rsidR="00CB64F5" w:rsidRPr="00794EC7">
        <w:rPr>
          <w:rFonts w:eastAsia="Arial Unicode MS" w:cs="Arial" w:hint="eastAsia"/>
        </w:rPr>
        <w:instrText>²</w:instrText>
      </w:r>
      <w:r w:rsidR="00CB64F5" w:rsidRPr="00794EC7">
        <w:rPr>
          <w:rFonts w:eastAsia="Arial Unicode MS" w:cs="Arial" w:hint="eastAsia"/>
        </w:rPr>
        <w:instrText xml:space="preserve"> postdifferentiation, but dropped significantly when challenged with poly(I:C). This study provides first steps toward a well</w:instrText>
      </w:r>
      <w:r w:rsidR="00CB64F5" w:rsidRPr="00794EC7">
        <w:rPr>
          <w:rFonts w:eastAsia="Arial Unicode MS" w:cs="Arial" w:hint="eastAsia"/>
        </w:rPr>
        <w:instrText>‐</w:instrText>
      </w:r>
      <w:r w:rsidR="00CB64F5" w:rsidRPr="00794EC7">
        <w:rPr>
          <w:rFonts w:eastAsia="Arial Unicode MS" w:cs="Arial" w:hint="eastAsia"/>
        </w:rPr>
        <w:instrText>characterized model with defined functional methods for understanding dsRNA stimulated inflammatory responses in a physiologically relevant manner. A. R. Lever, H. Park, T. J. Mulhern, G. R. Jackson, J. C. Comolli, J. T. Borenstein, P. J. Hayden, R. Prantil</w:instrText>
      </w:r>
      <w:r w:rsidR="00CB64F5" w:rsidRPr="00794EC7">
        <w:rPr>
          <w:rFonts w:eastAsia="Arial Unicode MS" w:cs="Arial" w:hint="eastAsia"/>
        </w:rPr>
        <w:instrText>‐</w:instrText>
      </w:r>
      <w:r w:rsidR="00CB64F5" w:rsidRPr="00794EC7">
        <w:rPr>
          <w:rFonts w:eastAsia="Arial Unicode MS" w:cs="Arial" w:hint="eastAsia"/>
        </w:rPr>
        <w:instrText xml:space="preserve">Baun, Comprehensive </w:instrText>
      </w:r>
      <w:r w:rsidR="00CB64F5" w:rsidRPr="00794EC7">
        <w:rPr>
          <w:rFonts w:eastAsia="Arial Unicode MS" w:cs="Arial"/>
        </w:rPr>
        <w:instrText>evaluation of poly(I:C) induced inflammatory response in an airway epithelial model, Physiol Rep, 3(4), 2015, e12334, doi: 10.14814/phy2.12334","author":[{"dropping-particle":"","family":"Lever","given":"Amanda R.","non-dropping-particle":"","parse-names":false,"suffix":""},{"dropping-particle":"","family":"Park","given":"Hyoungshin","non-dropping-particle":"","parse-names":false,"suffix":""},{"dropping-particle":"","family":"Mulhern","given":"Thomas J.","non-dropping-particle":"","parse-names":false,"suffix":""},{"dropping-particle":"","family":"Jackson","given":"George R.","non-dropping-particle":"","parse-names":false,"suffix":""},{"dropping-particle":"","family":"Comolli","given":"James C.","non-dropping-particle":"","parse-names":false,"suffix":""},{"dropping-particle":"","family":"Borenstein","given":"Jeffrey T.","non-dropping-particle":"","parse-names":false,"suffix":""},{"dropping-particle":"","family":"Hayden","given":"Patrick J.","non-dropping-particle":"","parse-names":false,"suffix":""},{"dropping-particle":"","family":"Prantil-Baun","given":"Rachelle","non-dropping-particle":"","parse-names":false,"suffix":""}],"container-title":"Physiological Reports","id":"ITEM-1","issue":"4","issued":{"date-parts":[["2015"]]},"page":"1-11","title":"Comprehensive evaluation of poly(I:C) induced inflammatory response in an airway epithelial model","type":"article-journal","volume":"3"},"uris":["http://www.mendeley.com/documents/?uuid=ca0095a2-be53-40dd-8261-2c7379846f9a"]}],"mendeley":{"formattedCitation":"[17]","plainTextFormattedCitation":"[17]","previouslyFormattedCitation":"[17]"},"properties":{"noteIndex":0},"schema":"https://github.com/citation-style-language/schema/raw/master/csl-citation.json"}</w:instrText>
      </w:r>
      <w:r w:rsidR="00C75CFA" w:rsidRPr="00794EC7">
        <w:rPr>
          <w:rFonts w:eastAsia="Arial Unicode MS" w:cs="Arial"/>
        </w:rPr>
        <w:fldChar w:fldCharType="separate"/>
      </w:r>
      <w:r w:rsidR="00CB64F5" w:rsidRPr="00794EC7">
        <w:rPr>
          <w:rFonts w:eastAsia="Arial Unicode MS" w:cs="Arial"/>
          <w:noProof/>
        </w:rPr>
        <w:t>[17]</w:t>
      </w:r>
      <w:r w:rsidR="00C75CFA" w:rsidRPr="00794EC7">
        <w:rPr>
          <w:rFonts w:eastAsia="Arial Unicode MS" w:cs="Arial"/>
        </w:rPr>
        <w:fldChar w:fldCharType="end"/>
      </w:r>
      <w:r w:rsidR="00036B63" w:rsidRPr="00794EC7">
        <w:rPr>
          <w:rFonts w:eastAsia="Arial Unicode MS" w:cs="Arial"/>
        </w:rPr>
        <w:t>.</w:t>
      </w:r>
      <w:r w:rsidR="004F43DD" w:rsidRPr="00794EC7">
        <w:rPr>
          <w:rFonts w:eastAsia="Arial Unicode MS" w:cs="Arial"/>
        </w:rPr>
        <w:t xml:space="preserve"> </w:t>
      </w:r>
      <w:r w:rsidR="00F603FE" w:rsidRPr="00794EC7">
        <w:rPr>
          <w:rFonts w:eastAsia="Arial Unicode MS" w:cs="Arial"/>
        </w:rPr>
        <w:t>For the cytokine analysis performed in this study the c</w:t>
      </w:r>
      <w:r w:rsidR="009E4345" w:rsidRPr="00794EC7">
        <w:rPr>
          <w:rFonts w:eastAsia="Arial Unicode MS" w:cs="Arial"/>
        </w:rPr>
        <w:t>ytokine concentration</w:t>
      </w:r>
      <w:r w:rsidR="00F603FE" w:rsidRPr="00794EC7">
        <w:rPr>
          <w:rFonts w:eastAsia="Arial Unicode MS" w:cs="Arial"/>
        </w:rPr>
        <w:t>s</w:t>
      </w:r>
      <w:r w:rsidR="004F43DD" w:rsidRPr="00794EC7">
        <w:rPr>
          <w:rFonts w:eastAsia="Arial Unicode MS" w:cs="Arial"/>
        </w:rPr>
        <w:t xml:space="preserve"> w</w:t>
      </w:r>
      <w:r w:rsidR="00F603FE" w:rsidRPr="00794EC7">
        <w:rPr>
          <w:rFonts w:eastAsia="Arial Unicode MS" w:cs="Arial"/>
        </w:rPr>
        <w:t>ere</w:t>
      </w:r>
      <w:r w:rsidR="004F43DD" w:rsidRPr="00794EC7">
        <w:rPr>
          <w:rFonts w:eastAsia="Arial Unicode MS" w:cs="Arial"/>
        </w:rPr>
        <w:t xml:space="preserve"> plotted in terms of relative change with respect to the values 24 hours after </w:t>
      </w:r>
      <w:r w:rsidR="002679E3" w:rsidRPr="00794EC7">
        <w:rPr>
          <w:rFonts w:eastAsia="Arial Unicode MS" w:cs="Arial"/>
        </w:rPr>
        <w:t>Poly</w:t>
      </w:r>
      <w:r w:rsidR="004F43DD" w:rsidRPr="00794EC7">
        <w:rPr>
          <w:rFonts w:eastAsia="Arial Unicode MS" w:cs="Arial"/>
        </w:rPr>
        <w:t xml:space="preserve"> I:C challenge</w:t>
      </w:r>
      <w:r w:rsidR="00A413FB" w:rsidRPr="00794EC7">
        <w:rPr>
          <w:rFonts w:eastAsia="Arial Unicode MS" w:cs="Arial"/>
        </w:rPr>
        <w:t xml:space="preserve">. This </w:t>
      </w:r>
      <w:r w:rsidR="009E4345" w:rsidRPr="00794EC7">
        <w:rPr>
          <w:rFonts w:eastAsia="Arial Unicode MS" w:cs="Arial"/>
        </w:rPr>
        <w:t xml:space="preserve">approach reduced </w:t>
      </w:r>
      <w:r w:rsidR="00E9598D" w:rsidRPr="00794EC7">
        <w:rPr>
          <w:rFonts w:eastAsia="Arial Unicode MS" w:cs="Arial"/>
        </w:rPr>
        <w:t>passage-to-passage</w:t>
      </w:r>
      <w:r w:rsidR="00A413FB" w:rsidRPr="00794EC7">
        <w:rPr>
          <w:rFonts w:eastAsia="Arial Unicode MS" w:cs="Arial"/>
        </w:rPr>
        <w:t xml:space="preserve"> variability and differences in the </w:t>
      </w:r>
      <w:r w:rsidR="009E4345" w:rsidRPr="00794EC7">
        <w:rPr>
          <w:rFonts w:eastAsia="Arial Unicode MS" w:cs="Arial"/>
        </w:rPr>
        <w:t xml:space="preserve">absolute </w:t>
      </w:r>
      <w:r w:rsidR="00A413FB" w:rsidRPr="00794EC7">
        <w:rPr>
          <w:rFonts w:eastAsia="Arial Unicode MS" w:cs="Arial"/>
        </w:rPr>
        <w:t xml:space="preserve">secretion levels </w:t>
      </w:r>
      <w:r w:rsidR="009E4345" w:rsidRPr="00794EC7">
        <w:rPr>
          <w:rFonts w:eastAsia="Arial Unicode MS" w:cs="Arial"/>
        </w:rPr>
        <w:t>for</w:t>
      </w:r>
      <w:r w:rsidR="00A413FB" w:rsidRPr="00794EC7">
        <w:rPr>
          <w:rFonts w:eastAsia="Arial Unicode MS" w:cs="Arial"/>
        </w:rPr>
        <w:t xml:space="preserve"> each cytokine</w:t>
      </w:r>
      <w:r w:rsidR="00847327" w:rsidRPr="00794EC7">
        <w:rPr>
          <w:rFonts w:eastAsia="Arial Unicode MS" w:cs="Arial"/>
        </w:rPr>
        <w:t xml:space="preserve"> to facilitate comparison</w:t>
      </w:r>
      <w:r w:rsidR="00076BA9" w:rsidRPr="00794EC7">
        <w:rPr>
          <w:rFonts w:eastAsia="Arial Unicode MS" w:cs="Arial"/>
        </w:rPr>
        <w:t xml:space="preserve">. </w:t>
      </w:r>
      <w:r w:rsidR="002679E3" w:rsidRPr="00794EC7">
        <w:rPr>
          <w:rFonts w:eastAsia="Arial Unicode MS" w:cs="Arial"/>
        </w:rPr>
        <w:t>Poly</w:t>
      </w:r>
      <w:r w:rsidR="004E6428" w:rsidRPr="00794EC7">
        <w:rPr>
          <w:rFonts w:eastAsia="Arial Unicode MS" w:cs="Arial"/>
        </w:rPr>
        <w:t xml:space="preserve"> I:C induced </w:t>
      </w:r>
      <w:r w:rsidR="000F0487" w:rsidRPr="00794EC7">
        <w:rPr>
          <w:rFonts w:eastAsia="Arial Unicode MS" w:cs="Arial"/>
        </w:rPr>
        <w:t xml:space="preserve">high </w:t>
      </w:r>
      <w:r w:rsidR="003F7FB3" w:rsidRPr="00794EC7">
        <w:rPr>
          <w:rFonts w:eastAsia="Arial Unicode MS" w:cs="Arial"/>
        </w:rPr>
        <w:t xml:space="preserve">values </w:t>
      </w:r>
      <w:r w:rsidR="004E6428" w:rsidRPr="00794EC7">
        <w:rPr>
          <w:rFonts w:eastAsia="Arial Unicode MS" w:cs="Arial"/>
        </w:rPr>
        <w:t xml:space="preserve">of </w:t>
      </w:r>
      <w:r w:rsidR="00A413FB" w:rsidRPr="00794EC7">
        <w:rPr>
          <w:rFonts w:eastAsia="Arial Unicode MS" w:cs="Arial"/>
        </w:rPr>
        <w:t>IL-6 and IL-8</w:t>
      </w:r>
      <w:r w:rsidR="000F0487" w:rsidRPr="00794EC7">
        <w:rPr>
          <w:rFonts w:eastAsia="Arial Unicode MS" w:cs="Arial"/>
        </w:rPr>
        <w:t xml:space="preserve"> secretion</w:t>
      </w:r>
      <w:r w:rsidR="004E6428" w:rsidRPr="00794EC7">
        <w:rPr>
          <w:rFonts w:eastAsia="Arial Unicode MS" w:cs="Arial"/>
        </w:rPr>
        <w:t xml:space="preserve">, </w:t>
      </w:r>
      <w:r w:rsidR="003F7FB3" w:rsidRPr="00794EC7">
        <w:rPr>
          <w:rFonts w:eastAsia="Arial Unicode MS" w:cs="Arial"/>
        </w:rPr>
        <w:t xml:space="preserve">but </w:t>
      </w:r>
      <w:r w:rsidR="000F0487" w:rsidRPr="00794EC7">
        <w:rPr>
          <w:rFonts w:eastAsia="Arial Unicode MS" w:cs="Arial"/>
        </w:rPr>
        <w:t>lower</w:t>
      </w:r>
      <w:r w:rsidR="004E6428" w:rsidRPr="00794EC7">
        <w:rPr>
          <w:rFonts w:eastAsia="Arial Unicode MS" w:cs="Arial"/>
        </w:rPr>
        <w:t xml:space="preserve"> </w:t>
      </w:r>
      <w:r w:rsidR="0063249B" w:rsidRPr="00794EC7">
        <w:rPr>
          <w:rFonts w:eastAsia="Arial Unicode MS" w:cs="Arial"/>
        </w:rPr>
        <w:t xml:space="preserve">amounts of </w:t>
      </w:r>
      <w:r w:rsidR="00E9598D" w:rsidRPr="00794EC7">
        <w:rPr>
          <w:rFonts w:eastAsia="Arial Unicode MS" w:cs="Arial"/>
        </w:rPr>
        <w:t>TNF</w:t>
      </w:r>
      <w:r w:rsidR="009719B7" w:rsidRPr="00794EC7">
        <w:rPr>
          <w:rFonts w:eastAsia="Arial Unicode MS" w:cs="Arial"/>
        </w:rPr>
        <w:t>-</w:t>
      </w:r>
      <w:r w:rsidR="00E9598D" w:rsidRPr="00794EC7">
        <w:rPr>
          <w:rFonts w:eastAsia="Arial Unicode MS" w:cs="Arial"/>
        </w:rPr>
        <w:t>α</w:t>
      </w:r>
      <w:r w:rsidR="0063249B" w:rsidRPr="00794EC7">
        <w:rPr>
          <w:rFonts w:eastAsia="Arial Unicode MS" w:cs="Arial"/>
        </w:rPr>
        <w:t>,</w:t>
      </w:r>
      <w:r w:rsidR="00E9598D" w:rsidRPr="00794EC7">
        <w:rPr>
          <w:rFonts w:eastAsia="Arial Unicode MS" w:cs="Arial"/>
        </w:rPr>
        <w:t xml:space="preserve"> as </w:t>
      </w:r>
      <w:r w:rsidR="000F0487" w:rsidRPr="00794EC7">
        <w:rPr>
          <w:rFonts w:eastAsia="Arial Unicode MS" w:cs="Arial"/>
        </w:rPr>
        <w:t>reported</w:t>
      </w:r>
      <w:r w:rsidR="00E9598D" w:rsidRPr="00794EC7">
        <w:rPr>
          <w:rFonts w:eastAsia="Arial Unicode MS" w:cs="Arial"/>
        </w:rPr>
        <w:t xml:space="preserve"> previous</w:t>
      </w:r>
      <w:r w:rsidR="00232A80" w:rsidRPr="00794EC7">
        <w:rPr>
          <w:rFonts w:eastAsia="Arial Unicode MS" w:cs="Arial"/>
        </w:rPr>
        <w:t>ly</w:t>
      </w:r>
      <w:r w:rsidR="0049015A" w:rsidRPr="00794EC7">
        <w:rPr>
          <w:rFonts w:eastAsia="Arial Unicode MS" w:cs="Arial"/>
        </w:rPr>
        <w:t xml:space="preserve"> </w:t>
      </w:r>
      <w:r w:rsidR="0049015A" w:rsidRPr="00794EC7">
        <w:rPr>
          <w:rFonts w:cs="Arial"/>
        </w:rPr>
        <w:fldChar w:fldCharType="begin" w:fldLock="1"/>
      </w:r>
      <w:r w:rsidR="00CB64F5" w:rsidRPr="00794EC7">
        <w:rPr>
          <w:rFonts w:cs="Arial"/>
        </w:rPr>
        <w:instrText>ADDIN CSL_CITATION {"citationItems":[{"id":"ITEM-1","itemData":{"DOI":"10.1371/journal.pone.0012091","ISSN":"19326203","PMID":"20711426","abstract":"Background:The airway epithelium participates in asthmatic inflammation in many ways. Target cells of the epithelium can respond to a variety of inflammatory mediators and cytokines. Damage to the surface epithelium occurs following the secretion of eosinophil-derived, highly toxic cationic proteins. Moreover, the surface epithelium itself is responsible for the synthesis and release of cytokines that cause the selective recruitment, retention, and accumulation of various inflammatory cells. To mimic the damage seen during asthmatic inflammation, the bronchial epithelium can be challenged with highly charged cationic polypeptides such as poly-L-arginine.&amp;Methodology/Principal Findings:In this study, human bronchial epithelial cells, 16HBE14o- cells, were ''chemically injured'' by exposing them to poly-L-arginine as a surrogate of the eosinophil cationic protein. Cytokine antibody array data showed that seven inflammatory mediators were elevated out of the 40 tested, including marked elevation in interleukin (IL)-6 and IL-8 secretion. IL-6 and IL-8 mRNA expression levels were elevated as measured with real-time PCR. Cell culture supernatants from apical and basolateral compartments were collected, and the IL-6 and IL-8 production was quantified with ELISA. IL-6 and IL-8 secretion by 16HBE14o- epithelia into the apical compartment was significantly higher than that from the basolateral compartment. Using specific inhibitors, the production of IL-6 and IL-8 was found to be dependent on p38 MAPK, ERK1/2 MAPK, and NF-kB pathways.&amp;Conclusions/Significance: The results clearly demonstrate that damage to the bronchial epithelia by poly-L-arginine stimulates polarized IL-6 and IL-8 secretion. This apically directed secretion of cytokines may play an important role in orchestrating epithelial cell responses to inflammation. © 2010 Chow et al.","author":[{"dropping-particle":"","family":"Chow","given":"Alison Wai ming","non-dropping-particle":"","parse-names":false,"suffix":""},{"dropping-particle":"","family":"Ko","given":"Wing hung","non-dropping-particle":"","parse-names":false,"suffix":""},{"dropping-particle":"","family":"Liang","given":"Jocelyn Feng ting","non-dropping-particle":"","parse-names":false,"suffix":""},{"dropping-particle":"","family":"Wong","given":"Janice Siu chong","non-dropping-particle":"","parse-names":false,"suffix":""},{"dropping-particle":"","family":"Fu","given":"Yan","non-dropping-particle":"","parse-names":false,"suffix":""},{"dropping-particle":"","family":"Tang","given":"Nelson Leung sang","non-dropping-particle":"","parse-names":false,"suffix":""}],"container-title":"PLoS ONE","id":"ITEM-1","issue":"8","issued":{"date-parts":[["2010"]]},"title":"Polarized secretion of interleukin (IL)-6 and IL-8 by human airway epithelia 16HBE14o- cells in response to cationic polypeptide challenge","type":"article-journal","volume":"5"},"uris":["http://www.mendeley.com/documents/?uuid=df2447b0-c5a5-4e6c-b677-5c4b28727cd1"]}],"mendeley":{"formattedCitation":"[16]","plainTextFormattedCitation":"[16]","previouslyFormattedCitation":"[16]"},"properties":{"noteIndex":0},"schema":"https://github.com/citation-style-language/schema/raw/master/csl-citation.json"}</w:instrText>
      </w:r>
      <w:r w:rsidR="0049015A" w:rsidRPr="00794EC7">
        <w:rPr>
          <w:rFonts w:cs="Arial"/>
        </w:rPr>
        <w:fldChar w:fldCharType="separate"/>
      </w:r>
      <w:r w:rsidR="00CB64F5" w:rsidRPr="00794EC7">
        <w:rPr>
          <w:rFonts w:cs="Arial"/>
          <w:noProof/>
        </w:rPr>
        <w:t>[16]</w:t>
      </w:r>
      <w:r w:rsidR="0049015A" w:rsidRPr="00794EC7">
        <w:rPr>
          <w:rFonts w:cs="Arial"/>
        </w:rPr>
        <w:fldChar w:fldCharType="end"/>
      </w:r>
      <w:r w:rsidR="00E9598D" w:rsidRPr="00794EC7">
        <w:rPr>
          <w:rFonts w:eastAsia="Arial Unicode MS" w:cs="Arial"/>
        </w:rPr>
        <w:t xml:space="preserve">. </w:t>
      </w:r>
      <w:r w:rsidR="000F0487" w:rsidRPr="00794EC7">
        <w:rPr>
          <w:rFonts w:eastAsia="Arial Unicode MS" w:cs="Arial"/>
        </w:rPr>
        <w:t>T</w:t>
      </w:r>
      <w:r w:rsidR="004E6428" w:rsidRPr="00794EC7">
        <w:rPr>
          <w:rFonts w:eastAsia="Arial Unicode MS" w:cs="Arial"/>
        </w:rPr>
        <w:t>he addition of EVs</w:t>
      </w:r>
      <w:r w:rsidR="00847327" w:rsidRPr="00794EC7">
        <w:rPr>
          <w:rFonts w:eastAsia="Arial Unicode MS" w:cs="Arial"/>
        </w:rPr>
        <w:t xml:space="preserve"> </w:t>
      </w:r>
      <w:r w:rsidR="0063249B" w:rsidRPr="00794EC7">
        <w:rPr>
          <w:rFonts w:eastAsia="Arial Unicode MS" w:cs="Arial"/>
        </w:rPr>
        <w:t>to the</w:t>
      </w:r>
      <w:r w:rsidR="00847327" w:rsidRPr="00794EC7">
        <w:rPr>
          <w:rFonts w:eastAsia="Arial Unicode MS" w:cs="Arial"/>
        </w:rPr>
        <w:t xml:space="preserve"> </w:t>
      </w:r>
      <w:r w:rsidR="002679E3" w:rsidRPr="00794EC7">
        <w:rPr>
          <w:rFonts w:eastAsia="Arial Unicode MS" w:cs="Arial"/>
        </w:rPr>
        <w:t>Poly</w:t>
      </w:r>
      <w:r w:rsidR="00847327" w:rsidRPr="00794EC7">
        <w:rPr>
          <w:rFonts w:eastAsia="Arial Unicode MS" w:cs="Arial"/>
        </w:rPr>
        <w:t xml:space="preserve"> I:C</w:t>
      </w:r>
      <w:r w:rsidR="004E6428" w:rsidRPr="00794EC7">
        <w:rPr>
          <w:rFonts w:eastAsia="Arial Unicode MS" w:cs="Arial"/>
        </w:rPr>
        <w:t xml:space="preserve"> significantly </w:t>
      </w:r>
      <w:r w:rsidR="0063249B" w:rsidRPr="00794EC7">
        <w:rPr>
          <w:rFonts w:eastAsia="Arial Unicode MS" w:cs="Arial"/>
        </w:rPr>
        <w:t>inhibited</w:t>
      </w:r>
      <w:r w:rsidR="004E6428" w:rsidRPr="00794EC7">
        <w:rPr>
          <w:rFonts w:eastAsia="Arial Unicode MS" w:cs="Arial"/>
        </w:rPr>
        <w:t xml:space="preserve"> the cytokine</w:t>
      </w:r>
      <w:r w:rsidR="000F0487" w:rsidRPr="00794EC7">
        <w:rPr>
          <w:rFonts w:eastAsia="Arial Unicode MS" w:cs="Arial"/>
        </w:rPr>
        <w:t xml:space="preserve"> </w:t>
      </w:r>
      <w:r w:rsidR="0063249B" w:rsidRPr="00794EC7">
        <w:rPr>
          <w:rFonts w:eastAsia="Arial Unicode MS" w:cs="Arial"/>
        </w:rPr>
        <w:t>over-</w:t>
      </w:r>
      <w:r w:rsidR="000F0487" w:rsidRPr="00794EC7">
        <w:rPr>
          <w:rFonts w:eastAsia="Arial Unicode MS" w:cs="Arial"/>
        </w:rPr>
        <w:t>expression</w:t>
      </w:r>
      <w:r w:rsidR="004E6428" w:rsidRPr="00794EC7">
        <w:rPr>
          <w:rFonts w:eastAsia="Arial Unicode MS" w:cs="Arial"/>
        </w:rPr>
        <w:t xml:space="preserve"> by 80-90% for </w:t>
      </w:r>
      <w:r w:rsidR="009900F7" w:rsidRPr="00794EC7">
        <w:rPr>
          <w:rFonts w:eastAsia="Arial Unicode MS" w:cs="Arial"/>
        </w:rPr>
        <w:t>IL-6 and IL-8</w:t>
      </w:r>
      <w:r w:rsidR="008606D2" w:rsidRPr="00794EC7">
        <w:rPr>
          <w:rFonts w:eastAsia="Arial Unicode MS" w:cs="Arial"/>
        </w:rPr>
        <w:t xml:space="preserve"> and completely </w:t>
      </w:r>
      <w:r w:rsidR="009900F7" w:rsidRPr="00794EC7">
        <w:rPr>
          <w:rFonts w:eastAsia="Arial Unicode MS" w:cs="Arial"/>
        </w:rPr>
        <w:t>inhibit</w:t>
      </w:r>
      <w:r w:rsidR="008606D2" w:rsidRPr="00794EC7">
        <w:rPr>
          <w:rFonts w:eastAsia="Arial Unicode MS" w:cs="Arial"/>
        </w:rPr>
        <w:t>ed</w:t>
      </w:r>
      <w:r w:rsidR="009900F7" w:rsidRPr="00794EC7">
        <w:rPr>
          <w:rFonts w:eastAsia="Arial Unicode MS" w:cs="Arial"/>
        </w:rPr>
        <w:t xml:space="preserve"> </w:t>
      </w:r>
      <w:r w:rsidR="00030C8A" w:rsidRPr="00794EC7">
        <w:rPr>
          <w:rFonts w:eastAsia="Arial Unicode MS" w:cs="Arial"/>
        </w:rPr>
        <w:t>the</w:t>
      </w:r>
      <w:r w:rsidR="003F7FB3" w:rsidRPr="00794EC7">
        <w:rPr>
          <w:rFonts w:eastAsia="Arial Unicode MS" w:cs="Arial"/>
        </w:rPr>
        <w:t xml:space="preserve"> </w:t>
      </w:r>
      <w:r w:rsidR="002679E3" w:rsidRPr="00794EC7">
        <w:rPr>
          <w:rFonts w:eastAsia="Arial Unicode MS" w:cs="Arial"/>
        </w:rPr>
        <w:t>Poly</w:t>
      </w:r>
      <w:r w:rsidR="00030C8A" w:rsidRPr="00794EC7">
        <w:rPr>
          <w:rFonts w:eastAsia="Arial Unicode MS" w:cs="Arial"/>
        </w:rPr>
        <w:t xml:space="preserve"> I:C mediated increase</w:t>
      </w:r>
      <w:r w:rsidR="003F7FB3" w:rsidRPr="00794EC7">
        <w:rPr>
          <w:rFonts w:eastAsia="Arial Unicode MS" w:cs="Arial"/>
        </w:rPr>
        <w:t xml:space="preserve"> in TNF</w:t>
      </w:r>
      <w:r w:rsidR="009719B7" w:rsidRPr="00794EC7">
        <w:rPr>
          <w:rFonts w:eastAsia="Arial Unicode MS" w:cs="Arial"/>
        </w:rPr>
        <w:t>-</w:t>
      </w:r>
      <w:r w:rsidR="003F7FB3" w:rsidRPr="00794EC7">
        <w:rPr>
          <w:rFonts w:eastAsia="Arial Unicode MS" w:cs="Arial"/>
        </w:rPr>
        <w:t>α</w:t>
      </w:r>
      <w:r w:rsidR="0063249B" w:rsidRPr="00794EC7">
        <w:rPr>
          <w:rFonts w:eastAsia="Arial Unicode MS" w:cs="Arial"/>
        </w:rPr>
        <w:t xml:space="preserve"> expression</w:t>
      </w:r>
      <w:r w:rsidR="008606D2" w:rsidRPr="00794EC7">
        <w:rPr>
          <w:rFonts w:eastAsia="Arial Unicode MS" w:cs="Arial"/>
        </w:rPr>
        <w:t xml:space="preserve">, which was </w:t>
      </w:r>
      <w:r w:rsidR="008E456D" w:rsidRPr="00794EC7">
        <w:rPr>
          <w:rFonts w:eastAsia="Arial Unicode MS" w:cs="Arial"/>
        </w:rPr>
        <w:t>significantly less</w:t>
      </w:r>
      <w:r w:rsidR="008606D2" w:rsidRPr="00794EC7">
        <w:rPr>
          <w:rFonts w:eastAsia="Arial Unicode MS" w:cs="Arial"/>
        </w:rPr>
        <w:t xml:space="preserve"> prominent in the EV-dpl samples. </w:t>
      </w:r>
      <w:r w:rsidR="00845C3B" w:rsidRPr="00794EC7">
        <w:rPr>
          <w:rFonts w:eastAsia="Times New Roman" w:cs="Arial"/>
          <w:szCs w:val="20"/>
          <w:lang w:eastAsia="en-GB"/>
        </w:rPr>
        <w:t xml:space="preserve">These results </w:t>
      </w:r>
      <w:r w:rsidR="008606D2" w:rsidRPr="00794EC7">
        <w:rPr>
          <w:rFonts w:eastAsia="Times New Roman" w:cs="Arial"/>
          <w:szCs w:val="20"/>
          <w:lang w:eastAsia="en-GB"/>
        </w:rPr>
        <w:t>we</w:t>
      </w:r>
      <w:r w:rsidR="00845C3B" w:rsidRPr="00794EC7">
        <w:rPr>
          <w:rFonts w:eastAsia="Times New Roman" w:cs="Arial"/>
          <w:szCs w:val="20"/>
          <w:lang w:eastAsia="en-GB"/>
        </w:rPr>
        <w:t xml:space="preserve">re supported by previous findings </w:t>
      </w:r>
      <w:r w:rsidR="00C954C3" w:rsidRPr="00794EC7">
        <w:rPr>
          <w:rFonts w:eastAsia="Times New Roman" w:cs="Arial"/>
          <w:szCs w:val="20"/>
          <w:lang w:eastAsia="en-GB"/>
        </w:rPr>
        <w:t xml:space="preserve">for other cell types/organs </w:t>
      </w:r>
      <w:r w:rsidR="00845C3B" w:rsidRPr="00794EC7">
        <w:rPr>
          <w:rFonts w:eastAsia="Times New Roman" w:cs="Arial"/>
          <w:szCs w:val="20"/>
          <w:lang w:eastAsia="en-GB"/>
        </w:rPr>
        <w:t>where</w:t>
      </w:r>
      <w:r w:rsidR="00165C60" w:rsidRPr="00794EC7">
        <w:rPr>
          <w:rFonts w:eastAsia="Times New Roman" w:cs="Arial"/>
          <w:szCs w:val="20"/>
          <w:lang w:eastAsia="en-GB"/>
        </w:rPr>
        <w:t xml:space="preserve"> milk</w:t>
      </w:r>
      <w:r w:rsidR="00845C3B" w:rsidRPr="00794EC7">
        <w:rPr>
          <w:rFonts w:eastAsia="Times New Roman" w:cs="Arial"/>
          <w:szCs w:val="20"/>
          <w:lang w:eastAsia="en-GB"/>
        </w:rPr>
        <w:t xml:space="preserve"> </w:t>
      </w:r>
      <w:r w:rsidR="00165C60" w:rsidRPr="00794EC7">
        <w:rPr>
          <w:rFonts w:eastAsia="Times New Roman" w:cs="Arial"/>
          <w:szCs w:val="20"/>
          <w:lang w:eastAsia="en-GB"/>
        </w:rPr>
        <w:t xml:space="preserve">or stem cell </w:t>
      </w:r>
      <w:r w:rsidR="001D71FC" w:rsidRPr="00794EC7">
        <w:rPr>
          <w:rFonts w:eastAsia="Arial Unicode MS" w:cs="Arial"/>
        </w:rPr>
        <w:t>EVs</w:t>
      </w:r>
      <w:r w:rsidR="006E7FD8" w:rsidRPr="00794EC7">
        <w:rPr>
          <w:rFonts w:eastAsia="Arial Unicode MS" w:cs="Arial"/>
        </w:rPr>
        <w:t xml:space="preserve"> </w:t>
      </w:r>
      <w:r w:rsidR="00165C60" w:rsidRPr="00794EC7">
        <w:rPr>
          <w:rFonts w:eastAsia="Arial Unicode MS" w:cs="Arial"/>
        </w:rPr>
        <w:t xml:space="preserve">respectively </w:t>
      </w:r>
      <w:r w:rsidR="006E7FD8" w:rsidRPr="00794EC7">
        <w:rPr>
          <w:rFonts w:eastAsia="Arial Unicode MS" w:cs="Arial"/>
        </w:rPr>
        <w:t>reduce</w:t>
      </w:r>
      <w:r w:rsidR="008E456D" w:rsidRPr="00794EC7">
        <w:rPr>
          <w:rFonts w:eastAsia="Arial Unicode MS" w:cs="Arial"/>
        </w:rPr>
        <w:t>d</w:t>
      </w:r>
      <w:r w:rsidR="006E7FD8" w:rsidRPr="00794EC7">
        <w:rPr>
          <w:rFonts w:eastAsia="Arial Unicode MS" w:cs="Arial"/>
        </w:rPr>
        <w:t xml:space="preserve"> </w:t>
      </w:r>
      <w:r w:rsidR="009E15D0" w:rsidRPr="00794EC7">
        <w:rPr>
          <w:rFonts w:eastAsia="Arial Unicode MS" w:cs="Arial"/>
        </w:rPr>
        <w:t>IL-6 produc</w:t>
      </w:r>
      <w:r w:rsidR="008F6641" w:rsidRPr="00794EC7">
        <w:rPr>
          <w:rFonts w:eastAsia="Arial Unicode MS" w:cs="Arial"/>
        </w:rPr>
        <w:t xml:space="preserve">tion in </w:t>
      </w:r>
      <w:r w:rsidR="009E15D0" w:rsidRPr="00794EC7">
        <w:rPr>
          <w:rFonts w:eastAsia="Arial Unicode MS" w:cs="Arial"/>
        </w:rPr>
        <w:t xml:space="preserve">a murine macrophage cell line </w:t>
      </w:r>
      <w:r w:rsidR="009E15D0" w:rsidRPr="00794EC7">
        <w:rPr>
          <w:rFonts w:eastAsia="Arial Unicode MS" w:cs="Arial"/>
        </w:rPr>
        <w:fldChar w:fldCharType="begin" w:fldLock="1"/>
      </w:r>
      <w:r w:rsidR="00044FAA" w:rsidRPr="00794EC7">
        <w:rPr>
          <w:rFonts w:eastAsia="Arial Unicode MS" w:cs="Arial"/>
        </w:rPr>
        <w:instrText>ADDIN CSL_CITATION {"citationItems":[{"id":"ITEM-1","itemData":{"DOI":"10.3390/dairy2020015","abstract":"In milk and milk products, small membrane-enclosed vesicles can be found, commonly termed extracellular vesicles (EVs). Milk-derived EVs have previously been suggested to have immunoregulatory properties, especially important for infants without a fully functioning immune system. In the present study, EV fractions were isolated from human milk, mature and colostrum bovine milk, and two dairy fractions, and successively surveyed for their immunomodulating effects on lipopolysaccharide (LPS)-stimulated macrophages (RAW264.7). RAW264.7 cell material and supernatant were evaluated by monitoring degradation of IκBα in the NF-κB pathway, and IL-6 and IL-1β cytokine production, using Western blotting and enzyme-linked immunosorbent assaying, respectively. The results revealed that preincubation with EVs derived from raw human and bovine milk lowered the LPS-activated response of the NF-κB pathway. Additionally, it was found that preincubation with EVs, from human and bovine milk as well as dairy whey or skim milk-derived fractions, decreased secretion of proinflammatory cytokines from LPS-activated RAW264.7 cells. The findings that milk-derived EVs can change the inflammatory response in macrophages support the notion that milk EVs have an important role in mother-to-infant communication and protection of a newborn.","author":[{"dropping-particle":"","family":"Ascanius","given":"Susanne R.","non-dropping-particle":"","parse-names":false,"suffix":""},{"dropping-particle":"","family":"Hansen","given":"Maria S.","non-dropping-particle":"","parse-names":false,"suffix":""},{"dropping-particle":"","family":"Ostenfeld","given":"Marie S.","non-dropping-particle":"","parse-names":false,"suffix":""},{"dropping-particle":"","family":"Rasmussen","given":"Jan T.","non-dropping-particle":"","parse-names":false,"suffix":""}],"container-title":"Dairy","id":"ITEM-1","issue":"2","issued":{"date-parts":[["2021"]]},"page":"165-178","title":"Milk-Derived Extracellular Vesicles Suppress Inflammatory Cytokine Expression and Nuclear Factor-κB Activation in Lipopolysaccharide-Stimulated Macrophages","type":"article-journal","volume":"2"},"uris":["http://www.mendeley.com/documents/?uuid=cabc462d-80fd-4d51-bace-d1128afa722a"]}],"mendeley":{"formattedCitation":"[25]","plainTextFormattedCitation":"[25]","previouslyFormattedCitation":"[25]"},"properties":{"noteIndex":0},"schema":"https://github.com/citation-style-language/schema/raw/master/csl-citation.json"}</w:instrText>
      </w:r>
      <w:r w:rsidR="009E15D0" w:rsidRPr="00794EC7">
        <w:rPr>
          <w:rFonts w:eastAsia="Arial Unicode MS" w:cs="Arial"/>
        </w:rPr>
        <w:fldChar w:fldCharType="separate"/>
      </w:r>
      <w:r w:rsidR="003C43A1" w:rsidRPr="00794EC7">
        <w:rPr>
          <w:rFonts w:eastAsia="Arial Unicode MS" w:cs="Arial"/>
          <w:noProof/>
        </w:rPr>
        <w:t>[25]</w:t>
      </w:r>
      <w:r w:rsidR="009E15D0" w:rsidRPr="00794EC7">
        <w:rPr>
          <w:rFonts w:eastAsia="Arial Unicode MS" w:cs="Arial"/>
        </w:rPr>
        <w:fldChar w:fldCharType="end"/>
      </w:r>
      <w:r w:rsidR="00845C3B" w:rsidRPr="00794EC7">
        <w:rPr>
          <w:rFonts w:eastAsia="Arial Unicode MS" w:cs="Arial"/>
        </w:rPr>
        <w:t xml:space="preserve"> </w:t>
      </w:r>
      <w:r w:rsidR="00C954C3" w:rsidRPr="00794EC7">
        <w:rPr>
          <w:rFonts w:eastAsia="Arial Unicode MS" w:cs="Arial"/>
        </w:rPr>
        <w:t xml:space="preserve">or </w:t>
      </w:r>
      <w:r w:rsidR="00030C8A" w:rsidRPr="00794EC7">
        <w:rPr>
          <w:rFonts w:eastAsia="Arial Unicode MS" w:cs="Arial"/>
        </w:rPr>
        <w:t xml:space="preserve">in </w:t>
      </w:r>
      <w:r w:rsidR="00F064A1" w:rsidRPr="00794EC7">
        <w:rPr>
          <w:rFonts w:eastAsia="Arial Unicode MS" w:cs="Arial"/>
        </w:rPr>
        <w:t xml:space="preserve">primary </w:t>
      </w:r>
      <w:r w:rsidR="00C954C3" w:rsidRPr="00794EC7">
        <w:rPr>
          <w:rFonts w:eastAsia="Arial Unicode MS" w:cs="Arial"/>
        </w:rPr>
        <w:t xml:space="preserve">monocyte derived dendritic cells in response to LPS </w:t>
      </w:r>
      <w:r w:rsidR="00C954C3" w:rsidRPr="00794EC7">
        <w:rPr>
          <w:rFonts w:eastAsia="Arial Unicode MS" w:cs="Arial"/>
        </w:rPr>
        <w:fldChar w:fldCharType="begin" w:fldLock="1"/>
      </w:r>
      <w:r w:rsidR="00044FAA" w:rsidRPr="00794EC7">
        <w:rPr>
          <w:rFonts w:eastAsia="Arial Unicode MS" w:cs="Arial"/>
        </w:rPr>
        <w:instrText>ADDIN CSL_CITATION {"citationItems":[{"id":"ITEM-1","itemData":{"DOI":"10.3389/fimmu.2018.02538","ISSN":"16643224","PMID":"30473695","abstract":"Mesenchymal stromal cells (MSCs) are potent regulators of immune responses largely through paracrine signaling. MSC secreted extracellular vesicles (MSC-EVs) are increasingly recognized as the key paracrine factors responsible for the biological and therapeutic function of MSCs. We report the first comprehensive study demonstrating the immunomodulatory effect of MSC-EVs on dendritic cell (DC) maturation and function. MSC-EVs were isolated from MSC conditioned media using differential ultracentrifugation. Human monocyte-derived DCs were generated in the absence or presence of MSC-EVs (20 ug/ml) then subjected to phenotypic and functional analysis in vitro. MSC-EV treatment impaired antigen uptake by immature DCs and halted DC maturation resulting in reduced expression of the maturation and activation markers CD83, CD38, and CD80, decreased secretion of pro-inflammatory cytokines IL-6 and IL-12p70 and increased production of anti-inflammatory cytokine TGF-β. MSC-EV treated DCs also demonstrated a diminished CCR 7 expression after LPS stimulation, coupled with a significantly reduced ability to migrate toward the CCR7-ligand CCL21, although they were still able to stimulate allogeneic T cell proliferation in vitro. Through microRNA profiling we have identified 49 microRNAs, which were significantly enriched in MSC-EVs compared to their parent MSCs. MicroRNAs with known effect on DC maturation and functions, including miR-21-5p, miR-142-3p, miR-223-3p, and miR-126-3p, were detected within the top 10 most enriched miRNAs in MSC-EVs, with MiR-21-5p as the third highest expressed miRNA in MSC-EVs. In silico analysis revealed that miR-21-5p targets the CCR7 gene for degradation. To verify these observations, DCs were transfected with miR-21-5p mimics and analyzed for their ability to migrate toward the CCR7-ligand CCL21 in vitro. MiR-21-5p mimic transfected DCs showed a clear trend of reduced CCR7 expression and a significantly decreased migratory ability toward the CCL21. Our findings suggest that MSC-EVs are able to recapitulate MSC mediated DC modulation and MSC-EV enclosed microRNAs may represent a novel mechanism through which MSCs modulate DC functions. As MSCs are currently used in clinical trials to treat numerous diseases associated with immune dysregulation, such as graft-versus-host disease and inflammatory bowel disease, our data provide novel evidence to inform potential future application of MSC-EVs as a cell-free therapeutic agent.","author":[{"dropping-particle":"","family":"Reis","given":"Monica","non-dropping-particle":"","parse-names":false,"suffix":""},{"dropping-particle":"","family":"Mavin","given":"Emily","non-dropping-particle":"","parse-names":false,"suffix":""},{"dropping-particle":"","family":"Nicholson","given":"Lindsay","non-dropping-particle":"","parse-names":false,"suffix":""},{"dropping-particle":"","family":"Green","given":"Kile","non-dropping-particle":"","parse-names":false,"suffix":""},{"dropping-particle":"","family":"Dickinson","given":"Anne M.","non-dropping-particle":"","parse-names":false,"suffix":""},{"dropping-particle":"","family":"Wang","given":"Xiao Nong","non-dropping-particle":"","parse-names":false,"suffix":""}],"container-title":"Frontiers in Immunology","id":"ITEM-1","issue":"NOV","issued":{"date-parts":[["2018"]]},"page":"1-14","title":"Mesenchymal stromal cell-derived extracellular vesicles attenuate dendritic cell maturation and function","type":"article-journal","volume":"9"},"uris":["http://www.mendeley.com/documents/?uuid=04a4252d-7138-4302-8c16-e351f76c6335"]}],"mendeley":{"formattedCitation":"[26]","plainTextFormattedCitation":"[26]","previouslyFormattedCitation":"[26]"},"properties":{"noteIndex":0},"schema":"https://github.com/citation-style-language/schema/raw/master/csl-citation.json"}</w:instrText>
      </w:r>
      <w:r w:rsidR="00C954C3" w:rsidRPr="00794EC7">
        <w:rPr>
          <w:rFonts w:eastAsia="Arial Unicode MS" w:cs="Arial"/>
        </w:rPr>
        <w:fldChar w:fldCharType="separate"/>
      </w:r>
      <w:r w:rsidR="003C43A1" w:rsidRPr="00794EC7">
        <w:rPr>
          <w:rFonts w:eastAsia="Arial Unicode MS" w:cs="Arial"/>
          <w:noProof/>
        </w:rPr>
        <w:t>[26]</w:t>
      </w:r>
      <w:r w:rsidR="00C954C3" w:rsidRPr="00794EC7">
        <w:rPr>
          <w:rFonts w:eastAsia="Arial Unicode MS" w:cs="Arial"/>
        </w:rPr>
        <w:fldChar w:fldCharType="end"/>
      </w:r>
      <w:r w:rsidR="00C954C3" w:rsidRPr="00794EC7">
        <w:rPr>
          <w:rFonts w:eastAsia="Arial Unicode MS" w:cs="Arial"/>
        </w:rPr>
        <w:fldChar w:fldCharType="begin" w:fldLock="1"/>
      </w:r>
      <w:r w:rsidR="00044FAA" w:rsidRPr="00794EC7">
        <w:rPr>
          <w:rFonts w:eastAsia="Arial Unicode MS" w:cs="Arial"/>
        </w:rPr>
        <w:instrText>ADDIN CSL_CITATION {"citationItems":[{"id":"ITEM-1","itemData":{"DOI":"10.3389/fimmu.2019.02663","ISSN":"16643224","PMID":"31849929","abstract":"The immunosuppressive potential of mesenchymal stem cells has been extensively investigated in many studies in vivo and in vitro. In recent years, a variety preclinical and clinical studies have demonstrated that mesenchymal stem cells ameliorate immune-mediated disorders, including autoimmune diseases. However, to date mesenchymal stem cells have not become a widely used therapeutic agent due to safety challenges, high cost and difficulties in providing long term production. A key mechanism underpinning the immunomodulatory effect of MSCs is the production of paracrine factors including growth factors, cytokines, chemokines, and extracellular vesicles (EVs). MSCs derived EVs have become an attractive therapeutic agent for immunomodulation and treatment of immune-mediated disorders. In addition to many preclinical studies of MSCs derived EVs, their beneficial effects have been observed in patients with both acute graft-vs.-host disease and chronic kidney disease. In this review, we discuss the current findings in the field of MSCs derived EVs-based therapies in immune-mediated disorders and approaches to scale EV production for clinical use.","author":[{"dropping-particle":"","family":"Gomzikova","given":"Marina O.","non-dropping-particle":"","parse-names":false,"suffix":""},{"dropping-particle":"","family":"James","given":"Victoria","non-dropping-particle":"","parse-names":false,"suffix":""},{"dropping-particle":"","family":"Rizvanov","given":"Albert A.","non-dropping-particle":"","parse-names":false,"suffix":""}],"container-title":"Frontiers in Immunology","id":"ITEM-1","issue":"November","issued":{"date-parts":[["2019"]]},"page":"1-9","title":"Therapeutic Application of Mesenchymal Stem Cells Derived Extracellular Vesicles for Immunomodulation","type":"article-journal","volume":"10"},"uris":["http://www.mendeley.com/documents/?uuid=f5c5147c-33fa-4d62-8326-fb88259b733b"]}],"mendeley":{"formattedCitation":"[27]","plainTextFormattedCitation":"[27]","previouslyFormattedCitation":"[27]"},"properties":{"noteIndex":0},"schema":"https://github.com/citation-style-language/schema/raw/master/csl-citation.json"}</w:instrText>
      </w:r>
      <w:r w:rsidR="00C954C3" w:rsidRPr="00794EC7">
        <w:rPr>
          <w:rFonts w:eastAsia="Arial Unicode MS" w:cs="Arial"/>
        </w:rPr>
        <w:fldChar w:fldCharType="separate"/>
      </w:r>
      <w:r w:rsidR="003C43A1" w:rsidRPr="00794EC7">
        <w:rPr>
          <w:rFonts w:eastAsia="Arial Unicode MS" w:cs="Arial"/>
          <w:noProof/>
        </w:rPr>
        <w:t>[27]</w:t>
      </w:r>
      <w:r w:rsidR="00C954C3" w:rsidRPr="00794EC7">
        <w:rPr>
          <w:rFonts w:eastAsia="Arial Unicode MS" w:cs="Arial"/>
        </w:rPr>
        <w:fldChar w:fldCharType="end"/>
      </w:r>
      <w:r w:rsidR="00C954C3" w:rsidRPr="00794EC7">
        <w:rPr>
          <w:rFonts w:eastAsia="Arial Unicode MS" w:cs="Arial"/>
        </w:rPr>
        <w:t xml:space="preserve">. </w:t>
      </w:r>
      <w:r w:rsidR="00F064A1" w:rsidRPr="00794EC7">
        <w:rPr>
          <w:rFonts w:eastAsia="Arial Unicode MS" w:cs="Arial"/>
        </w:rPr>
        <w:t>IL-6 and TNF</w:t>
      </w:r>
      <w:r w:rsidR="009719B7" w:rsidRPr="00794EC7">
        <w:rPr>
          <w:rFonts w:eastAsia="Arial Unicode MS" w:cs="Arial"/>
        </w:rPr>
        <w:t>-</w:t>
      </w:r>
      <w:r w:rsidR="00F064A1" w:rsidRPr="00794EC7">
        <w:rPr>
          <w:rFonts w:eastAsia="Arial Unicode MS" w:cs="Arial"/>
        </w:rPr>
        <w:t xml:space="preserve">α were </w:t>
      </w:r>
      <w:r w:rsidR="008F6641" w:rsidRPr="00794EC7">
        <w:rPr>
          <w:rFonts w:eastAsia="Arial Unicode MS" w:cs="Arial"/>
        </w:rPr>
        <w:t xml:space="preserve">also </w:t>
      </w:r>
      <w:r w:rsidR="00F064A1" w:rsidRPr="00794EC7">
        <w:rPr>
          <w:rFonts w:eastAsia="Arial Unicode MS" w:cs="Arial"/>
        </w:rPr>
        <w:t xml:space="preserve">reduced in </w:t>
      </w:r>
      <w:r w:rsidR="00845C3B" w:rsidRPr="00794EC7">
        <w:rPr>
          <w:rFonts w:eastAsia="Arial Unicode MS" w:cs="Arial"/>
        </w:rPr>
        <w:t xml:space="preserve">a colitic murine model </w:t>
      </w:r>
      <w:r w:rsidR="009E15D0" w:rsidRPr="00794EC7">
        <w:rPr>
          <w:rFonts w:eastAsia="Arial Unicode MS" w:cs="Arial"/>
        </w:rPr>
        <w:fldChar w:fldCharType="begin" w:fldLock="1"/>
      </w:r>
      <w:r w:rsidR="00044FAA" w:rsidRPr="00794EC7">
        <w:rPr>
          <w:rFonts w:eastAsia="Arial Unicode MS" w:cs="Arial"/>
        </w:rPr>
        <w:instrText>ADDIN CSL_CITATION {"citationItems":[{"id":"ITEM-1","itemData":{"DOI":"10.1038/s41598-019-51092-1","ISBN":"4159801951","ISSN":"20452322","PMID":"31601878","abstract":"Extracellular vesicles (EVs) are involved in cell-to-cell communication and modulation of numerous physiological and pathological processes. EVs are found in large quantities in milk and contain several inflammation- and immunity-modulating proteins and microRNAs, through which they exert beneficial effects in several inflammatory disease models. Here, we investigated the effects of two EV subsets, concentrated from commercial cow’s milk, on a murine model of colitis induced with dextran sodium sulfate (DSS). P35K EVs, isolated by ultracentrifugation at 35,000 g, and P100K EVs, isolated at 100,000 g, were previously characterized and administered by gavage to healthy and DSS-treated mice. P35K EVs and, to a lesser extent, P100K EVs improved several outcomes associated to DSS-induced colitis, modulated the gut microbiota, restored intestinal impermeability and replenished mucin secretion. Also, P35K EVs modulated innate immunity, while P100K EVs decreased inflammation through the downregulation of colitis-associated microRNAs, especially miR-125b, associated with a higher expression of the NFκB inhibitor TNFAIP3 (A20). These results suggest that different milk EV subsets may improve colitis outcomes through different, and possibly complementary, mechanisms. Further unveiling of these mechanisms might offer new opportunities for improving the life of patients with colitis and be of importance for milk processing, infant milk formulation and general public health.","author":[{"dropping-particle":"","family":"Benmoussa","given":"Abderrahim","non-dropping-particle":"","parse-names":false,"suffix":""},{"dropping-particle":"","family":"Diallo","given":"Idrissa","non-dropping-particle":"","parse-names":false,"suffix":""},{"dropping-particle":"","family":"Salem","given":"Mabrouka","non-dropping-particle":"","parse-names":false,"suffix":""},{"dropping-particle":"","family":"Michel","given":"Sara","non-dropping-particle":"","parse-names":false,"suffix":""},{"dropping-particle":"","family":"Gilbert","given":"Caroline","non-dropping-particle":"","parse-names":false,"suffix":""},{"dropping-particle":"","family":"Sévigny","given":"Jean","non-dropping-particle":"","parse-names":false,"suffix":""},{"dropping-particle":"","family":"Provost","given":"Patrick","non-dropping-particle":"","parse-names":false,"suffix":""}],"container-title":"Scientific Reports","id":"ITEM-1","issue":"1","issued":{"date-parts":[["2019"]]},"page":"1-16","title":"Concentrates of two subsets of extracellular vesicles from cow’s milk modulate symptoms and inflammation in experimental colitis","type":"article-journal","volume":"9"},"uris":["http://www.mendeley.com/documents/?uuid=b4a6e1e4-82db-4627-99aa-750f781d0dd2"]}],"mendeley":{"formattedCitation":"[28]","plainTextFormattedCitation":"[28]","previouslyFormattedCitation":"[28]"},"properties":{"noteIndex":0},"schema":"https://github.com/citation-style-language/schema/raw/master/csl-citation.json"}</w:instrText>
      </w:r>
      <w:r w:rsidR="009E15D0" w:rsidRPr="00794EC7">
        <w:rPr>
          <w:rFonts w:eastAsia="Arial Unicode MS" w:cs="Arial"/>
        </w:rPr>
        <w:fldChar w:fldCharType="separate"/>
      </w:r>
      <w:r w:rsidR="003C43A1" w:rsidRPr="00794EC7">
        <w:rPr>
          <w:rFonts w:eastAsia="Arial Unicode MS" w:cs="Arial"/>
          <w:noProof/>
        </w:rPr>
        <w:t>[28]</w:t>
      </w:r>
      <w:r w:rsidR="009E15D0" w:rsidRPr="00794EC7">
        <w:rPr>
          <w:rFonts w:eastAsia="Arial Unicode MS" w:cs="Arial"/>
        </w:rPr>
        <w:fldChar w:fldCharType="end"/>
      </w:r>
      <w:r w:rsidR="00F064A1" w:rsidRPr="00794EC7">
        <w:rPr>
          <w:rFonts w:eastAsia="Arial Unicode MS" w:cs="Arial"/>
        </w:rPr>
        <w:t xml:space="preserve"> and </w:t>
      </w:r>
      <w:r w:rsidR="00036B63" w:rsidRPr="00794EC7">
        <w:rPr>
          <w:rFonts w:eastAsia="Arial Unicode MS" w:cs="Arial"/>
        </w:rPr>
        <w:t xml:space="preserve">in </w:t>
      </w:r>
      <w:r w:rsidR="00F064A1" w:rsidRPr="00794EC7">
        <w:rPr>
          <w:rFonts w:eastAsia="Arial Unicode MS" w:cs="Arial"/>
        </w:rPr>
        <w:t xml:space="preserve">a hepatic murine cell line </w:t>
      </w:r>
      <w:r w:rsidR="00F064A1" w:rsidRPr="00794EC7">
        <w:rPr>
          <w:rFonts w:eastAsia="Arial Unicode MS" w:cs="Arial"/>
        </w:rPr>
        <w:fldChar w:fldCharType="begin" w:fldLock="1"/>
      </w:r>
      <w:r w:rsidR="00044FAA" w:rsidRPr="00794EC7">
        <w:rPr>
          <w:rFonts w:eastAsia="Arial Unicode MS" w:cs="Arial"/>
        </w:rPr>
        <w:instrText>ADDIN CSL_CITATION {"citationItems":[{"id":"ITEM-1","itemData":{"DOI":"10.1002/lt.24770","ISSN":"15276473","PMID":"28407355","abstract":"Hepatic ischemia/reperfusion injury (IRI) and associated inflammation contributes to liver dysfunction and complications after liver surgery and transplantation. Mesenchymal stem cells (MSCs) have been reported to reduce hepatic IRI because of their reparative immunomodulatory effects in injured tissues. Recent studies have highlighted beneficial effects of extracellular vesicles from mesenchymal stem cells (MSC-EV) on tissue injury. The effects of systemically administered mouse bone marrow–derived MSC-EV were evaluated in an experimental murine model of hepatic IRI induced by cross-clamping the hepatic artery and portal vein for 90 minutes followed by reperfusion for periods of up to 6 hours. Compared with controls, intravenous administration of MSC-EV 30 minutes prior to IRI dramatically reduced the extent of tissue necrosis, decreased caspase 3–positive and apoptotic cells, and reduced serum aminotransferase levels. MSC-EV increased hepatic messenger RNA (mRNA) expression of NACHT, LRR, and PYD domains-containing protein 12, and the chemokine (C-X-C motif) ligand 1, and reduced mRNA expression of several inflammatory cytokines such as interleukin 6 during IRI. MSC-EV increased cell viability and suppressed both oxidative injury and nuclear factor kappa B activity in murine hepatocytes in vitro. In conclusion, the administration of extracellular vesicles derived from bone marrow–derived MSCs may ameliorate hepatic IRI by reducing hepatic injury through modulation of the inflammatory response.Liver Transplantation 23 791–803 2017 AASLD.","author":[{"dropping-particle":"","family":"Haga","given":"Hiroaki","non-dropping-particle":"","parse-names":false,"suffix":""},{"dropping-particle":"","family":"Yan","given":"Irene K.","non-dropping-particle":"","parse-names":false,"suffix":""},{"dropping-particle":"","family":"Borrelli","given":"David A.","non-dropping-particle":"","parse-names":false,"suffix":""},{"dropping-particle":"","family":"Matsuda","given":"Akiko","non-dropping-particle":"","parse-names":false,"suffix":""},{"dropping-particle":"","family":"Parasramka","given":"Mansi","non-dropping-particle":"","parse-names":false,"suffix":""},{"dropping-particle":"","family":"Shukla","given":"Neha","non-dropping-particle":"","parse-names":false,"suffix":""},{"dropping-particle":"","family":"Lee","given":"David D.","non-dropping-particle":"","parse-names":false,"suffix":""},{"dropping-particle":"","family":"Patel","given":"Tushar","non-dropping-particle":"","parse-names":false,"suffix":""}],"container-title":"Liver Transplantation","id":"ITEM-1","issue":"6","issued":{"date-parts":[["2017"]]},"page":"791-803","title":"Extracellular vesicles from bone marrow–derived mesenchymal stem cells protect against murine hepatic ischemia/reperfusion injury","type":"article","volume":"23"},"uris":["http://www.mendeley.com/documents/?uuid=c4786c1f-b1f2-4533-b60a-ca25f9cce67e"]}],"mendeley":{"formattedCitation":"[29]","plainTextFormattedCitation":"[29]","previouslyFormattedCitation":"[29]"},"properties":{"noteIndex":0},"schema":"https://github.com/citation-style-language/schema/raw/master/csl-citation.json"}</w:instrText>
      </w:r>
      <w:r w:rsidR="00F064A1" w:rsidRPr="00794EC7">
        <w:rPr>
          <w:rFonts w:eastAsia="Arial Unicode MS" w:cs="Arial"/>
        </w:rPr>
        <w:fldChar w:fldCharType="separate"/>
      </w:r>
      <w:r w:rsidR="003C43A1" w:rsidRPr="00794EC7">
        <w:rPr>
          <w:rFonts w:eastAsia="Arial Unicode MS" w:cs="Arial"/>
          <w:noProof/>
        </w:rPr>
        <w:t>[29]</w:t>
      </w:r>
      <w:r w:rsidR="00F064A1" w:rsidRPr="00794EC7">
        <w:rPr>
          <w:rFonts w:eastAsia="Arial Unicode MS" w:cs="Arial"/>
        </w:rPr>
        <w:fldChar w:fldCharType="end"/>
      </w:r>
      <w:r w:rsidR="00F064A1" w:rsidRPr="00794EC7">
        <w:rPr>
          <w:rFonts w:eastAsia="Arial Unicode MS" w:cs="Arial"/>
        </w:rPr>
        <w:t>.</w:t>
      </w:r>
      <w:r w:rsidR="006070FF" w:rsidRPr="00794EC7">
        <w:rPr>
          <w:rFonts w:eastAsia="Arial Unicode MS" w:cs="Arial"/>
        </w:rPr>
        <w:t xml:space="preserve"> </w:t>
      </w:r>
      <w:r w:rsidR="00847327" w:rsidRPr="00794EC7">
        <w:rPr>
          <w:rFonts w:eastAsia="Arial Unicode MS" w:cs="Arial"/>
        </w:rPr>
        <w:t>Likewise,</w:t>
      </w:r>
      <w:r w:rsidR="00030C8A" w:rsidRPr="00794EC7">
        <w:rPr>
          <w:rFonts w:eastAsia="Arial Unicode MS" w:cs="Arial"/>
        </w:rPr>
        <w:t xml:space="preserve"> i</w:t>
      </w:r>
      <w:r w:rsidR="00036B63" w:rsidRPr="00794EC7">
        <w:rPr>
          <w:rFonts w:eastAsia="Arial Unicode MS" w:cs="Arial"/>
        </w:rPr>
        <w:t>n an</w:t>
      </w:r>
      <w:r w:rsidR="006070FF" w:rsidRPr="00794EC7">
        <w:rPr>
          <w:rFonts w:eastAsia="Arial Unicode MS" w:cs="Arial"/>
        </w:rPr>
        <w:t xml:space="preserve"> oral epithelial model</w:t>
      </w:r>
      <w:r w:rsidR="00036B63" w:rsidRPr="00794EC7">
        <w:rPr>
          <w:rFonts w:eastAsia="Arial Unicode MS" w:cs="Arial"/>
        </w:rPr>
        <w:t xml:space="preserve">, </w:t>
      </w:r>
      <w:r w:rsidR="00560399" w:rsidRPr="00794EC7">
        <w:rPr>
          <w:rFonts w:eastAsia="Arial Unicode MS" w:cs="Arial"/>
        </w:rPr>
        <w:t xml:space="preserve">milk </w:t>
      </w:r>
      <w:r w:rsidR="00036B63" w:rsidRPr="00794EC7">
        <w:rPr>
          <w:rFonts w:eastAsia="Arial Unicode MS" w:cs="Arial"/>
        </w:rPr>
        <w:t xml:space="preserve">EVs were found to downregulate TLR-3 activation via reduction of IL-8 and IL-6 expression </w:t>
      </w:r>
      <w:r w:rsidR="00036B63" w:rsidRPr="00794EC7">
        <w:rPr>
          <w:rFonts w:eastAsia="Arial Unicode MS" w:cs="Arial"/>
        </w:rPr>
        <w:fldChar w:fldCharType="begin" w:fldLock="1"/>
      </w:r>
      <w:r w:rsidR="0012451B" w:rsidRPr="00794EC7">
        <w:rPr>
          <w:rFonts w:eastAsia="Arial Unicode MS" w:cs="Arial"/>
        </w:rPr>
        <w:instrText>ADDIN CSL_CITATION {"citationItems":[{"id":"ITEM-1","itemData":{"DOI":"10.1002/jev2.12071","ISSN":"2001-3078","abstract":"Maternal milk is natures first functional food. It plays a crucial role in the development of the infants gastrointestinal (GI) tract and the immune system. Extracellular vesicles (EVs) are a heterogeneous population of lipid bilayer enclosed vesicles released by cells for intercellular communication and are a component of milk. Recently we discovered that human milk EVs contain a unique proteome compared to other milk components. Here we show that physiological concentrations of milk EVs support epithelial barrier function by increasing cell migration via the p38 MAPK pathway. Additionally milk EVs inhibit agonist-induced activation of endosomal Toll like receptors TLR3 and TLR9. Furthermore milk EVs directly inhibit activation of CD4+ T cells by temporarily suppressing T cell activation without inducing tolerance. We show that milk EV proteins target key hotspots of signalling networks that can modulate cellular processes in various cell types of the GI tract","author":[{"dropping-particle":"","family":"Zonneveld","given":"Marijke I","non-dropping-particle":"","parse-names":false,"suffix":""},{"dropping-particle":"","family":"Herwijn</w:instrText>
      </w:r>
      <w:r w:rsidR="0012451B" w:rsidRPr="00794EC7">
        <w:rPr>
          <w:rFonts w:eastAsia="Arial Unicode MS" w:cs="Arial" w:hint="eastAsia"/>
        </w:rPr>
        <w:instrText>en","given":"Martijn J.C.","non-dropping-particle":"","parse-names":false,"suffix":""},{"dropping-particle":"","family":"Fernandez</w:instrText>
      </w:r>
      <w:r w:rsidR="0012451B" w:rsidRPr="00794EC7">
        <w:rPr>
          <w:rFonts w:eastAsia="Arial Unicode MS" w:cs="Arial" w:hint="eastAsia"/>
        </w:rPr>
        <w:instrText>‐</w:instrText>
      </w:r>
      <w:r w:rsidR="0012451B" w:rsidRPr="00794EC7">
        <w:rPr>
          <w:rFonts w:eastAsia="Arial Unicode MS" w:cs="Arial" w:hint="eastAsia"/>
        </w:rPr>
        <w:instrText>Gutierrez","given":"Marcela M.","non-dropping-particle":"","parse-names":false,"suffix":""},{"dropping-particle":"","family"</w:instrText>
      </w:r>
      <w:r w:rsidR="0012451B" w:rsidRPr="00794EC7">
        <w:rPr>
          <w:rFonts w:eastAsia="Arial Unicode MS" w:cs="Arial"/>
        </w:rPr>
        <w:instrText>:"Giovanazzi","given":"Alberta","non-dropping-particle":"","parse-names":false,"suffix":""},{"dropping-particle":"","family":"Groot","given":"Anne Marit","non-dropping-particle":"","parse-names":false,"suffix":""},{"dropping-particle":"","family":"Kleinjan","given":"Marije","non-dropping-particle":"","parse-names":false,"suffix":""},{"dropping-particle":"","family":"Capel","given":"Toni M.M.","non-dropping-particle":"","parse-names":false,"suffix":""},{"dropping-particle":"","family":"Sijts","given":"Alice J.A.M.","non-dropping-particle":"","parse-names":false,"suffix":""},{"dropping-particle":"","family":"Taams","given":"Leonie S","non-dropping-particle":"","parse-names":false,"suffix":""},{"dropping-particle":"","family":"Garssen","given":"Johan","non-dropping-particle":"","parse-names":false,"suffix":""},{"dropping-particle":"","family":"Jong","given":"Esther C.","non-dropping-particle":"","parse-names":false,"suffix":""},{"dropping-particle":"","family":"Kleerebezem","given":"Michiel","non-dropping-pa</w:instrText>
      </w:r>
      <w:r w:rsidR="0012451B" w:rsidRPr="00794EC7">
        <w:rPr>
          <w:rFonts w:eastAsia="Arial Unicode MS" w:cs="Arial" w:hint="eastAsia"/>
        </w:rPr>
        <w:instrText>rticle":"","parse-names":false,"suffix":""},{"dropping-particle":"","family":"Nolte</w:instrText>
      </w:r>
      <w:r w:rsidR="0012451B" w:rsidRPr="00794EC7">
        <w:rPr>
          <w:rFonts w:eastAsia="Arial Unicode MS" w:cs="Arial" w:hint="eastAsia"/>
        </w:rPr>
        <w:instrText>‐’</w:instrText>
      </w:r>
      <w:r w:rsidR="0012451B" w:rsidRPr="00794EC7">
        <w:rPr>
          <w:rFonts w:eastAsia="Arial Unicode MS" w:cs="Arial" w:hint="eastAsia"/>
        </w:rPr>
        <w:instrText>t Hoen","given":"Esther N.M.","non-dropping-particle":"","parse-names":false,"suffix":""},{"dropping-particle":"","family":"Redegeld","given":"Frank A","non-dropping-part</w:instrText>
      </w:r>
      <w:r w:rsidR="0012451B" w:rsidRPr="00794EC7">
        <w:rPr>
          <w:rFonts w:eastAsia="Arial Unicode MS" w:cs="Arial"/>
        </w:rPr>
        <w:instrText>icle":"","parse-names":false,"suffix":""},{"dropping-particle":"","family":"Wauben","given":"Marca H.M.","non-dropping-particle":"","parse-names":false,"suffix":""}],"container-title":"Journal of Extracellular Vesicles","id":"ITEM-1","issue":"5","issued":{"date-parts":[["2021","3","10"]]},"page":"1-33","title":"Human milk extracellular vesicles target nodes in interconnected signalling pathways that enhance oral epithelial barrier function and dampen immune responses","type":"article-journal","volume":"10"},"uris":["http://www.mendeley.com/documents/?uuid=63393057-d867-4895-a841-2a25c927482a"]}],"mendeley":{"formattedCitation":"[3]","plainTextFormattedCitation":"[3]","previouslyFormattedCitation":"[3]"},"properties":{"noteIndex":0},"schema":"https://github.com/citation-style-language/schema/raw/master/csl-citation.json"}</w:instrText>
      </w:r>
      <w:r w:rsidR="00036B63" w:rsidRPr="00794EC7">
        <w:rPr>
          <w:rFonts w:eastAsia="Arial Unicode MS" w:cs="Arial"/>
        </w:rPr>
        <w:fldChar w:fldCharType="separate"/>
      </w:r>
      <w:r w:rsidR="0012451B" w:rsidRPr="00794EC7">
        <w:rPr>
          <w:rFonts w:eastAsia="Arial Unicode MS" w:cs="Arial"/>
          <w:noProof/>
        </w:rPr>
        <w:t>[3]</w:t>
      </w:r>
      <w:r w:rsidR="00036B63" w:rsidRPr="00794EC7">
        <w:rPr>
          <w:rFonts w:eastAsia="Arial Unicode MS" w:cs="Arial"/>
        </w:rPr>
        <w:fldChar w:fldCharType="end"/>
      </w:r>
      <w:r w:rsidR="00036B63" w:rsidRPr="00794EC7">
        <w:rPr>
          <w:rFonts w:eastAsia="Arial Unicode MS" w:cs="Arial"/>
        </w:rPr>
        <w:t xml:space="preserve">. Thus, </w:t>
      </w:r>
      <w:r w:rsidR="00165C60" w:rsidRPr="00794EC7">
        <w:rPr>
          <w:rFonts w:eastAsia="Arial Unicode MS" w:cs="Arial"/>
        </w:rPr>
        <w:t xml:space="preserve">milk </w:t>
      </w:r>
      <w:r w:rsidR="001D71FC" w:rsidRPr="00794EC7">
        <w:rPr>
          <w:rFonts w:eastAsia="Arial Unicode MS" w:cs="Arial"/>
        </w:rPr>
        <w:t>EVs</w:t>
      </w:r>
      <w:r w:rsidR="00036B63" w:rsidRPr="00794EC7">
        <w:rPr>
          <w:rFonts w:eastAsia="Arial Unicode MS" w:cs="Arial"/>
        </w:rPr>
        <w:t xml:space="preserve"> are able to significantly modulate the inflammatory response by actively reducing the expression of </w:t>
      </w:r>
      <w:r w:rsidR="002904D4" w:rsidRPr="00794EC7">
        <w:rPr>
          <w:rFonts w:eastAsia="Arial Unicode MS" w:cs="Arial"/>
        </w:rPr>
        <w:t xml:space="preserve">inflammatory </w:t>
      </w:r>
      <w:r w:rsidR="00036B63" w:rsidRPr="00794EC7">
        <w:rPr>
          <w:rFonts w:eastAsia="Arial Unicode MS" w:cs="Arial"/>
        </w:rPr>
        <w:t>cytokines</w:t>
      </w:r>
      <w:r w:rsidR="002904D4" w:rsidRPr="00794EC7">
        <w:rPr>
          <w:rFonts w:eastAsia="Arial Unicode MS" w:cs="Arial"/>
        </w:rPr>
        <w:t>.</w:t>
      </w:r>
      <w:r w:rsidR="008606D2" w:rsidRPr="00794EC7">
        <w:rPr>
          <w:rFonts w:eastAsia="Arial Unicode MS" w:cs="Arial"/>
        </w:rPr>
        <w:t xml:space="preserve"> </w:t>
      </w:r>
    </w:p>
    <w:p w14:paraId="5A2B4632" w14:textId="77777777" w:rsidR="00431725" w:rsidRPr="00794EC7" w:rsidRDefault="00431725" w:rsidP="00902F19">
      <w:pPr>
        <w:pStyle w:val="Title"/>
      </w:pPr>
    </w:p>
    <w:p w14:paraId="63EB4959" w14:textId="003A5DC0" w:rsidR="0014295B" w:rsidRPr="00794EC7" w:rsidRDefault="0014295B" w:rsidP="00902F19">
      <w:pPr>
        <w:pStyle w:val="Title"/>
      </w:pPr>
      <w:r w:rsidRPr="00794EC7">
        <w:t>Conclusion</w:t>
      </w:r>
    </w:p>
    <w:p w14:paraId="7272781A" w14:textId="35F91810" w:rsidR="008E456D" w:rsidRPr="00794EC7" w:rsidRDefault="00496EAC">
      <w:r w:rsidRPr="00794EC7">
        <w:t xml:space="preserve">This </w:t>
      </w:r>
      <w:r w:rsidR="00444FE7" w:rsidRPr="00794EC7">
        <w:t>work</w:t>
      </w:r>
      <w:r w:rsidRPr="00794EC7">
        <w:t xml:space="preserve"> </w:t>
      </w:r>
      <w:r w:rsidR="00883872" w:rsidRPr="00794EC7">
        <w:t>demonstrate</w:t>
      </w:r>
      <w:r w:rsidRPr="00794EC7">
        <w:t>s</w:t>
      </w:r>
      <w:r w:rsidR="00883872" w:rsidRPr="00794EC7">
        <w:t xml:space="preserve"> that milk </w:t>
      </w:r>
      <w:r w:rsidR="001D71FC" w:rsidRPr="00794EC7">
        <w:t>EVs</w:t>
      </w:r>
      <w:r w:rsidR="00883872" w:rsidRPr="00794EC7">
        <w:t xml:space="preserve"> can modulate </w:t>
      </w:r>
      <w:r w:rsidRPr="00794EC7">
        <w:t xml:space="preserve">the </w:t>
      </w:r>
      <w:r w:rsidR="00883872" w:rsidRPr="00794EC7">
        <w:t xml:space="preserve">TLR-3 response </w:t>
      </w:r>
      <w:r w:rsidR="00853B8A" w:rsidRPr="00794EC7">
        <w:t>(</w:t>
      </w:r>
      <w:r w:rsidRPr="00794EC7">
        <w:t xml:space="preserve">induced by </w:t>
      </w:r>
      <w:r w:rsidR="002679E3" w:rsidRPr="00794EC7">
        <w:t>Poly</w:t>
      </w:r>
      <w:r w:rsidR="00853B8A" w:rsidRPr="00794EC7">
        <w:t xml:space="preserve"> I:C) </w:t>
      </w:r>
      <w:r w:rsidR="00883872" w:rsidRPr="00794EC7">
        <w:t>of bronchial epithelial cells</w:t>
      </w:r>
      <w:r w:rsidR="003C40B1" w:rsidRPr="00794EC7">
        <w:t xml:space="preserve"> </w:t>
      </w:r>
      <w:r w:rsidR="003C40B1" w:rsidRPr="00794EC7">
        <w:rPr>
          <w:i/>
          <w:iCs/>
        </w:rPr>
        <w:t>in vitro</w:t>
      </w:r>
      <w:r w:rsidR="00883872" w:rsidRPr="00794EC7">
        <w:t xml:space="preserve"> </w:t>
      </w:r>
      <w:r w:rsidR="005B1170" w:rsidRPr="00794EC7">
        <w:t>by</w:t>
      </w:r>
      <w:r w:rsidR="00883872" w:rsidRPr="00794EC7">
        <w:t xml:space="preserve"> </w:t>
      </w:r>
      <w:r w:rsidR="00853B8A" w:rsidRPr="00794EC7">
        <w:t xml:space="preserve">maintaining ionic </w:t>
      </w:r>
      <w:r w:rsidR="00883872" w:rsidRPr="00794EC7">
        <w:t>barrier integrity</w:t>
      </w:r>
      <w:r w:rsidR="00853B8A" w:rsidRPr="00794EC7">
        <w:t xml:space="preserve"> and </w:t>
      </w:r>
      <w:r w:rsidR="00883872" w:rsidRPr="00794EC7">
        <w:t>cellular organisation</w:t>
      </w:r>
      <w:r w:rsidR="00853B8A" w:rsidRPr="00794EC7">
        <w:t xml:space="preserve"> (occludin tight junctions and actin cytoskeleton)</w:t>
      </w:r>
      <w:r w:rsidRPr="00794EC7">
        <w:t>. I</w:t>
      </w:r>
      <w:r w:rsidR="00853B8A" w:rsidRPr="00794EC7">
        <w:t xml:space="preserve">n </w:t>
      </w:r>
      <w:r w:rsidR="008026F4" w:rsidRPr="00794EC7">
        <w:t>addition,</w:t>
      </w:r>
      <w:r w:rsidR="00853B8A" w:rsidRPr="00794EC7">
        <w:t xml:space="preserve"> </w:t>
      </w:r>
      <w:r w:rsidRPr="00794EC7">
        <w:t xml:space="preserve">EVs </w:t>
      </w:r>
      <w:r w:rsidR="00853B8A" w:rsidRPr="00794EC7">
        <w:t>reduc</w:t>
      </w:r>
      <w:r w:rsidRPr="00794EC7">
        <w:t>e</w:t>
      </w:r>
      <w:r w:rsidR="00853B8A" w:rsidRPr="00794EC7">
        <w:t xml:space="preserve"> or inhibit</w:t>
      </w:r>
      <w:r w:rsidRPr="00794EC7">
        <w:t xml:space="preserve"> </w:t>
      </w:r>
      <w:r w:rsidR="00853B8A" w:rsidRPr="00794EC7">
        <w:t xml:space="preserve">apical and basolateral inflammatory </w:t>
      </w:r>
      <w:r w:rsidR="00883872" w:rsidRPr="00794EC7">
        <w:t xml:space="preserve">cytokine </w:t>
      </w:r>
      <w:r w:rsidR="00883872" w:rsidRPr="00794EC7">
        <w:rPr>
          <w:rFonts w:cs="Arial"/>
        </w:rPr>
        <w:t>production</w:t>
      </w:r>
      <w:r w:rsidR="00853B8A" w:rsidRPr="00794EC7">
        <w:rPr>
          <w:rFonts w:cs="Arial"/>
        </w:rPr>
        <w:t xml:space="preserve"> (IL-6, IL-8 and TNF</w:t>
      </w:r>
      <w:r w:rsidR="009719B7" w:rsidRPr="00794EC7">
        <w:rPr>
          <w:rFonts w:cs="Arial"/>
        </w:rPr>
        <w:t>-</w:t>
      </w:r>
      <w:r w:rsidR="00853B8A" w:rsidRPr="00794EC7">
        <w:rPr>
          <w:rFonts w:eastAsia="Arial Unicode MS" w:cs="Arial"/>
        </w:rPr>
        <w:t>α</w:t>
      </w:r>
      <w:r w:rsidR="00853B8A" w:rsidRPr="00794EC7">
        <w:t>)</w:t>
      </w:r>
      <w:r w:rsidR="00504E5D" w:rsidRPr="00794EC7">
        <w:t xml:space="preserve">, </w:t>
      </w:r>
      <w:r w:rsidRPr="00794EC7">
        <w:t xml:space="preserve">in </w:t>
      </w:r>
      <w:r w:rsidR="00504E5D" w:rsidRPr="00794EC7">
        <w:t xml:space="preserve">a concentration and time dependent </w:t>
      </w:r>
      <w:r w:rsidRPr="00794EC7">
        <w:t>manner</w:t>
      </w:r>
      <w:r w:rsidR="00504E5D" w:rsidRPr="00794EC7">
        <w:t xml:space="preserve">. </w:t>
      </w:r>
      <w:r w:rsidRPr="00794EC7">
        <w:t>A</w:t>
      </w:r>
      <w:r w:rsidR="00883872" w:rsidRPr="00794EC7">
        <w:t xml:space="preserve"> better understanding of the </w:t>
      </w:r>
      <w:r w:rsidR="003C40B1" w:rsidRPr="00794EC7">
        <w:t>physiological relevance</w:t>
      </w:r>
      <w:r w:rsidR="00883872" w:rsidRPr="00794EC7">
        <w:t xml:space="preserve"> between milk </w:t>
      </w:r>
      <w:r w:rsidR="001D71FC" w:rsidRPr="00794EC7">
        <w:t>EVs</w:t>
      </w:r>
      <w:r w:rsidR="00883872" w:rsidRPr="00794EC7">
        <w:t xml:space="preserve"> and the airways</w:t>
      </w:r>
      <w:r w:rsidRPr="00794EC7">
        <w:t xml:space="preserve"> is needed</w:t>
      </w:r>
      <w:r w:rsidR="00883872" w:rsidRPr="00794EC7">
        <w:t xml:space="preserve">, as </w:t>
      </w:r>
      <w:r w:rsidR="00883872" w:rsidRPr="00794EC7">
        <w:rPr>
          <w:i/>
          <w:iCs/>
        </w:rPr>
        <w:t>in vivo</w:t>
      </w:r>
      <w:r w:rsidR="00883872" w:rsidRPr="00794EC7">
        <w:t xml:space="preserve"> small milk particles could be inhaled during breastfeeding</w:t>
      </w:r>
      <w:r w:rsidR="00431725" w:rsidRPr="00794EC7">
        <w:t xml:space="preserve"> and </w:t>
      </w:r>
      <w:r w:rsidR="00883872" w:rsidRPr="00794EC7">
        <w:t>provide a natural mechanism by which inflammation is regulated by breast milk.</w:t>
      </w:r>
      <w:r w:rsidR="00490557" w:rsidRPr="00794EC7">
        <w:t xml:space="preserve"> </w:t>
      </w:r>
      <w:r w:rsidR="00780710" w:rsidRPr="00794EC7">
        <w:t>As such milk EVs</w:t>
      </w:r>
      <w:r w:rsidR="00E610A6" w:rsidRPr="00794EC7">
        <w:t xml:space="preserve"> might</w:t>
      </w:r>
      <w:r w:rsidRPr="00794EC7">
        <w:t xml:space="preserve"> also </w:t>
      </w:r>
      <w:r w:rsidR="00490557" w:rsidRPr="00794EC7">
        <w:t>provid</w:t>
      </w:r>
      <w:r w:rsidRPr="00794EC7">
        <w:t>e the</w:t>
      </w:r>
      <w:r w:rsidR="00490557" w:rsidRPr="00794EC7">
        <w:t xml:space="preserve"> basis</w:t>
      </w:r>
      <w:r w:rsidRPr="00794EC7">
        <w:t xml:space="preserve"> for</w:t>
      </w:r>
      <w:r w:rsidR="00490557" w:rsidRPr="00794EC7">
        <w:t xml:space="preserve"> new </w:t>
      </w:r>
      <w:r w:rsidR="003C40B1" w:rsidRPr="00794EC7">
        <w:t xml:space="preserve">intranasal </w:t>
      </w:r>
      <w:r w:rsidR="00490557" w:rsidRPr="00794EC7">
        <w:t xml:space="preserve">therapeutics. </w:t>
      </w:r>
      <w:r w:rsidR="008D497C" w:rsidRPr="00794EC7">
        <w:t xml:space="preserve">Though future studies are required to further substantiate the physiological relevance.  </w:t>
      </w:r>
      <w:r w:rsidR="008E456D" w:rsidRPr="00794EC7">
        <w:br w:type="page"/>
      </w:r>
    </w:p>
    <w:p w14:paraId="263B9C60" w14:textId="22780C09" w:rsidR="005D49CA" w:rsidRPr="00794EC7" w:rsidRDefault="005D49CA" w:rsidP="00902F19">
      <w:pPr>
        <w:pStyle w:val="Title"/>
      </w:pPr>
      <w:r w:rsidRPr="00794EC7">
        <w:lastRenderedPageBreak/>
        <w:t>Acknowledgements</w:t>
      </w:r>
    </w:p>
    <w:p w14:paraId="1F40544F" w14:textId="25118C0A" w:rsidR="00881E2C" w:rsidRPr="00794EC7" w:rsidRDefault="00536AF8" w:rsidP="00902F19">
      <w:pPr>
        <w:rPr>
          <w:rFonts w:ascii="Times New Roman" w:eastAsia="Times New Roman" w:hAnsi="Times New Roman" w:cs="Times New Roman"/>
          <w:sz w:val="24"/>
          <w:lang w:eastAsia="en-GB"/>
        </w:rPr>
      </w:pPr>
      <w:r w:rsidRPr="00794EC7">
        <w:t xml:space="preserve">This work was funded by the </w:t>
      </w:r>
      <w:r w:rsidR="00222DF3" w:rsidRPr="00794EC7">
        <w:t xml:space="preserve">European union’s Horizon 2020 Framework Programme under the grant FETOPEN-801367 </w:t>
      </w:r>
      <w:r w:rsidR="00222DF3" w:rsidRPr="00794EC7">
        <w:rPr>
          <w:szCs w:val="20"/>
        </w:rPr>
        <w:t>evFoundry</w:t>
      </w:r>
      <w:r w:rsidR="00222DF3" w:rsidRPr="00794EC7">
        <w:rPr>
          <w:rStyle w:val="CommentReference"/>
          <w:sz w:val="20"/>
          <w:szCs w:val="20"/>
        </w:rPr>
        <w:t>. W</w:t>
      </w:r>
      <w:r w:rsidR="00CE7DBD" w:rsidRPr="00794EC7">
        <w:rPr>
          <w:szCs w:val="20"/>
        </w:rPr>
        <w:t xml:space="preserve">e would like to thank </w:t>
      </w:r>
      <w:r w:rsidR="00CE225E" w:rsidRPr="00794EC7">
        <w:rPr>
          <w:szCs w:val="20"/>
        </w:rPr>
        <w:t>Jonathan James of the</w:t>
      </w:r>
      <w:r w:rsidR="00CE7DBD" w:rsidRPr="00794EC7">
        <w:rPr>
          <w:szCs w:val="20"/>
        </w:rPr>
        <w:t xml:space="preserve"> Brooke Lab</w:t>
      </w:r>
      <w:r w:rsidR="00CE225E" w:rsidRPr="00794EC7">
        <w:rPr>
          <w:szCs w:val="20"/>
        </w:rPr>
        <w:t>, University of Southampton</w:t>
      </w:r>
      <w:r w:rsidR="00CE7DBD" w:rsidRPr="00794EC7">
        <w:rPr>
          <w:szCs w:val="20"/>
        </w:rPr>
        <w:t xml:space="preserve"> for provision of 16HBE14o</w:t>
      </w:r>
      <w:r w:rsidR="00CE7DBD" w:rsidRPr="00794EC7">
        <w:t xml:space="preserve">- cell stocks and </w:t>
      </w:r>
      <w:r w:rsidR="00CE7DBD" w:rsidRPr="00794EC7">
        <w:rPr>
          <w:szCs w:val="20"/>
        </w:rPr>
        <w:t>Jo</w:t>
      </w:r>
      <w:r w:rsidR="00CE7DBD" w:rsidRPr="00794EC7">
        <w:rPr>
          <w:rFonts w:eastAsia="Times New Roman" w:cs="Arial"/>
          <w:color w:val="202124"/>
          <w:szCs w:val="20"/>
          <w:shd w:val="clear" w:color="auto" w:fill="FFFFFF"/>
          <w:lang w:eastAsia="en-GB"/>
        </w:rPr>
        <w:t>ã</w:t>
      </w:r>
      <w:r w:rsidR="00CE7DBD" w:rsidRPr="00794EC7">
        <w:rPr>
          <w:szCs w:val="20"/>
        </w:rPr>
        <w:t xml:space="preserve">o </w:t>
      </w:r>
      <w:r w:rsidR="00CE7DBD" w:rsidRPr="00794EC7">
        <w:t xml:space="preserve">Fernandes </w:t>
      </w:r>
      <w:r w:rsidR="00CE225E" w:rsidRPr="00794EC7">
        <w:t xml:space="preserve">of the Centre of Hybrid Biodevices, University of Southampton </w:t>
      </w:r>
      <w:r w:rsidR="00CE7DBD" w:rsidRPr="00794EC7">
        <w:t xml:space="preserve">for his technical support. </w:t>
      </w:r>
    </w:p>
    <w:p w14:paraId="4BC31D3A" w14:textId="174507C7" w:rsidR="00881E2C" w:rsidRPr="00794EC7" w:rsidRDefault="00881E2C" w:rsidP="00902F19"/>
    <w:p w14:paraId="216EBDCC" w14:textId="38213371" w:rsidR="005D49CA" w:rsidRPr="00794EC7" w:rsidRDefault="005D49CA" w:rsidP="00902F19">
      <w:pPr>
        <w:pStyle w:val="Title"/>
      </w:pPr>
      <w:r w:rsidRPr="00794EC7">
        <w:t>Declaration of Interest Statement</w:t>
      </w:r>
    </w:p>
    <w:p w14:paraId="07097A8B" w14:textId="23DBCB5F" w:rsidR="00881E2C" w:rsidRPr="00794EC7" w:rsidRDefault="00902F19" w:rsidP="00902F19">
      <w:r w:rsidRPr="00794EC7">
        <w:t xml:space="preserve">The authors declare no conflicts of interest. </w:t>
      </w:r>
    </w:p>
    <w:p w14:paraId="16DF24EB" w14:textId="77777777" w:rsidR="00E41B12" w:rsidRPr="00794EC7" w:rsidRDefault="00E41B12" w:rsidP="00902F19">
      <w:pPr>
        <w:rPr>
          <w:rFonts w:eastAsiaTheme="majorEastAsia" w:cstheme="majorBidi"/>
          <w:b/>
          <w:spacing w:val="-10"/>
          <w:kern w:val="28"/>
          <w:sz w:val="28"/>
          <w:szCs w:val="56"/>
        </w:rPr>
      </w:pPr>
      <w:r w:rsidRPr="00794EC7">
        <w:br w:type="page"/>
      </w:r>
    </w:p>
    <w:p w14:paraId="420ACFE6" w14:textId="2FC4402F" w:rsidR="00FE22DB" w:rsidRPr="00794EC7" w:rsidRDefault="00F47F9C" w:rsidP="00902F19">
      <w:pPr>
        <w:pStyle w:val="Title"/>
      </w:pPr>
      <w:r w:rsidRPr="00794EC7">
        <w:lastRenderedPageBreak/>
        <w:t>References</w:t>
      </w:r>
    </w:p>
    <w:p w14:paraId="43DCADC8" w14:textId="2B0B7698" w:rsidR="00044FAA" w:rsidRPr="00794EC7" w:rsidRDefault="007C3591" w:rsidP="00044FAA">
      <w:pPr>
        <w:widowControl w:val="0"/>
        <w:autoSpaceDE w:val="0"/>
        <w:autoSpaceDN w:val="0"/>
        <w:adjustRightInd w:val="0"/>
        <w:ind w:left="640" w:hanging="640"/>
        <w:rPr>
          <w:rFonts w:cs="Arial"/>
          <w:noProof/>
        </w:rPr>
      </w:pPr>
      <w:r w:rsidRPr="00794EC7">
        <w:fldChar w:fldCharType="begin" w:fldLock="1"/>
      </w:r>
      <w:r w:rsidRPr="00794EC7">
        <w:instrText xml:space="preserve">ADDIN Mendeley Bibliography CSL_BIBLIOGRAPHY </w:instrText>
      </w:r>
      <w:r w:rsidRPr="00794EC7">
        <w:fldChar w:fldCharType="separate"/>
      </w:r>
      <w:r w:rsidR="00044FAA" w:rsidRPr="00794EC7">
        <w:rPr>
          <w:rFonts w:cs="Arial"/>
          <w:noProof/>
        </w:rPr>
        <w:t>[1]</w:t>
      </w:r>
      <w:r w:rsidR="00044FAA" w:rsidRPr="00794EC7">
        <w:rPr>
          <w:rFonts w:cs="Arial"/>
          <w:noProof/>
        </w:rPr>
        <w:tab/>
      </w:r>
      <w:r w:rsidR="00044FAA" w:rsidRPr="00794EC7">
        <w:rPr>
          <w:rFonts w:cs="Arial"/>
          <w:b/>
          <w:bCs/>
          <w:noProof/>
        </w:rPr>
        <w:t>J. D. Galley and G. E. Besner</w:t>
      </w:r>
      <w:r w:rsidR="00044FAA" w:rsidRPr="00794EC7">
        <w:rPr>
          <w:rFonts w:cs="Arial"/>
          <w:noProof/>
        </w:rPr>
        <w:t xml:space="preserve">, “The therapeutic potential of breast milk-derived extracellular vesicles,” </w:t>
      </w:r>
      <w:r w:rsidR="00044FAA" w:rsidRPr="00794EC7">
        <w:rPr>
          <w:rFonts w:cs="Arial"/>
          <w:i/>
          <w:iCs/>
          <w:noProof/>
        </w:rPr>
        <w:t>Nutrients</w:t>
      </w:r>
      <w:r w:rsidR="00044FAA" w:rsidRPr="00794EC7">
        <w:rPr>
          <w:rFonts w:cs="Arial"/>
          <w:noProof/>
        </w:rPr>
        <w:t>, vol. 12, no. 3, 2020, doi: 10.3390/nu12030745.</w:t>
      </w:r>
    </w:p>
    <w:p w14:paraId="04039E03"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w:t>
      </w:r>
      <w:r w:rsidRPr="00794EC7">
        <w:rPr>
          <w:rFonts w:cs="Arial"/>
          <w:noProof/>
        </w:rPr>
        <w:tab/>
      </w:r>
      <w:r w:rsidRPr="00794EC7">
        <w:rPr>
          <w:rFonts w:cs="Arial"/>
          <w:b/>
          <w:bCs/>
          <w:noProof/>
        </w:rPr>
        <w:t xml:space="preserve">C. Castellote </w:t>
      </w:r>
      <w:r w:rsidRPr="00794EC7">
        <w:rPr>
          <w:rFonts w:cs="Arial"/>
          <w:b/>
          <w:bCs/>
          <w:i/>
          <w:iCs/>
          <w:noProof/>
        </w:rPr>
        <w:t>et al.</w:t>
      </w:r>
      <w:r w:rsidRPr="00794EC7">
        <w:rPr>
          <w:rFonts w:cs="Arial"/>
          <w:noProof/>
        </w:rPr>
        <w:t xml:space="preserve">, “Premature delivery influences the immunological composition of colostrum and transitional and mature human milk,” </w:t>
      </w:r>
      <w:r w:rsidRPr="00794EC7">
        <w:rPr>
          <w:rFonts w:cs="Arial"/>
          <w:i/>
          <w:iCs/>
          <w:noProof/>
        </w:rPr>
        <w:t>J. Nutr.</w:t>
      </w:r>
      <w:r w:rsidRPr="00794EC7">
        <w:rPr>
          <w:rFonts w:cs="Arial"/>
          <w:noProof/>
        </w:rPr>
        <w:t>, vol. 141, no. 6, pp. 1181–1187, 2011, doi: 10.3945/jn.110.133652.</w:t>
      </w:r>
    </w:p>
    <w:p w14:paraId="19D19017"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[3]</w:t>
      </w:r>
      <w:r w:rsidRPr="00794EC7">
        <w:rPr>
          <w:rFonts w:cs="Arial"/>
          <w:noProof/>
        </w:rPr>
        <w:tab/>
      </w:r>
      <w:r w:rsidRPr="00794EC7">
        <w:rPr>
          <w:rFonts w:cs="Arial"/>
          <w:b/>
          <w:bCs/>
          <w:noProof/>
        </w:rPr>
        <w:t xml:space="preserve">M. I. Zonneveld </w:t>
      </w:r>
      <w:r w:rsidRPr="00794EC7">
        <w:rPr>
          <w:rFonts w:cs="Arial"/>
          <w:b/>
          <w:bCs/>
          <w:i/>
          <w:iCs/>
          <w:noProof/>
        </w:rPr>
        <w:t>et al.</w:t>
      </w:r>
      <w:r w:rsidRPr="00794EC7">
        <w:rPr>
          <w:rFonts w:cs="Arial"/>
          <w:noProof/>
        </w:rPr>
        <w:t xml:space="preserve">, “Human milk extracellular vesicles target nodes in interconnected signalling pathways that enhance oral epithelial barrier function and dampen immune responses,” </w:t>
      </w:r>
      <w:r w:rsidRPr="00794EC7">
        <w:rPr>
          <w:rFonts w:cs="Arial"/>
          <w:i/>
          <w:iCs/>
          <w:noProof/>
        </w:rPr>
        <w:t>J. Extracell. Vesicles</w:t>
      </w:r>
      <w:r w:rsidRPr="00794EC7">
        <w:rPr>
          <w:rFonts w:cs="Arial"/>
          <w:noProof/>
        </w:rPr>
        <w:t>, vol. 10, no. 5, pp. 1–33, Mar. 2021, doi: 10.1002/jev2.12071.</w:t>
      </w:r>
    </w:p>
    <w:p w14:paraId="17918246"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[4]</w:t>
      </w:r>
      <w:r w:rsidRPr="00794EC7">
        <w:rPr>
          <w:rFonts w:cs="Arial"/>
          <w:noProof/>
        </w:rPr>
        <w:tab/>
      </w:r>
      <w:r w:rsidRPr="00794EC7">
        <w:rPr>
          <w:rFonts w:cs="Arial"/>
          <w:b/>
          <w:bCs/>
          <w:noProof/>
        </w:rPr>
        <w:t xml:space="preserve">C. G. Victora </w:t>
      </w:r>
      <w:r w:rsidRPr="00794EC7">
        <w:rPr>
          <w:rFonts w:cs="Arial"/>
          <w:b/>
          <w:bCs/>
          <w:i/>
          <w:iCs/>
          <w:noProof/>
        </w:rPr>
        <w:t>et al.</w:t>
      </w:r>
      <w:r w:rsidRPr="00794EC7">
        <w:rPr>
          <w:rFonts w:cs="Arial"/>
          <w:noProof/>
        </w:rPr>
        <w:t xml:space="preserve">, “Breastfeeding in the 21st century: Epidemiology, mechanisms, and lifelong effect,” </w:t>
      </w:r>
      <w:r w:rsidRPr="00794EC7">
        <w:rPr>
          <w:rFonts w:cs="Arial"/>
          <w:i/>
          <w:iCs/>
          <w:noProof/>
        </w:rPr>
        <w:t>The Lancet</w:t>
      </w:r>
      <w:r w:rsidRPr="00794EC7">
        <w:rPr>
          <w:rFonts w:cs="Arial"/>
          <w:noProof/>
        </w:rPr>
        <w:t>, vol. 387, no. 10017. pp. 475–490, 2016, doi: 10.1016/S0140-6736(15)01024-7.</w:t>
      </w:r>
    </w:p>
    <w:p w14:paraId="443F6895"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[5]</w:t>
      </w:r>
      <w:r w:rsidRPr="00794EC7">
        <w:rPr>
          <w:rFonts w:cs="Arial"/>
          <w:noProof/>
        </w:rPr>
        <w:tab/>
      </w:r>
      <w:r w:rsidRPr="00794EC7">
        <w:rPr>
          <w:rFonts w:cs="Arial"/>
          <w:b/>
          <w:bCs/>
          <w:noProof/>
        </w:rPr>
        <w:t xml:space="preserve">M. J. C. Van Herwijnen </w:t>
      </w:r>
      <w:r w:rsidRPr="00794EC7">
        <w:rPr>
          <w:rFonts w:cs="Arial"/>
          <w:b/>
          <w:bCs/>
          <w:i/>
          <w:iCs/>
          <w:noProof/>
        </w:rPr>
        <w:t>et al.</w:t>
      </w:r>
      <w:r w:rsidRPr="00794EC7">
        <w:rPr>
          <w:rFonts w:cs="Arial"/>
          <w:noProof/>
        </w:rPr>
        <w:t xml:space="preserve">, “Comprehensive proteomic analysis of human milk-derived extracellular vesicles unveils a novel functional proteome distinct from other milk components,” </w:t>
      </w:r>
      <w:r w:rsidRPr="00794EC7">
        <w:rPr>
          <w:rFonts w:cs="Arial"/>
          <w:i/>
          <w:iCs/>
          <w:noProof/>
        </w:rPr>
        <w:t>Mol. Cell. Proteomics</w:t>
      </w:r>
      <w:r w:rsidRPr="00794EC7">
        <w:rPr>
          <w:rFonts w:cs="Arial"/>
          <w:noProof/>
        </w:rPr>
        <w:t>, vol. 15, no. 11, pp. 3412–3423, 2016, doi: 10.1074/mcp.M116.060426.</w:t>
      </w:r>
    </w:p>
    <w:p w14:paraId="4F9BFBF6"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[6]</w:t>
      </w:r>
      <w:r w:rsidRPr="00794EC7">
        <w:rPr>
          <w:rFonts w:cs="Arial"/>
          <w:noProof/>
        </w:rPr>
        <w:tab/>
      </w:r>
      <w:r w:rsidRPr="00794EC7">
        <w:rPr>
          <w:rFonts w:cs="Arial"/>
          <w:b/>
          <w:bCs/>
          <w:noProof/>
        </w:rPr>
        <w:t xml:space="preserve">M. I. Zonneveld </w:t>
      </w:r>
      <w:r w:rsidRPr="00794EC7">
        <w:rPr>
          <w:rFonts w:cs="Arial"/>
          <w:b/>
          <w:bCs/>
          <w:i/>
          <w:iCs/>
          <w:noProof/>
        </w:rPr>
        <w:t>et al.</w:t>
      </w:r>
      <w:r w:rsidRPr="00794EC7">
        <w:rPr>
          <w:rFonts w:cs="Arial"/>
          <w:noProof/>
        </w:rPr>
        <w:t xml:space="preserve">, “Recovery of extracellular vesicles from human breast milk is influenced by sample collection and vesicle isolation procedures,” </w:t>
      </w:r>
      <w:r w:rsidRPr="00794EC7">
        <w:rPr>
          <w:rFonts w:cs="Arial"/>
          <w:i/>
          <w:iCs/>
          <w:noProof/>
        </w:rPr>
        <w:t>J. Extracell. Vesicles</w:t>
      </w:r>
      <w:r w:rsidRPr="00794EC7">
        <w:rPr>
          <w:rFonts w:cs="Arial"/>
          <w:noProof/>
        </w:rPr>
        <w:t>, vol. 3, no. 1, p. 24215, Jan. 2014, doi: 10.3402/jev.v3.24215.</w:t>
      </w:r>
    </w:p>
    <w:p w14:paraId="2E1DF26C"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[7]</w:t>
      </w:r>
      <w:r w:rsidRPr="00794EC7">
        <w:rPr>
          <w:rFonts w:cs="Arial"/>
          <w:noProof/>
        </w:rPr>
        <w:tab/>
      </w:r>
      <w:r w:rsidRPr="00794EC7">
        <w:rPr>
          <w:rFonts w:cs="Arial"/>
          <w:b/>
          <w:bCs/>
          <w:noProof/>
        </w:rPr>
        <w:t xml:space="preserve">R. Gao </w:t>
      </w:r>
      <w:r w:rsidRPr="00794EC7">
        <w:rPr>
          <w:rFonts w:cs="Arial"/>
          <w:b/>
          <w:bCs/>
          <w:i/>
          <w:iCs/>
          <w:noProof/>
        </w:rPr>
        <w:t>et al.</w:t>
      </w:r>
      <w:r w:rsidRPr="00794EC7">
        <w:rPr>
          <w:rFonts w:cs="Arial"/>
          <w:noProof/>
        </w:rPr>
        <w:t xml:space="preserve">, “A comparison of exosomes derived from different periods breast milk on protecting against intestinal organoid injury,” </w:t>
      </w:r>
      <w:r w:rsidRPr="00794EC7">
        <w:rPr>
          <w:rFonts w:cs="Arial"/>
          <w:i/>
          <w:iCs/>
          <w:noProof/>
        </w:rPr>
        <w:t>Pediatr. Surg. Int.</w:t>
      </w:r>
      <w:r w:rsidRPr="00794EC7">
        <w:rPr>
          <w:rFonts w:cs="Arial"/>
          <w:noProof/>
        </w:rPr>
        <w:t>, vol. 35, no. 12, pp. 1363–1368, 2019, doi: 10.1007/s00383-019-04562-6.</w:t>
      </w:r>
    </w:p>
    <w:p w14:paraId="4DE9DBD8"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[8]</w:t>
      </w:r>
      <w:r w:rsidRPr="00794EC7">
        <w:rPr>
          <w:rFonts w:cs="Arial"/>
          <w:noProof/>
        </w:rPr>
        <w:tab/>
      </w:r>
      <w:r w:rsidRPr="00794EC7">
        <w:rPr>
          <w:rFonts w:cs="Arial"/>
          <w:b/>
          <w:bCs/>
          <w:noProof/>
        </w:rPr>
        <w:t xml:space="preserve">H. Miyake </w:t>
      </w:r>
      <w:r w:rsidRPr="00794EC7">
        <w:rPr>
          <w:rFonts w:cs="Arial"/>
          <w:b/>
          <w:bCs/>
          <w:i/>
          <w:iCs/>
          <w:noProof/>
        </w:rPr>
        <w:t>et al.</w:t>
      </w:r>
      <w:r w:rsidRPr="00794EC7">
        <w:rPr>
          <w:rFonts w:cs="Arial"/>
          <w:noProof/>
        </w:rPr>
        <w:t xml:space="preserve">, “Endothelin receptor B affects the perfusion of newborn intestine: possible mechanism of necrotizing enterocolitis development,” </w:t>
      </w:r>
      <w:r w:rsidRPr="00794EC7">
        <w:rPr>
          <w:rFonts w:cs="Arial"/>
          <w:i/>
          <w:iCs/>
          <w:noProof/>
        </w:rPr>
        <w:t>Pediatr. Surg. Int.</w:t>
      </w:r>
      <w:r w:rsidRPr="00794EC7">
        <w:rPr>
          <w:rFonts w:cs="Arial"/>
          <w:noProof/>
        </w:rPr>
        <w:t>, vol. 35, no. 12, pp. 1339–1343, 2019, doi: 10.1007/s00383-019-04559-1.</w:t>
      </w:r>
    </w:p>
    <w:p w14:paraId="1FA3D9AB"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[9]</w:t>
      </w:r>
      <w:r w:rsidRPr="00794EC7">
        <w:rPr>
          <w:rFonts w:cs="Arial"/>
          <w:noProof/>
        </w:rPr>
        <w:tab/>
      </w:r>
      <w:r w:rsidRPr="00794EC7">
        <w:rPr>
          <w:rFonts w:cs="Arial"/>
          <w:b/>
          <w:bCs/>
          <w:noProof/>
        </w:rPr>
        <w:t xml:space="preserve">P. Dong </w:t>
      </w:r>
      <w:r w:rsidRPr="00794EC7">
        <w:rPr>
          <w:rFonts w:cs="Arial"/>
          <w:b/>
          <w:bCs/>
          <w:i/>
          <w:iCs/>
          <w:noProof/>
        </w:rPr>
        <w:t>et al.</w:t>
      </w:r>
      <w:r w:rsidRPr="00794EC7">
        <w:rPr>
          <w:rFonts w:cs="Arial"/>
          <w:noProof/>
        </w:rPr>
        <w:t xml:space="preserve">, “Protective Effects of Human Milk-Derived Exosomes on Intestinal Stem Cells Damaged by Oxidative Stress,” </w:t>
      </w:r>
      <w:r w:rsidRPr="00794EC7">
        <w:rPr>
          <w:rFonts w:cs="Arial"/>
          <w:i/>
          <w:iCs/>
          <w:noProof/>
        </w:rPr>
        <w:t>Cell Transplant.</w:t>
      </w:r>
      <w:r w:rsidRPr="00794EC7">
        <w:rPr>
          <w:rFonts w:cs="Arial"/>
          <w:noProof/>
        </w:rPr>
        <w:t>, vol. 29, pp. 1–8, 2020, doi: 10.1177/0963689720912690.</w:t>
      </w:r>
    </w:p>
    <w:p w14:paraId="6BE233AF"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[10]</w:t>
      </w:r>
      <w:r w:rsidRPr="00794EC7">
        <w:rPr>
          <w:rFonts w:cs="Arial"/>
          <w:noProof/>
        </w:rPr>
        <w:tab/>
      </w:r>
      <w:r w:rsidRPr="00794EC7">
        <w:rPr>
          <w:rFonts w:cs="Arial"/>
          <w:b/>
          <w:bCs/>
          <w:noProof/>
        </w:rPr>
        <w:t>E. C. Goldfield, M. J. Richardson, K. G. Lee, and S. Margetts</w:t>
      </w:r>
      <w:r w:rsidRPr="00794EC7">
        <w:rPr>
          <w:rFonts w:cs="Arial"/>
          <w:noProof/>
        </w:rPr>
        <w:t xml:space="preserve">, “Coordination of sucking, swallowing, and breathing and oxygen saturation during early infant breast-feeding and bottle-feeding,” </w:t>
      </w:r>
      <w:r w:rsidRPr="00794EC7">
        <w:rPr>
          <w:rFonts w:cs="Arial"/>
          <w:i/>
          <w:iCs/>
          <w:noProof/>
        </w:rPr>
        <w:t>Pediatr. Res.</w:t>
      </w:r>
      <w:r w:rsidRPr="00794EC7">
        <w:rPr>
          <w:rFonts w:cs="Arial"/>
          <w:noProof/>
        </w:rPr>
        <w:t>, vol. 60, no. 4, pp. 450–455, 2006, doi: 10.1203/01.pdr.0000238378.24238.9d.</w:t>
      </w:r>
    </w:p>
    <w:p w14:paraId="5FE5B41D"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[11]</w:t>
      </w:r>
      <w:r w:rsidRPr="00794EC7">
        <w:rPr>
          <w:rFonts w:cs="Arial"/>
          <w:noProof/>
        </w:rPr>
        <w:tab/>
      </w:r>
      <w:r w:rsidRPr="00794EC7">
        <w:rPr>
          <w:rFonts w:cs="Arial"/>
          <w:b/>
          <w:bCs/>
          <w:noProof/>
        </w:rPr>
        <w:t>D. A. Ramirez and S. L. Bahna</w:t>
      </w:r>
      <w:r w:rsidRPr="00794EC7">
        <w:rPr>
          <w:rFonts w:cs="Arial"/>
          <w:noProof/>
        </w:rPr>
        <w:t xml:space="preserve">, “Food hypersensitivity by inhalation,” </w:t>
      </w:r>
      <w:r w:rsidRPr="00794EC7">
        <w:rPr>
          <w:rFonts w:cs="Arial"/>
          <w:i/>
          <w:iCs/>
          <w:noProof/>
        </w:rPr>
        <w:t>Clin. Mol. Allergy</w:t>
      </w:r>
      <w:r w:rsidRPr="00794EC7">
        <w:rPr>
          <w:rFonts w:cs="Arial"/>
          <w:noProof/>
        </w:rPr>
        <w:t>, vol. 7, pp. 1–6, 2009, doi: 10.1186/1476-7961-7-4.</w:t>
      </w:r>
    </w:p>
    <w:p w14:paraId="0A3B99F9"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[12]</w:t>
      </w:r>
      <w:r w:rsidRPr="00794EC7">
        <w:rPr>
          <w:rFonts w:cs="Arial"/>
          <w:noProof/>
        </w:rPr>
        <w:tab/>
      </w:r>
      <w:r w:rsidRPr="00794EC7">
        <w:rPr>
          <w:rFonts w:cs="Arial"/>
          <w:b/>
          <w:bCs/>
          <w:noProof/>
        </w:rPr>
        <w:t>N. Karra, E. J. Swindle, and H. Morgan</w:t>
      </w:r>
      <w:r w:rsidRPr="00794EC7">
        <w:rPr>
          <w:rFonts w:cs="Arial"/>
          <w:noProof/>
        </w:rPr>
        <w:t xml:space="preserve">, “Drug delivery for traditional and emerging airway models,” </w:t>
      </w:r>
      <w:r w:rsidRPr="00794EC7">
        <w:rPr>
          <w:rFonts w:cs="Arial"/>
          <w:i/>
          <w:iCs/>
          <w:noProof/>
        </w:rPr>
        <w:t>Organs-on-a-Chip</w:t>
      </w:r>
      <w:r w:rsidRPr="00794EC7">
        <w:rPr>
          <w:rFonts w:cs="Arial"/>
          <w:noProof/>
        </w:rPr>
        <w:t>, vol. 1, no. December 2019, p. 100002, 2020, doi: 10.1016/j.ooc.2020.100002.</w:t>
      </w:r>
    </w:p>
    <w:p w14:paraId="2B8EAC57"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[13]</w:t>
      </w:r>
      <w:r w:rsidRPr="00794EC7">
        <w:rPr>
          <w:rFonts w:cs="Arial"/>
          <w:noProof/>
        </w:rPr>
        <w:tab/>
      </w:r>
      <w:r w:rsidRPr="00794EC7">
        <w:rPr>
          <w:rFonts w:cs="Arial"/>
          <w:b/>
          <w:bCs/>
          <w:noProof/>
        </w:rPr>
        <w:t>S. T. Holgate, G. Roberts, H. S. Arshad, P. H. Howarth, and D. E. Davies</w:t>
      </w:r>
      <w:r w:rsidRPr="00794EC7">
        <w:rPr>
          <w:rFonts w:cs="Arial"/>
          <w:noProof/>
        </w:rPr>
        <w:t xml:space="preserve">, “The role of the airway epithelium and its interaction with environmental factors in asthma pathogenesis,” </w:t>
      </w:r>
      <w:r w:rsidRPr="00794EC7">
        <w:rPr>
          <w:rFonts w:cs="Arial"/>
          <w:i/>
          <w:iCs/>
          <w:noProof/>
        </w:rPr>
        <w:t>Proc. Am. Thorac. Soc.</w:t>
      </w:r>
      <w:r w:rsidRPr="00794EC7">
        <w:rPr>
          <w:rFonts w:cs="Arial"/>
          <w:noProof/>
        </w:rPr>
        <w:t>, vol. 6, no. 8, pp. 655–659, 2009, doi: 10.1513/pats.200907-072DP.</w:t>
      </w:r>
    </w:p>
    <w:p w14:paraId="1B765901"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[14]</w:t>
      </w:r>
      <w:r w:rsidRPr="00794EC7">
        <w:rPr>
          <w:rFonts w:cs="Arial"/>
          <w:noProof/>
        </w:rPr>
        <w:tab/>
      </w:r>
      <w:r w:rsidRPr="00794EC7">
        <w:rPr>
          <w:rFonts w:cs="Arial"/>
          <w:b/>
          <w:bCs/>
          <w:noProof/>
        </w:rPr>
        <w:t xml:space="preserve">J. Van Deun </w:t>
      </w:r>
      <w:r w:rsidRPr="00794EC7">
        <w:rPr>
          <w:rFonts w:cs="Arial"/>
          <w:b/>
          <w:bCs/>
          <w:i/>
          <w:iCs/>
          <w:noProof/>
        </w:rPr>
        <w:t>et al.</w:t>
      </w:r>
      <w:r w:rsidRPr="00794EC7">
        <w:rPr>
          <w:rFonts w:cs="Arial"/>
          <w:noProof/>
        </w:rPr>
        <w:t xml:space="preserve">, “EV-TRACK: Transparent reporting and centralizing knowledge in extracellular vesicle research,” </w:t>
      </w:r>
      <w:r w:rsidRPr="00794EC7">
        <w:rPr>
          <w:rFonts w:cs="Arial"/>
          <w:i/>
          <w:iCs/>
          <w:noProof/>
        </w:rPr>
        <w:t>Nat. Methods</w:t>
      </w:r>
      <w:r w:rsidRPr="00794EC7">
        <w:rPr>
          <w:rFonts w:cs="Arial"/>
          <w:noProof/>
        </w:rPr>
        <w:t>, vol. 14, no. 3, pp. 228–232, 2017, doi: 10.1038/nmeth.4185.</w:t>
      </w:r>
    </w:p>
    <w:p w14:paraId="26413536"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[15]</w:t>
      </w:r>
      <w:r w:rsidRPr="00794EC7">
        <w:rPr>
          <w:rFonts w:cs="Arial"/>
          <w:noProof/>
        </w:rPr>
        <w:tab/>
      </w:r>
      <w:r w:rsidRPr="00794EC7">
        <w:rPr>
          <w:rFonts w:cs="Arial"/>
          <w:b/>
          <w:bCs/>
          <w:noProof/>
        </w:rPr>
        <w:t>P. J. Callaghan, B. Ferrick, E. Rybakovsky, S. Thomas, and J. M. Mullin</w:t>
      </w:r>
      <w:r w:rsidRPr="00794EC7">
        <w:rPr>
          <w:rFonts w:cs="Arial"/>
          <w:noProof/>
        </w:rPr>
        <w:t xml:space="preserve">, “Epithelial barrier function properties of the 16HBE14o- human bronchial epithelial cell culture model,” </w:t>
      </w:r>
      <w:r w:rsidRPr="00794EC7">
        <w:rPr>
          <w:rFonts w:cs="Arial"/>
          <w:i/>
          <w:iCs/>
          <w:noProof/>
        </w:rPr>
        <w:t>Biosci. Rep.</w:t>
      </w:r>
      <w:r w:rsidRPr="00794EC7">
        <w:rPr>
          <w:rFonts w:cs="Arial"/>
          <w:noProof/>
        </w:rPr>
        <w:t>, vol. 40, no. 10, pp. 1–16, 2020, doi: 10.1042/BSR20201532.</w:t>
      </w:r>
    </w:p>
    <w:p w14:paraId="2EA314C9"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[16]</w:t>
      </w:r>
      <w:r w:rsidRPr="00794EC7">
        <w:rPr>
          <w:rFonts w:cs="Arial"/>
          <w:noProof/>
        </w:rPr>
        <w:tab/>
      </w:r>
      <w:r w:rsidRPr="00794EC7">
        <w:rPr>
          <w:rFonts w:cs="Arial"/>
          <w:b/>
          <w:bCs/>
          <w:noProof/>
        </w:rPr>
        <w:t>A. W. ming Chow, W. hung Ko, J. F. ting Liang, J. S. chong Wong, Y. Fu, and N. L. sang Tang</w:t>
      </w:r>
      <w:r w:rsidRPr="00794EC7">
        <w:rPr>
          <w:rFonts w:cs="Arial"/>
          <w:noProof/>
        </w:rPr>
        <w:t xml:space="preserve">, “Polarized secretion of interleukin (IL)-6 and IL-8 by human airway epithelia 16HBE14o- cells in response to cationic polypeptide challenge,” </w:t>
      </w:r>
      <w:r w:rsidRPr="00794EC7">
        <w:rPr>
          <w:rFonts w:cs="Arial"/>
          <w:i/>
          <w:iCs/>
          <w:noProof/>
        </w:rPr>
        <w:t>PLoS One</w:t>
      </w:r>
      <w:r w:rsidRPr="00794EC7">
        <w:rPr>
          <w:rFonts w:cs="Arial"/>
          <w:noProof/>
        </w:rPr>
        <w:t>, vol. 5, no. 8, 2010, doi: 10.1371/journal.pone.0012091.</w:t>
      </w:r>
    </w:p>
    <w:p w14:paraId="41613764"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[17]</w:t>
      </w:r>
      <w:r w:rsidRPr="00794EC7">
        <w:rPr>
          <w:rFonts w:cs="Arial"/>
          <w:noProof/>
        </w:rPr>
        <w:tab/>
      </w:r>
      <w:r w:rsidRPr="00794EC7">
        <w:rPr>
          <w:rFonts w:cs="Arial"/>
          <w:b/>
          <w:bCs/>
          <w:noProof/>
        </w:rPr>
        <w:t xml:space="preserve">A. R. Lever </w:t>
      </w:r>
      <w:r w:rsidRPr="00794EC7">
        <w:rPr>
          <w:rFonts w:cs="Arial"/>
          <w:b/>
          <w:bCs/>
          <w:i/>
          <w:iCs/>
          <w:noProof/>
        </w:rPr>
        <w:t>et al.</w:t>
      </w:r>
      <w:r w:rsidRPr="00794EC7">
        <w:rPr>
          <w:rFonts w:cs="Arial"/>
          <w:noProof/>
        </w:rPr>
        <w:t xml:space="preserve">, “Comprehensive evaluation of poly(I:C) induced inflammatory response in an airway epithelial model,” </w:t>
      </w:r>
      <w:r w:rsidRPr="00794EC7">
        <w:rPr>
          <w:rFonts w:cs="Arial"/>
          <w:i/>
          <w:iCs/>
          <w:noProof/>
        </w:rPr>
        <w:t>Physiol. Rep.</w:t>
      </w:r>
      <w:r w:rsidRPr="00794EC7">
        <w:rPr>
          <w:rFonts w:cs="Arial"/>
          <w:noProof/>
        </w:rPr>
        <w:t>, vol. 3, no. 4, pp. 1–11, 2015, doi: 10.14814/phy2.12334.</w:t>
      </w:r>
    </w:p>
    <w:p w14:paraId="4996BF09"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[18]</w:t>
      </w:r>
      <w:r w:rsidRPr="00794EC7">
        <w:rPr>
          <w:rFonts w:cs="Arial"/>
          <w:noProof/>
        </w:rPr>
        <w:tab/>
      </w:r>
      <w:r w:rsidRPr="00794EC7">
        <w:rPr>
          <w:rFonts w:cs="Arial"/>
          <w:b/>
          <w:bCs/>
          <w:noProof/>
        </w:rPr>
        <w:t>M. M. Leiva-Juárez, J. K. Kolls, and S. E. Evans</w:t>
      </w:r>
      <w:r w:rsidRPr="00794EC7">
        <w:rPr>
          <w:rFonts w:cs="Arial"/>
          <w:noProof/>
        </w:rPr>
        <w:t xml:space="preserve">, “Lung epithelial cells: Therapeutically inducible effectors of antimicrobial defense,” </w:t>
      </w:r>
      <w:r w:rsidRPr="00794EC7">
        <w:rPr>
          <w:rFonts w:cs="Arial"/>
          <w:i/>
          <w:iCs/>
          <w:noProof/>
        </w:rPr>
        <w:t>Mucosal Immunol.</w:t>
      </w:r>
      <w:r w:rsidRPr="00794EC7">
        <w:rPr>
          <w:rFonts w:cs="Arial"/>
          <w:noProof/>
        </w:rPr>
        <w:t>, vol. 11, no. 1, pp. 21–34, 2018, doi: 10.1038/mi.2017.71.</w:t>
      </w:r>
    </w:p>
    <w:p w14:paraId="372B8F97"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[19]</w:t>
      </w:r>
      <w:r w:rsidRPr="00794EC7">
        <w:rPr>
          <w:rFonts w:cs="Arial"/>
          <w:noProof/>
        </w:rPr>
        <w:tab/>
      </w:r>
      <w:r w:rsidRPr="00794EC7">
        <w:rPr>
          <w:rFonts w:cs="Arial"/>
          <w:b/>
          <w:bCs/>
          <w:noProof/>
        </w:rPr>
        <w:t>X. Xu-Chen, J. Weinstock, D. Rastogi, A. Koumbourlis, and G. Nino</w:t>
      </w:r>
      <w:r w:rsidRPr="00794EC7">
        <w:rPr>
          <w:rFonts w:cs="Arial"/>
          <w:noProof/>
        </w:rPr>
        <w:t xml:space="preserve">, “The airway epithelium during infancy and childhood: A complex multicellular immune barrier. Basic review for clinicians,” </w:t>
      </w:r>
      <w:r w:rsidRPr="00794EC7">
        <w:rPr>
          <w:rFonts w:cs="Arial"/>
          <w:i/>
          <w:iCs/>
          <w:noProof/>
        </w:rPr>
        <w:t>Paediatr. Respir. Rev.</w:t>
      </w:r>
      <w:r w:rsidRPr="00794EC7">
        <w:rPr>
          <w:rFonts w:cs="Arial"/>
          <w:noProof/>
        </w:rPr>
        <w:t>, vol. 38, pp. 9–15, 2021, doi: 10.1016/j.prrv.2021.04.002.</w:t>
      </w:r>
    </w:p>
    <w:p w14:paraId="1D306D19"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[20]</w:t>
      </w:r>
      <w:r w:rsidRPr="00794EC7">
        <w:rPr>
          <w:rFonts w:cs="Arial"/>
          <w:noProof/>
        </w:rPr>
        <w:tab/>
      </w:r>
      <w:r w:rsidRPr="00794EC7">
        <w:rPr>
          <w:rFonts w:cs="Arial"/>
          <w:b/>
          <w:bCs/>
          <w:noProof/>
        </w:rPr>
        <w:t>E. Kainonen, S. Rautava, and E. Isolauri</w:t>
      </w:r>
      <w:r w:rsidRPr="00794EC7">
        <w:rPr>
          <w:rFonts w:cs="Arial"/>
          <w:noProof/>
        </w:rPr>
        <w:t xml:space="preserve">, “Immunological programming by breast milk </w:t>
      </w:r>
      <w:r w:rsidRPr="00794EC7">
        <w:rPr>
          <w:rFonts w:cs="Arial"/>
          <w:noProof/>
        </w:rPr>
        <w:lastRenderedPageBreak/>
        <w:t xml:space="preserve">creates an anti-inflammatory cytokine milieu in breast-fed infants compared to formula-fed infants,” </w:t>
      </w:r>
      <w:r w:rsidRPr="00794EC7">
        <w:rPr>
          <w:rFonts w:cs="Arial"/>
          <w:i/>
          <w:iCs/>
          <w:noProof/>
        </w:rPr>
        <w:t>Br. J. Nutr.</w:t>
      </w:r>
      <w:r w:rsidRPr="00794EC7">
        <w:rPr>
          <w:rFonts w:cs="Arial"/>
          <w:noProof/>
        </w:rPr>
        <w:t>, vol. 109, no. 11, pp. 1962–1970, 2013, doi: 10.1017/S0007114512004229.</w:t>
      </w:r>
    </w:p>
    <w:p w14:paraId="65D6185E"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[21]</w:t>
      </w:r>
      <w:r w:rsidRPr="00794EC7">
        <w:rPr>
          <w:rFonts w:cs="Arial"/>
          <w:noProof/>
        </w:rPr>
        <w:tab/>
      </w:r>
      <w:r w:rsidRPr="00794EC7">
        <w:rPr>
          <w:rFonts w:cs="Arial"/>
          <w:b/>
          <w:bCs/>
          <w:noProof/>
        </w:rPr>
        <w:t>J. D. Thai and K. E. Gregory</w:t>
      </w:r>
      <w:r w:rsidRPr="00794EC7">
        <w:rPr>
          <w:rFonts w:cs="Arial"/>
          <w:noProof/>
        </w:rPr>
        <w:t xml:space="preserve">, “Bioactive Factors in Human Breast Milk Attenuate Intestinal Inflammation during Early Life,” </w:t>
      </w:r>
      <w:r w:rsidRPr="00794EC7">
        <w:rPr>
          <w:rFonts w:cs="Arial"/>
          <w:i/>
          <w:iCs/>
          <w:noProof/>
        </w:rPr>
        <w:t>Nutrients</w:t>
      </w:r>
      <w:r w:rsidRPr="00794EC7">
        <w:rPr>
          <w:rFonts w:cs="Arial"/>
          <w:noProof/>
        </w:rPr>
        <w:t>, vol. 12, no. 2, p. 581, Feb. 2020, doi: 10.3390/nu12020581.</w:t>
      </w:r>
    </w:p>
    <w:p w14:paraId="6171C881"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[22]</w:t>
      </w:r>
      <w:r w:rsidRPr="00794EC7">
        <w:rPr>
          <w:rFonts w:cs="Arial"/>
          <w:noProof/>
        </w:rPr>
        <w:tab/>
      </w:r>
      <w:r w:rsidRPr="00794EC7">
        <w:rPr>
          <w:rFonts w:cs="Arial"/>
          <w:b/>
          <w:bCs/>
          <w:noProof/>
        </w:rPr>
        <w:t xml:space="preserve">C. Théry </w:t>
      </w:r>
      <w:r w:rsidRPr="00794EC7">
        <w:rPr>
          <w:rFonts w:cs="Arial"/>
          <w:b/>
          <w:bCs/>
          <w:i/>
          <w:iCs/>
          <w:noProof/>
        </w:rPr>
        <w:t>et al.</w:t>
      </w:r>
      <w:r w:rsidRPr="00794EC7">
        <w:rPr>
          <w:rFonts w:cs="Arial"/>
          <w:noProof/>
        </w:rPr>
        <w:t xml:space="preserve">, “Minimal information for studies of extracellular vesicles 2018 (MISEV2018): a position statement of the International Society for Extracellular Vesicles and update of the MISEV2014 guidelines,” </w:t>
      </w:r>
      <w:r w:rsidRPr="00794EC7">
        <w:rPr>
          <w:rFonts w:cs="Arial"/>
          <w:i/>
          <w:iCs/>
          <w:noProof/>
        </w:rPr>
        <w:t>J. Extracell. Vesicles</w:t>
      </w:r>
      <w:r w:rsidRPr="00794EC7">
        <w:rPr>
          <w:rFonts w:cs="Arial"/>
          <w:noProof/>
        </w:rPr>
        <w:t>, vol. 7, no. 1, 2018, doi: 10.1080/20013078.2018.1535750.</w:t>
      </w:r>
    </w:p>
    <w:p w14:paraId="6525EE74"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[23]</w:t>
      </w:r>
      <w:r w:rsidRPr="00794EC7">
        <w:rPr>
          <w:rFonts w:cs="Arial"/>
          <w:noProof/>
        </w:rPr>
        <w:tab/>
      </w:r>
      <w:r w:rsidRPr="00794EC7">
        <w:rPr>
          <w:rFonts w:cs="Arial"/>
          <w:b/>
          <w:bCs/>
          <w:noProof/>
        </w:rPr>
        <w:t xml:space="preserve">F. Rezaee </w:t>
      </w:r>
      <w:r w:rsidRPr="00794EC7">
        <w:rPr>
          <w:rFonts w:cs="Arial"/>
          <w:b/>
          <w:bCs/>
          <w:i/>
          <w:iCs/>
          <w:noProof/>
        </w:rPr>
        <w:t>et al.</w:t>
      </w:r>
      <w:r w:rsidRPr="00794EC7">
        <w:rPr>
          <w:rFonts w:cs="Arial"/>
          <w:noProof/>
        </w:rPr>
        <w:t xml:space="preserve">, “Polyinosinic:polycytidylic acid induces protein kinase D–dependent disassembly of apical junctions and barrier dysfunction in airway epithelial cells,” </w:t>
      </w:r>
      <w:r w:rsidRPr="00794EC7">
        <w:rPr>
          <w:rFonts w:cs="Arial"/>
          <w:i/>
          <w:iCs/>
          <w:noProof/>
        </w:rPr>
        <w:t>J. Allergy Clin. Immunol.</w:t>
      </w:r>
      <w:r w:rsidRPr="00794EC7">
        <w:rPr>
          <w:rFonts w:cs="Arial"/>
          <w:noProof/>
        </w:rPr>
        <w:t>, vol. 128, no. 6, pp. 1216-1224.e11, Dec. 2011, doi: 10.1016/j.jaci.2011.08.035.</w:t>
      </w:r>
    </w:p>
    <w:p w14:paraId="7B39C010"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[24]</w:t>
      </w:r>
      <w:r w:rsidRPr="00794EC7">
        <w:rPr>
          <w:rFonts w:cs="Arial"/>
          <w:noProof/>
        </w:rPr>
        <w:tab/>
      </w:r>
      <w:r w:rsidRPr="00794EC7">
        <w:rPr>
          <w:rFonts w:cs="Arial"/>
          <w:b/>
          <w:bCs/>
          <w:noProof/>
        </w:rPr>
        <w:t xml:space="preserve">C. Blume </w:t>
      </w:r>
      <w:r w:rsidRPr="00794EC7">
        <w:rPr>
          <w:rFonts w:cs="Arial"/>
          <w:b/>
          <w:bCs/>
          <w:i/>
          <w:iCs/>
          <w:noProof/>
        </w:rPr>
        <w:t>et al.</w:t>
      </w:r>
      <w:r w:rsidRPr="00794EC7">
        <w:rPr>
          <w:rFonts w:cs="Arial"/>
          <w:noProof/>
        </w:rPr>
        <w:t xml:space="preserve">, “Temporal monitoring of differentiated human airway epithelial cells using microfluidics,” </w:t>
      </w:r>
      <w:r w:rsidRPr="00794EC7">
        <w:rPr>
          <w:rFonts w:cs="Arial"/>
          <w:i/>
          <w:iCs/>
          <w:noProof/>
        </w:rPr>
        <w:t>PLoS ONE</w:t>
      </w:r>
      <w:r w:rsidRPr="00794EC7">
        <w:rPr>
          <w:rFonts w:cs="Arial"/>
          <w:noProof/>
        </w:rPr>
        <w:t>, vol. 10, no. 10. 2015, doi: 10.1371/journal.pone.0139872.</w:t>
      </w:r>
    </w:p>
    <w:p w14:paraId="718A238A"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[25]</w:t>
      </w:r>
      <w:r w:rsidRPr="00794EC7">
        <w:rPr>
          <w:rFonts w:cs="Arial"/>
          <w:noProof/>
        </w:rPr>
        <w:tab/>
      </w:r>
      <w:r w:rsidRPr="00794EC7">
        <w:rPr>
          <w:rFonts w:cs="Arial"/>
          <w:b/>
          <w:bCs/>
          <w:noProof/>
        </w:rPr>
        <w:t>S. R. Ascanius, M. S. Hansen, M. S. Ostenfeld, and J. T. Rasmussen</w:t>
      </w:r>
      <w:r w:rsidRPr="00794EC7">
        <w:rPr>
          <w:rFonts w:cs="Arial"/>
          <w:noProof/>
        </w:rPr>
        <w:t xml:space="preserve">, “Milk-Derived Extracellular Vesicles Suppress Inflammatory Cytokine Expression and Nuclear Factor-κB Activation in Lipopolysaccharide-Stimulated Macrophages,” </w:t>
      </w:r>
      <w:r w:rsidRPr="00794EC7">
        <w:rPr>
          <w:rFonts w:cs="Arial"/>
          <w:i/>
          <w:iCs/>
          <w:noProof/>
        </w:rPr>
        <w:t>Dairy</w:t>
      </w:r>
      <w:r w:rsidRPr="00794EC7">
        <w:rPr>
          <w:rFonts w:cs="Arial"/>
          <w:noProof/>
        </w:rPr>
        <w:t>, vol. 2, no. 2, pp. 165–178, 2021, doi: 10.3390/dairy2020015.</w:t>
      </w:r>
    </w:p>
    <w:p w14:paraId="5B825D8B"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[26]</w:t>
      </w:r>
      <w:r w:rsidRPr="00794EC7">
        <w:rPr>
          <w:rFonts w:cs="Arial"/>
          <w:noProof/>
        </w:rPr>
        <w:tab/>
      </w:r>
      <w:r w:rsidRPr="00794EC7">
        <w:rPr>
          <w:rFonts w:cs="Arial"/>
          <w:b/>
          <w:bCs/>
          <w:noProof/>
        </w:rPr>
        <w:t>M. Reis, E. Mavin, L. Nicholson, K. Green, A. M. Dickinson, and X. N. Wang</w:t>
      </w:r>
      <w:r w:rsidRPr="00794EC7">
        <w:rPr>
          <w:rFonts w:cs="Arial"/>
          <w:noProof/>
        </w:rPr>
        <w:t xml:space="preserve">, “Mesenchymal stromal cell-derived extracellular vesicles attenuate dendritic cell maturation and function,” </w:t>
      </w:r>
      <w:r w:rsidRPr="00794EC7">
        <w:rPr>
          <w:rFonts w:cs="Arial"/>
          <w:i/>
          <w:iCs/>
          <w:noProof/>
        </w:rPr>
        <w:t>Front. Immunol.</w:t>
      </w:r>
      <w:r w:rsidRPr="00794EC7">
        <w:rPr>
          <w:rFonts w:cs="Arial"/>
          <w:noProof/>
        </w:rPr>
        <w:t>, vol. 9, no. NOV, pp. 1–14, 2018, doi: 10.3389/fimmu.2018.02538.</w:t>
      </w:r>
    </w:p>
    <w:p w14:paraId="334B7371"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[27]</w:t>
      </w:r>
      <w:r w:rsidRPr="00794EC7">
        <w:rPr>
          <w:rFonts w:cs="Arial"/>
          <w:noProof/>
        </w:rPr>
        <w:tab/>
      </w:r>
      <w:r w:rsidRPr="00794EC7">
        <w:rPr>
          <w:rFonts w:cs="Arial"/>
          <w:b/>
          <w:bCs/>
          <w:noProof/>
        </w:rPr>
        <w:t>M. O. Gomzikova, V. James, and A. A. Rizvanov</w:t>
      </w:r>
      <w:r w:rsidRPr="00794EC7">
        <w:rPr>
          <w:rFonts w:cs="Arial"/>
          <w:noProof/>
        </w:rPr>
        <w:t xml:space="preserve">, “Therapeutic Application of Mesenchymal Stem Cells Derived Extracellular Vesicles for Immunomodulation,” </w:t>
      </w:r>
      <w:r w:rsidRPr="00794EC7">
        <w:rPr>
          <w:rFonts w:cs="Arial"/>
          <w:i/>
          <w:iCs/>
          <w:noProof/>
        </w:rPr>
        <w:t>Front. Immunol.</w:t>
      </w:r>
      <w:r w:rsidRPr="00794EC7">
        <w:rPr>
          <w:rFonts w:cs="Arial"/>
          <w:noProof/>
        </w:rPr>
        <w:t>, vol. 10, no. November, pp. 1–9, 2019, doi: 10.3389/fimmu.2019.02663.</w:t>
      </w:r>
    </w:p>
    <w:p w14:paraId="709876A3"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[28]</w:t>
      </w:r>
      <w:r w:rsidRPr="00794EC7">
        <w:rPr>
          <w:rFonts w:cs="Arial"/>
          <w:noProof/>
        </w:rPr>
        <w:tab/>
      </w:r>
      <w:r w:rsidRPr="00794EC7">
        <w:rPr>
          <w:rFonts w:cs="Arial"/>
          <w:b/>
          <w:bCs/>
          <w:noProof/>
        </w:rPr>
        <w:t xml:space="preserve">A. Benmoussa </w:t>
      </w:r>
      <w:r w:rsidRPr="00794EC7">
        <w:rPr>
          <w:rFonts w:cs="Arial"/>
          <w:b/>
          <w:bCs/>
          <w:i/>
          <w:iCs/>
          <w:noProof/>
        </w:rPr>
        <w:t>et al.</w:t>
      </w:r>
      <w:r w:rsidRPr="00794EC7">
        <w:rPr>
          <w:rFonts w:cs="Arial"/>
          <w:noProof/>
        </w:rPr>
        <w:t xml:space="preserve">, “Concentrates of two subsets of extracellular vesicles from cow’s milk modulate symptoms and inflammation in experimental colitis,” </w:t>
      </w:r>
      <w:r w:rsidRPr="00794EC7">
        <w:rPr>
          <w:rFonts w:cs="Arial"/>
          <w:i/>
          <w:iCs/>
          <w:noProof/>
        </w:rPr>
        <w:t>Sci. Rep.</w:t>
      </w:r>
      <w:r w:rsidRPr="00794EC7">
        <w:rPr>
          <w:rFonts w:cs="Arial"/>
          <w:noProof/>
        </w:rPr>
        <w:t>, vol. 9, no. 1, pp. 1–16, 2019, doi: 10.1038/s41598-019-51092-1.</w:t>
      </w:r>
    </w:p>
    <w:p w14:paraId="240C3B16" w14:textId="77777777" w:rsidR="00044FAA" w:rsidRPr="00794EC7" w:rsidRDefault="00044FAA" w:rsidP="00044FAA">
      <w:pPr>
        <w:widowControl w:val="0"/>
        <w:autoSpaceDE w:val="0"/>
        <w:autoSpaceDN w:val="0"/>
        <w:adjustRightInd w:val="0"/>
        <w:ind w:left="640" w:hanging="640"/>
        <w:rPr>
          <w:rFonts w:cs="Arial"/>
          <w:noProof/>
        </w:rPr>
      </w:pPr>
      <w:r w:rsidRPr="00794EC7">
        <w:rPr>
          <w:rFonts w:cs="Arial"/>
          <w:noProof/>
        </w:rPr>
        <w:t>[29]</w:t>
      </w:r>
      <w:r w:rsidRPr="00794EC7">
        <w:rPr>
          <w:rFonts w:cs="Arial"/>
          <w:noProof/>
        </w:rPr>
        <w:tab/>
      </w:r>
      <w:r w:rsidRPr="00794EC7">
        <w:rPr>
          <w:rFonts w:cs="Arial"/>
          <w:b/>
          <w:bCs/>
          <w:noProof/>
        </w:rPr>
        <w:t xml:space="preserve">H. Haga </w:t>
      </w:r>
      <w:r w:rsidRPr="00794EC7">
        <w:rPr>
          <w:rFonts w:cs="Arial"/>
          <w:b/>
          <w:bCs/>
          <w:i/>
          <w:iCs/>
          <w:noProof/>
        </w:rPr>
        <w:t>et al.</w:t>
      </w:r>
      <w:r w:rsidRPr="00794EC7">
        <w:rPr>
          <w:rFonts w:cs="Arial"/>
          <w:noProof/>
        </w:rPr>
        <w:t xml:space="preserve">, “Extracellular vesicles from bone marrow–derived mesenchymal stem cells protect against murine hepatic ischemia/reperfusion injury,” </w:t>
      </w:r>
      <w:r w:rsidRPr="00794EC7">
        <w:rPr>
          <w:rFonts w:cs="Arial"/>
          <w:i/>
          <w:iCs/>
          <w:noProof/>
        </w:rPr>
        <w:t>Liver Transplantation</w:t>
      </w:r>
      <w:r w:rsidRPr="00794EC7">
        <w:rPr>
          <w:rFonts w:cs="Arial"/>
          <w:noProof/>
        </w:rPr>
        <w:t>, vol. 23, no. 6. pp. 791–803, 2017, doi: 10.1002/lt.24770.</w:t>
      </w:r>
    </w:p>
    <w:p w14:paraId="27878427" w14:textId="044375D1" w:rsidR="00B33F4D" w:rsidRPr="00794EC7" w:rsidRDefault="007C3591" w:rsidP="00044FAA">
      <w:pPr>
        <w:widowControl w:val="0"/>
        <w:autoSpaceDE w:val="0"/>
        <w:autoSpaceDN w:val="0"/>
        <w:adjustRightInd w:val="0"/>
        <w:ind w:left="640" w:hanging="640"/>
      </w:pPr>
      <w:r w:rsidRPr="00794EC7">
        <w:fldChar w:fldCharType="end"/>
      </w:r>
    </w:p>
    <w:p w14:paraId="5126F338" w14:textId="77777777" w:rsidR="00F15EE6" w:rsidRPr="00794EC7" w:rsidRDefault="00F15EE6" w:rsidP="00902F19">
      <w:pPr>
        <w:rPr>
          <w:rFonts w:eastAsiaTheme="majorEastAsia" w:cstheme="majorBidi"/>
          <w:b/>
          <w:spacing w:val="-10"/>
          <w:kern w:val="28"/>
          <w:sz w:val="28"/>
          <w:szCs w:val="56"/>
        </w:rPr>
      </w:pPr>
      <w:r w:rsidRPr="00794EC7">
        <w:br w:type="page"/>
      </w:r>
    </w:p>
    <w:p w14:paraId="10DEAB20" w14:textId="008AF731" w:rsidR="00536AF8" w:rsidRPr="00794EC7" w:rsidRDefault="0060596C" w:rsidP="00902F19">
      <w:pPr>
        <w:pStyle w:val="Title"/>
        <w:ind w:firstLine="640"/>
      </w:pPr>
      <w:r w:rsidRPr="00794EC7">
        <w:lastRenderedPageBreak/>
        <w:t xml:space="preserve">Electronic </w:t>
      </w:r>
      <w:r w:rsidR="00D64224" w:rsidRPr="00794EC7">
        <w:t xml:space="preserve">Supplementary </w:t>
      </w:r>
      <w:r w:rsidRPr="00794EC7">
        <w:t>Information</w:t>
      </w:r>
    </w:p>
    <w:p w14:paraId="6EAF97A6" w14:textId="6159A986" w:rsidR="00CB5D9E" w:rsidRPr="00794EC7" w:rsidRDefault="00CB5D9E" w:rsidP="00902F19"/>
    <w:p w14:paraId="460E1819" w14:textId="791837E2" w:rsidR="00CB5D9E" w:rsidRPr="00794EC7" w:rsidRDefault="008572FF" w:rsidP="008572FF">
      <w:pPr>
        <w:keepNext/>
        <w:jc w:val="center"/>
      </w:pPr>
      <w:r w:rsidRPr="00794EC7">
        <w:rPr>
          <w:noProof/>
        </w:rPr>
        <w:drawing>
          <wp:inline distT="0" distB="0" distL="0" distR="0" wp14:anchorId="3124D329" wp14:editId="6CC5A1AF">
            <wp:extent cx="4965700" cy="273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5700" cy="2730500"/>
                    </a:xfrm>
                    <a:prstGeom prst="rect">
                      <a:avLst/>
                    </a:prstGeom>
                  </pic:spPr>
                </pic:pic>
              </a:graphicData>
            </a:graphic>
          </wp:inline>
        </w:drawing>
      </w:r>
    </w:p>
    <w:p w14:paraId="47C95B03" w14:textId="74624310" w:rsidR="00CB5D9E" w:rsidRPr="00794EC7" w:rsidRDefault="0060596C" w:rsidP="00902F19">
      <w:pPr>
        <w:pStyle w:val="Caption"/>
        <w:rPr>
          <w:color w:val="000000" w:themeColor="text1"/>
        </w:rPr>
      </w:pPr>
      <w:r w:rsidRPr="00794EC7">
        <w:rPr>
          <w:color w:val="000000" w:themeColor="text1"/>
        </w:rPr>
        <w:t>ESI 1:</w:t>
      </w:r>
      <w:r w:rsidR="00CB5D9E" w:rsidRPr="00794EC7">
        <w:rPr>
          <w:b/>
          <w:bCs/>
          <w:color w:val="000000" w:themeColor="text1"/>
        </w:rPr>
        <w:t xml:space="preserve"> </w:t>
      </w:r>
      <w:r w:rsidR="00076BA9" w:rsidRPr="00794EC7">
        <w:rPr>
          <w:b/>
          <w:bCs/>
          <w:color w:val="000000" w:themeColor="text1"/>
        </w:rPr>
        <w:t>Barrier</w:t>
      </w:r>
      <w:r w:rsidR="00CB5D9E" w:rsidRPr="00794EC7">
        <w:rPr>
          <w:b/>
          <w:bCs/>
          <w:color w:val="000000" w:themeColor="text1"/>
        </w:rPr>
        <w:t xml:space="preserve"> integrity of bronchial epithelial cells after 5 days of growth.</w:t>
      </w:r>
      <w:r w:rsidR="00D53A2A" w:rsidRPr="00794EC7">
        <w:rPr>
          <w:b/>
          <w:bCs/>
          <w:color w:val="000000" w:themeColor="text1"/>
        </w:rPr>
        <w:t xml:space="preserve"> </w:t>
      </w:r>
      <w:r w:rsidR="00D53A2A" w:rsidRPr="00794EC7">
        <w:rPr>
          <w:color w:val="000000" w:themeColor="text1"/>
        </w:rPr>
        <w:t>16HBE14o- cells were grown for 5 days with cell growth media changed in the apical and basolateral chambers on days 2 and 4</w:t>
      </w:r>
      <w:r w:rsidR="008D497C" w:rsidRPr="00794EC7">
        <w:rPr>
          <w:color w:val="000000" w:themeColor="text1"/>
        </w:rPr>
        <w:t>. The TER was measured daily</w:t>
      </w:r>
      <w:r w:rsidR="00D53A2A" w:rsidRPr="00794EC7">
        <w:rPr>
          <w:color w:val="000000" w:themeColor="text1"/>
        </w:rPr>
        <w:t xml:space="preserve">. Day 0 and Day 5 measurements for </w:t>
      </w:r>
      <w:r w:rsidR="00D53A2A" w:rsidRPr="00794EC7">
        <w:rPr>
          <w:color w:val="000000" w:themeColor="text1"/>
        </w:rPr>
        <w:fldChar w:fldCharType="begin"/>
      </w:r>
      <w:r w:rsidR="00D53A2A" w:rsidRPr="00794EC7">
        <w:rPr>
          <w:color w:val="000000" w:themeColor="text1"/>
        </w:rPr>
        <w:instrText xml:space="preserve"> REF _Ref86916558 \h </w:instrText>
      </w:r>
      <w:r w:rsidR="00902F19" w:rsidRPr="00794EC7">
        <w:rPr>
          <w:color w:val="000000" w:themeColor="text1"/>
        </w:rPr>
        <w:instrText xml:space="preserve"> \* MERGEFORMAT </w:instrText>
      </w:r>
      <w:r w:rsidR="00D53A2A" w:rsidRPr="00794EC7">
        <w:rPr>
          <w:color w:val="000000" w:themeColor="text1"/>
        </w:rPr>
      </w:r>
      <w:r w:rsidR="00D53A2A" w:rsidRPr="00794EC7">
        <w:rPr>
          <w:color w:val="000000" w:themeColor="text1"/>
        </w:rPr>
        <w:fldChar w:fldCharType="separate"/>
      </w:r>
      <w:r w:rsidR="008E456D" w:rsidRPr="00794EC7">
        <w:rPr>
          <w:color w:val="000000" w:themeColor="text1"/>
        </w:rPr>
        <w:t xml:space="preserve">Figure </w:t>
      </w:r>
      <w:r w:rsidR="008E456D" w:rsidRPr="00794EC7">
        <w:rPr>
          <w:noProof/>
          <w:color w:val="000000" w:themeColor="text1"/>
        </w:rPr>
        <w:t>1</w:t>
      </w:r>
      <w:r w:rsidR="00D53A2A" w:rsidRPr="00794EC7">
        <w:rPr>
          <w:color w:val="000000" w:themeColor="text1"/>
        </w:rPr>
        <w:fldChar w:fldCharType="end"/>
      </w:r>
      <w:r w:rsidR="00D53A2A" w:rsidRPr="00794EC7">
        <w:rPr>
          <w:color w:val="000000" w:themeColor="text1"/>
        </w:rPr>
        <w:t xml:space="preserve"> (A) and </w:t>
      </w:r>
      <w:r w:rsidR="00D53A2A" w:rsidRPr="00794EC7">
        <w:rPr>
          <w:color w:val="000000" w:themeColor="text1"/>
        </w:rPr>
        <w:fldChar w:fldCharType="begin"/>
      </w:r>
      <w:r w:rsidR="00D53A2A" w:rsidRPr="00794EC7">
        <w:rPr>
          <w:color w:val="000000" w:themeColor="text1"/>
        </w:rPr>
        <w:instrText xml:space="preserve"> REF _Ref86916593 \h </w:instrText>
      </w:r>
      <w:r w:rsidR="00902F19" w:rsidRPr="00794EC7">
        <w:rPr>
          <w:color w:val="000000" w:themeColor="text1"/>
        </w:rPr>
        <w:instrText xml:space="preserve"> \* MERGEFORMAT </w:instrText>
      </w:r>
      <w:r w:rsidR="00D53A2A" w:rsidRPr="00794EC7">
        <w:rPr>
          <w:color w:val="000000" w:themeColor="text1"/>
        </w:rPr>
      </w:r>
      <w:r w:rsidR="00D53A2A" w:rsidRPr="00794EC7">
        <w:rPr>
          <w:color w:val="000000" w:themeColor="text1"/>
        </w:rPr>
        <w:fldChar w:fldCharType="separate"/>
      </w:r>
      <w:r w:rsidR="008E456D" w:rsidRPr="00794EC7">
        <w:rPr>
          <w:color w:val="000000" w:themeColor="text1"/>
        </w:rPr>
        <w:t xml:space="preserve">Figure </w:t>
      </w:r>
      <w:r w:rsidR="008E456D" w:rsidRPr="00794EC7">
        <w:rPr>
          <w:noProof/>
          <w:color w:val="000000" w:themeColor="text1"/>
        </w:rPr>
        <w:t>3</w:t>
      </w:r>
      <w:r w:rsidR="00D53A2A" w:rsidRPr="00794EC7">
        <w:rPr>
          <w:color w:val="000000" w:themeColor="text1"/>
        </w:rPr>
        <w:fldChar w:fldCharType="end"/>
      </w:r>
      <w:r w:rsidR="00D53A2A" w:rsidRPr="00794EC7">
        <w:rPr>
          <w:color w:val="000000" w:themeColor="text1"/>
        </w:rPr>
        <w:t xml:space="preserve"> (B). </w:t>
      </w:r>
      <w:r w:rsidR="008D497C" w:rsidRPr="00794EC7">
        <w:rPr>
          <w:color w:val="000000" w:themeColor="text1"/>
        </w:rPr>
        <w:t>Results</w:t>
      </w:r>
      <w:r w:rsidR="00D53A2A" w:rsidRPr="00794EC7">
        <w:rPr>
          <w:color w:val="000000" w:themeColor="text1"/>
        </w:rPr>
        <w:t xml:space="preserve"> are</w:t>
      </w:r>
      <w:r w:rsidR="008D497C" w:rsidRPr="00794EC7">
        <w:rPr>
          <w:color w:val="000000" w:themeColor="text1"/>
        </w:rPr>
        <w:t xml:space="preserve"> the</w:t>
      </w:r>
      <w:r w:rsidR="00D53A2A" w:rsidRPr="00794EC7">
        <w:rPr>
          <w:color w:val="000000" w:themeColor="text1"/>
        </w:rPr>
        <w:t xml:space="preserve"> average and standard deviation of </w:t>
      </w:r>
      <w:r w:rsidR="00D53A2A" w:rsidRPr="00794EC7">
        <w:rPr>
          <w:rFonts w:eastAsia="Arial Unicode MS" w:cs="Arial"/>
          <w:color w:val="000000" w:themeColor="text1"/>
        </w:rPr>
        <w:t xml:space="preserve">n=3 </w:t>
      </w:r>
      <w:r w:rsidR="004B2A93" w:rsidRPr="00794EC7">
        <w:rPr>
          <w:rFonts w:eastAsia="Arial Unicode MS" w:cs="Arial"/>
          <w:color w:val="000000" w:themeColor="text1"/>
        </w:rPr>
        <w:t>independent experiments</w:t>
      </w:r>
      <w:r w:rsidR="00D53A2A" w:rsidRPr="00794EC7">
        <w:rPr>
          <w:rFonts w:eastAsia="Arial Unicode MS" w:cs="Arial"/>
          <w:color w:val="000000" w:themeColor="text1"/>
        </w:rPr>
        <w:t>.</w:t>
      </w:r>
    </w:p>
    <w:p w14:paraId="5FB8E535" w14:textId="0A898F80" w:rsidR="00F15EE6" w:rsidRPr="00794EC7" w:rsidRDefault="00F15EE6" w:rsidP="00A628AA">
      <w:r w:rsidRPr="00794EC7">
        <w:br w:type="page"/>
      </w:r>
    </w:p>
    <w:p w14:paraId="11273AE7" w14:textId="77777777" w:rsidR="00F15EE6" w:rsidRPr="00794EC7" w:rsidRDefault="00F15EE6" w:rsidP="00902F19"/>
    <w:p w14:paraId="601C2E12" w14:textId="0AAB92EF" w:rsidR="00A40D3D" w:rsidRPr="00794EC7" w:rsidRDefault="00F44088" w:rsidP="00902F19">
      <w:pPr>
        <w:keepNext/>
      </w:pPr>
      <w:r w:rsidRPr="00794EC7">
        <w:rPr>
          <w:noProof/>
        </w:rPr>
        <w:drawing>
          <wp:inline distT="0" distB="0" distL="0" distR="0" wp14:anchorId="7330A081" wp14:editId="154C4F1F">
            <wp:extent cx="5731510" cy="2733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33040"/>
                    </a:xfrm>
                    <a:prstGeom prst="rect">
                      <a:avLst/>
                    </a:prstGeom>
                  </pic:spPr>
                </pic:pic>
              </a:graphicData>
            </a:graphic>
          </wp:inline>
        </w:drawing>
      </w:r>
    </w:p>
    <w:p w14:paraId="19CF6064" w14:textId="04059C24" w:rsidR="00145081" w:rsidRPr="00794EC7" w:rsidRDefault="0060596C" w:rsidP="00902F19">
      <w:pPr>
        <w:pStyle w:val="Caption"/>
        <w:rPr>
          <w:rFonts w:eastAsia="Arial Unicode MS" w:cs="Arial"/>
          <w:color w:val="000000" w:themeColor="text1"/>
        </w:rPr>
      </w:pPr>
      <w:r w:rsidRPr="00794EC7">
        <w:rPr>
          <w:color w:val="000000" w:themeColor="text1"/>
        </w:rPr>
        <w:t xml:space="preserve">ESI </w:t>
      </w:r>
      <w:r w:rsidR="00A628AA" w:rsidRPr="00794EC7">
        <w:rPr>
          <w:color w:val="000000" w:themeColor="text1"/>
        </w:rPr>
        <w:t>2</w:t>
      </w:r>
      <w:r w:rsidR="00A40D3D" w:rsidRPr="00794EC7">
        <w:rPr>
          <w:color w:val="000000" w:themeColor="text1"/>
        </w:rPr>
        <w:t xml:space="preserve">: </w:t>
      </w:r>
      <w:r w:rsidR="00076BA9" w:rsidRPr="00794EC7">
        <w:rPr>
          <w:b/>
          <w:bCs/>
          <w:color w:val="000000" w:themeColor="text1"/>
        </w:rPr>
        <w:t>Concentration depend</w:t>
      </w:r>
      <w:r w:rsidR="004B2A93" w:rsidRPr="00794EC7">
        <w:rPr>
          <w:b/>
          <w:bCs/>
          <w:color w:val="000000" w:themeColor="text1"/>
        </w:rPr>
        <w:t>e</w:t>
      </w:r>
      <w:r w:rsidR="00076BA9" w:rsidRPr="00794EC7">
        <w:rPr>
          <w:b/>
          <w:bCs/>
          <w:color w:val="000000" w:themeColor="text1"/>
        </w:rPr>
        <w:t xml:space="preserve">nt modulation </w:t>
      </w:r>
      <w:r w:rsidR="004B2A93" w:rsidRPr="00794EC7">
        <w:rPr>
          <w:b/>
          <w:bCs/>
          <w:color w:val="000000" w:themeColor="text1"/>
        </w:rPr>
        <w:t xml:space="preserve">of </w:t>
      </w:r>
      <w:r w:rsidR="00076BA9" w:rsidRPr="00794EC7">
        <w:rPr>
          <w:b/>
          <w:bCs/>
          <w:color w:val="000000" w:themeColor="text1"/>
        </w:rPr>
        <w:t xml:space="preserve">IL-8 </w:t>
      </w:r>
      <w:r w:rsidR="004B2A93" w:rsidRPr="00794EC7">
        <w:rPr>
          <w:b/>
          <w:bCs/>
          <w:color w:val="000000" w:themeColor="text1"/>
        </w:rPr>
        <w:t xml:space="preserve">release </w:t>
      </w:r>
      <w:r w:rsidR="00076BA9" w:rsidRPr="00794EC7">
        <w:rPr>
          <w:b/>
          <w:bCs/>
          <w:color w:val="000000" w:themeColor="text1"/>
        </w:rPr>
        <w:t>with and without extracellular vesicle immune protection when challenged with a viral dsRNA analogue</w:t>
      </w:r>
      <w:r w:rsidR="00076BA9" w:rsidRPr="00794EC7">
        <w:rPr>
          <w:color w:val="000000" w:themeColor="text1"/>
        </w:rPr>
        <w:t xml:space="preserve">. </w:t>
      </w:r>
      <w:r w:rsidR="008D497C" w:rsidRPr="00794EC7">
        <w:rPr>
          <w:color w:val="000000" w:themeColor="text1"/>
        </w:rPr>
        <w:t xml:space="preserve">Polarised </w:t>
      </w:r>
      <w:r w:rsidR="008D497C" w:rsidRPr="00794EC7">
        <w:rPr>
          <w:rFonts w:cs="Arial"/>
          <w:color w:val="000000" w:themeColor="text1"/>
        </w:rPr>
        <w:t xml:space="preserve">16HBE14o- cells were apically challenged with Poly I:C (5 </w:t>
      </w:r>
      <w:r w:rsidR="008D497C" w:rsidRPr="00794EC7">
        <w:rPr>
          <w:rFonts w:eastAsia="Arial Unicode MS" w:cs="Arial"/>
          <w:color w:val="000000" w:themeColor="text1"/>
        </w:rPr>
        <w:t>μ</w:t>
      </w:r>
      <w:r w:rsidR="008D497C" w:rsidRPr="00794EC7">
        <w:rPr>
          <w:rFonts w:cs="Arial"/>
          <w:color w:val="000000" w:themeColor="text1"/>
        </w:rPr>
        <w:t xml:space="preserve">g/mL) in the presence or absence (5 to 100 </w:t>
      </w:r>
      <w:r w:rsidR="008D497C" w:rsidRPr="00794EC7">
        <w:rPr>
          <w:rFonts w:ascii="Symbol" w:hAnsi="Symbol" w:cs="Arial"/>
          <w:color w:val="000000" w:themeColor="text1"/>
        </w:rPr>
        <w:t></w:t>
      </w:r>
      <w:r w:rsidR="008D497C" w:rsidRPr="00794EC7">
        <w:rPr>
          <w:rFonts w:cs="Arial"/>
          <w:color w:val="000000" w:themeColor="text1"/>
        </w:rPr>
        <w:t xml:space="preserve">L) of EV or EV-DPL samples to achieve a total apical volume of 200 </w:t>
      </w:r>
      <w:r w:rsidR="008D497C" w:rsidRPr="00794EC7">
        <w:rPr>
          <w:rFonts w:eastAsia="Arial Unicode MS" w:cs="Arial"/>
          <w:color w:val="000000" w:themeColor="text1"/>
        </w:rPr>
        <w:t>μ</w:t>
      </w:r>
      <w:r w:rsidR="008D497C" w:rsidRPr="00794EC7">
        <w:rPr>
          <w:rFonts w:cs="Arial"/>
          <w:color w:val="000000" w:themeColor="text1"/>
        </w:rPr>
        <w:t>L</w:t>
      </w:r>
      <w:r w:rsidR="00076BA9" w:rsidRPr="00794EC7">
        <w:rPr>
          <w:color w:val="000000" w:themeColor="text1"/>
        </w:rPr>
        <w:t xml:space="preserve">. 24 hours after challenge the apical </w:t>
      </w:r>
      <w:r w:rsidR="00B06E75" w:rsidRPr="00794EC7">
        <w:rPr>
          <w:color w:val="000000" w:themeColor="text1"/>
        </w:rPr>
        <w:t xml:space="preserve">(A) </w:t>
      </w:r>
      <w:r w:rsidR="00076BA9" w:rsidRPr="00794EC7">
        <w:rPr>
          <w:color w:val="000000" w:themeColor="text1"/>
        </w:rPr>
        <w:t>and basolateral</w:t>
      </w:r>
      <w:r w:rsidR="00B06E75" w:rsidRPr="00794EC7">
        <w:rPr>
          <w:color w:val="000000" w:themeColor="text1"/>
        </w:rPr>
        <w:t xml:space="preserve"> (B)</w:t>
      </w:r>
      <w:r w:rsidR="00076BA9" w:rsidRPr="00794EC7">
        <w:rPr>
          <w:color w:val="000000" w:themeColor="text1"/>
        </w:rPr>
        <w:t xml:space="preserve"> samples were centrifuged at 300 x g for 5 minutes with the supernatants analysed for IL-8 </w:t>
      </w:r>
      <w:r w:rsidR="00076BA9" w:rsidRPr="00794EC7">
        <w:rPr>
          <w:rFonts w:eastAsia="Arial Unicode MS" w:cs="Arial"/>
          <w:color w:val="000000" w:themeColor="text1"/>
        </w:rPr>
        <w:t xml:space="preserve">concentrations using ELISAs. </w:t>
      </w:r>
      <w:r w:rsidR="00145081" w:rsidRPr="00794EC7">
        <w:rPr>
          <w:rFonts w:eastAsia="Arial Unicode MS" w:cs="Arial"/>
          <w:color w:val="000000" w:themeColor="text1"/>
        </w:rPr>
        <w:t xml:space="preserve">The raw data was analysed as follows: the duplicates were averaged, the 520 nm reading subtracted from the 450 nm reading, and then the average blank was subtracted. The data was then extrapolated using GraphPad prism (Sigmoidal 4PL, X is concentration). </w:t>
      </w:r>
      <w:r w:rsidR="00076BA9" w:rsidRPr="00794EC7">
        <w:rPr>
          <w:rFonts w:eastAsia="Arial Unicode MS" w:cs="Arial"/>
          <w:color w:val="000000" w:themeColor="text1"/>
        </w:rPr>
        <w:t xml:space="preserve">The </w:t>
      </w:r>
      <w:r w:rsidR="00145081" w:rsidRPr="00794EC7">
        <w:rPr>
          <w:rFonts w:eastAsia="Arial Unicode MS" w:cs="Arial"/>
          <w:color w:val="000000" w:themeColor="text1"/>
        </w:rPr>
        <w:t>results show</w:t>
      </w:r>
      <w:r w:rsidR="00076BA9" w:rsidRPr="00794EC7">
        <w:rPr>
          <w:rFonts w:eastAsia="Arial Unicode MS" w:cs="Arial"/>
          <w:color w:val="000000" w:themeColor="text1"/>
        </w:rPr>
        <w:t xml:space="preserve"> the average and standard deviation of n=3 repeats (3 donors in singlet).</w:t>
      </w:r>
      <w:r w:rsidR="00076BA9" w:rsidRPr="00794EC7">
        <w:rPr>
          <w:color w:val="000000" w:themeColor="text1"/>
        </w:rPr>
        <w:t xml:space="preserve"> Statistical significance was determined using one-way ANOVA analysis with a Bonferroni post-test. Significance of results indicated as when p&lt;0.05 = *.</w:t>
      </w:r>
      <w:r w:rsidR="00145081" w:rsidRPr="00794EC7">
        <w:rPr>
          <w:color w:val="000000" w:themeColor="text1"/>
        </w:rPr>
        <w:t xml:space="preserve"> Symbols detail multiple comparisons: circle = Vs. Media Control, diamond for vs. </w:t>
      </w:r>
      <w:r w:rsidR="002679E3" w:rsidRPr="00794EC7">
        <w:rPr>
          <w:color w:val="000000" w:themeColor="text1"/>
        </w:rPr>
        <w:t>Poly</w:t>
      </w:r>
      <w:r w:rsidR="00145081" w:rsidRPr="00794EC7">
        <w:rPr>
          <w:color w:val="000000" w:themeColor="text1"/>
        </w:rPr>
        <w:t xml:space="preserve"> I:C and square for vs. EV-dpl + </w:t>
      </w:r>
      <w:r w:rsidR="002679E3" w:rsidRPr="00794EC7">
        <w:rPr>
          <w:color w:val="000000" w:themeColor="text1"/>
        </w:rPr>
        <w:t>Poly</w:t>
      </w:r>
      <w:r w:rsidR="00145081" w:rsidRPr="00794EC7">
        <w:rPr>
          <w:color w:val="000000" w:themeColor="text1"/>
        </w:rPr>
        <w:t xml:space="preserve"> I: C.</w:t>
      </w:r>
    </w:p>
    <w:p w14:paraId="02AED018" w14:textId="77777777" w:rsidR="00982AF3" w:rsidRPr="00794EC7" w:rsidRDefault="00982AF3" w:rsidP="00982AF3">
      <w:pPr>
        <w:rPr>
          <w:i/>
          <w:iCs/>
          <w:color w:val="000000" w:themeColor="text1"/>
          <w:sz w:val="18"/>
          <w:szCs w:val="18"/>
        </w:rPr>
      </w:pPr>
      <w:bookmarkStart w:id="4" w:name="_Ref85267727"/>
    </w:p>
    <w:bookmarkEnd w:id="4"/>
    <w:p w14:paraId="0771ED95" w14:textId="689D11A9" w:rsidR="00982AF3" w:rsidRPr="00794EC7" w:rsidRDefault="00982AF3" w:rsidP="00982AF3">
      <w:pPr>
        <w:pStyle w:val="Caption"/>
        <w:keepNext/>
        <w:rPr>
          <w:color w:val="000000" w:themeColor="text1"/>
        </w:rPr>
      </w:pPr>
      <w:r w:rsidRPr="00794EC7">
        <w:rPr>
          <w:color w:val="000000" w:themeColor="text1"/>
        </w:rPr>
        <w:t xml:space="preserve">ESI </w:t>
      </w:r>
      <w:r w:rsidR="00A628AA" w:rsidRPr="00794EC7">
        <w:rPr>
          <w:color w:val="000000" w:themeColor="text1"/>
        </w:rPr>
        <w:t>3</w:t>
      </w:r>
      <w:r w:rsidRPr="00794EC7">
        <w:rPr>
          <w:color w:val="000000" w:themeColor="text1"/>
        </w:rPr>
        <w:t>: Dilution ratios for ELISA cytokine analysis.</w:t>
      </w:r>
    </w:p>
    <w:tbl>
      <w:tblPr>
        <w:tblStyle w:val="TableGrid"/>
        <w:tblW w:w="9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72"/>
        <w:gridCol w:w="1888"/>
        <w:gridCol w:w="1888"/>
        <w:gridCol w:w="1888"/>
        <w:gridCol w:w="1874"/>
        <w:gridCol w:w="14"/>
      </w:tblGrid>
      <w:tr w:rsidR="00982AF3" w:rsidRPr="00794EC7" w14:paraId="058B7A73" w14:textId="77777777" w:rsidTr="008328FA">
        <w:trPr>
          <w:gridAfter w:val="1"/>
          <w:wAfter w:w="14" w:type="dxa"/>
          <w:trHeight w:val="471"/>
        </w:trPr>
        <w:tc>
          <w:tcPr>
            <w:tcW w:w="1472" w:type="dxa"/>
            <w:vAlign w:val="center"/>
          </w:tcPr>
          <w:p w14:paraId="38B41DD6" w14:textId="77777777" w:rsidR="00982AF3" w:rsidRPr="00794EC7" w:rsidRDefault="00982AF3" w:rsidP="008328FA">
            <w:pPr>
              <w:rPr>
                <w:rFonts w:cs="Arial"/>
              </w:rPr>
            </w:pPr>
          </w:p>
        </w:tc>
        <w:tc>
          <w:tcPr>
            <w:tcW w:w="3776" w:type="dxa"/>
            <w:gridSpan w:val="2"/>
            <w:vAlign w:val="center"/>
          </w:tcPr>
          <w:p w14:paraId="70E967C2" w14:textId="67DDB383" w:rsidR="00982AF3" w:rsidRPr="00794EC7" w:rsidRDefault="00982AF3" w:rsidP="008328FA">
            <w:pPr>
              <w:rPr>
                <w:rFonts w:cs="Arial"/>
                <w:b/>
                <w:bCs/>
              </w:rPr>
            </w:pPr>
            <w:r w:rsidRPr="00794EC7">
              <w:rPr>
                <w:rFonts w:cs="Arial"/>
                <w:b/>
                <w:bCs/>
              </w:rPr>
              <w:t xml:space="preserve">Conditions without </w:t>
            </w:r>
            <w:r w:rsidR="002679E3" w:rsidRPr="00794EC7">
              <w:rPr>
                <w:rFonts w:cs="Arial"/>
                <w:b/>
                <w:bCs/>
              </w:rPr>
              <w:t>Poly</w:t>
            </w:r>
            <w:r w:rsidRPr="00794EC7">
              <w:rPr>
                <w:rFonts w:cs="Arial"/>
                <w:b/>
                <w:bCs/>
              </w:rPr>
              <w:t xml:space="preserve"> I:C</w:t>
            </w:r>
          </w:p>
        </w:tc>
        <w:tc>
          <w:tcPr>
            <w:tcW w:w="3762" w:type="dxa"/>
            <w:gridSpan w:val="2"/>
            <w:vAlign w:val="center"/>
          </w:tcPr>
          <w:p w14:paraId="453E63E7" w14:textId="1227A7D2" w:rsidR="00982AF3" w:rsidRPr="00794EC7" w:rsidRDefault="00982AF3" w:rsidP="008328FA">
            <w:pPr>
              <w:rPr>
                <w:rFonts w:cs="Arial"/>
                <w:b/>
                <w:bCs/>
              </w:rPr>
            </w:pPr>
            <w:r w:rsidRPr="00794EC7">
              <w:rPr>
                <w:rFonts w:cs="Arial"/>
                <w:b/>
                <w:bCs/>
              </w:rPr>
              <w:t xml:space="preserve">Conditions with </w:t>
            </w:r>
            <w:r w:rsidR="002679E3" w:rsidRPr="00794EC7">
              <w:rPr>
                <w:rFonts w:cs="Arial"/>
                <w:b/>
                <w:bCs/>
              </w:rPr>
              <w:t>Poly</w:t>
            </w:r>
            <w:r w:rsidRPr="00794EC7">
              <w:rPr>
                <w:rFonts w:cs="Arial"/>
                <w:b/>
                <w:bCs/>
              </w:rPr>
              <w:t xml:space="preserve"> I:C</w:t>
            </w:r>
          </w:p>
        </w:tc>
      </w:tr>
      <w:tr w:rsidR="00982AF3" w:rsidRPr="00794EC7" w14:paraId="23DD914A" w14:textId="77777777" w:rsidTr="008328FA">
        <w:trPr>
          <w:trHeight w:val="243"/>
        </w:trPr>
        <w:tc>
          <w:tcPr>
            <w:tcW w:w="1472" w:type="dxa"/>
            <w:vAlign w:val="center"/>
          </w:tcPr>
          <w:p w14:paraId="52E545F9" w14:textId="77777777" w:rsidR="00982AF3" w:rsidRPr="00794EC7" w:rsidRDefault="00982AF3" w:rsidP="008328FA">
            <w:pPr>
              <w:rPr>
                <w:rFonts w:cs="Arial"/>
              </w:rPr>
            </w:pPr>
          </w:p>
        </w:tc>
        <w:tc>
          <w:tcPr>
            <w:tcW w:w="1888" w:type="dxa"/>
            <w:tcBorders>
              <w:bottom w:val="single" w:sz="4" w:space="0" w:color="auto"/>
            </w:tcBorders>
            <w:vAlign w:val="center"/>
          </w:tcPr>
          <w:p w14:paraId="40BA4423" w14:textId="77777777" w:rsidR="00982AF3" w:rsidRPr="00794EC7" w:rsidRDefault="00982AF3" w:rsidP="008328FA">
            <w:pPr>
              <w:rPr>
                <w:rFonts w:cs="Arial"/>
              </w:rPr>
            </w:pPr>
            <w:r w:rsidRPr="00794EC7">
              <w:rPr>
                <w:rFonts w:cs="Arial"/>
              </w:rPr>
              <w:t>Apical</w:t>
            </w:r>
          </w:p>
        </w:tc>
        <w:tc>
          <w:tcPr>
            <w:tcW w:w="1888" w:type="dxa"/>
            <w:tcBorders>
              <w:bottom w:val="single" w:sz="4" w:space="0" w:color="auto"/>
            </w:tcBorders>
            <w:vAlign w:val="center"/>
          </w:tcPr>
          <w:p w14:paraId="44D4D505" w14:textId="77777777" w:rsidR="00982AF3" w:rsidRPr="00794EC7" w:rsidRDefault="00982AF3" w:rsidP="008328FA">
            <w:pPr>
              <w:rPr>
                <w:rFonts w:cs="Arial"/>
              </w:rPr>
            </w:pPr>
            <w:r w:rsidRPr="00794EC7">
              <w:rPr>
                <w:rFonts w:cs="Arial"/>
              </w:rPr>
              <w:t>Basolateral</w:t>
            </w:r>
          </w:p>
        </w:tc>
        <w:tc>
          <w:tcPr>
            <w:tcW w:w="1888" w:type="dxa"/>
            <w:tcBorders>
              <w:bottom w:val="single" w:sz="4" w:space="0" w:color="auto"/>
            </w:tcBorders>
            <w:vAlign w:val="center"/>
          </w:tcPr>
          <w:p w14:paraId="33FD06A5" w14:textId="77777777" w:rsidR="00982AF3" w:rsidRPr="00794EC7" w:rsidRDefault="00982AF3" w:rsidP="008328FA">
            <w:pPr>
              <w:rPr>
                <w:rFonts w:cs="Arial"/>
              </w:rPr>
            </w:pPr>
            <w:r w:rsidRPr="00794EC7">
              <w:rPr>
                <w:rFonts w:cs="Arial"/>
              </w:rPr>
              <w:t xml:space="preserve">Apical </w:t>
            </w:r>
          </w:p>
        </w:tc>
        <w:tc>
          <w:tcPr>
            <w:tcW w:w="1888" w:type="dxa"/>
            <w:gridSpan w:val="2"/>
            <w:tcBorders>
              <w:bottom w:val="single" w:sz="4" w:space="0" w:color="auto"/>
            </w:tcBorders>
            <w:vAlign w:val="center"/>
          </w:tcPr>
          <w:p w14:paraId="0CF4BC04" w14:textId="77777777" w:rsidR="00982AF3" w:rsidRPr="00794EC7" w:rsidRDefault="00982AF3" w:rsidP="008328FA">
            <w:pPr>
              <w:rPr>
                <w:rFonts w:cs="Arial"/>
              </w:rPr>
            </w:pPr>
            <w:r w:rsidRPr="00794EC7">
              <w:rPr>
                <w:rFonts w:cs="Arial"/>
              </w:rPr>
              <w:t>Basolateral</w:t>
            </w:r>
          </w:p>
        </w:tc>
      </w:tr>
      <w:tr w:rsidR="00982AF3" w:rsidRPr="00794EC7" w14:paraId="4A19C7BC" w14:textId="77777777" w:rsidTr="008328FA">
        <w:trPr>
          <w:trHeight w:val="227"/>
        </w:trPr>
        <w:tc>
          <w:tcPr>
            <w:tcW w:w="1472" w:type="dxa"/>
            <w:vAlign w:val="center"/>
          </w:tcPr>
          <w:p w14:paraId="061B8154" w14:textId="77777777" w:rsidR="00982AF3" w:rsidRPr="00794EC7" w:rsidRDefault="00982AF3" w:rsidP="008328FA">
            <w:pPr>
              <w:rPr>
                <w:rFonts w:cs="Arial"/>
              </w:rPr>
            </w:pPr>
            <w:r w:rsidRPr="00794EC7">
              <w:rPr>
                <w:rFonts w:cs="Arial"/>
              </w:rPr>
              <w:t>IL-8</w:t>
            </w:r>
          </w:p>
        </w:tc>
        <w:tc>
          <w:tcPr>
            <w:tcW w:w="1888" w:type="dxa"/>
            <w:tcBorders>
              <w:top w:val="single" w:sz="4" w:space="0" w:color="auto"/>
            </w:tcBorders>
            <w:vAlign w:val="center"/>
          </w:tcPr>
          <w:p w14:paraId="683D24E4" w14:textId="77777777" w:rsidR="00982AF3" w:rsidRPr="00794EC7" w:rsidRDefault="00982AF3" w:rsidP="008328FA">
            <w:pPr>
              <w:rPr>
                <w:rFonts w:cs="Arial"/>
              </w:rPr>
            </w:pPr>
            <w:r w:rsidRPr="00794EC7">
              <w:rPr>
                <w:rFonts w:cs="Arial"/>
              </w:rPr>
              <w:t>1 in 25</w:t>
            </w:r>
          </w:p>
        </w:tc>
        <w:tc>
          <w:tcPr>
            <w:tcW w:w="1888" w:type="dxa"/>
            <w:tcBorders>
              <w:top w:val="single" w:sz="4" w:space="0" w:color="auto"/>
            </w:tcBorders>
            <w:vAlign w:val="center"/>
          </w:tcPr>
          <w:p w14:paraId="0CBD3392" w14:textId="77777777" w:rsidR="00982AF3" w:rsidRPr="00794EC7" w:rsidRDefault="00982AF3" w:rsidP="008328FA">
            <w:pPr>
              <w:rPr>
                <w:rFonts w:cs="Arial"/>
              </w:rPr>
            </w:pPr>
            <w:r w:rsidRPr="00794EC7">
              <w:rPr>
                <w:rFonts w:cs="Arial"/>
              </w:rPr>
              <w:t>1 in 10</w:t>
            </w:r>
          </w:p>
        </w:tc>
        <w:tc>
          <w:tcPr>
            <w:tcW w:w="1888" w:type="dxa"/>
            <w:tcBorders>
              <w:top w:val="single" w:sz="4" w:space="0" w:color="auto"/>
            </w:tcBorders>
            <w:vAlign w:val="center"/>
          </w:tcPr>
          <w:p w14:paraId="51701B5D" w14:textId="77777777" w:rsidR="00982AF3" w:rsidRPr="00794EC7" w:rsidRDefault="00982AF3" w:rsidP="008328FA">
            <w:pPr>
              <w:rPr>
                <w:rFonts w:cs="Arial"/>
              </w:rPr>
            </w:pPr>
            <w:r w:rsidRPr="00794EC7">
              <w:rPr>
                <w:rFonts w:cs="Arial"/>
              </w:rPr>
              <w:t>1 in 25</w:t>
            </w:r>
          </w:p>
        </w:tc>
        <w:tc>
          <w:tcPr>
            <w:tcW w:w="1888" w:type="dxa"/>
            <w:gridSpan w:val="2"/>
            <w:tcBorders>
              <w:top w:val="single" w:sz="4" w:space="0" w:color="auto"/>
            </w:tcBorders>
            <w:vAlign w:val="center"/>
          </w:tcPr>
          <w:p w14:paraId="54D6A8E2" w14:textId="77777777" w:rsidR="00982AF3" w:rsidRPr="00794EC7" w:rsidRDefault="00982AF3" w:rsidP="008328FA">
            <w:pPr>
              <w:rPr>
                <w:rFonts w:cs="Arial"/>
              </w:rPr>
            </w:pPr>
            <w:r w:rsidRPr="00794EC7">
              <w:rPr>
                <w:rFonts w:cs="Arial"/>
              </w:rPr>
              <w:t>1 in 25</w:t>
            </w:r>
          </w:p>
        </w:tc>
      </w:tr>
      <w:tr w:rsidR="00982AF3" w:rsidRPr="00794EC7" w14:paraId="18EDA6D9" w14:textId="77777777" w:rsidTr="008328FA">
        <w:trPr>
          <w:trHeight w:val="243"/>
        </w:trPr>
        <w:tc>
          <w:tcPr>
            <w:tcW w:w="1472" w:type="dxa"/>
            <w:vAlign w:val="center"/>
          </w:tcPr>
          <w:p w14:paraId="5A1044C5" w14:textId="77777777" w:rsidR="00982AF3" w:rsidRPr="00794EC7" w:rsidRDefault="00982AF3" w:rsidP="008328FA">
            <w:pPr>
              <w:rPr>
                <w:rFonts w:cs="Arial"/>
              </w:rPr>
            </w:pPr>
            <w:r w:rsidRPr="00794EC7">
              <w:rPr>
                <w:rFonts w:cs="Arial"/>
              </w:rPr>
              <w:t>IL-6</w:t>
            </w:r>
          </w:p>
        </w:tc>
        <w:tc>
          <w:tcPr>
            <w:tcW w:w="1888" w:type="dxa"/>
            <w:vAlign w:val="center"/>
          </w:tcPr>
          <w:p w14:paraId="3D2B32BA" w14:textId="77777777" w:rsidR="00982AF3" w:rsidRPr="00794EC7" w:rsidRDefault="00982AF3" w:rsidP="008328FA">
            <w:pPr>
              <w:rPr>
                <w:rFonts w:cs="Arial"/>
              </w:rPr>
            </w:pPr>
            <w:r w:rsidRPr="00794EC7">
              <w:rPr>
                <w:rFonts w:cs="Arial"/>
              </w:rPr>
              <w:t>1in 20</w:t>
            </w:r>
          </w:p>
        </w:tc>
        <w:tc>
          <w:tcPr>
            <w:tcW w:w="1888" w:type="dxa"/>
            <w:vAlign w:val="center"/>
          </w:tcPr>
          <w:p w14:paraId="3D45D865" w14:textId="77777777" w:rsidR="00982AF3" w:rsidRPr="00794EC7" w:rsidRDefault="00982AF3" w:rsidP="008328FA">
            <w:pPr>
              <w:rPr>
                <w:rFonts w:cs="Arial"/>
              </w:rPr>
            </w:pPr>
            <w:r w:rsidRPr="00794EC7">
              <w:rPr>
                <w:rFonts w:cs="Arial"/>
              </w:rPr>
              <w:t>1 in 10</w:t>
            </w:r>
          </w:p>
        </w:tc>
        <w:tc>
          <w:tcPr>
            <w:tcW w:w="1888" w:type="dxa"/>
            <w:vAlign w:val="center"/>
          </w:tcPr>
          <w:p w14:paraId="3B8B77D4" w14:textId="77777777" w:rsidR="00982AF3" w:rsidRPr="00794EC7" w:rsidRDefault="00982AF3" w:rsidP="008328FA">
            <w:pPr>
              <w:rPr>
                <w:rFonts w:cs="Arial"/>
              </w:rPr>
            </w:pPr>
            <w:r w:rsidRPr="00794EC7">
              <w:rPr>
                <w:rFonts w:cs="Arial"/>
              </w:rPr>
              <w:t>1 in 100</w:t>
            </w:r>
          </w:p>
        </w:tc>
        <w:tc>
          <w:tcPr>
            <w:tcW w:w="1888" w:type="dxa"/>
            <w:gridSpan w:val="2"/>
            <w:vAlign w:val="center"/>
          </w:tcPr>
          <w:p w14:paraId="7080D163" w14:textId="77777777" w:rsidR="00982AF3" w:rsidRPr="00794EC7" w:rsidRDefault="00982AF3" w:rsidP="008328FA">
            <w:pPr>
              <w:rPr>
                <w:rFonts w:cs="Arial"/>
              </w:rPr>
            </w:pPr>
            <w:r w:rsidRPr="00794EC7">
              <w:rPr>
                <w:rFonts w:cs="Arial"/>
              </w:rPr>
              <w:t>1 in 50</w:t>
            </w:r>
          </w:p>
        </w:tc>
      </w:tr>
      <w:tr w:rsidR="00982AF3" w14:paraId="7EB7A6F7" w14:textId="77777777" w:rsidTr="008328FA">
        <w:trPr>
          <w:trHeight w:val="227"/>
        </w:trPr>
        <w:tc>
          <w:tcPr>
            <w:tcW w:w="1472" w:type="dxa"/>
            <w:vAlign w:val="center"/>
          </w:tcPr>
          <w:p w14:paraId="70268B40" w14:textId="3195FE0E" w:rsidR="00982AF3" w:rsidRPr="00794EC7" w:rsidRDefault="00982AF3" w:rsidP="008328FA">
            <w:pPr>
              <w:rPr>
                <w:rFonts w:cs="Arial"/>
              </w:rPr>
            </w:pPr>
            <w:r w:rsidRPr="00794EC7">
              <w:rPr>
                <w:rFonts w:cs="Arial"/>
              </w:rPr>
              <w:t>TNF</w:t>
            </w:r>
            <w:r w:rsidR="009719B7" w:rsidRPr="00794EC7">
              <w:rPr>
                <w:rFonts w:cs="Arial"/>
              </w:rPr>
              <w:t>-</w:t>
            </w:r>
            <w:r w:rsidRPr="00794EC7">
              <w:rPr>
                <w:rFonts w:eastAsia="Arial Unicode MS" w:cs="Arial"/>
              </w:rPr>
              <w:t>α</w:t>
            </w:r>
          </w:p>
        </w:tc>
        <w:tc>
          <w:tcPr>
            <w:tcW w:w="1888" w:type="dxa"/>
            <w:vAlign w:val="center"/>
          </w:tcPr>
          <w:p w14:paraId="11B90DD7" w14:textId="77777777" w:rsidR="00982AF3" w:rsidRPr="00794EC7" w:rsidRDefault="00982AF3" w:rsidP="008328FA">
            <w:pPr>
              <w:rPr>
                <w:rFonts w:cs="Arial"/>
              </w:rPr>
            </w:pPr>
            <w:r w:rsidRPr="00794EC7">
              <w:rPr>
                <w:rFonts w:cs="Arial"/>
              </w:rPr>
              <w:t>1 in 2</w:t>
            </w:r>
          </w:p>
        </w:tc>
        <w:tc>
          <w:tcPr>
            <w:tcW w:w="1888" w:type="dxa"/>
            <w:vAlign w:val="center"/>
          </w:tcPr>
          <w:p w14:paraId="0354A0B0" w14:textId="77777777" w:rsidR="00982AF3" w:rsidRPr="00794EC7" w:rsidRDefault="00982AF3" w:rsidP="008328FA">
            <w:pPr>
              <w:rPr>
                <w:rFonts w:cs="Arial"/>
              </w:rPr>
            </w:pPr>
            <w:r w:rsidRPr="00794EC7">
              <w:rPr>
                <w:rFonts w:cs="Arial"/>
              </w:rPr>
              <w:t>1 in 2</w:t>
            </w:r>
          </w:p>
        </w:tc>
        <w:tc>
          <w:tcPr>
            <w:tcW w:w="1888" w:type="dxa"/>
            <w:vAlign w:val="center"/>
          </w:tcPr>
          <w:p w14:paraId="60A54086" w14:textId="77777777" w:rsidR="00982AF3" w:rsidRPr="00794EC7" w:rsidRDefault="00982AF3" w:rsidP="008328FA">
            <w:pPr>
              <w:rPr>
                <w:rFonts w:cs="Arial"/>
              </w:rPr>
            </w:pPr>
            <w:r w:rsidRPr="00794EC7">
              <w:rPr>
                <w:rFonts w:cs="Arial"/>
              </w:rPr>
              <w:t>1 in 5</w:t>
            </w:r>
          </w:p>
        </w:tc>
        <w:tc>
          <w:tcPr>
            <w:tcW w:w="1888" w:type="dxa"/>
            <w:gridSpan w:val="2"/>
            <w:vAlign w:val="center"/>
          </w:tcPr>
          <w:p w14:paraId="3EA9448D" w14:textId="77777777" w:rsidR="00982AF3" w:rsidRDefault="00982AF3" w:rsidP="008328FA">
            <w:pPr>
              <w:rPr>
                <w:rFonts w:cs="Arial"/>
              </w:rPr>
            </w:pPr>
            <w:r w:rsidRPr="00794EC7">
              <w:rPr>
                <w:rFonts w:cs="Arial"/>
              </w:rPr>
              <w:t>1 in 5</w:t>
            </w:r>
          </w:p>
        </w:tc>
      </w:tr>
    </w:tbl>
    <w:p w14:paraId="7B6A842C" w14:textId="6CE29AEC" w:rsidR="004477F1" w:rsidRPr="002022BA" w:rsidRDefault="004477F1" w:rsidP="00902F19">
      <w:pPr>
        <w:pStyle w:val="Caption"/>
        <w:rPr>
          <w:color w:val="000000" w:themeColor="text1"/>
        </w:rPr>
      </w:pPr>
    </w:p>
    <w:sectPr w:rsidR="004477F1" w:rsidRPr="002022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DB"/>
    <w:rsid w:val="00000298"/>
    <w:rsid w:val="00015D6A"/>
    <w:rsid w:val="000269B9"/>
    <w:rsid w:val="00030C8A"/>
    <w:rsid w:val="000319A1"/>
    <w:rsid w:val="00033CFD"/>
    <w:rsid w:val="00036B63"/>
    <w:rsid w:val="00044FAA"/>
    <w:rsid w:val="0005379D"/>
    <w:rsid w:val="000627B7"/>
    <w:rsid w:val="00064711"/>
    <w:rsid w:val="00067CCF"/>
    <w:rsid w:val="00070269"/>
    <w:rsid w:val="00071F42"/>
    <w:rsid w:val="0007300E"/>
    <w:rsid w:val="00076BA9"/>
    <w:rsid w:val="00084B55"/>
    <w:rsid w:val="00090BE5"/>
    <w:rsid w:val="00095ABC"/>
    <w:rsid w:val="000C3505"/>
    <w:rsid w:val="000C716B"/>
    <w:rsid w:val="000E5533"/>
    <w:rsid w:val="000F0487"/>
    <w:rsid w:val="000F4B0F"/>
    <w:rsid w:val="000F6F2C"/>
    <w:rsid w:val="000F7DFD"/>
    <w:rsid w:val="00101989"/>
    <w:rsid w:val="001042C1"/>
    <w:rsid w:val="00111967"/>
    <w:rsid w:val="00120533"/>
    <w:rsid w:val="00122CAB"/>
    <w:rsid w:val="00124134"/>
    <w:rsid w:val="0012433F"/>
    <w:rsid w:val="0012451B"/>
    <w:rsid w:val="001306F7"/>
    <w:rsid w:val="00130C41"/>
    <w:rsid w:val="001314FE"/>
    <w:rsid w:val="001417A3"/>
    <w:rsid w:val="00141B5E"/>
    <w:rsid w:val="0014295B"/>
    <w:rsid w:val="00145081"/>
    <w:rsid w:val="00154CBB"/>
    <w:rsid w:val="0015518D"/>
    <w:rsid w:val="00155C4A"/>
    <w:rsid w:val="001620F0"/>
    <w:rsid w:val="00165C60"/>
    <w:rsid w:val="0016757D"/>
    <w:rsid w:val="00182EDE"/>
    <w:rsid w:val="0018418E"/>
    <w:rsid w:val="0018499F"/>
    <w:rsid w:val="001873C9"/>
    <w:rsid w:val="0019141F"/>
    <w:rsid w:val="00193DED"/>
    <w:rsid w:val="001A0C47"/>
    <w:rsid w:val="001A3805"/>
    <w:rsid w:val="001A520B"/>
    <w:rsid w:val="001A6D7F"/>
    <w:rsid w:val="001D2F48"/>
    <w:rsid w:val="001D6E06"/>
    <w:rsid w:val="001D71FC"/>
    <w:rsid w:val="001D7607"/>
    <w:rsid w:val="001E0A4D"/>
    <w:rsid w:val="001F131C"/>
    <w:rsid w:val="001F1EA5"/>
    <w:rsid w:val="001F56EC"/>
    <w:rsid w:val="00200CB9"/>
    <w:rsid w:val="002022BA"/>
    <w:rsid w:val="00213667"/>
    <w:rsid w:val="002145EE"/>
    <w:rsid w:val="00221E62"/>
    <w:rsid w:val="00222DF3"/>
    <w:rsid w:val="0023051A"/>
    <w:rsid w:val="00232A80"/>
    <w:rsid w:val="002350CF"/>
    <w:rsid w:val="002414DC"/>
    <w:rsid w:val="00241692"/>
    <w:rsid w:val="00245284"/>
    <w:rsid w:val="002553D1"/>
    <w:rsid w:val="002643F2"/>
    <w:rsid w:val="002679E3"/>
    <w:rsid w:val="00273DE1"/>
    <w:rsid w:val="00277B03"/>
    <w:rsid w:val="0028218A"/>
    <w:rsid w:val="002904D4"/>
    <w:rsid w:val="002933FF"/>
    <w:rsid w:val="00294C98"/>
    <w:rsid w:val="002A08FF"/>
    <w:rsid w:val="002A40EC"/>
    <w:rsid w:val="002A6D53"/>
    <w:rsid w:val="002B1629"/>
    <w:rsid w:val="002B2D48"/>
    <w:rsid w:val="002B5D51"/>
    <w:rsid w:val="002B7199"/>
    <w:rsid w:val="002B7B6E"/>
    <w:rsid w:val="002C714A"/>
    <w:rsid w:val="002D77E6"/>
    <w:rsid w:val="002E15B6"/>
    <w:rsid w:val="002E3504"/>
    <w:rsid w:val="003013EF"/>
    <w:rsid w:val="0030174C"/>
    <w:rsid w:val="00301E03"/>
    <w:rsid w:val="003134FD"/>
    <w:rsid w:val="0031397D"/>
    <w:rsid w:val="00325B32"/>
    <w:rsid w:val="00334CE6"/>
    <w:rsid w:val="00335256"/>
    <w:rsid w:val="00342319"/>
    <w:rsid w:val="003516C1"/>
    <w:rsid w:val="003527BF"/>
    <w:rsid w:val="0035653F"/>
    <w:rsid w:val="00356B4E"/>
    <w:rsid w:val="003648D9"/>
    <w:rsid w:val="00380792"/>
    <w:rsid w:val="00380C21"/>
    <w:rsid w:val="00382D64"/>
    <w:rsid w:val="003A5706"/>
    <w:rsid w:val="003B1639"/>
    <w:rsid w:val="003B27E7"/>
    <w:rsid w:val="003B43A4"/>
    <w:rsid w:val="003C40B1"/>
    <w:rsid w:val="003C43A1"/>
    <w:rsid w:val="003C6C1E"/>
    <w:rsid w:val="003E1328"/>
    <w:rsid w:val="003E2FCA"/>
    <w:rsid w:val="003E4240"/>
    <w:rsid w:val="003E5EBB"/>
    <w:rsid w:val="003F7FB3"/>
    <w:rsid w:val="00404D08"/>
    <w:rsid w:val="00406544"/>
    <w:rsid w:val="00410782"/>
    <w:rsid w:val="0041178D"/>
    <w:rsid w:val="00414C4C"/>
    <w:rsid w:val="004163B6"/>
    <w:rsid w:val="00422801"/>
    <w:rsid w:val="00422B2A"/>
    <w:rsid w:val="004258DA"/>
    <w:rsid w:val="00431725"/>
    <w:rsid w:val="00433732"/>
    <w:rsid w:val="00436195"/>
    <w:rsid w:val="00444FE7"/>
    <w:rsid w:val="004477F1"/>
    <w:rsid w:val="00457CA0"/>
    <w:rsid w:val="00462A4B"/>
    <w:rsid w:val="00464767"/>
    <w:rsid w:val="00474116"/>
    <w:rsid w:val="00474BF9"/>
    <w:rsid w:val="004808E5"/>
    <w:rsid w:val="00486113"/>
    <w:rsid w:val="0049015A"/>
    <w:rsid w:val="00490557"/>
    <w:rsid w:val="00494994"/>
    <w:rsid w:val="004965E3"/>
    <w:rsid w:val="00496EAC"/>
    <w:rsid w:val="004A6508"/>
    <w:rsid w:val="004B2A93"/>
    <w:rsid w:val="004B2E65"/>
    <w:rsid w:val="004C0164"/>
    <w:rsid w:val="004C0A2E"/>
    <w:rsid w:val="004C11F6"/>
    <w:rsid w:val="004C1D11"/>
    <w:rsid w:val="004C4861"/>
    <w:rsid w:val="004D023E"/>
    <w:rsid w:val="004D3D25"/>
    <w:rsid w:val="004D4685"/>
    <w:rsid w:val="004D478A"/>
    <w:rsid w:val="004D4F3B"/>
    <w:rsid w:val="004D5B16"/>
    <w:rsid w:val="004E5857"/>
    <w:rsid w:val="004E6428"/>
    <w:rsid w:val="004F2936"/>
    <w:rsid w:val="004F43DD"/>
    <w:rsid w:val="004F5CCC"/>
    <w:rsid w:val="004F623A"/>
    <w:rsid w:val="004F6756"/>
    <w:rsid w:val="00504E5D"/>
    <w:rsid w:val="005109F4"/>
    <w:rsid w:val="00513353"/>
    <w:rsid w:val="005148F8"/>
    <w:rsid w:val="0051490D"/>
    <w:rsid w:val="00523A02"/>
    <w:rsid w:val="0052753C"/>
    <w:rsid w:val="005368FD"/>
    <w:rsid w:val="00536AF8"/>
    <w:rsid w:val="00541C49"/>
    <w:rsid w:val="00553A43"/>
    <w:rsid w:val="00554A33"/>
    <w:rsid w:val="00555226"/>
    <w:rsid w:val="00556BDA"/>
    <w:rsid w:val="00560399"/>
    <w:rsid w:val="00560743"/>
    <w:rsid w:val="0056245A"/>
    <w:rsid w:val="00564C2F"/>
    <w:rsid w:val="00566C69"/>
    <w:rsid w:val="005737B9"/>
    <w:rsid w:val="00576011"/>
    <w:rsid w:val="0057669B"/>
    <w:rsid w:val="00580D1C"/>
    <w:rsid w:val="00580FE1"/>
    <w:rsid w:val="00581248"/>
    <w:rsid w:val="00582686"/>
    <w:rsid w:val="00585EF2"/>
    <w:rsid w:val="00590A7D"/>
    <w:rsid w:val="005941E3"/>
    <w:rsid w:val="00595FB7"/>
    <w:rsid w:val="005B1170"/>
    <w:rsid w:val="005B2CC2"/>
    <w:rsid w:val="005C667D"/>
    <w:rsid w:val="005C702E"/>
    <w:rsid w:val="005C7610"/>
    <w:rsid w:val="005D49CA"/>
    <w:rsid w:val="005D5C20"/>
    <w:rsid w:val="005E17BA"/>
    <w:rsid w:val="005E33EB"/>
    <w:rsid w:val="005F3B8C"/>
    <w:rsid w:val="005F5384"/>
    <w:rsid w:val="005F5759"/>
    <w:rsid w:val="00602BD7"/>
    <w:rsid w:val="00603F42"/>
    <w:rsid w:val="0060596C"/>
    <w:rsid w:val="006070FF"/>
    <w:rsid w:val="006113C9"/>
    <w:rsid w:val="006145AC"/>
    <w:rsid w:val="0062064A"/>
    <w:rsid w:val="006225E3"/>
    <w:rsid w:val="00625AAE"/>
    <w:rsid w:val="0062608A"/>
    <w:rsid w:val="0063249B"/>
    <w:rsid w:val="00645B27"/>
    <w:rsid w:val="00654A70"/>
    <w:rsid w:val="00660499"/>
    <w:rsid w:val="006611DF"/>
    <w:rsid w:val="00667723"/>
    <w:rsid w:val="00672B9F"/>
    <w:rsid w:val="00677A24"/>
    <w:rsid w:val="0068172A"/>
    <w:rsid w:val="00681A05"/>
    <w:rsid w:val="00684C65"/>
    <w:rsid w:val="00687E2C"/>
    <w:rsid w:val="00687E3E"/>
    <w:rsid w:val="006963BA"/>
    <w:rsid w:val="00697507"/>
    <w:rsid w:val="00697D18"/>
    <w:rsid w:val="006C0BF7"/>
    <w:rsid w:val="006C1C7A"/>
    <w:rsid w:val="006C262C"/>
    <w:rsid w:val="006C2E72"/>
    <w:rsid w:val="006C421A"/>
    <w:rsid w:val="006C4333"/>
    <w:rsid w:val="006D1304"/>
    <w:rsid w:val="006E1DD9"/>
    <w:rsid w:val="006E7FD8"/>
    <w:rsid w:val="006F727F"/>
    <w:rsid w:val="007009C8"/>
    <w:rsid w:val="0070235F"/>
    <w:rsid w:val="007105DF"/>
    <w:rsid w:val="00710E9F"/>
    <w:rsid w:val="00723383"/>
    <w:rsid w:val="007241CE"/>
    <w:rsid w:val="00732091"/>
    <w:rsid w:val="00743A9B"/>
    <w:rsid w:val="0074674E"/>
    <w:rsid w:val="00747DAD"/>
    <w:rsid w:val="00747F7F"/>
    <w:rsid w:val="00753096"/>
    <w:rsid w:val="00764A2B"/>
    <w:rsid w:val="0077073B"/>
    <w:rsid w:val="00771BA9"/>
    <w:rsid w:val="00774D36"/>
    <w:rsid w:val="00780710"/>
    <w:rsid w:val="00781571"/>
    <w:rsid w:val="00783798"/>
    <w:rsid w:val="00787BBC"/>
    <w:rsid w:val="00794EC7"/>
    <w:rsid w:val="0079686D"/>
    <w:rsid w:val="007A3272"/>
    <w:rsid w:val="007A7167"/>
    <w:rsid w:val="007A7183"/>
    <w:rsid w:val="007B1C8D"/>
    <w:rsid w:val="007B6913"/>
    <w:rsid w:val="007B6A8D"/>
    <w:rsid w:val="007C3591"/>
    <w:rsid w:val="007D367A"/>
    <w:rsid w:val="007E239E"/>
    <w:rsid w:val="007E274A"/>
    <w:rsid w:val="007F1829"/>
    <w:rsid w:val="007F3EF3"/>
    <w:rsid w:val="007F5CD2"/>
    <w:rsid w:val="007F6E8E"/>
    <w:rsid w:val="00800519"/>
    <w:rsid w:val="008026F4"/>
    <w:rsid w:val="00806DCB"/>
    <w:rsid w:val="00810039"/>
    <w:rsid w:val="00812BCC"/>
    <w:rsid w:val="008150B4"/>
    <w:rsid w:val="00815FA6"/>
    <w:rsid w:val="00817DA8"/>
    <w:rsid w:val="008328FA"/>
    <w:rsid w:val="008338D9"/>
    <w:rsid w:val="008359C9"/>
    <w:rsid w:val="0084372D"/>
    <w:rsid w:val="00845C3B"/>
    <w:rsid w:val="00847327"/>
    <w:rsid w:val="0085141B"/>
    <w:rsid w:val="00853B8A"/>
    <w:rsid w:val="008556B9"/>
    <w:rsid w:val="008572FF"/>
    <w:rsid w:val="008606D2"/>
    <w:rsid w:val="00866E74"/>
    <w:rsid w:val="008672AC"/>
    <w:rsid w:val="008737F0"/>
    <w:rsid w:val="0087601B"/>
    <w:rsid w:val="00880CC2"/>
    <w:rsid w:val="00881E2C"/>
    <w:rsid w:val="00883872"/>
    <w:rsid w:val="008A0991"/>
    <w:rsid w:val="008A6241"/>
    <w:rsid w:val="008C4ADB"/>
    <w:rsid w:val="008D0B12"/>
    <w:rsid w:val="008D497C"/>
    <w:rsid w:val="008D77BF"/>
    <w:rsid w:val="008D7BAE"/>
    <w:rsid w:val="008E11B7"/>
    <w:rsid w:val="008E2942"/>
    <w:rsid w:val="008E456D"/>
    <w:rsid w:val="008E53BA"/>
    <w:rsid w:val="008E5C9C"/>
    <w:rsid w:val="008F0260"/>
    <w:rsid w:val="008F6641"/>
    <w:rsid w:val="00902F19"/>
    <w:rsid w:val="009039F6"/>
    <w:rsid w:val="00904317"/>
    <w:rsid w:val="009067A9"/>
    <w:rsid w:val="00906A9D"/>
    <w:rsid w:val="00912361"/>
    <w:rsid w:val="00917377"/>
    <w:rsid w:val="009209CD"/>
    <w:rsid w:val="009263DA"/>
    <w:rsid w:val="009266D0"/>
    <w:rsid w:val="00927C6A"/>
    <w:rsid w:val="00930B5A"/>
    <w:rsid w:val="0093248D"/>
    <w:rsid w:val="00936B21"/>
    <w:rsid w:val="00937FA7"/>
    <w:rsid w:val="0094423E"/>
    <w:rsid w:val="00951895"/>
    <w:rsid w:val="009604B2"/>
    <w:rsid w:val="0096738B"/>
    <w:rsid w:val="00970413"/>
    <w:rsid w:val="00970FE1"/>
    <w:rsid w:val="009719B7"/>
    <w:rsid w:val="009722DF"/>
    <w:rsid w:val="00982AF3"/>
    <w:rsid w:val="00986E15"/>
    <w:rsid w:val="009900F7"/>
    <w:rsid w:val="00996413"/>
    <w:rsid w:val="00997DFC"/>
    <w:rsid w:val="009B6A18"/>
    <w:rsid w:val="009C2AA9"/>
    <w:rsid w:val="009C3AC0"/>
    <w:rsid w:val="009D1F90"/>
    <w:rsid w:val="009E15D0"/>
    <w:rsid w:val="009E1BC5"/>
    <w:rsid w:val="009E3AD2"/>
    <w:rsid w:val="009E4345"/>
    <w:rsid w:val="009E7AE5"/>
    <w:rsid w:val="009F0536"/>
    <w:rsid w:val="009F068E"/>
    <w:rsid w:val="009F490D"/>
    <w:rsid w:val="00A00E65"/>
    <w:rsid w:val="00A11A8B"/>
    <w:rsid w:val="00A1222A"/>
    <w:rsid w:val="00A2029B"/>
    <w:rsid w:val="00A2302E"/>
    <w:rsid w:val="00A2792D"/>
    <w:rsid w:val="00A3584D"/>
    <w:rsid w:val="00A363FD"/>
    <w:rsid w:val="00A40128"/>
    <w:rsid w:val="00A40D3D"/>
    <w:rsid w:val="00A413FB"/>
    <w:rsid w:val="00A47858"/>
    <w:rsid w:val="00A600D8"/>
    <w:rsid w:val="00A623D0"/>
    <w:rsid w:val="00A628AA"/>
    <w:rsid w:val="00A629F6"/>
    <w:rsid w:val="00A663FE"/>
    <w:rsid w:val="00A80EAB"/>
    <w:rsid w:val="00A826CC"/>
    <w:rsid w:val="00A827BB"/>
    <w:rsid w:val="00A926A1"/>
    <w:rsid w:val="00A9380D"/>
    <w:rsid w:val="00AB045D"/>
    <w:rsid w:val="00AB1C32"/>
    <w:rsid w:val="00AB6007"/>
    <w:rsid w:val="00AB6204"/>
    <w:rsid w:val="00AD342D"/>
    <w:rsid w:val="00AD531A"/>
    <w:rsid w:val="00AD678C"/>
    <w:rsid w:val="00AE6017"/>
    <w:rsid w:val="00B06E75"/>
    <w:rsid w:val="00B07F72"/>
    <w:rsid w:val="00B24331"/>
    <w:rsid w:val="00B27199"/>
    <w:rsid w:val="00B31ED3"/>
    <w:rsid w:val="00B32B60"/>
    <w:rsid w:val="00B337CE"/>
    <w:rsid w:val="00B33F4D"/>
    <w:rsid w:val="00B36495"/>
    <w:rsid w:val="00B37FD5"/>
    <w:rsid w:val="00B40C21"/>
    <w:rsid w:val="00B4777E"/>
    <w:rsid w:val="00B600C1"/>
    <w:rsid w:val="00B63D17"/>
    <w:rsid w:val="00B7196F"/>
    <w:rsid w:val="00B74493"/>
    <w:rsid w:val="00B76487"/>
    <w:rsid w:val="00B81BC3"/>
    <w:rsid w:val="00B82E79"/>
    <w:rsid w:val="00B95851"/>
    <w:rsid w:val="00BA16B3"/>
    <w:rsid w:val="00BA3D7B"/>
    <w:rsid w:val="00BA679F"/>
    <w:rsid w:val="00BB0508"/>
    <w:rsid w:val="00BB3AF2"/>
    <w:rsid w:val="00BC04D8"/>
    <w:rsid w:val="00BC22F4"/>
    <w:rsid w:val="00BC4E5D"/>
    <w:rsid w:val="00BD2E34"/>
    <w:rsid w:val="00BD39C9"/>
    <w:rsid w:val="00BD4AF6"/>
    <w:rsid w:val="00BD6C00"/>
    <w:rsid w:val="00BE748F"/>
    <w:rsid w:val="00BF77AF"/>
    <w:rsid w:val="00C13EF0"/>
    <w:rsid w:val="00C20F20"/>
    <w:rsid w:val="00C20F8C"/>
    <w:rsid w:val="00C21D54"/>
    <w:rsid w:val="00C22832"/>
    <w:rsid w:val="00C23910"/>
    <w:rsid w:val="00C41DC1"/>
    <w:rsid w:val="00C43CC3"/>
    <w:rsid w:val="00C44AE3"/>
    <w:rsid w:val="00C45804"/>
    <w:rsid w:val="00C62C21"/>
    <w:rsid w:val="00C638D0"/>
    <w:rsid w:val="00C63B7B"/>
    <w:rsid w:val="00C73641"/>
    <w:rsid w:val="00C740EE"/>
    <w:rsid w:val="00C74BC5"/>
    <w:rsid w:val="00C75CFA"/>
    <w:rsid w:val="00C82CB1"/>
    <w:rsid w:val="00C84612"/>
    <w:rsid w:val="00C954C3"/>
    <w:rsid w:val="00CA1338"/>
    <w:rsid w:val="00CA1AAB"/>
    <w:rsid w:val="00CA1E7B"/>
    <w:rsid w:val="00CA6B2E"/>
    <w:rsid w:val="00CB0B01"/>
    <w:rsid w:val="00CB225B"/>
    <w:rsid w:val="00CB5381"/>
    <w:rsid w:val="00CB5D9E"/>
    <w:rsid w:val="00CB64F5"/>
    <w:rsid w:val="00CB7245"/>
    <w:rsid w:val="00CC3C7E"/>
    <w:rsid w:val="00CC4C9E"/>
    <w:rsid w:val="00CC5263"/>
    <w:rsid w:val="00CC5F24"/>
    <w:rsid w:val="00CD344F"/>
    <w:rsid w:val="00CD59D5"/>
    <w:rsid w:val="00CD643A"/>
    <w:rsid w:val="00CE0FAC"/>
    <w:rsid w:val="00CE225E"/>
    <w:rsid w:val="00CE7DBD"/>
    <w:rsid w:val="00CF1C2F"/>
    <w:rsid w:val="00CF35C3"/>
    <w:rsid w:val="00CF4A99"/>
    <w:rsid w:val="00CF6A6A"/>
    <w:rsid w:val="00CF7783"/>
    <w:rsid w:val="00D01DF2"/>
    <w:rsid w:val="00D032D6"/>
    <w:rsid w:val="00D0345E"/>
    <w:rsid w:val="00D0602B"/>
    <w:rsid w:val="00D100BB"/>
    <w:rsid w:val="00D10BDB"/>
    <w:rsid w:val="00D11A29"/>
    <w:rsid w:val="00D20BA4"/>
    <w:rsid w:val="00D20F8F"/>
    <w:rsid w:val="00D3669C"/>
    <w:rsid w:val="00D43ACC"/>
    <w:rsid w:val="00D508D7"/>
    <w:rsid w:val="00D52B1C"/>
    <w:rsid w:val="00D53A2A"/>
    <w:rsid w:val="00D60182"/>
    <w:rsid w:val="00D64224"/>
    <w:rsid w:val="00D644EE"/>
    <w:rsid w:val="00D65E10"/>
    <w:rsid w:val="00D7638A"/>
    <w:rsid w:val="00D83621"/>
    <w:rsid w:val="00D86F5B"/>
    <w:rsid w:val="00D95ACD"/>
    <w:rsid w:val="00D95EFB"/>
    <w:rsid w:val="00DA4EB9"/>
    <w:rsid w:val="00DB3F16"/>
    <w:rsid w:val="00DB5CB6"/>
    <w:rsid w:val="00DC14FD"/>
    <w:rsid w:val="00DC325E"/>
    <w:rsid w:val="00DD1EBD"/>
    <w:rsid w:val="00DD2738"/>
    <w:rsid w:val="00DD3359"/>
    <w:rsid w:val="00DD6188"/>
    <w:rsid w:val="00DE783F"/>
    <w:rsid w:val="00DF0BB8"/>
    <w:rsid w:val="00DF49B6"/>
    <w:rsid w:val="00E054C8"/>
    <w:rsid w:val="00E06C02"/>
    <w:rsid w:val="00E2095E"/>
    <w:rsid w:val="00E2116B"/>
    <w:rsid w:val="00E31DB7"/>
    <w:rsid w:val="00E34E68"/>
    <w:rsid w:val="00E41B12"/>
    <w:rsid w:val="00E47171"/>
    <w:rsid w:val="00E52841"/>
    <w:rsid w:val="00E610A6"/>
    <w:rsid w:val="00E6370F"/>
    <w:rsid w:val="00E6551D"/>
    <w:rsid w:val="00E7363B"/>
    <w:rsid w:val="00E773CA"/>
    <w:rsid w:val="00E869BC"/>
    <w:rsid w:val="00E87C15"/>
    <w:rsid w:val="00E94C7B"/>
    <w:rsid w:val="00E9598D"/>
    <w:rsid w:val="00EA0822"/>
    <w:rsid w:val="00EA5129"/>
    <w:rsid w:val="00EA666E"/>
    <w:rsid w:val="00EB75CC"/>
    <w:rsid w:val="00EC6677"/>
    <w:rsid w:val="00ED03B9"/>
    <w:rsid w:val="00ED0A13"/>
    <w:rsid w:val="00ED15CA"/>
    <w:rsid w:val="00ED6A34"/>
    <w:rsid w:val="00ED7F59"/>
    <w:rsid w:val="00EE041E"/>
    <w:rsid w:val="00EE10BF"/>
    <w:rsid w:val="00EE72AA"/>
    <w:rsid w:val="00EF0240"/>
    <w:rsid w:val="00EF6B74"/>
    <w:rsid w:val="00EF7517"/>
    <w:rsid w:val="00F0004A"/>
    <w:rsid w:val="00F000B6"/>
    <w:rsid w:val="00F064A1"/>
    <w:rsid w:val="00F06B3B"/>
    <w:rsid w:val="00F15EE6"/>
    <w:rsid w:val="00F166D1"/>
    <w:rsid w:val="00F278EE"/>
    <w:rsid w:val="00F309D4"/>
    <w:rsid w:val="00F30D6F"/>
    <w:rsid w:val="00F3371E"/>
    <w:rsid w:val="00F369F8"/>
    <w:rsid w:val="00F44088"/>
    <w:rsid w:val="00F47F9C"/>
    <w:rsid w:val="00F603FE"/>
    <w:rsid w:val="00F60D24"/>
    <w:rsid w:val="00F61487"/>
    <w:rsid w:val="00F7174A"/>
    <w:rsid w:val="00F7707E"/>
    <w:rsid w:val="00F82083"/>
    <w:rsid w:val="00F83136"/>
    <w:rsid w:val="00F85098"/>
    <w:rsid w:val="00F92BEF"/>
    <w:rsid w:val="00F93D87"/>
    <w:rsid w:val="00FA16DE"/>
    <w:rsid w:val="00FB0CA8"/>
    <w:rsid w:val="00FB4448"/>
    <w:rsid w:val="00FB4814"/>
    <w:rsid w:val="00FB5DD0"/>
    <w:rsid w:val="00FB7A8D"/>
    <w:rsid w:val="00FD6E36"/>
    <w:rsid w:val="00FE2260"/>
    <w:rsid w:val="00FE22DB"/>
    <w:rsid w:val="00FE30B5"/>
    <w:rsid w:val="00FE4461"/>
    <w:rsid w:val="00FE53C7"/>
    <w:rsid w:val="00FF3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3FA5"/>
  <w15:chartTrackingRefBased/>
  <w15:docId w15:val="{F5170D75-336D-6A4A-B926-215C9503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DB"/>
    <w:rPr>
      <w:rFonts w:ascii="Arial" w:hAnsi="Arial"/>
      <w:sz w:val="20"/>
    </w:rPr>
  </w:style>
  <w:style w:type="paragraph" w:styleId="Heading1">
    <w:name w:val="heading 1"/>
    <w:basedOn w:val="Normal"/>
    <w:next w:val="Normal"/>
    <w:link w:val="Heading1Char"/>
    <w:uiPriority w:val="9"/>
    <w:qFormat/>
    <w:rsid w:val="00D01DF2"/>
    <w:pPr>
      <w:keepNext/>
      <w:keepLines/>
      <w:spacing w:before="240"/>
      <w:outlineLvl w:val="0"/>
    </w:pPr>
    <w:rPr>
      <w:rFonts w:eastAsiaTheme="majorEastAsia" w:cstheme="majorBidi"/>
      <w:b/>
      <w:color w:val="808080" w:themeColor="background1" w:themeShade="80"/>
      <w:sz w:val="22"/>
      <w:szCs w:val="32"/>
    </w:rPr>
  </w:style>
  <w:style w:type="paragraph" w:styleId="Heading2">
    <w:name w:val="heading 2"/>
    <w:basedOn w:val="Normal"/>
    <w:next w:val="Normal"/>
    <w:link w:val="Heading2Char"/>
    <w:uiPriority w:val="9"/>
    <w:semiHidden/>
    <w:unhideWhenUsed/>
    <w:qFormat/>
    <w:rsid w:val="00301E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2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22DB"/>
    <w:rPr>
      <w:rFonts w:ascii="Times New Roman" w:hAnsi="Times New Roman" w:cs="Times New Roman"/>
      <w:sz w:val="18"/>
      <w:szCs w:val="18"/>
    </w:rPr>
  </w:style>
  <w:style w:type="character" w:customStyle="1" w:styleId="Heading1Char">
    <w:name w:val="Heading 1 Char"/>
    <w:basedOn w:val="DefaultParagraphFont"/>
    <w:link w:val="Heading1"/>
    <w:uiPriority w:val="9"/>
    <w:rsid w:val="00D01DF2"/>
    <w:rPr>
      <w:rFonts w:ascii="Arial" w:eastAsiaTheme="majorEastAsia" w:hAnsi="Arial" w:cstheme="majorBidi"/>
      <w:b/>
      <w:color w:val="808080" w:themeColor="background1" w:themeShade="80"/>
      <w:sz w:val="22"/>
      <w:szCs w:val="32"/>
    </w:rPr>
  </w:style>
  <w:style w:type="character" w:styleId="CommentReference">
    <w:name w:val="annotation reference"/>
    <w:basedOn w:val="DefaultParagraphFont"/>
    <w:uiPriority w:val="99"/>
    <w:semiHidden/>
    <w:unhideWhenUsed/>
    <w:rsid w:val="00B37FD5"/>
    <w:rPr>
      <w:sz w:val="16"/>
      <w:szCs w:val="16"/>
    </w:rPr>
  </w:style>
  <w:style w:type="paragraph" w:styleId="CommentText">
    <w:name w:val="annotation text"/>
    <w:basedOn w:val="Normal"/>
    <w:link w:val="CommentTextChar"/>
    <w:uiPriority w:val="99"/>
    <w:unhideWhenUsed/>
    <w:rsid w:val="00B37FD5"/>
    <w:rPr>
      <w:szCs w:val="20"/>
    </w:rPr>
  </w:style>
  <w:style w:type="character" w:customStyle="1" w:styleId="CommentTextChar">
    <w:name w:val="Comment Text Char"/>
    <w:basedOn w:val="DefaultParagraphFont"/>
    <w:link w:val="CommentText"/>
    <w:uiPriority w:val="99"/>
    <w:rsid w:val="00B37FD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37FD5"/>
    <w:rPr>
      <w:b/>
      <w:bCs/>
    </w:rPr>
  </w:style>
  <w:style w:type="character" w:customStyle="1" w:styleId="CommentSubjectChar">
    <w:name w:val="Comment Subject Char"/>
    <w:basedOn w:val="CommentTextChar"/>
    <w:link w:val="CommentSubject"/>
    <w:uiPriority w:val="99"/>
    <w:semiHidden/>
    <w:rsid w:val="00B37FD5"/>
    <w:rPr>
      <w:rFonts w:ascii="Arial" w:hAnsi="Arial"/>
      <w:b/>
      <w:bCs/>
      <w:sz w:val="20"/>
      <w:szCs w:val="20"/>
    </w:rPr>
  </w:style>
  <w:style w:type="paragraph" w:styleId="Caption">
    <w:name w:val="caption"/>
    <w:basedOn w:val="Normal"/>
    <w:next w:val="Normal"/>
    <w:uiPriority w:val="35"/>
    <w:unhideWhenUsed/>
    <w:qFormat/>
    <w:rsid w:val="00881E2C"/>
    <w:pPr>
      <w:spacing w:after="200"/>
    </w:pPr>
    <w:rPr>
      <w:i/>
      <w:iCs/>
      <w:color w:val="44546A" w:themeColor="text2"/>
      <w:sz w:val="18"/>
      <w:szCs w:val="18"/>
    </w:rPr>
  </w:style>
  <w:style w:type="paragraph" w:styleId="Title">
    <w:name w:val="Title"/>
    <w:basedOn w:val="Normal"/>
    <w:next w:val="Normal"/>
    <w:link w:val="TitleChar"/>
    <w:uiPriority w:val="10"/>
    <w:qFormat/>
    <w:rsid w:val="0014295B"/>
    <w:pPr>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14295B"/>
    <w:rPr>
      <w:rFonts w:ascii="Arial" w:eastAsiaTheme="majorEastAsia" w:hAnsi="Arial" w:cstheme="majorBidi"/>
      <w:b/>
      <w:spacing w:val="-10"/>
      <w:kern w:val="28"/>
      <w:sz w:val="28"/>
      <w:szCs w:val="56"/>
    </w:rPr>
  </w:style>
  <w:style w:type="paragraph" w:styleId="Subtitle">
    <w:name w:val="Subtitle"/>
    <w:basedOn w:val="NoSpacing"/>
    <w:next w:val="NoSpacing"/>
    <w:link w:val="SubtitleChar"/>
    <w:uiPriority w:val="11"/>
    <w:qFormat/>
    <w:rsid w:val="005D49CA"/>
    <w:pPr>
      <w:numPr>
        <w:ilvl w:val="1"/>
      </w:numPr>
      <w:spacing w:after="160"/>
    </w:pPr>
    <w:rPr>
      <w:rFonts w:eastAsiaTheme="minorEastAsia"/>
      <w:b/>
      <w:color w:val="000000" w:themeColor="text1"/>
      <w:spacing w:val="15"/>
      <w:sz w:val="24"/>
      <w:szCs w:val="22"/>
    </w:rPr>
  </w:style>
  <w:style w:type="character" w:customStyle="1" w:styleId="SubtitleChar">
    <w:name w:val="Subtitle Char"/>
    <w:basedOn w:val="DefaultParagraphFont"/>
    <w:link w:val="Subtitle"/>
    <w:uiPriority w:val="11"/>
    <w:rsid w:val="00815FA6"/>
    <w:rPr>
      <w:rFonts w:ascii="Arial" w:eastAsiaTheme="minorEastAsia" w:hAnsi="Arial"/>
      <w:b/>
      <w:color w:val="000000" w:themeColor="text1"/>
      <w:spacing w:val="15"/>
      <w:szCs w:val="22"/>
    </w:rPr>
  </w:style>
  <w:style w:type="character" w:customStyle="1" w:styleId="Heading2Char">
    <w:name w:val="Heading 2 Char"/>
    <w:basedOn w:val="DefaultParagraphFont"/>
    <w:link w:val="Heading2"/>
    <w:uiPriority w:val="9"/>
    <w:semiHidden/>
    <w:rsid w:val="00301E0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F3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3EF0"/>
    <w:rPr>
      <w:rFonts w:ascii="Arial" w:hAnsi="Arial"/>
      <w:sz w:val="20"/>
    </w:rPr>
  </w:style>
  <w:style w:type="paragraph" w:styleId="NoSpacing">
    <w:name w:val="No Spacing"/>
    <w:uiPriority w:val="1"/>
    <w:qFormat/>
    <w:rsid w:val="00815FA6"/>
    <w:rPr>
      <w:rFonts w:ascii="Arial" w:hAnsi="Arial"/>
      <w:sz w:val="20"/>
    </w:rPr>
  </w:style>
  <w:style w:type="character" w:styleId="Hyperlink">
    <w:name w:val="Hyperlink"/>
    <w:basedOn w:val="DefaultParagraphFont"/>
    <w:uiPriority w:val="99"/>
    <w:unhideWhenUsed/>
    <w:rsid w:val="00D20F8F"/>
    <w:rPr>
      <w:color w:val="0563C1" w:themeColor="hyperlink"/>
      <w:u w:val="single"/>
    </w:rPr>
  </w:style>
  <w:style w:type="character" w:styleId="UnresolvedMention">
    <w:name w:val="Unresolved Mention"/>
    <w:basedOn w:val="DefaultParagraphFont"/>
    <w:uiPriority w:val="99"/>
    <w:semiHidden/>
    <w:unhideWhenUsed/>
    <w:rsid w:val="002A6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3890">
      <w:bodyDiv w:val="1"/>
      <w:marLeft w:val="0"/>
      <w:marRight w:val="0"/>
      <w:marTop w:val="0"/>
      <w:marBottom w:val="0"/>
      <w:divBdr>
        <w:top w:val="none" w:sz="0" w:space="0" w:color="auto"/>
        <w:left w:val="none" w:sz="0" w:space="0" w:color="auto"/>
        <w:bottom w:val="none" w:sz="0" w:space="0" w:color="auto"/>
        <w:right w:val="none" w:sz="0" w:space="0" w:color="auto"/>
      </w:divBdr>
    </w:div>
    <w:div w:id="104811141">
      <w:bodyDiv w:val="1"/>
      <w:marLeft w:val="0"/>
      <w:marRight w:val="0"/>
      <w:marTop w:val="0"/>
      <w:marBottom w:val="0"/>
      <w:divBdr>
        <w:top w:val="none" w:sz="0" w:space="0" w:color="auto"/>
        <w:left w:val="none" w:sz="0" w:space="0" w:color="auto"/>
        <w:bottom w:val="none" w:sz="0" w:space="0" w:color="auto"/>
        <w:right w:val="none" w:sz="0" w:space="0" w:color="auto"/>
      </w:divBdr>
    </w:div>
    <w:div w:id="741606516">
      <w:bodyDiv w:val="1"/>
      <w:marLeft w:val="0"/>
      <w:marRight w:val="0"/>
      <w:marTop w:val="0"/>
      <w:marBottom w:val="0"/>
      <w:divBdr>
        <w:top w:val="none" w:sz="0" w:space="0" w:color="auto"/>
        <w:left w:val="none" w:sz="0" w:space="0" w:color="auto"/>
        <w:bottom w:val="none" w:sz="0" w:space="0" w:color="auto"/>
        <w:right w:val="none" w:sz="0" w:space="0" w:color="auto"/>
      </w:divBdr>
    </w:div>
    <w:div w:id="1417364431">
      <w:bodyDiv w:val="1"/>
      <w:marLeft w:val="0"/>
      <w:marRight w:val="0"/>
      <w:marTop w:val="0"/>
      <w:marBottom w:val="0"/>
      <w:divBdr>
        <w:top w:val="none" w:sz="0" w:space="0" w:color="auto"/>
        <w:left w:val="none" w:sz="0" w:space="0" w:color="auto"/>
        <w:bottom w:val="none" w:sz="0" w:space="0" w:color="auto"/>
        <w:right w:val="none" w:sz="0" w:space="0" w:color="auto"/>
      </w:divBdr>
    </w:div>
    <w:div w:id="212816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4BEBC-1443-8140-AED8-13343B2D4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38700</Words>
  <Characters>220591</Characters>
  <Application>Microsoft Office Word</Application>
  <DocSecurity>0</DocSecurity>
  <Lines>1838</Lines>
  <Paragraphs>517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Karra</dc:creator>
  <cp:keywords/>
  <dc:description/>
  <cp:lastModifiedBy>Nikita Karra</cp:lastModifiedBy>
  <cp:revision>3</cp:revision>
  <dcterms:created xsi:type="dcterms:W3CDTF">2022-05-14T09:01:00Z</dcterms:created>
  <dcterms:modified xsi:type="dcterms:W3CDTF">2022-05-14T09:15:00Z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http://csl.mendeley.com/styles/500780081/harvard-cite-them-right</vt:lpwstr>
  </property>
  <property fmtid="{D5CDD505-2E9C-101B-9397-08002B2CF9AE}" pid="11" name="Mendeley Recent Style Name 4_1">
    <vt:lpwstr>Cite Them Right 10th edition - Harvard - Nikita Karra</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http://csl.mendeley.com/styles/500780081/ieee-nikitakarra</vt:lpwstr>
  </property>
  <property fmtid="{D5CDD505-2E9C-101B-9397-08002B2CF9AE}" pid="15" name="Mendeley Recent Style Name 6_1">
    <vt:lpwstr>IEEE - Nikita Karra</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5d3c9c92-118a-3a42-b702-e58000a7e6b6</vt:lpwstr>
  </property>
  <property fmtid="{D5CDD505-2E9C-101B-9397-08002B2CF9AE}" pid="24" name="Mendeley Citation Style_1">
    <vt:lpwstr>http://csl.mendeley.com/styles/500780081/ieee-nikitakarra</vt:lpwstr>
  </property>
</Properties>
</file>