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DDAC6" w14:textId="4AA2AC89" w:rsidR="002E0E92" w:rsidRDefault="002E0E92" w:rsidP="00D662A4">
      <w:bookmarkStart w:id="0" w:name="_GoBack"/>
      <w:bookmarkEnd w:id="0"/>
      <w:r>
        <w:t>Cryptococcal menin</w:t>
      </w:r>
      <w:r w:rsidR="00542345">
        <w:t>go-encephalitis</w:t>
      </w:r>
      <w:r>
        <w:t xml:space="preserve"> in</w:t>
      </w:r>
      <w:r w:rsidR="00D27B2D">
        <w:t xml:space="preserve"> a</w:t>
      </w:r>
      <w:r>
        <w:t xml:space="preserve"> fin</w:t>
      </w:r>
      <w:r w:rsidR="00813603">
        <w:t>golimod treated multiple</w:t>
      </w:r>
      <w:r w:rsidR="00EC1436">
        <w:t xml:space="preserve"> sclerosis</w:t>
      </w:r>
      <w:r w:rsidR="0017435D">
        <w:t xml:space="preserve"> patient</w:t>
      </w:r>
      <w:r w:rsidR="00EC1436">
        <w:t xml:space="preserve">: </w:t>
      </w:r>
      <w:r w:rsidR="009A0EC9">
        <w:t xml:space="preserve">unusual presentation underlines </w:t>
      </w:r>
      <w:r w:rsidR="005E35CB">
        <w:t xml:space="preserve">the </w:t>
      </w:r>
      <w:r w:rsidR="009A0EC9">
        <w:t>need</w:t>
      </w:r>
      <w:r w:rsidR="00E9144A">
        <w:t xml:space="preserve"> </w:t>
      </w:r>
      <w:r w:rsidR="009A0EC9">
        <w:t>for vigilance</w:t>
      </w:r>
      <w:r w:rsidR="00D662A4">
        <w:br/>
      </w:r>
      <w:r w:rsidR="00D662A4">
        <w:br/>
      </w:r>
      <w:r>
        <w:t>Moneeb Nasir</w:t>
      </w:r>
      <w:r w:rsidR="006B1108">
        <w:t xml:space="preserve"> </w:t>
      </w:r>
      <w:r w:rsidR="006B1108" w:rsidRPr="006B1108">
        <w:rPr>
          <w:vertAlign w:val="superscript"/>
        </w:rPr>
        <w:t>1</w:t>
      </w:r>
      <w:r>
        <w:t>, Ian Galea</w:t>
      </w:r>
      <w:r w:rsidR="006B1108">
        <w:t xml:space="preserve"> </w:t>
      </w:r>
      <w:r w:rsidR="006B1108" w:rsidRPr="006B1108">
        <w:rPr>
          <w:vertAlign w:val="superscript"/>
        </w:rPr>
        <w:t>2</w:t>
      </w:r>
      <w:r w:rsidR="00E9144A">
        <w:rPr>
          <w:vertAlign w:val="superscript"/>
        </w:rPr>
        <w:t>, 3</w:t>
      </w:r>
      <w:r>
        <w:t>, Aidan Neligan</w:t>
      </w:r>
      <w:r w:rsidR="006B1108">
        <w:t xml:space="preserve"> </w:t>
      </w:r>
      <w:r w:rsidR="00E9144A">
        <w:rPr>
          <w:vertAlign w:val="superscript"/>
        </w:rPr>
        <w:t>4</w:t>
      </w:r>
      <w:r w:rsidR="005E35CB">
        <w:rPr>
          <w:vertAlign w:val="superscript"/>
        </w:rPr>
        <w:t>,</w:t>
      </w:r>
      <w:r w:rsidR="00E9144A">
        <w:rPr>
          <w:vertAlign w:val="superscript"/>
        </w:rPr>
        <w:t xml:space="preserve"> 5</w:t>
      </w:r>
      <w:r>
        <w:t>, Karen Chung</w:t>
      </w:r>
      <w:r w:rsidR="006B1108">
        <w:t xml:space="preserve"> </w:t>
      </w:r>
      <w:r w:rsidR="00E9144A">
        <w:rPr>
          <w:vertAlign w:val="superscript"/>
        </w:rPr>
        <w:t>4, 6</w:t>
      </w:r>
    </w:p>
    <w:p w14:paraId="4054ED68" w14:textId="5A50D19C" w:rsidR="005E35CB" w:rsidRPr="005E35CB" w:rsidRDefault="006B1108" w:rsidP="00E9144A">
      <w:r w:rsidRPr="006B1108">
        <w:rPr>
          <w:vertAlign w:val="superscript"/>
        </w:rPr>
        <w:t>1</w:t>
      </w:r>
      <w:r>
        <w:t xml:space="preserve"> The Royal London Hospital</w:t>
      </w:r>
      <w:r w:rsidR="00E9144A">
        <w:t>, Barts Health NHS Trust, United Kingdom</w:t>
      </w:r>
      <w:r>
        <w:br/>
      </w:r>
      <w:r w:rsidRPr="006B1108">
        <w:rPr>
          <w:vertAlign w:val="superscript"/>
        </w:rPr>
        <w:t>2</w:t>
      </w:r>
      <w:r>
        <w:t xml:space="preserve"> </w:t>
      </w:r>
      <w:r w:rsidR="00E9144A" w:rsidRPr="00E9144A">
        <w:t>Clinical Neurosciences, Clinical &amp; Experimental Sciences, Faculty of Medicine, University of Southampton, United Kingdom</w:t>
      </w:r>
      <w:r w:rsidR="00E9144A">
        <w:br/>
      </w:r>
      <w:r w:rsidR="00E9144A" w:rsidRPr="00E9144A">
        <w:rPr>
          <w:vertAlign w:val="superscript"/>
        </w:rPr>
        <w:t>3</w:t>
      </w:r>
      <w:r w:rsidR="00E9144A">
        <w:t xml:space="preserve"> </w:t>
      </w:r>
      <w:r w:rsidR="00E9144A" w:rsidRPr="00E9144A">
        <w:t>Wessex Neurological Centre, University Hospital Southampton NHS Foundation Trust, United Kingdom</w:t>
      </w:r>
      <w:r>
        <w:br/>
      </w:r>
      <w:r w:rsidR="00E9144A">
        <w:rPr>
          <w:vertAlign w:val="superscript"/>
        </w:rPr>
        <w:t>4</w:t>
      </w:r>
      <w:r>
        <w:t xml:space="preserve"> Homerton University Hospit</w:t>
      </w:r>
      <w:r w:rsidR="00F26A35">
        <w:t>al NHS</w:t>
      </w:r>
      <w:r w:rsidR="007B0637">
        <w:t xml:space="preserve"> Foundation Trust</w:t>
      </w:r>
      <w:r w:rsidR="00E9144A">
        <w:t>, London, United Kingdom</w:t>
      </w:r>
      <w:r w:rsidR="00E9144A">
        <w:rPr>
          <w:vertAlign w:val="superscript"/>
        </w:rPr>
        <w:br/>
        <w:t xml:space="preserve">5 </w:t>
      </w:r>
      <w:r w:rsidR="005E35CB">
        <w:t>UC</w:t>
      </w:r>
      <w:r w:rsidR="00E9144A">
        <w:t>L</w:t>
      </w:r>
      <w:r w:rsidR="005E35CB">
        <w:t xml:space="preserve"> Institute of Neurology, Queen Square, London</w:t>
      </w:r>
      <w:r w:rsidR="00E9144A">
        <w:t>, United Kingdom</w:t>
      </w:r>
      <w:r w:rsidR="00E9144A">
        <w:rPr>
          <w:vertAlign w:val="superscript"/>
        </w:rPr>
        <w:br/>
        <w:t xml:space="preserve">6 </w:t>
      </w:r>
      <w:r w:rsidR="00E9144A">
        <w:t>National Hospital of Neurology and Neurosurgery</w:t>
      </w:r>
      <w:r w:rsidR="005E35CB">
        <w:t>, Queen Square, London</w:t>
      </w:r>
      <w:r w:rsidR="00E9144A">
        <w:t>, United Kingdom</w:t>
      </w:r>
    </w:p>
    <w:p w14:paraId="2F8568A0" w14:textId="77777777" w:rsidR="00517FD3" w:rsidRDefault="00517FD3">
      <w:pPr>
        <w:rPr>
          <w:u w:val="single"/>
        </w:rPr>
      </w:pPr>
    </w:p>
    <w:p w14:paraId="141C3A02" w14:textId="56DCE42B" w:rsidR="00517FD3" w:rsidRDefault="00517FD3" w:rsidP="00517FD3">
      <w:pPr>
        <w:rPr>
          <w:u w:val="single"/>
        </w:rPr>
      </w:pPr>
      <w:r>
        <w:rPr>
          <w:u w:val="single"/>
        </w:rPr>
        <w:t>Corresponding author</w:t>
      </w:r>
    </w:p>
    <w:p w14:paraId="47B1798F" w14:textId="223B4543" w:rsidR="00517FD3" w:rsidRPr="00517FD3" w:rsidRDefault="00517FD3">
      <w:r>
        <w:t>Moneeb Nasir</w:t>
      </w:r>
    </w:p>
    <w:p w14:paraId="40E02677" w14:textId="77BD6DED" w:rsidR="00517FD3" w:rsidRDefault="00517FD3">
      <w:r>
        <w:rPr>
          <w:u w:val="single"/>
        </w:rPr>
        <w:t>Competing interests</w:t>
      </w:r>
    </w:p>
    <w:p w14:paraId="7B1C9E0E" w14:textId="7E85078C" w:rsidR="00517FD3" w:rsidRDefault="00517FD3" w:rsidP="00517FD3">
      <w:r>
        <w:t>Nil</w:t>
      </w:r>
    </w:p>
    <w:p w14:paraId="5FDA20D7" w14:textId="68BCD362" w:rsidR="00517FD3" w:rsidRPr="00517FD3" w:rsidRDefault="00517FD3">
      <w:pPr>
        <w:rPr>
          <w:u w:val="single"/>
        </w:rPr>
      </w:pPr>
      <w:r w:rsidRPr="00517FD3">
        <w:rPr>
          <w:u w:val="single"/>
        </w:rPr>
        <w:t>Acknowledgements</w:t>
      </w:r>
    </w:p>
    <w:p w14:paraId="2F06346A" w14:textId="3FCBE883" w:rsidR="00517FD3" w:rsidRDefault="00517FD3">
      <w:r>
        <w:t>Nil</w:t>
      </w:r>
    </w:p>
    <w:p w14:paraId="0CA3AF34" w14:textId="560EB92E" w:rsidR="00517FD3" w:rsidRPr="00517FD3" w:rsidRDefault="00517FD3">
      <w:pPr>
        <w:rPr>
          <w:u w:val="single"/>
        </w:rPr>
      </w:pPr>
      <w:r w:rsidRPr="00517FD3">
        <w:rPr>
          <w:u w:val="single"/>
        </w:rPr>
        <w:t>Contributorship</w:t>
      </w:r>
    </w:p>
    <w:p w14:paraId="0DE306BC" w14:textId="4B01049E" w:rsidR="00517FD3" w:rsidRDefault="00517FD3">
      <w:r>
        <w:t>MN: prepared draft of manuscript</w:t>
      </w:r>
      <w:r>
        <w:br/>
        <w:t>IG: review of manuscript</w:t>
      </w:r>
      <w:r>
        <w:br/>
        <w:t>AN: review of manuscript</w:t>
      </w:r>
      <w:r>
        <w:br/>
        <w:t>KC</w:t>
      </w:r>
      <w:r w:rsidR="00D229E6">
        <w:t>:</w:t>
      </w:r>
      <w:r>
        <w:t xml:space="preserve"> review of manuscript</w:t>
      </w:r>
    </w:p>
    <w:p w14:paraId="38390D04" w14:textId="0C9A84E8" w:rsidR="00517FD3" w:rsidRPr="00517FD3" w:rsidRDefault="00517FD3">
      <w:pPr>
        <w:rPr>
          <w:u w:val="single"/>
        </w:rPr>
      </w:pPr>
      <w:r w:rsidRPr="00517FD3">
        <w:rPr>
          <w:u w:val="single"/>
        </w:rPr>
        <w:t>Funding/grants</w:t>
      </w:r>
    </w:p>
    <w:p w14:paraId="1EE9726E" w14:textId="1E70F5BD" w:rsidR="00517FD3" w:rsidRDefault="00517FD3">
      <w:r>
        <w:t>N/A</w:t>
      </w:r>
    </w:p>
    <w:p w14:paraId="6E9025EE" w14:textId="3C01366F" w:rsidR="00517FD3" w:rsidRPr="00517FD3" w:rsidRDefault="00517FD3">
      <w:pPr>
        <w:rPr>
          <w:u w:val="single"/>
        </w:rPr>
      </w:pPr>
      <w:r w:rsidRPr="00517FD3">
        <w:rPr>
          <w:u w:val="single"/>
        </w:rPr>
        <w:t>Ethical approval information</w:t>
      </w:r>
    </w:p>
    <w:p w14:paraId="159217FE" w14:textId="0F2A2B5D" w:rsidR="00517FD3" w:rsidRDefault="00517FD3">
      <w:r>
        <w:t>N/A</w:t>
      </w:r>
    </w:p>
    <w:p w14:paraId="5FCE5178" w14:textId="79C6B027" w:rsidR="00517FD3" w:rsidRPr="00517FD3" w:rsidRDefault="00517FD3">
      <w:pPr>
        <w:rPr>
          <w:u w:val="single"/>
        </w:rPr>
      </w:pPr>
      <w:r w:rsidRPr="00517FD3">
        <w:rPr>
          <w:u w:val="single"/>
        </w:rPr>
        <w:t>Data sharing statement</w:t>
      </w:r>
    </w:p>
    <w:p w14:paraId="5660B1D1" w14:textId="38BAE434" w:rsidR="00517FD3" w:rsidRPr="00517FD3" w:rsidRDefault="00517FD3">
      <w:r>
        <w:t>N/A</w:t>
      </w:r>
    </w:p>
    <w:p w14:paraId="56027D14" w14:textId="77777777" w:rsidR="00517FD3" w:rsidRDefault="00517FD3">
      <w:pPr>
        <w:rPr>
          <w:u w:val="single"/>
        </w:rPr>
      </w:pPr>
    </w:p>
    <w:p w14:paraId="13C51F95" w14:textId="77777777" w:rsidR="00517FD3" w:rsidRDefault="00517FD3">
      <w:pPr>
        <w:rPr>
          <w:u w:val="single"/>
        </w:rPr>
      </w:pPr>
    </w:p>
    <w:p w14:paraId="1ED51FBA" w14:textId="36FC9AA3" w:rsidR="00517FD3" w:rsidRDefault="00517FD3">
      <w:pPr>
        <w:rPr>
          <w:u w:val="single"/>
        </w:rPr>
      </w:pPr>
      <w:r>
        <w:rPr>
          <w:u w:val="single"/>
        </w:rPr>
        <w:br w:type="page"/>
      </w:r>
    </w:p>
    <w:p w14:paraId="4FDEF308" w14:textId="01A48028" w:rsidR="00BB0131" w:rsidRDefault="00BB0131">
      <w:pPr>
        <w:rPr>
          <w:u w:val="single"/>
        </w:rPr>
      </w:pPr>
      <w:r>
        <w:rPr>
          <w:u w:val="single"/>
        </w:rPr>
        <w:lastRenderedPageBreak/>
        <w:t>Introduction</w:t>
      </w:r>
    </w:p>
    <w:p w14:paraId="371E5C96" w14:textId="116A629A" w:rsidR="00FE25A5" w:rsidRPr="00BB0131" w:rsidRDefault="00BB0131" w:rsidP="001777A8">
      <w:r>
        <w:rPr>
          <w:rFonts w:ascii="Calibri" w:hAnsi="Calibri" w:cs="Calibri"/>
          <w:color w:val="000000"/>
          <w:shd w:val="clear" w:color="auto" w:fill="FFFFFF"/>
        </w:rPr>
        <w:t>Fingolimod is an oral 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sphingosine 1-phosphate </w:t>
      </w:r>
      <w:r w:rsidR="001A64B2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(S1P) 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receptor modulator</w:t>
      </w:r>
      <w:r>
        <w:rPr>
          <w:rFonts w:ascii="Calibri" w:hAnsi="Calibri" w:cs="Calibri"/>
          <w:color w:val="000000"/>
          <w:shd w:val="clear" w:color="auto" w:fill="FFFFFF"/>
        </w:rPr>
        <w:t xml:space="preserve"> used in the treatment of </w:t>
      </w:r>
      <w:r w:rsidR="00FE25A5">
        <w:rPr>
          <w:rFonts w:ascii="Calibri" w:hAnsi="Calibri" w:cs="Calibri"/>
          <w:color w:val="000000"/>
          <w:shd w:val="clear" w:color="auto" w:fill="FFFFFF"/>
        </w:rPr>
        <w:t xml:space="preserve">active </w:t>
      </w:r>
      <w:r>
        <w:rPr>
          <w:rFonts w:ascii="Calibri" w:hAnsi="Calibri" w:cs="Calibri"/>
          <w:color w:val="000000"/>
          <w:shd w:val="clear" w:color="auto" w:fill="FFFFFF"/>
        </w:rPr>
        <w:t>relapsing remitting multiple sclerosis (RRMS). In the UK, it is approved for use as a second line disease modifying therapy (DMT) in adult patients</w:t>
      </w:r>
      <w:r w:rsidR="00B56394">
        <w:rPr>
          <w:rFonts w:ascii="Calibri" w:hAnsi="Calibri" w:cs="Calibri"/>
          <w:color w:val="000000"/>
          <w:shd w:val="clear" w:color="auto" w:fill="FFFFFF"/>
        </w:rPr>
        <w:t>. There are an increasing number of reports of opportunistic infections in the context of immunomodulatory treatment with fingolimod</w:t>
      </w:r>
      <w:r w:rsidR="00835A35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835A35" w:rsidRPr="001249F4">
        <w:rPr>
          <w:rFonts w:ascii="Calibri" w:hAnsi="Calibri" w:cs="Calibri"/>
          <w:color w:val="000000"/>
          <w:shd w:val="clear" w:color="auto" w:fill="FFFFFF"/>
        </w:rPr>
        <w:t>[1]</w:t>
      </w:r>
      <w:r w:rsidR="00B56394" w:rsidRPr="001249F4">
        <w:rPr>
          <w:rFonts w:ascii="Calibri" w:hAnsi="Calibri" w:cs="Calibri"/>
          <w:color w:val="000000"/>
          <w:shd w:val="clear" w:color="auto" w:fill="FFFFFF"/>
        </w:rPr>
        <w:t>.</w:t>
      </w:r>
      <w:r w:rsidR="00B56394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14762FFD" w14:textId="6F888809" w:rsidR="00D21B6A" w:rsidRDefault="00AB0B31">
      <w:pPr>
        <w:rPr>
          <w:u w:val="single"/>
        </w:rPr>
      </w:pPr>
      <w:r w:rsidRPr="00931A28">
        <w:rPr>
          <w:u w:val="single"/>
        </w:rPr>
        <w:t>Case history</w:t>
      </w:r>
      <w:r>
        <w:br/>
      </w:r>
      <w:r>
        <w:br/>
      </w:r>
      <w:r w:rsidR="00BB0131">
        <w:t>We describe the case of a 21-year-</w:t>
      </w:r>
      <w:r w:rsidR="00FB028F">
        <w:t xml:space="preserve">old female who presented with cryptococcal </w:t>
      </w:r>
      <w:r w:rsidR="00542345">
        <w:t xml:space="preserve">meningo-encephalitis </w:t>
      </w:r>
      <w:r w:rsidR="00FB028F">
        <w:t xml:space="preserve">in the context of fingolimod treatment for multiple sclerosis (MS). The patient was diagnosed with </w:t>
      </w:r>
      <w:r w:rsidR="001777A8">
        <w:t>RR</w:t>
      </w:r>
      <w:r w:rsidR="00FB028F">
        <w:t xml:space="preserve">MS at age 13 on </w:t>
      </w:r>
      <w:r w:rsidR="008B13FE">
        <w:t xml:space="preserve">a </w:t>
      </w:r>
      <w:r w:rsidR="005951AE">
        <w:t>c</w:t>
      </w:r>
      <w:r w:rsidR="00A07FAE">
        <w:t>lini</w:t>
      </w:r>
      <w:r w:rsidR="005951AE">
        <w:t>co</w:t>
      </w:r>
      <w:r w:rsidR="00FB028F">
        <w:t xml:space="preserve">-radiological basis following three characteristic </w:t>
      </w:r>
      <w:r w:rsidR="000B6237">
        <w:t xml:space="preserve">clinical </w:t>
      </w:r>
      <w:r w:rsidR="00FB028F">
        <w:t xml:space="preserve">episodes. She was started on natalizumab </w:t>
      </w:r>
      <w:r w:rsidR="001777A8">
        <w:t>as first-line therapy</w:t>
      </w:r>
      <w:r w:rsidR="00B94E1F">
        <w:t xml:space="preserve"> but this was not tolerated so after the first few </w:t>
      </w:r>
      <w:r w:rsidR="00B94E1F" w:rsidRPr="00E9144A">
        <w:t>infusions</w:t>
      </w:r>
      <w:r w:rsidR="009C5C60">
        <w:t>,</w:t>
      </w:r>
      <w:r w:rsidR="00E9144A">
        <w:t xml:space="preserve"> </w:t>
      </w:r>
      <w:r w:rsidR="00B94E1F" w:rsidRPr="00E9144A">
        <w:t>treatment</w:t>
      </w:r>
      <w:r w:rsidR="00B94E1F">
        <w:t xml:space="preserve"> </w:t>
      </w:r>
      <w:r w:rsidR="00FB028F">
        <w:t xml:space="preserve">was </w:t>
      </w:r>
      <w:r w:rsidR="00B94E1F">
        <w:t xml:space="preserve">switched </w:t>
      </w:r>
      <w:r w:rsidR="00FB028F">
        <w:t>to fingolimod</w:t>
      </w:r>
      <w:r w:rsidR="00A07FAE">
        <w:t xml:space="preserve"> 0.5mg </w:t>
      </w:r>
      <w:r w:rsidR="007B0637">
        <w:t>once daily</w:t>
      </w:r>
      <w:r w:rsidR="00F26A35">
        <w:t xml:space="preserve"> (OD) </w:t>
      </w:r>
      <w:r w:rsidR="007B0637">
        <w:t xml:space="preserve">five </w:t>
      </w:r>
      <w:r w:rsidR="00E669EA">
        <w:t>years ago. S</w:t>
      </w:r>
      <w:r w:rsidR="001777A8">
        <w:t>he ha</w:t>
      </w:r>
      <w:r w:rsidR="009A0EC9">
        <w:t>d</w:t>
      </w:r>
      <w:r w:rsidR="001777A8">
        <w:t xml:space="preserve"> remained stable</w:t>
      </w:r>
      <w:r w:rsidR="009A0EC9">
        <w:t xml:space="preserve"> </w:t>
      </w:r>
      <w:r w:rsidR="007B0637">
        <w:t xml:space="preserve">since </w:t>
      </w:r>
      <w:r w:rsidR="009A0EC9">
        <w:t>with no complications</w:t>
      </w:r>
      <w:r w:rsidR="001777A8">
        <w:t xml:space="preserve"> </w:t>
      </w:r>
      <w:r w:rsidR="00B94E1F">
        <w:t>or</w:t>
      </w:r>
      <w:r w:rsidR="000B6237">
        <w:t xml:space="preserve"> c</w:t>
      </w:r>
      <w:r w:rsidR="001777A8">
        <w:t>linical relapses</w:t>
      </w:r>
      <w:r w:rsidR="00FB028F">
        <w:t>.</w:t>
      </w:r>
      <w:r w:rsidR="00FB028F">
        <w:br/>
      </w:r>
      <w:r w:rsidR="00FB028F">
        <w:br/>
        <w:t>The patient presented to the emergency department</w:t>
      </w:r>
      <w:r w:rsidR="00ED5206">
        <w:t xml:space="preserve"> (ED)</w:t>
      </w:r>
      <w:r w:rsidR="00FB028F">
        <w:t xml:space="preserve"> </w:t>
      </w:r>
      <w:r w:rsidR="00D10447">
        <w:t>with</w:t>
      </w:r>
      <w:r w:rsidR="00FB028F">
        <w:t xml:space="preserve"> a </w:t>
      </w:r>
      <w:r w:rsidR="00D10447">
        <w:t xml:space="preserve">one-day history of a </w:t>
      </w:r>
      <w:r w:rsidR="00FB028F">
        <w:t>sudden onset</w:t>
      </w:r>
      <w:r w:rsidR="00D10447">
        <w:t>,</w:t>
      </w:r>
      <w:r w:rsidR="00FB028F">
        <w:t xml:space="preserve"> severe bi-frontal headac</w:t>
      </w:r>
      <w:r w:rsidR="0040770F">
        <w:t>he</w:t>
      </w:r>
      <w:r w:rsidR="00D10447">
        <w:t>,</w:t>
      </w:r>
      <w:r w:rsidR="0040770F">
        <w:t xml:space="preserve"> </w:t>
      </w:r>
      <w:r w:rsidR="00D10447">
        <w:t>which</w:t>
      </w:r>
      <w:r w:rsidR="0040770F">
        <w:t xml:space="preserve"> woke her up from sleep. </w:t>
      </w:r>
      <w:r w:rsidR="003C3E8B">
        <w:t xml:space="preserve">There </w:t>
      </w:r>
      <w:r w:rsidR="0040770F">
        <w:t xml:space="preserve">was associated </w:t>
      </w:r>
      <w:r w:rsidR="003C3E8B">
        <w:t xml:space="preserve">mild photophobia, </w:t>
      </w:r>
      <w:r w:rsidR="0040770F">
        <w:t>occasional nausea and general ma</w:t>
      </w:r>
      <w:r w:rsidR="008B13FE">
        <w:t>laise,</w:t>
      </w:r>
      <w:r w:rsidR="003C3E8B">
        <w:t xml:space="preserve"> but t</w:t>
      </w:r>
      <w:r w:rsidR="0040770F">
        <w:t>here was no</w:t>
      </w:r>
      <w:r w:rsidR="00ED5206">
        <w:t xml:space="preserve"> history of fevers, neck stiff</w:t>
      </w:r>
      <w:r w:rsidR="003C3E8B">
        <w:t xml:space="preserve">ness, phonophobia, positive visual symptoms, </w:t>
      </w:r>
      <w:r w:rsidR="00ED5206">
        <w:t xml:space="preserve">limb weakness or sensory symptoms at initial presentation or </w:t>
      </w:r>
      <w:r w:rsidR="003D1102">
        <w:t xml:space="preserve">at </w:t>
      </w:r>
      <w:r w:rsidR="00ED5206">
        <w:t>any poin</w:t>
      </w:r>
      <w:r w:rsidR="00E61B7B">
        <w:t xml:space="preserve">t throughout the clinical course. The patient had travelled around Europe extensively over the preceding few years. </w:t>
      </w:r>
      <w:r w:rsidR="00ED5206">
        <w:t>Examination in</w:t>
      </w:r>
      <w:r w:rsidR="00F26A35">
        <w:t xml:space="preserve"> the emergency department w</w:t>
      </w:r>
      <w:r w:rsidR="00ED5206">
        <w:t>as unremarkable. In particular, there was no nuchal rigidity</w:t>
      </w:r>
      <w:r w:rsidR="00D10447">
        <w:t xml:space="preserve"> or</w:t>
      </w:r>
      <w:r w:rsidR="00ED5206">
        <w:t xml:space="preserve"> rash, and a </w:t>
      </w:r>
      <w:r w:rsidR="00D10447">
        <w:t xml:space="preserve">full </w:t>
      </w:r>
      <w:r w:rsidR="00ED5206">
        <w:t>neurological examination was normal. Her vital signs showed</w:t>
      </w:r>
      <w:r w:rsidR="00B56394">
        <w:t xml:space="preserve"> a mild tachycardia</w:t>
      </w:r>
      <w:r w:rsidR="00ED5206">
        <w:t xml:space="preserve"> </w:t>
      </w:r>
      <w:r w:rsidR="00D10447">
        <w:t>and no pyrexia</w:t>
      </w:r>
      <w:r w:rsidR="00ED5206">
        <w:t xml:space="preserve">. Initial </w:t>
      </w:r>
      <w:r w:rsidR="00D10447">
        <w:t>investigations</w:t>
      </w:r>
      <w:r w:rsidR="003C3E8B">
        <w:t xml:space="preserve"> </w:t>
      </w:r>
      <w:r w:rsidR="00BA7B1C">
        <w:t>showed: WCC 7.3, lymphocytes 0.53, CRP 19</w:t>
      </w:r>
      <w:r w:rsidR="00D10447">
        <w:t>,</w:t>
      </w:r>
      <w:r w:rsidR="00542345">
        <w:t xml:space="preserve"> normal lactate, normal </w:t>
      </w:r>
      <w:r w:rsidR="00D10447">
        <w:t>renal and liver function</w:t>
      </w:r>
      <w:r w:rsidR="00B56394">
        <w:t xml:space="preserve">, sinus tachycardia on </w:t>
      </w:r>
      <w:r w:rsidR="003D1102">
        <w:t>ECG</w:t>
      </w:r>
      <w:r w:rsidR="00B56394">
        <w:t>,</w:t>
      </w:r>
      <w:r w:rsidR="009A0EC9">
        <w:t xml:space="preserve"> </w:t>
      </w:r>
      <w:r w:rsidR="00B56394">
        <w:t xml:space="preserve">an unremarkable </w:t>
      </w:r>
      <w:r w:rsidR="00ED5206">
        <w:t>CT head</w:t>
      </w:r>
      <w:r w:rsidR="003D1102">
        <w:t xml:space="preserve"> (no evidence of intracranial or subarachnoid blood) and</w:t>
      </w:r>
      <w:r w:rsidR="00542345">
        <w:t xml:space="preserve"> a</w:t>
      </w:r>
      <w:r w:rsidR="009E1C78">
        <w:t xml:space="preserve"> normal </w:t>
      </w:r>
      <w:r w:rsidR="003D1102">
        <w:t>CT veno</w:t>
      </w:r>
      <w:r w:rsidR="00B56394">
        <w:t>gram.</w:t>
      </w:r>
      <w:r w:rsidR="00121773">
        <w:br/>
      </w:r>
      <w:r w:rsidR="00121773">
        <w:br/>
      </w:r>
      <w:r w:rsidR="003D1102">
        <w:t xml:space="preserve">A lumbar puncture was </w:t>
      </w:r>
      <w:r w:rsidR="00D10447">
        <w:t xml:space="preserve">performed </w:t>
      </w:r>
      <w:r w:rsidR="003D1102">
        <w:t xml:space="preserve">primarily to rule out subarachnoid haemorrhage. The opening pressure </w:t>
      </w:r>
      <w:r w:rsidR="00D10447">
        <w:t>was</w:t>
      </w:r>
      <w:r w:rsidR="003D1102">
        <w:t xml:space="preserve"> 33 cm H</w:t>
      </w:r>
      <w:r w:rsidR="003D1102" w:rsidRPr="009E1C78">
        <w:rPr>
          <w:vertAlign w:val="subscript"/>
        </w:rPr>
        <w:t>2</w:t>
      </w:r>
      <w:r w:rsidR="003D1102">
        <w:t xml:space="preserve">0, </w:t>
      </w:r>
      <w:r w:rsidR="00D10447">
        <w:t xml:space="preserve">and CSF constituents: </w:t>
      </w:r>
      <w:r w:rsidR="003D1102">
        <w:t>WCC &lt; 5, RBC 1360, protein 0.94g/L, and no evidence of bilirubin or oxyhaemoglobin on spectropho</w:t>
      </w:r>
      <w:r w:rsidR="003C3E8B">
        <w:t>to</w:t>
      </w:r>
      <w:r w:rsidR="003D1102">
        <w:t xml:space="preserve">metry. CSF MC&amp;S showed a light growth of Cryptococcus neoformans, which was subsequently </w:t>
      </w:r>
      <w:r w:rsidR="00121773">
        <w:t>confirmed on India Ink staining as well as by a strongly positive Cryptococcus antigen</w:t>
      </w:r>
      <w:r w:rsidR="00373065">
        <w:t xml:space="preserve"> test titre</w:t>
      </w:r>
      <w:r w:rsidR="00121773">
        <w:t xml:space="preserve"> of 1:100. The</w:t>
      </w:r>
      <w:r w:rsidR="00D10447">
        <w:t xml:space="preserve">se </w:t>
      </w:r>
      <w:r w:rsidR="00121773">
        <w:t xml:space="preserve">findings prompted a </w:t>
      </w:r>
      <w:r w:rsidR="00D10447">
        <w:t>further</w:t>
      </w:r>
      <w:r w:rsidR="00121773">
        <w:t xml:space="preserve"> screen for immunodefi</w:t>
      </w:r>
      <w:r w:rsidR="00542345">
        <w:t>ci</w:t>
      </w:r>
      <w:r w:rsidR="00121773">
        <w:t>ency</w:t>
      </w:r>
      <w:r w:rsidR="00D10447">
        <w:t>:</w:t>
      </w:r>
      <w:r w:rsidR="00121773">
        <w:t xml:space="preserve"> HIV serology was negative (on two occasions) as wa</w:t>
      </w:r>
      <w:r w:rsidR="00787A17">
        <w:t>s HTLV-1. T cell subsets showed suppressed absolute counts of CD3, CD4, CD8, CD19 and CD56</w:t>
      </w:r>
      <w:r w:rsidR="00B56394">
        <w:t xml:space="preserve"> cells (see table </w:t>
      </w:r>
      <w:r w:rsidR="00EC57A0">
        <w:t>5</w:t>
      </w:r>
      <w:r w:rsidR="00926D01">
        <w:t xml:space="preserve"> in appendix</w:t>
      </w:r>
      <w:r w:rsidR="00B56394">
        <w:t>)</w:t>
      </w:r>
      <w:r w:rsidR="00787A17">
        <w:t xml:space="preserve"> as would be expecte</w:t>
      </w:r>
      <w:r w:rsidR="00B56394">
        <w:t xml:space="preserve">d with fingolimod. </w:t>
      </w:r>
      <w:r w:rsidR="00A17AAC">
        <w:t>Magnetic resonance imaging</w:t>
      </w:r>
      <w:r w:rsidR="00B56394">
        <w:t xml:space="preserve"> showed old</w:t>
      </w:r>
      <w:r w:rsidR="00AC5D0A">
        <w:t xml:space="preserve"> pre-existing</w:t>
      </w:r>
      <w:r w:rsidR="00B56394">
        <w:t xml:space="preserve"> MS lesions only.</w:t>
      </w:r>
      <w:r w:rsidR="00B56394">
        <w:br/>
      </w:r>
      <w:r w:rsidR="00787A17">
        <w:br/>
        <w:t>The diagnosis of cryptococcal mening</w:t>
      </w:r>
      <w:r w:rsidR="00542345">
        <w:t>o-encephalitis</w:t>
      </w:r>
      <w:r w:rsidR="00787A17">
        <w:t xml:space="preserve"> in the context of fingolimod was made. Following discussion with microbio</w:t>
      </w:r>
      <w:r w:rsidR="00E61B7B">
        <w:t>logy and infectious disease</w:t>
      </w:r>
      <w:r w:rsidR="009A0EC9">
        <w:t xml:space="preserve"> physicians</w:t>
      </w:r>
      <w:r w:rsidR="00DD7D7F">
        <w:t xml:space="preserve">, the patient was commenced on anti-fungal </w:t>
      </w:r>
      <w:r w:rsidR="00E61B7B">
        <w:t>induction therapy consisting of</w:t>
      </w:r>
      <w:r w:rsidR="003C3E8B">
        <w:t xml:space="preserve"> intravenous amphotericin (3mg/k</w:t>
      </w:r>
      <w:r w:rsidR="00E61B7B">
        <w:t>g)</w:t>
      </w:r>
      <w:r w:rsidR="00F26A35">
        <w:t xml:space="preserve"> OD </w:t>
      </w:r>
      <w:r w:rsidR="00E61B7B">
        <w:t>and intravenous</w:t>
      </w:r>
      <w:r w:rsidR="00787A17">
        <w:t xml:space="preserve"> flucytosine</w:t>
      </w:r>
      <w:r w:rsidR="00E61B7B">
        <w:t xml:space="preserve"> 1500mg QDS for two weeks. This was followed by high dose oral fluconazole </w:t>
      </w:r>
      <w:r w:rsidR="00DD7D7F">
        <w:t>800mg OD for 8 weeks</w:t>
      </w:r>
      <w:r w:rsidR="009A0EC9">
        <w:t>, and a</w:t>
      </w:r>
      <w:r w:rsidR="00DD7D7F">
        <w:t xml:space="preserve"> maintenance dose thereafter. </w:t>
      </w:r>
      <w:r>
        <w:br/>
      </w:r>
      <w:r>
        <w:br/>
        <w:t xml:space="preserve">Following </w:t>
      </w:r>
      <w:r w:rsidR="00904D67">
        <w:t>lum</w:t>
      </w:r>
      <w:r w:rsidR="00D10447">
        <w:t xml:space="preserve">bar puncture and </w:t>
      </w:r>
      <w:r>
        <w:t xml:space="preserve">induction therapy the patient made an excellent recovery. Her headache and photophobia gradually </w:t>
      </w:r>
      <w:r w:rsidR="00904D67">
        <w:t xml:space="preserve">resolved </w:t>
      </w:r>
      <w:r>
        <w:t>over a period of two weeks. Subsequent lumbar punctures showed a gradual reduction in opening pressure, though the cryptococcal antigen remained positive on the second</w:t>
      </w:r>
      <w:r w:rsidR="00BA7B1C">
        <w:t xml:space="preserve"> and third</w:t>
      </w:r>
      <w:r>
        <w:t xml:space="preserve"> lumbar</w:t>
      </w:r>
      <w:r w:rsidR="00835A35">
        <w:t xml:space="preserve"> punctures (see table </w:t>
      </w:r>
      <w:r w:rsidR="00EC57A0">
        <w:t>3</w:t>
      </w:r>
      <w:r w:rsidR="00835A35">
        <w:t xml:space="preserve"> in appendix</w:t>
      </w:r>
      <w:r w:rsidR="00904D67">
        <w:t>)</w:t>
      </w:r>
      <w:r>
        <w:t>.</w:t>
      </w:r>
      <w:r>
        <w:br/>
      </w:r>
      <w:r>
        <w:br/>
      </w:r>
      <w:r w:rsidR="009C5C60">
        <w:t>F</w:t>
      </w:r>
      <w:r w:rsidR="00DD7D7F">
        <w:t>ingol</w:t>
      </w:r>
      <w:r>
        <w:t>imod was stopped on</w:t>
      </w:r>
      <w:r w:rsidR="00904D67">
        <w:t xml:space="preserve"> the day of</w:t>
      </w:r>
      <w:r>
        <w:t xml:space="preserve"> the first lumbar puncture</w:t>
      </w:r>
      <w:r w:rsidR="00904D67">
        <w:t xml:space="preserve"> results</w:t>
      </w:r>
      <w:r>
        <w:t>.</w:t>
      </w:r>
      <w:r w:rsidR="005434CE">
        <w:t xml:space="preserve"> After allowing a few months for recovery the patient was started on ocrelizumab</w:t>
      </w:r>
      <w:r w:rsidR="00EC57A0">
        <w:t>.</w:t>
      </w:r>
      <w:r w:rsidR="00904D67">
        <w:t xml:space="preserve"> </w:t>
      </w:r>
      <w:r w:rsidR="00D21B6A">
        <w:br/>
      </w:r>
      <w:r>
        <w:br/>
      </w:r>
      <w:r w:rsidRPr="00931A28">
        <w:rPr>
          <w:u w:val="single"/>
        </w:rPr>
        <w:t>Dis</w:t>
      </w:r>
      <w:r w:rsidR="00D21B6A">
        <w:rPr>
          <w:u w:val="single"/>
        </w:rPr>
        <w:t>cussion</w:t>
      </w:r>
    </w:p>
    <w:p w14:paraId="4B14203D" w14:textId="27564A2B" w:rsidR="00A71D34" w:rsidRDefault="00D21B6A" w:rsidP="00DB6893">
      <w:r>
        <w:t>To our knowledge this is</w:t>
      </w:r>
      <w:r w:rsidR="00EC1436">
        <w:t xml:space="preserve"> the 15</w:t>
      </w:r>
      <w:r w:rsidR="00EC1436" w:rsidRPr="00EC1436">
        <w:rPr>
          <w:vertAlign w:val="superscript"/>
        </w:rPr>
        <w:t>th</w:t>
      </w:r>
      <w:r>
        <w:t xml:space="preserve"> case</w:t>
      </w:r>
      <w:r w:rsidR="00F023B8">
        <w:t xml:space="preserve"> </w:t>
      </w:r>
      <w:r w:rsidR="0067470C">
        <w:t xml:space="preserve">in the literature </w:t>
      </w:r>
      <w:r w:rsidR="00F023B8">
        <w:t>of cryptococcal menin</w:t>
      </w:r>
      <w:r w:rsidR="00542345">
        <w:t>go-encephalitis</w:t>
      </w:r>
      <w:r w:rsidR="00F023B8">
        <w:t xml:space="preserve"> in a MS patient treated with fingolimod</w:t>
      </w:r>
      <w:r w:rsidR="00A71D34">
        <w:t xml:space="preserve">. We compared the clinical characteristics of the 15 published cases in the literature (table 1). </w:t>
      </w:r>
    </w:p>
    <w:p w14:paraId="2C1FEB51" w14:textId="2A681038" w:rsidR="00B34A14" w:rsidRDefault="00A71D34" w:rsidP="008878A6">
      <w:r>
        <w:lastRenderedPageBreak/>
        <w:t>The heterogeneity</w:t>
      </w:r>
      <w:r w:rsidR="008878A6">
        <w:t xml:space="preserve"> in clinical symptoms at presentation</w:t>
      </w:r>
      <w:r w:rsidR="009A0EC9">
        <w:t xml:space="preserve"> </w:t>
      </w:r>
      <w:r w:rsidR="008878A6">
        <w:t xml:space="preserve">and </w:t>
      </w:r>
      <w:r w:rsidR="009A0EC9">
        <w:t>laboratory investigations</w:t>
      </w:r>
      <w:r w:rsidR="008878A6">
        <w:t xml:space="preserve"> </w:t>
      </w:r>
      <w:r w:rsidR="00373065">
        <w:t xml:space="preserve">across these 15 cases </w:t>
      </w:r>
      <w:r>
        <w:t>is striking</w:t>
      </w:r>
      <w:r w:rsidR="008878A6">
        <w:t>. Of all the clinical symptoms at</w:t>
      </w:r>
      <w:r w:rsidR="0069146C">
        <w:t xml:space="preserve"> initial </w:t>
      </w:r>
      <w:r w:rsidR="008878A6">
        <w:t>presentation</w:t>
      </w:r>
      <w:r w:rsidR="009C5C60">
        <w:t>,</w:t>
      </w:r>
      <w:r w:rsidR="008878A6">
        <w:t xml:space="preserve"> the two that were most </w:t>
      </w:r>
      <w:r w:rsidR="009C5C60">
        <w:t>common</w:t>
      </w:r>
      <w:r w:rsidR="008878A6">
        <w:t xml:space="preserve"> were</w:t>
      </w:r>
      <w:r w:rsidR="00DB6893">
        <w:t xml:space="preserve"> headache (13/15; 87%)</w:t>
      </w:r>
      <w:r w:rsidR="00445ECD">
        <w:t xml:space="preserve"> and confusion (6/</w:t>
      </w:r>
      <w:r w:rsidR="00BE3D89">
        <w:t xml:space="preserve">15; 40%). </w:t>
      </w:r>
      <w:r w:rsidR="009A0EC9">
        <w:t>Our case was unique in the type of headache presentation, with a sudden</w:t>
      </w:r>
      <w:r w:rsidR="007A7510">
        <w:t xml:space="preserve"> onset </w:t>
      </w:r>
      <w:r w:rsidR="009A0EC9">
        <w:t>severe</w:t>
      </w:r>
      <w:r w:rsidR="007A7510">
        <w:t xml:space="preserve"> headache </w:t>
      </w:r>
      <w:r w:rsidR="009A0EC9">
        <w:t>not</w:t>
      </w:r>
      <w:r w:rsidR="005434CE">
        <w:t xml:space="preserve"> being </w:t>
      </w:r>
      <w:r w:rsidR="009A0EC9">
        <w:t xml:space="preserve">described before, leading to an initial working diagnosis of subarachnoid haemorrhage. </w:t>
      </w:r>
      <w:r w:rsidR="00BE3D89">
        <w:t xml:space="preserve">Aside from CSF cryptococcal antigen none of the serum or CSF markers were invariably abnormal in these 15 cases. CSF pleocytosis was seen in the majority of cases (12/14; 86%) though there was </w:t>
      </w:r>
      <w:r w:rsidR="00373065">
        <w:t xml:space="preserve">a </w:t>
      </w:r>
      <w:r w:rsidR="00BE3D89">
        <w:t>wide range of absolute white cell counts</w:t>
      </w:r>
      <w:r w:rsidR="00A776B3">
        <w:t>. There were two cases, including our case, with CSF WCC &lt; 5, which highlights the important point</w:t>
      </w:r>
      <w:r w:rsidR="005434CE">
        <w:t xml:space="preserve"> that</w:t>
      </w:r>
      <w:r w:rsidR="00A776B3">
        <w:t xml:space="preserve"> CNS cryptococcal infection</w:t>
      </w:r>
      <w:r w:rsidR="005434CE">
        <w:t xml:space="preserve"> in the setting of immunosuppression</w:t>
      </w:r>
      <w:r w:rsidR="00A776B3">
        <w:t xml:space="preserve"> can occur despite </w:t>
      </w:r>
      <w:r w:rsidR="00A17AAC">
        <w:t xml:space="preserve">a </w:t>
      </w:r>
      <w:r w:rsidR="00A776B3">
        <w:t>normal CSF cell count</w:t>
      </w:r>
      <w:r w:rsidR="00BE3D89">
        <w:t>. Raised CSF opening pressures were also seen in most cases (7/10; 70%)</w:t>
      </w:r>
      <w:r w:rsidR="0069146C">
        <w:t xml:space="preserve">. </w:t>
      </w:r>
      <w:r>
        <w:t>M</w:t>
      </w:r>
      <w:r w:rsidR="00445ECD">
        <w:t>ost of the</w:t>
      </w:r>
      <w:r>
        <w:t xml:space="preserve"> reported</w:t>
      </w:r>
      <w:r w:rsidR="00445ECD">
        <w:t xml:space="preserve"> cases (9/13; 69%) presented in the context of grade 3 or grade 4 lymphopenia</w:t>
      </w:r>
      <w:r w:rsidR="00A776B3">
        <w:t>.</w:t>
      </w:r>
    </w:p>
    <w:p w14:paraId="440A166C" w14:textId="61B59A1C" w:rsidR="00DB6893" w:rsidRDefault="00A601FB" w:rsidP="00A71D34">
      <w:r>
        <w:t>The mortality rate seen in these 15 cases (2/15; 13%) was roughly in line</w:t>
      </w:r>
      <w:r w:rsidR="0054677A">
        <w:t xml:space="preserve"> with th</w:t>
      </w:r>
      <w:r w:rsidR="00373065">
        <w:t>at</w:t>
      </w:r>
      <w:r w:rsidR="0054677A">
        <w:t xml:space="preserve"> seen in</w:t>
      </w:r>
      <w:r>
        <w:t xml:space="preserve"> CNS </w:t>
      </w:r>
      <w:r w:rsidR="00E07BDD">
        <w:t>cryptococcal</w:t>
      </w:r>
      <w:r>
        <w:t xml:space="preserve"> infections</w:t>
      </w:r>
      <w:r w:rsidR="0054677A">
        <w:t xml:space="preserve"> in general</w:t>
      </w:r>
      <w:r w:rsidR="00D965CA">
        <w:t>. T</w:t>
      </w:r>
      <w:r w:rsidR="00E07BDD">
        <w:t>his see</w:t>
      </w:r>
      <w:r w:rsidR="00D965CA">
        <w:t>ms</w:t>
      </w:r>
      <w:r w:rsidR="00E07BDD">
        <w:t xml:space="preserve"> to suggest that developing </w:t>
      </w:r>
      <w:r w:rsidR="00D965CA">
        <w:t xml:space="preserve">a </w:t>
      </w:r>
      <w:r w:rsidR="00E07BDD">
        <w:t>CNS cryptococcal infection</w:t>
      </w:r>
      <w:r w:rsidR="0069146C">
        <w:t xml:space="preserve"> in the context of fingolimod </w:t>
      </w:r>
      <w:r w:rsidR="00E07BDD">
        <w:t>does not confer any additional risk of mortality as would</w:t>
      </w:r>
      <w:r w:rsidR="00FC527B">
        <w:t xml:space="preserve"> otherwise </w:t>
      </w:r>
      <w:r w:rsidR="00E07BDD">
        <w:t>be expected. Three</w:t>
      </w:r>
      <w:r w:rsidR="00DE0BCF">
        <w:t xml:space="preserve"> patients</w:t>
      </w:r>
      <w:r w:rsidR="00E07BDD">
        <w:t xml:space="preserve"> </w:t>
      </w:r>
      <w:r w:rsidR="00A17AAC">
        <w:t xml:space="preserve">out </w:t>
      </w:r>
      <w:r w:rsidR="00E07BDD">
        <w:t>of</w:t>
      </w:r>
      <w:r w:rsidR="00866FD7">
        <w:t xml:space="preserve"> 15 (20%) </w:t>
      </w:r>
      <w:r w:rsidR="00DE0BCF">
        <w:t>developed immune reconstitution inflammatory syndrome</w:t>
      </w:r>
      <w:r w:rsidR="00866FD7">
        <w:t xml:space="preserve"> following fingolimod cessation</w:t>
      </w:r>
      <w:r w:rsidR="00DE0BCF">
        <w:t>.</w:t>
      </w:r>
    </w:p>
    <w:p w14:paraId="250AA973" w14:textId="4DA25C93" w:rsidR="006B2B80" w:rsidRDefault="007A7510" w:rsidP="00A71D34">
      <w:r>
        <w:t>Our patient’s fingolimod was stopped when she was diagnosed with cryptococcal</w:t>
      </w:r>
      <w:r w:rsidR="00B736EF">
        <w:t xml:space="preserve"> meningo-encephalitis. It was felt that fingolimod should not be restarted in the future</w:t>
      </w:r>
      <w:r w:rsidR="00020A09">
        <w:t xml:space="preserve">, </w:t>
      </w:r>
      <w:r w:rsidR="00B736EF">
        <w:t xml:space="preserve">not for lack of efficacy but rather because of the risk of </w:t>
      </w:r>
      <w:r w:rsidR="00020A09">
        <w:t>recurrence of invasive fungal infection</w:t>
      </w:r>
      <w:r w:rsidR="00C47DAB">
        <w:t>, especially in view of the known association with fingolimod</w:t>
      </w:r>
      <w:r w:rsidR="006B2B80">
        <w:t xml:space="preserve"> (t</w:t>
      </w:r>
      <w:r w:rsidR="001B2B84">
        <w:t>able 1)</w:t>
      </w:r>
      <w:r w:rsidR="00020A09">
        <w:t>.</w:t>
      </w:r>
      <w:r w:rsidR="00B736EF">
        <w:t xml:space="preserve"> </w:t>
      </w:r>
      <w:r w:rsidR="006B2B80">
        <w:t>Fingolimod is also associated with other infections</w:t>
      </w:r>
      <w:r w:rsidR="00BE4FF9">
        <w:t xml:space="preserve"> (summarised in </w:t>
      </w:r>
      <w:r w:rsidR="006B2B80">
        <w:t>table 2).</w:t>
      </w:r>
    </w:p>
    <w:p w14:paraId="1264B725" w14:textId="4F385589" w:rsidR="007A7510" w:rsidRDefault="00B736EF" w:rsidP="00F26A35">
      <w:r>
        <w:t xml:space="preserve">The decision </w:t>
      </w:r>
      <w:r w:rsidR="00A17AAC">
        <w:t>regarding</w:t>
      </w:r>
      <w:r>
        <w:t xml:space="preserve"> which </w:t>
      </w:r>
      <w:r w:rsidR="00A17AAC">
        <w:t xml:space="preserve">alternative </w:t>
      </w:r>
      <w:r>
        <w:t xml:space="preserve">disease modifying treatment to </w:t>
      </w:r>
      <w:r w:rsidR="00A17AAC">
        <w:t>use</w:t>
      </w:r>
      <w:r>
        <w:t xml:space="preserve"> is always a difficult one. </w:t>
      </w:r>
      <w:r w:rsidR="0088013E">
        <w:t xml:space="preserve">At the time, the national </w:t>
      </w:r>
      <w:r w:rsidR="0088013E" w:rsidRPr="0088013E">
        <w:t>Blueteq High Cost Drugs</w:t>
      </w:r>
      <w:r w:rsidR="0088013E">
        <w:t xml:space="preserve"> prescribing system in the UK would have allowed for a switch to a platform treatment (with lower efficacy than fingolimod, so a de-escalation) or ocrelizumab (representing an escalation).</w:t>
      </w:r>
      <w:r w:rsidR="00CD5A37">
        <w:t xml:space="preserve"> </w:t>
      </w:r>
      <w:r w:rsidR="00020A09">
        <w:t>Since then</w:t>
      </w:r>
      <w:r w:rsidR="00CD5A37">
        <w:t>, ofatumumab and ponesomid</w:t>
      </w:r>
      <w:r w:rsidR="00D96ED1">
        <w:t xml:space="preserve"> </w:t>
      </w:r>
      <w:r w:rsidR="009D6426">
        <w:t>have</w:t>
      </w:r>
      <w:r w:rsidR="00BE4FF9">
        <w:t xml:space="preserve"> also </w:t>
      </w:r>
      <w:r w:rsidR="00020A09">
        <w:t>be</w:t>
      </w:r>
      <w:r w:rsidR="009D6426">
        <w:t>co</w:t>
      </w:r>
      <w:r w:rsidR="00020A09">
        <w:t>me available</w:t>
      </w:r>
      <w:r w:rsidR="00CD5A37">
        <w:t>.</w:t>
      </w:r>
      <w:r w:rsidR="0088013E">
        <w:t xml:space="preserve"> </w:t>
      </w:r>
      <w:r w:rsidR="00020A09">
        <w:t>When switching from fingolimod,</w:t>
      </w:r>
      <w:r w:rsidR="00C47DAB">
        <w:t xml:space="preserve"> </w:t>
      </w:r>
      <w:r w:rsidR="001E04FC">
        <w:t>the duration of the washout interval needs</w:t>
      </w:r>
      <w:r w:rsidR="00020A09">
        <w:t xml:space="preserve"> to </w:t>
      </w:r>
      <w:r>
        <w:t>consider the risk of rebound</w:t>
      </w:r>
      <w:r w:rsidR="00020A09">
        <w:t xml:space="preserve"> of MS activity</w:t>
      </w:r>
      <w:r w:rsidR="00F26A35">
        <w:t xml:space="preserve"> </w:t>
      </w:r>
      <w:r w:rsidR="00BE4FF9">
        <w:t>[2]</w:t>
      </w:r>
      <w:r w:rsidR="001E04FC">
        <w:t xml:space="preserve"> </w:t>
      </w:r>
      <w:r w:rsidR="00020A09">
        <w:t xml:space="preserve">so </w:t>
      </w:r>
      <w:r w:rsidR="001E04FC">
        <w:t xml:space="preserve">that </w:t>
      </w:r>
      <w:r w:rsidR="00D96ED1">
        <w:t>commencement of</w:t>
      </w:r>
      <w:r w:rsidR="001E04FC">
        <w:t xml:space="preserve"> the alternative disease modifying treatment </w:t>
      </w:r>
      <w:r w:rsidR="00D96ED1">
        <w:t>may</w:t>
      </w:r>
      <w:r w:rsidR="00C47DAB">
        <w:t xml:space="preserve"> </w:t>
      </w:r>
      <w:r w:rsidR="00020A09">
        <w:t>need to occur</w:t>
      </w:r>
      <w:r w:rsidR="00C47DAB">
        <w:t xml:space="preserve"> before full immune reconstitution, usually within</w:t>
      </w:r>
      <w:r w:rsidR="001E04FC">
        <w:t xml:space="preserve"> days or weeks,</w:t>
      </w:r>
      <w:r w:rsidR="00C47DAB">
        <w:t xml:space="preserve"> and certainly under one month</w:t>
      </w:r>
      <w:r w:rsidR="00F26A35">
        <w:t xml:space="preserve"> </w:t>
      </w:r>
      <w:r w:rsidR="00BE4FF9">
        <w:t>[3]</w:t>
      </w:r>
      <w:r w:rsidR="00C47DAB">
        <w:t xml:space="preserve">. </w:t>
      </w:r>
      <w:r w:rsidR="00406BBA">
        <w:t>I</w:t>
      </w:r>
      <w:r w:rsidR="00020A09">
        <w:t xml:space="preserve">n our case it was also important to </w:t>
      </w:r>
      <w:r>
        <w:t xml:space="preserve">balance </w:t>
      </w:r>
      <w:r w:rsidR="00020A09">
        <w:t xml:space="preserve">this </w:t>
      </w:r>
      <w:r w:rsidR="00406BBA">
        <w:t xml:space="preserve">with the need to </w:t>
      </w:r>
      <w:r w:rsidR="005434CE">
        <w:t>allow sufficient</w:t>
      </w:r>
      <w:r>
        <w:t xml:space="preserve"> time</w:t>
      </w:r>
      <w:r w:rsidR="005434CE">
        <w:t xml:space="preserve"> for recovery</w:t>
      </w:r>
      <w:r>
        <w:t xml:space="preserve"> from</w:t>
      </w:r>
      <w:r w:rsidR="00D8158D">
        <w:t xml:space="preserve"> </w:t>
      </w:r>
      <w:r w:rsidR="005434CE">
        <w:t>a</w:t>
      </w:r>
      <w:r>
        <w:t xml:space="preserve"> serious CNS infection. </w:t>
      </w:r>
      <w:r w:rsidR="00020A09">
        <w:t>The decision was made to switch to</w:t>
      </w:r>
      <w:r>
        <w:t xml:space="preserve"> ocrelizumab</w:t>
      </w:r>
      <w:r w:rsidR="00020A09">
        <w:t xml:space="preserve">, since the alternatives would have represented a de-escalation, and there </w:t>
      </w:r>
      <w:r w:rsidR="00D96ED1">
        <w:t>have been</w:t>
      </w:r>
      <w:r w:rsidR="00020A09">
        <w:t xml:space="preserve"> no case reports</w:t>
      </w:r>
      <w:r w:rsidR="00C47DAB">
        <w:t>, or descriptions in clinical or observational studies,</w:t>
      </w:r>
      <w:r w:rsidR="00020A09">
        <w:t xml:space="preserve"> of cryptococcal meningitis in </w:t>
      </w:r>
      <w:r w:rsidR="001B2B84">
        <w:t xml:space="preserve">MS </w:t>
      </w:r>
      <w:r w:rsidR="00020A09">
        <w:t>patients treated with anti-CD20 monotherapy</w:t>
      </w:r>
      <w:r>
        <w:t>.</w:t>
      </w:r>
      <w:r w:rsidR="00020A09">
        <w:t xml:space="preserve"> The only cases </w:t>
      </w:r>
      <w:r w:rsidR="00C47DAB">
        <w:t xml:space="preserve">of cryptococcal meningitis </w:t>
      </w:r>
      <w:r w:rsidR="001E04FC">
        <w:t xml:space="preserve">reported so far </w:t>
      </w:r>
      <w:r w:rsidR="00020A09">
        <w:t xml:space="preserve">occurred in </w:t>
      </w:r>
      <w:r w:rsidR="00406BBA">
        <w:t xml:space="preserve">two </w:t>
      </w:r>
      <w:r w:rsidR="001B2B84">
        <w:t>non-MS patients</w:t>
      </w:r>
      <w:r w:rsidR="00406BBA">
        <w:t>,</w:t>
      </w:r>
      <w:r w:rsidR="001B2B84">
        <w:t xml:space="preserve"> in </w:t>
      </w:r>
      <w:r w:rsidR="00C47DAB">
        <w:t>the context of</w:t>
      </w:r>
      <w:r w:rsidR="00020A09">
        <w:t xml:space="preserve"> rituximab </w:t>
      </w:r>
      <w:r w:rsidR="00C47DAB">
        <w:t xml:space="preserve">use </w:t>
      </w:r>
      <w:r w:rsidR="00020A09">
        <w:t>alon</w:t>
      </w:r>
      <w:r w:rsidR="00C47DAB">
        <w:t>gside other immunosuppressants</w:t>
      </w:r>
      <w:r w:rsidR="00F26A35">
        <w:t xml:space="preserve"> </w:t>
      </w:r>
      <w:r w:rsidR="00BE4FF9">
        <w:t>[4]</w:t>
      </w:r>
      <w:r w:rsidR="00F26A35">
        <w:t xml:space="preserve"> </w:t>
      </w:r>
      <w:r w:rsidR="001B2B84">
        <w:t>and</w:t>
      </w:r>
      <w:r w:rsidR="00C47DAB">
        <w:t xml:space="preserve"> in an already immunocompromised patient</w:t>
      </w:r>
      <w:r w:rsidR="00F26A35">
        <w:t xml:space="preserve"> </w:t>
      </w:r>
      <w:r w:rsidR="00BE4FF9">
        <w:t>[5]</w:t>
      </w:r>
      <w:r w:rsidR="00F26A35">
        <w:t>.</w:t>
      </w:r>
    </w:p>
    <w:p w14:paraId="771273F3" w14:textId="5F1ED176" w:rsidR="00E9144A" w:rsidRDefault="005951AE" w:rsidP="00E9144A">
      <w:r>
        <w:t>As the MS DMT landscape continu</w:t>
      </w:r>
      <w:r w:rsidR="002D2FA1">
        <w:t>es</w:t>
      </w:r>
      <w:r>
        <w:t xml:space="preserve"> to expand, including treatment on the progressive subtypes of the </w:t>
      </w:r>
      <w:r w:rsidR="00C47DAB">
        <w:t>condition</w:t>
      </w:r>
      <w:r>
        <w:t xml:space="preserve">, this case is a reminder of the importance of pharmacovigilance. </w:t>
      </w:r>
      <w:r w:rsidR="009A0EC9">
        <w:t xml:space="preserve">One </w:t>
      </w:r>
      <w:r>
        <w:t xml:space="preserve">must balance the efficacy of newer </w:t>
      </w:r>
      <w:r w:rsidR="0088013E">
        <w:t xml:space="preserve">immunosuppressive </w:t>
      </w:r>
      <w:r w:rsidR="00D167E7">
        <w:t>agents with their potential</w:t>
      </w:r>
      <w:r>
        <w:t xml:space="preserve"> complications. Although</w:t>
      </w:r>
      <w:r w:rsidR="003B3EBA">
        <w:t xml:space="preserve"> CNS </w:t>
      </w:r>
      <w:r>
        <w:t>cryptococcal</w:t>
      </w:r>
      <w:r w:rsidR="003B3EBA">
        <w:t xml:space="preserve"> infection</w:t>
      </w:r>
      <w:r>
        <w:t xml:space="preserve"> in the context of fingolimod for MS remains very rare</w:t>
      </w:r>
      <w:r w:rsidR="00D96ED1">
        <w:t>,</w:t>
      </w:r>
      <w:r>
        <w:t xml:space="preserve"> it is associated</w:t>
      </w:r>
      <w:r w:rsidR="004C5EDB">
        <w:t xml:space="preserve"> with significant morbidity and </w:t>
      </w:r>
      <w:r>
        <w:t>mortality</w:t>
      </w:r>
      <w:r w:rsidR="00D167E7">
        <w:t xml:space="preserve"> and thus a high degree of suspicion should be maintained</w:t>
      </w:r>
      <w:r>
        <w:t>.</w:t>
      </w:r>
      <w:r w:rsidR="006B2B80">
        <w:t xml:space="preserve"> It is not infrequent that </w:t>
      </w:r>
      <w:r w:rsidR="006B2B80">
        <w:rPr>
          <w:rFonts w:eastAsia="Times New Roman"/>
        </w:rPr>
        <w:t xml:space="preserve">people with MS on </w:t>
      </w:r>
      <w:r w:rsidR="00D96ED1">
        <w:rPr>
          <w:rFonts w:eastAsia="Times New Roman"/>
        </w:rPr>
        <w:t>disease modifying</w:t>
      </w:r>
      <w:r w:rsidR="006B2B80">
        <w:rPr>
          <w:rFonts w:eastAsia="Times New Roman"/>
        </w:rPr>
        <w:t xml:space="preserve"> treatment </w:t>
      </w:r>
      <w:r w:rsidR="00D96ED1">
        <w:rPr>
          <w:rFonts w:eastAsia="Times New Roman"/>
        </w:rPr>
        <w:t>may</w:t>
      </w:r>
      <w:r w:rsidR="006B2B80">
        <w:rPr>
          <w:rFonts w:eastAsia="Times New Roman"/>
        </w:rPr>
        <w:t xml:space="preserve"> 'forget' to mention it as part of a drug history, especially in the case of infrequent infusions, or perhaps because </w:t>
      </w:r>
      <w:r w:rsidR="00151BF8">
        <w:rPr>
          <w:rFonts w:eastAsia="Times New Roman"/>
        </w:rPr>
        <w:t>DMTs are often dispensed via tertiary care</w:t>
      </w:r>
      <w:r w:rsidR="006B2B80">
        <w:rPr>
          <w:rFonts w:eastAsia="Times New Roman"/>
        </w:rPr>
        <w:t xml:space="preserve"> and may not be part of their routine medical history. Some may also be unaware of, or</w:t>
      </w:r>
      <w:r w:rsidR="00151BF8">
        <w:rPr>
          <w:rFonts w:eastAsia="Times New Roman"/>
        </w:rPr>
        <w:t xml:space="preserve"> have</w:t>
      </w:r>
      <w:r w:rsidR="00373065">
        <w:rPr>
          <w:rFonts w:eastAsia="Times New Roman"/>
        </w:rPr>
        <w:t xml:space="preserve"> forgo</w:t>
      </w:r>
      <w:r w:rsidR="006B2B80">
        <w:rPr>
          <w:rFonts w:eastAsia="Times New Roman"/>
        </w:rPr>
        <w:t>t</w:t>
      </w:r>
      <w:r w:rsidR="00151BF8">
        <w:rPr>
          <w:rFonts w:eastAsia="Times New Roman"/>
        </w:rPr>
        <w:t>ten</w:t>
      </w:r>
      <w:r w:rsidR="006B2B80">
        <w:rPr>
          <w:rFonts w:eastAsia="Times New Roman"/>
        </w:rPr>
        <w:t>, the potential link of their MS treatment with infection risk</w:t>
      </w:r>
      <w:r w:rsidR="00151BF8">
        <w:rPr>
          <w:rFonts w:eastAsia="Times New Roman"/>
        </w:rPr>
        <w:t>s</w:t>
      </w:r>
      <w:r w:rsidR="006B2B80">
        <w:rPr>
          <w:rFonts w:eastAsia="Times New Roman"/>
        </w:rPr>
        <w:t>, so it is always good practice to remind people of this risk during follow-up appointments.</w:t>
      </w:r>
    </w:p>
    <w:p w14:paraId="105AF468" w14:textId="01F58488" w:rsidR="00E9144A" w:rsidRPr="00E9144A" w:rsidRDefault="00E9144A" w:rsidP="009E1C78">
      <w:pPr>
        <w:rPr>
          <w:u w:val="single"/>
        </w:rPr>
      </w:pPr>
      <w:r w:rsidRPr="00E9144A">
        <w:rPr>
          <w:u w:val="single"/>
        </w:rPr>
        <w:t>Key points</w:t>
      </w:r>
    </w:p>
    <w:p w14:paraId="6BFA8C12" w14:textId="4246042B" w:rsidR="00E9144A" w:rsidRDefault="00E9144A" w:rsidP="00E9144A">
      <w:pPr>
        <w:pStyle w:val="ListParagraph"/>
        <w:numPr>
          <w:ilvl w:val="0"/>
          <w:numId w:val="5"/>
        </w:numPr>
      </w:pPr>
      <w:r>
        <w:t>CNS infection can sometimes present with sudden onset severe headache without any other associated clinical features - mimicking subarachnoid haemorrhage</w:t>
      </w:r>
      <w:r w:rsidR="00614CBE">
        <w:t>.</w:t>
      </w:r>
    </w:p>
    <w:p w14:paraId="0B1BA56D" w14:textId="5738BAD7" w:rsidR="00E9144A" w:rsidRDefault="00614CBE" w:rsidP="00614CBE">
      <w:pPr>
        <w:pStyle w:val="ListParagraph"/>
        <w:numPr>
          <w:ilvl w:val="0"/>
          <w:numId w:val="5"/>
        </w:numPr>
      </w:pPr>
      <w:r>
        <w:t>Patients presenting with c</w:t>
      </w:r>
      <w:r w:rsidR="00E9144A">
        <w:t>ryptococcal meningo-encephalitis</w:t>
      </w:r>
      <w:r w:rsidR="00A776B3">
        <w:t xml:space="preserve"> in the context of fingolimod can have</w:t>
      </w:r>
      <w:r>
        <w:t xml:space="preserve"> completely </w:t>
      </w:r>
      <w:r w:rsidR="00A776B3">
        <w:t>normal CSF white cell counts</w:t>
      </w:r>
      <w:r>
        <w:t>. This can be falsely reassuring</w:t>
      </w:r>
      <w:r w:rsidR="0088013E">
        <w:t xml:space="preserve"> and cryptococcal tests should still be performed</w:t>
      </w:r>
      <w:r>
        <w:t xml:space="preserve">. </w:t>
      </w:r>
    </w:p>
    <w:p w14:paraId="38C27418" w14:textId="37677B1F" w:rsidR="00614CBE" w:rsidRDefault="00614CBE" w:rsidP="00614CBE">
      <w:pPr>
        <w:pStyle w:val="ListParagraph"/>
        <w:numPr>
          <w:ilvl w:val="0"/>
          <w:numId w:val="5"/>
        </w:numPr>
      </w:pPr>
      <w:r>
        <w:lastRenderedPageBreak/>
        <w:t>Atypical presentations are more likely in immunosuppressed patients so a high degree of suspicion must be maintained when treating these patients.</w:t>
      </w:r>
    </w:p>
    <w:p w14:paraId="0E2AFF61" w14:textId="31BB5EAF" w:rsidR="00F43F34" w:rsidRDefault="00F43F34" w:rsidP="00E9144A">
      <w:pPr>
        <w:pStyle w:val="ListParagraph"/>
        <w:numPr>
          <w:ilvl w:val="0"/>
          <w:numId w:val="5"/>
        </w:numPr>
      </w:pPr>
      <w:r>
        <w:t>Certain immunomodulatory treatments can predispose patients</w:t>
      </w:r>
      <w:r w:rsidR="00D8158D">
        <w:t xml:space="preserve"> to specific</w:t>
      </w:r>
      <w:r>
        <w:t xml:space="preserve"> infections, therefore taking a</w:t>
      </w:r>
      <w:r w:rsidR="00151BF8">
        <w:t xml:space="preserve"> thorough</w:t>
      </w:r>
      <w:r>
        <w:t xml:space="preserve"> medication history is always </w:t>
      </w:r>
      <w:r w:rsidR="00151BF8">
        <w:t>good clinical practice</w:t>
      </w:r>
      <w:r w:rsidR="007A7510">
        <w:t>.</w:t>
      </w:r>
    </w:p>
    <w:p w14:paraId="56234167" w14:textId="681A6D3B" w:rsidR="00373065" w:rsidRDefault="00373065" w:rsidP="00E9144A">
      <w:pPr>
        <w:pStyle w:val="ListParagraph"/>
        <w:numPr>
          <w:ilvl w:val="0"/>
          <w:numId w:val="5"/>
        </w:numPr>
      </w:pPr>
      <w:r>
        <w:t>Reminding patients of the risk of atypical infections with immunosuppressive treatments during follow-up appointments is advised.</w:t>
      </w:r>
    </w:p>
    <w:p w14:paraId="75AEDD45" w14:textId="77777777" w:rsidR="00E9144A" w:rsidRDefault="00E9144A" w:rsidP="00E9144A"/>
    <w:p w14:paraId="64F3AF0F" w14:textId="77777777" w:rsidR="00E9144A" w:rsidRDefault="00E9144A" w:rsidP="009E1C78"/>
    <w:p w14:paraId="2F170E81" w14:textId="19D47DA6" w:rsidR="00766282" w:rsidRDefault="0063323C" w:rsidP="00195026">
      <w:r>
        <w:br w:type="page"/>
      </w:r>
    </w:p>
    <w:tbl>
      <w:tblPr>
        <w:tblStyle w:val="TableGrid"/>
        <w:tblW w:w="1074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29"/>
        <w:gridCol w:w="1626"/>
        <w:gridCol w:w="895"/>
        <w:gridCol w:w="611"/>
        <w:gridCol w:w="671"/>
        <w:gridCol w:w="521"/>
        <w:gridCol w:w="649"/>
        <w:gridCol w:w="544"/>
        <w:gridCol w:w="711"/>
        <w:gridCol w:w="640"/>
        <w:gridCol w:w="1472"/>
        <w:gridCol w:w="1276"/>
      </w:tblGrid>
      <w:tr w:rsidR="00BA5800" w:rsidRPr="00195026" w14:paraId="046BC44D" w14:textId="77777777" w:rsidTr="00E9144A">
        <w:trPr>
          <w:cantSplit/>
          <w:trHeight w:val="455"/>
        </w:trPr>
        <w:tc>
          <w:tcPr>
            <w:tcW w:w="1129" w:type="dxa"/>
            <w:vAlign w:val="center"/>
          </w:tcPr>
          <w:p w14:paraId="29E07C66" w14:textId="6A0D469F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lastRenderedPageBreak/>
              <w:t>Report</w:t>
            </w:r>
          </w:p>
        </w:tc>
        <w:tc>
          <w:tcPr>
            <w:tcW w:w="1626" w:type="dxa"/>
            <w:vAlign w:val="center"/>
          </w:tcPr>
          <w:p w14:paraId="1110F7E7" w14:textId="030126DA" w:rsidR="00BA5800" w:rsidRPr="00195026" w:rsidRDefault="00BA5800" w:rsidP="00B13043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Clinical features</w:t>
            </w:r>
          </w:p>
        </w:tc>
        <w:tc>
          <w:tcPr>
            <w:tcW w:w="895" w:type="dxa"/>
            <w:vAlign w:val="center"/>
          </w:tcPr>
          <w:p w14:paraId="759A1D88" w14:textId="47823F42" w:rsidR="00BA5800" w:rsidRPr="00195026" w:rsidRDefault="00BA5800" w:rsidP="00B1304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Fingolimod d</w:t>
            </w:r>
            <w:r w:rsidRPr="00195026">
              <w:rPr>
                <w:sz w:val="15"/>
                <w:szCs w:val="15"/>
              </w:rPr>
              <w:t>uration</w:t>
            </w:r>
            <w:r w:rsidR="00A81E4E">
              <w:rPr>
                <w:sz w:val="15"/>
                <w:szCs w:val="15"/>
              </w:rPr>
              <w:t xml:space="preserve"> (years)</w:t>
            </w:r>
          </w:p>
        </w:tc>
        <w:tc>
          <w:tcPr>
            <w:tcW w:w="611" w:type="dxa"/>
            <w:vAlign w:val="center"/>
          </w:tcPr>
          <w:p w14:paraId="5F027A36" w14:textId="24F8A9C4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Serum lymph (x10</w:t>
            </w:r>
            <w:r w:rsidRPr="00195026">
              <w:rPr>
                <w:sz w:val="15"/>
                <w:szCs w:val="15"/>
                <w:vertAlign w:val="superscript"/>
              </w:rPr>
              <w:t>9</w:t>
            </w:r>
            <w:r w:rsidRPr="00195026">
              <w:rPr>
                <w:sz w:val="15"/>
                <w:szCs w:val="15"/>
              </w:rPr>
              <w:t>)</w:t>
            </w:r>
          </w:p>
        </w:tc>
        <w:tc>
          <w:tcPr>
            <w:tcW w:w="671" w:type="dxa"/>
            <w:vAlign w:val="center"/>
          </w:tcPr>
          <w:p w14:paraId="5A72B411" w14:textId="77777777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 xml:space="preserve">CSF </w:t>
            </w:r>
          </w:p>
          <w:p w14:paraId="7D174926" w14:textId="410AE7FD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OP</w:t>
            </w:r>
          </w:p>
        </w:tc>
        <w:tc>
          <w:tcPr>
            <w:tcW w:w="521" w:type="dxa"/>
            <w:vAlign w:val="center"/>
          </w:tcPr>
          <w:p w14:paraId="015E275A" w14:textId="6CC6D0D8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CSF WCC</w:t>
            </w:r>
          </w:p>
        </w:tc>
        <w:tc>
          <w:tcPr>
            <w:tcW w:w="649" w:type="dxa"/>
            <w:vAlign w:val="center"/>
          </w:tcPr>
          <w:p w14:paraId="0B312E49" w14:textId="7C27D1AD" w:rsidR="00BA5800" w:rsidRPr="00195026" w:rsidRDefault="00BA5800" w:rsidP="0087252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Serum culture</w:t>
            </w:r>
          </w:p>
        </w:tc>
        <w:tc>
          <w:tcPr>
            <w:tcW w:w="544" w:type="dxa"/>
            <w:vAlign w:val="center"/>
          </w:tcPr>
          <w:p w14:paraId="388C2FA5" w14:textId="51AA3E9F" w:rsidR="00BA5800" w:rsidRPr="00195026" w:rsidRDefault="00BA5800" w:rsidP="00B13043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 xml:space="preserve">CSF </w:t>
            </w:r>
            <w:r>
              <w:rPr>
                <w:sz w:val="15"/>
                <w:szCs w:val="15"/>
              </w:rPr>
              <w:t>MCS</w:t>
            </w:r>
          </w:p>
        </w:tc>
        <w:tc>
          <w:tcPr>
            <w:tcW w:w="711" w:type="dxa"/>
            <w:vAlign w:val="center"/>
          </w:tcPr>
          <w:p w14:paraId="54FF5D0D" w14:textId="47AAD6D3" w:rsidR="00BA5800" w:rsidRPr="00195026" w:rsidRDefault="00BA5800" w:rsidP="00264692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Serum CrAg</w:t>
            </w:r>
          </w:p>
        </w:tc>
        <w:tc>
          <w:tcPr>
            <w:tcW w:w="640" w:type="dxa"/>
            <w:vAlign w:val="center"/>
          </w:tcPr>
          <w:p w14:paraId="44977ED0" w14:textId="6F4F6C6C" w:rsidR="00BA5800" w:rsidRPr="00195026" w:rsidRDefault="00BA5800" w:rsidP="00B13043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CSF CrAg</w:t>
            </w:r>
          </w:p>
        </w:tc>
        <w:tc>
          <w:tcPr>
            <w:tcW w:w="1472" w:type="dxa"/>
            <w:vAlign w:val="center"/>
          </w:tcPr>
          <w:p w14:paraId="4DE88FC3" w14:textId="0079329E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MRI</w:t>
            </w:r>
          </w:p>
        </w:tc>
        <w:tc>
          <w:tcPr>
            <w:tcW w:w="1276" w:type="dxa"/>
            <w:vAlign w:val="center"/>
          </w:tcPr>
          <w:p w14:paraId="1418546E" w14:textId="0CAC6D44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Outcome</w:t>
            </w:r>
          </w:p>
        </w:tc>
      </w:tr>
      <w:tr w:rsidR="00BA5800" w:rsidRPr="00195026" w14:paraId="35F9B1C1" w14:textId="77777777" w:rsidTr="00E9144A">
        <w:trPr>
          <w:trHeight w:val="273"/>
        </w:trPr>
        <w:tc>
          <w:tcPr>
            <w:tcW w:w="1129" w:type="dxa"/>
            <w:vAlign w:val="center"/>
          </w:tcPr>
          <w:p w14:paraId="35566FC3" w14:textId="2F51CC5B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This case</w:t>
            </w:r>
          </w:p>
        </w:tc>
        <w:tc>
          <w:tcPr>
            <w:tcW w:w="1626" w:type="dxa"/>
          </w:tcPr>
          <w:p w14:paraId="361C3A95" w14:textId="257092D4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Sudden onset severe headache</w:t>
            </w:r>
          </w:p>
        </w:tc>
        <w:tc>
          <w:tcPr>
            <w:tcW w:w="895" w:type="dxa"/>
            <w:vAlign w:val="center"/>
          </w:tcPr>
          <w:p w14:paraId="291A4B2F" w14:textId="493DDDE9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5</w:t>
            </w:r>
          </w:p>
        </w:tc>
        <w:tc>
          <w:tcPr>
            <w:tcW w:w="611" w:type="dxa"/>
            <w:vAlign w:val="center"/>
          </w:tcPr>
          <w:p w14:paraId="45133E52" w14:textId="4F861128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0.53</w:t>
            </w:r>
          </w:p>
        </w:tc>
        <w:tc>
          <w:tcPr>
            <w:tcW w:w="671" w:type="dxa"/>
            <w:vAlign w:val="center"/>
          </w:tcPr>
          <w:p w14:paraId="0E4AB4B9" w14:textId="654D02F8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33</w:t>
            </w:r>
          </w:p>
        </w:tc>
        <w:tc>
          <w:tcPr>
            <w:tcW w:w="521" w:type="dxa"/>
            <w:vAlign w:val="center"/>
          </w:tcPr>
          <w:p w14:paraId="6303C405" w14:textId="14846226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&lt; 5</w:t>
            </w:r>
          </w:p>
        </w:tc>
        <w:tc>
          <w:tcPr>
            <w:tcW w:w="649" w:type="dxa"/>
            <w:vAlign w:val="center"/>
          </w:tcPr>
          <w:p w14:paraId="5EED648D" w14:textId="4FA7E972" w:rsidR="00BA5800" w:rsidRPr="00195026" w:rsidRDefault="00BA5800" w:rsidP="0087252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544" w:type="dxa"/>
            <w:vAlign w:val="center"/>
          </w:tcPr>
          <w:p w14:paraId="7F47D0C4" w14:textId="78C955CC" w:rsidR="00BA5800" w:rsidRPr="00195026" w:rsidRDefault="00BA5800" w:rsidP="00D97423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+</w:t>
            </w:r>
          </w:p>
        </w:tc>
        <w:tc>
          <w:tcPr>
            <w:tcW w:w="711" w:type="dxa"/>
            <w:vAlign w:val="center"/>
          </w:tcPr>
          <w:p w14:paraId="48750CAD" w14:textId="19218EF8" w:rsidR="00BA5800" w:rsidRPr="00195026" w:rsidRDefault="00BA5800" w:rsidP="00454FF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ND</w:t>
            </w:r>
          </w:p>
        </w:tc>
        <w:tc>
          <w:tcPr>
            <w:tcW w:w="640" w:type="dxa"/>
            <w:vAlign w:val="center"/>
          </w:tcPr>
          <w:p w14:paraId="352F69D1" w14:textId="63A19243" w:rsidR="00BA5800" w:rsidRPr="00195026" w:rsidRDefault="00BA5800" w:rsidP="00D97423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1:100</w:t>
            </w:r>
          </w:p>
        </w:tc>
        <w:tc>
          <w:tcPr>
            <w:tcW w:w="1472" w:type="dxa"/>
            <w:vAlign w:val="center"/>
          </w:tcPr>
          <w:p w14:paraId="455260E0" w14:textId="02E8B9E0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Old MS lesions only</w:t>
            </w:r>
          </w:p>
        </w:tc>
        <w:tc>
          <w:tcPr>
            <w:tcW w:w="1276" w:type="dxa"/>
            <w:vAlign w:val="center"/>
          </w:tcPr>
          <w:p w14:paraId="2283D11B" w14:textId="4E1401FE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Good</w:t>
            </w:r>
          </w:p>
        </w:tc>
      </w:tr>
      <w:tr w:rsidR="00BA5800" w:rsidRPr="00195026" w14:paraId="2DADA68B" w14:textId="77777777" w:rsidTr="00E9144A">
        <w:trPr>
          <w:trHeight w:val="273"/>
        </w:trPr>
        <w:tc>
          <w:tcPr>
            <w:tcW w:w="1129" w:type="dxa"/>
            <w:vAlign w:val="center"/>
          </w:tcPr>
          <w:p w14:paraId="796246B6" w14:textId="7E18B551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Aoki et al, 2021 [</w:t>
            </w:r>
            <w:r w:rsidR="00BE4FF9">
              <w:rPr>
                <w:sz w:val="15"/>
                <w:szCs w:val="15"/>
              </w:rPr>
              <w:t>6</w:t>
            </w:r>
            <w:r w:rsidRPr="00195026">
              <w:rPr>
                <w:sz w:val="15"/>
                <w:szCs w:val="15"/>
              </w:rPr>
              <w:t>]</w:t>
            </w:r>
          </w:p>
        </w:tc>
        <w:tc>
          <w:tcPr>
            <w:tcW w:w="1626" w:type="dxa"/>
          </w:tcPr>
          <w:p w14:paraId="4A3FBBE3" w14:textId="7D59B7F4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Headache; fever; neck stiffness</w:t>
            </w:r>
          </w:p>
        </w:tc>
        <w:tc>
          <w:tcPr>
            <w:tcW w:w="895" w:type="dxa"/>
            <w:vAlign w:val="center"/>
          </w:tcPr>
          <w:p w14:paraId="4EEF7237" w14:textId="3B277211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6</w:t>
            </w:r>
          </w:p>
        </w:tc>
        <w:tc>
          <w:tcPr>
            <w:tcW w:w="611" w:type="dxa"/>
            <w:vAlign w:val="center"/>
          </w:tcPr>
          <w:p w14:paraId="60987BE9" w14:textId="3E57A9D7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0.17</w:t>
            </w:r>
          </w:p>
        </w:tc>
        <w:tc>
          <w:tcPr>
            <w:tcW w:w="671" w:type="dxa"/>
            <w:vAlign w:val="center"/>
          </w:tcPr>
          <w:p w14:paraId="54D68278" w14:textId="1F10D1C6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ND</w:t>
            </w:r>
          </w:p>
        </w:tc>
        <w:tc>
          <w:tcPr>
            <w:tcW w:w="521" w:type="dxa"/>
            <w:vAlign w:val="center"/>
          </w:tcPr>
          <w:p w14:paraId="445813DB" w14:textId="6A1CB133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65</w:t>
            </w:r>
          </w:p>
        </w:tc>
        <w:tc>
          <w:tcPr>
            <w:tcW w:w="649" w:type="dxa"/>
            <w:vAlign w:val="center"/>
          </w:tcPr>
          <w:p w14:paraId="68EC69F7" w14:textId="405C6700" w:rsidR="00BA5800" w:rsidRPr="00195026" w:rsidRDefault="00BA5800" w:rsidP="0087252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ND</w:t>
            </w:r>
          </w:p>
        </w:tc>
        <w:tc>
          <w:tcPr>
            <w:tcW w:w="544" w:type="dxa"/>
            <w:vAlign w:val="center"/>
          </w:tcPr>
          <w:p w14:paraId="01FE7F5F" w14:textId="54374F5C" w:rsidR="00BA5800" w:rsidRPr="00195026" w:rsidRDefault="00BA5800" w:rsidP="00D97423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+ (II)</w:t>
            </w:r>
          </w:p>
        </w:tc>
        <w:tc>
          <w:tcPr>
            <w:tcW w:w="711" w:type="dxa"/>
            <w:vAlign w:val="center"/>
          </w:tcPr>
          <w:p w14:paraId="79BFDE7D" w14:textId="6C6CC7D7" w:rsidR="00BA5800" w:rsidRPr="00195026" w:rsidRDefault="00BA5800" w:rsidP="00195026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1:2048</w:t>
            </w:r>
          </w:p>
        </w:tc>
        <w:tc>
          <w:tcPr>
            <w:tcW w:w="640" w:type="dxa"/>
            <w:vAlign w:val="center"/>
          </w:tcPr>
          <w:p w14:paraId="1B690594" w14:textId="4D7417BF" w:rsidR="00BA5800" w:rsidRPr="00195026" w:rsidRDefault="00BA5800" w:rsidP="00D97423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1:256</w:t>
            </w:r>
          </w:p>
        </w:tc>
        <w:tc>
          <w:tcPr>
            <w:tcW w:w="1472" w:type="dxa"/>
            <w:vAlign w:val="center"/>
          </w:tcPr>
          <w:p w14:paraId="2707BCBC" w14:textId="19786781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LM enhancement</w:t>
            </w:r>
          </w:p>
        </w:tc>
        <w:tc>
          <w:tcPr>
            <w:tcW w:w="1276" w:type="dxa"/>
            <w:vAlign w:val="center"/>
          </w:tcPr>
          <w:p w14:paraId="6EE04B17" w14:textId="54D38613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ND</w:t>
            </w:r>
          </w:p>
        </w:tc>
      </w:tr>
      <w:tr w:rsidR="00BA5800" w:rsidRPr="00195026" w14:paraId="5EAB2233" w14:textId="77777777" w:rsidTr="00E9144A">
        <w:trPr>
          <w:trHeight w:val="273"/>
        </w:trPr>
        <w:tc>
          <w:tcPr>
            <w:tcW w:w="1129" w:type="dxa"/>
            <w:vAlign w:val="center"/>
          </w:tcPr>
          <w:p w14:paraId="7BD6DC05" w14:textId="5DE8F7FC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Cuascut et al, 2021 [</w:t>
            </w:r>
            <w:r w:rsidR="00BE4FF9">
              <w:rPr>
                <w:sz w:val="15"/>
                <w:szCs w:val="15"/>
              </w:rPr>
              <w:t>7</w:t>
            </w:r>
            <w:r w:rsidRPr="00195026">
              <w:rPr>
                <w:sz w:val="15"/>
                <w:szCs w:val="15"/>
              </w:rPr>
              <w:t>]</w:t>
            </w:r>
          </w:p>
        </w:tc>
        <w:tc>
          <w:tcPr>
            <w:tcW w:w="1626" w:type="dxa"/>
          </w:tcPr>
          <w:p w14:paraId="7CC394CA" w14:textId="19C58814" w:rsidR="00BA5800" w:rsidRPr="00F26A35" w:rsidRDefault="00BA5800" w:rsidP="0059223C">
            <w:pPr>
              <w:rPr>
                <w:sz w:val="15"/>
                <w:szCs w:val="15"/>
                <w:lang w:val="fr-FR"/>
              </w:rPr>
            </w:pPr>
            <w:r w:rsidRPr="00F26A35">
              <w:rPr>
                <w:sz w:val="15"/>
                <w:szCs w:val="15"/>
                <w:lang w:val="fr-FR"/>
              </w:rPr>
              <w:t xml:space="preserve">Severe headache; confusion; seizures; nausea; photophobia; phonophobia; inattention </w:t>
            </w:r>
          </w:p>
        </w:tc>
        <w:tc>
          <w:tcPr>
            <w:tcW w:w="895" w:type="dxa"/>
            <w:vAlign w:val="center"/>
          </w:tcPr>
          <w:p w14:paraId="28EFF3A4" w14:textId="5F1E3909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7.6</w:t>
            </w:r>
          </w:p>
        </w:tc>
        <w:tc>
          <w:tcPr>
            <w:tcW w:w="611" w:type="dxa"/>
            <w:vAlign w:val="center"/>
          </w:tcPr>
          <w:p w14:paraId="1C3A8F5C" w14:textId="081305CF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0.21</w:t>
            </w:r>
          </w:p>
        </w:tc>
        <w:tc>
          <w:tcPr>
            <w:tcW w:w="671" w:type="dxa"/>
            <w:vAlign w:val="center"/>
          </w:tcPr>
          <w:p w14:paraId="0D9A6E1A" w14:textId="249F51D1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&gt; 55</w:t>
            </w:r>
          </w:p>
        </w:tc>
        <w:tc>
          <w:tcPr>
            <w:tcW w:w="521" w:type="dxa"/>
            <w:vAlign w:val="center"/>
          </w:tcPr>
          <w:p w14:paraId="787E9F54" w14:textId="1C698400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99</w:t>
            </w:r>
          </w:p>
        </w:tc>
        <w:tc>
          <w:tcPr>
            <w:tcW w:w="649" w:type="dxa"/>
            <w:vAlign w:val="center"/>
          </w:tcPr>
          <w:p w14:paraId="286787BA" w14:textId="6F698C00" w:rsidR="00BA5800" w:rsidRPr="00195026" w:rsidRDefault="00BA5800" w:rsidP="0087252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ND</w:t>
            </w:r>
          </w:p>
        </w:tc>
        <w:tc>
          <w:tcPr>
            <w:tcW w:w="544" w:type="dxa"/>
            <w:vAlign w:val="center"/>
          </w:tcPr>
          <w:p w14:paraId="2CB34916" w14:textId="50AA1800" w:rsidR="00BA5800" w:rsidRPr="00195026" w:rsidRDefault="00BA5800" w:rsidP="00D97423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+</w:t>
            </w:r>
          </w:p>
        </w:tc>
        <w:tc>
          <w:tcPr>
            <w:tcW w:w="711" w:type="dxa"/>
            <w:vAlign w:val="center"/>
          </w:tcPr>
          <w:p w14:paraId="0A15AB83" w14:textId="16FBC3F9" w:rsidR="00BA5800" w:rsidRPr="00195026" w:rsidRDefault="00BA5800" w:rsidP="00195026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ND</w:t>
            </w:r>
          </w:p>
        </w:tc>
        <w:tc>
          <w:tcPr>
            <w:tcW w:w="640" w:type="dxa"/>
            <w:vAlign w:val="center"/>
          </w:tcPr>
          <w:p w14:paraId="7507964C" w14:textId="50C75506" w:rsidR="00BA5800" w:rsidRPr="00195026" w:rsidRDefault="00BA5800" w:rsidP="00D97423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1:1024</w:t>
            </w:r>
          </w:p>
        </w:tc>
        <w:tc>
          <w:tcPr>
            <w:tcW w:w="1472" w:type="dxa"/>
            <w:vAlign w:val="center"/>
          </w:tcPr>
          <w:p w14:paraId="3F1DE27D" w14:textId="7E85B63D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LM enhancement parietal region; old MS lesions</w:t>
            </w:r>
          </w:p>
        </w:tc>
        <w:tc>
          <w:tcPr>
            <w:tcW w:w="1276" w:type="dxa"/>
            <w:vAlign w:val="center"/>
          </w:tcPr>
          <w:p w14:paraId="6E500169" w14:textId="77777777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Good;</w:t>
            </w:r>
          </w:p>
          <w:p w14:paraId="78869911" w14:textId="75057B16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IRIS</w:t>
            </w:r>
          </w:p>
        </w:tc>
      </w:tr>
      <w:tr w:rsidR="00BA5800" w:rsidRPr="00195026" w14:paraId="7733BE57" w14:textId="77777777" w:rsidTr="00E9144A">
        <w:trPr>
          <w:trHeight w:val="239"/>
        </w:trPr>
        <w:tc>
          <w:tcPr>
            <w:tcW w:w="1129" w:type="dxa"/>
            <w:vAlign w:val="center"/>
          </w:tcPr>
          <w:p w14:paraId="5920C151" w14:textId="3E798D17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Kaur et al, 2021 [</w:t>
            </w:r>
            <w:r w:rsidR="00BE4FF9">
              <w:rPr>
                <w:sz w:val="15"/>
                <w:szCs w:val="15"/>
              </w:rPr>
              <w:t>8</w:t>
            </w:r>
            <w:r w:rsidRPr="00195026">
              <w:rPr>
                <w:sz w:val="15"/>
                <w:szCs w:val="15"/>
              </w:rPr>
              <w:t>]</w:t>
            </w:r>
          </w:p>
        </w:tc>
        <w:tc>
          <w:tcPr>
            <w:tcW w:w="1626" w:type="dxa"/>
            <w:vAlign w:val="center"/>
          </w:tcPr>
          <w:p w14:paraId="459DA18E" w14:textId="74F2CD15" w:rsidR="00BA5800" w:rsidRPr="00195026" w:rsidRDefault="00BA5800" w:rsidP="001D1447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Headache; ataxia; constitutional upset</w:t>
            </w:r>
          </w:p>
        </w:tc>
        <w:tc>
          <w:tcPr>
            <w:tcW w:w="895" w:type="dxa"/>
            <w:vAlign w:val="center"/>
          </w:tcPr>
          <w:p w14:paraId="554E81F0" w14:textId="77777777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5</w:t>
            </w:r>
          </w:p>
        </w:tc>
        <w:tc>
          <w:tcPr>
            <w:tcW w:w="611" w:type="dxa"/>
            <w:vAlign w:val="center"/>
          </w:tcPr>
          <w:p w14:paraId="6A3A0E01" w14:textId="1F016C62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ND</w:t>
            </w:r>
          </w:p>
        </w:tc>
        <w:tc>
          <w:tcPr>
            <w:tcW w:w="671" w:type="dxa"/>
            <w:vAlign w:val="center"/>
          </w:tcPr>
          <w:p w14:paraId="5038361F" w14:textId="77777777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48</w:t>
            </w:r>
          </w:p>
        </w:tc>
        <w:tc>
          <w:tcPr>
            <w:tcW w:w="521" w:type="dxa"/>
            <w:vAlign w:val="center"/>
          </w:tcPr>
          <w:p w14:paraId="17812379" w14:textId="26286FA0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8</w:t>
            </w:r>
          </w:p>
        </w:tc>
        <w:tc>
          <w:tcPr>
            <w:tcW w:w="649" w:type="dxa"/>
            <w:vAlign w:val="center"/>
          </w:tcPr>
          <w:p w14:paraId="6118F271" w14:textId="3F2CD4B6" w:rsidR="00BA5800" w:rsidRPr="00195026" w:rsidRDefault="00BA5800" w:rsidP="0087252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</w:p>
        </w:tc>
        <w:tc>
          <w:tcPr>
            <w:tcW w:w="544" w:type="dxa"/>
            <w:vAlign w:val="center"/>
          </w:tcPr>
          <w:p w14:paraId="693C6720" w14:textId="26CEA83D" w:rsidR="00BA5800" w:rsidRPr="00195026" w:rsidRDefault="00BA5800" w:rsidP="001D1447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+</w:t>
            </w:r>
          </w:p>
        </w:tc>
        <w:tc>
          <w:tcPr>
            <w:tcW w:w="711" w:type="dxa"/>
            <w:vAlign w:val="center"/>
          </w:tcPr>
          <w:p w14:paraId="42ED937E" w14:textId="7E8F6FFB" w:rsidR="00BA5800" w:rsidRPr="00195026" w:rsidRDefault="00BA5800" w:rsidP="00195026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&gt;1:2560</w:t>
            </w:r>
          </w:p>
        </w:tc>
        <w:tc>
          <w:tcPr>
            <w:tcW w:w="640" w:type="dxa"/>
            <w:vAlign w:val="center"/>
          </w:tcPr>
          <w:p w14:paraId="21DABD71" w14:textId="7C617C61" w:rsidR="00BA5800" w:rsidRPr="00195026" w:rsidRDefault="00BA5800" w:rsidP="001D1447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ND</w:t>
            </w:r>
          </w:p>
        </w:tc>
        <w:tc>
          <w:tcPr>
            <w:tcW w:w="1472" w:type="dxa"/>
            <w:vAlign w:val="center"/>
          </w:tcPr>
          <w:p w14:paraId="503A9520" w14:textId="76FB4D8B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Old MS lesions only</w:t>
            </w:r>
          </w:p>
        </w:tc>
        <w:tc>
          <w:tcPr>
            <w:tcW w:w="1276" w:type="dxa"/>
            <w:vAlign w:val="center"/>
          </w:tcPr>
          <w:p w14:paraId="7277C0FE" w14:textId="49EEDF3A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ND</w:t>
            </w:r>
          </w:p>
        </w:tc>
      </w:tr>
      <w:tr w:rsidR="00BA5800" w:rsidRPr="00195026" w14:paraId="7BE7F042" w14:textId="77777777" w:rsidTr="00E9144A">
        <w:trPr>
          <w:trHeight w:val="273"/>
        </w:trPr>
        <w:tc>
          <w:tcPr>
            <w:tcW w:w="1129" w:type="dxa"/>
            <w:vAlign w:val="center"/>
          </w:tcPr>
          <w:p w14:paraId="2106BD41" w14:textId="1F28F7CE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Baghbanian et al, 2021 [</w:t>
            </w:r>
            <w:r w:rsidR="00BE4FF9">
              <w:rPr>
                <w:sz w:val="15"/>
                <w:szCs w:val="15"/>
              </w:rPr>
              <w:t>9</w:t>
            </w:r>
            <w:r w:rsidRPr="00195026">
              <w:rPr>
                <w:sz w:val="15"/>
                <w:szCs w:val="15"/>
              </w:rPr>
              <w:t>]</w:t>
            </w:r>
          </w:p>
        </w:tc>
        <w:tc>
          <w:tcPr>
            <w:tcW w:w="1626" w:type="dxa"/>
          </w:tcPr>
          <w:p w14:paraId="2E62D4C6" w14:textId="701A1AD6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Headache; blurred vision; confusion; meningism; ataxia</w:t>
            </w:r>
          </w:p>
        </w:tc>
        <w:tc>
          <w:tcPr>
            <w:tcW w:w="895" w:type="dxa"/>
            <w:vAlign w:val="center"/>
          </w:tcPr>
          <w:p w14:paraId="3468B827" w14:textId="7D880BB0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5</w:t>
            </w:r>
          </w:p>
        </w:tc>
        <w:tc>
          <w:tcPr>
            <w:tcW w:w="611" w:type="dxa"/>
            <w:vAlign w:val="center"/>
          </w:tcPr>
          <w:p w14:paraId="765414E3" w14:textId="5C8249F3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0.25</w:t>
            </w:r>
          </w:p>
        </w:tc>
        <w:tc>
          <w:tcPr>
            <w:tcW w:w="671" w:type="dxa"/>
            <w:vAlign w:val="center"/>
          </w:tcPr>
          <w:p w14:paraId="12B232B7" w14:textId="6F3DAD4F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25</w:t>
            </w:r>
          </w:p>
        </w:tc>
        <w:tc>
          <w:tcPr>
            <w:tcW w:w="521" w:type="dxa"/>
            <w:vAlign w:val="center"/>
          </w:tcPr>
          <w:p w14:paraId="59505FAF" w14:textId="24CB8391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20</w:t>
            </w:r>
          </w:p>
        </w:tc>
        <w:tc>
          <w:tcPr>
            <w:tcW w:w="649" w:type="dxa"/>
            <w:vAlign w:val="center"/>
          </w:tcPr>
          <w:p w14:paraId="181E4D6A" w14:textId="49ED5882" w:rsidR="00BA5800" w:rsidRPr="00195026" w:rsidRDefault="00BA5800" w:rsidP="0087252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ND</w:t>
            </w:r>
          </w:p>
        </w:tc>
        <w:tc>
          <w:tcPr>
            <w:tcW w:w="544" w:type="dxa"/>
            <w:vAlign w:val="center"/>
          </w:tcPr>
          <w:p w14:paraId="26909C67" w14:textId="1519C16E" w:rsidR="00BA5800" w:rsidRPr="00195026" w:rsidRDefault="00BA5800" w:rsidP="00D02BA5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+</w:t>
            </w:r>
          </w:p>
        </w:tc>
        <w:tc>
          <w:tcPr>
            <w:tcW w:w="711" w:type="dxa"/>
            <w:vAlign w:val="center"/>
          </w:tcPr>
          <w:p w14:paraId="4ADE6E4F" w14:textId="11E40445" w:rsidR="00BA5800" w:rsidRPr="00195026" w:rsidRDefault="00BA5800" w:rsidP="00195026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ND</w:t>
            </w:r>
          </w:p>
        </w:tc>
        <w:tc>
          <w:tcPr>
            <w:tcW w:w="640" w:type="dxa"/>
            <w:vAlign w:val="center"/>
          </w:tcPr>
          <w:p w14:paraId="726032E2" w14:textId="2F402529" w:rsidR="00BA5800" w:rsidRPr="00195026" w:rsidRDefault="00BA5800" w:rsidP="00D02BA5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+</w:t>
            </w:r>
          </w:p>
        </w:tc>
        <w:tc>
          <w:tcPr>
            <w:tcW w:w="1472" w:type="dxa"/>
            <w:vAlign w:val="center"/>
          </w:tcPr>
          <w:p w14:paraId="7B73A82B" w14:textId="1C1B3EB1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 xml:space="preserve">Right enhancing occipital lesion; LM enhancement </w:t>
            </w:r>
          </w:p>
        </w:tc>
        <w:tc>
          <w:tcPr>
            <w:tcW w:w="1276" w:type="dxa"/>
            <w:vAlign w:val="center"/>
          </w:tcPr>
          <w:p w14:paraId="1F077388" w14:textId="3452CAF1" w:rsidR="00BA5800" w:rsidRPr="00195026" w:rsidRDefault="00BA5800" w:rsidP="00D02BA5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Good; VP shunt;</w:t>
            </w:r>
          </w:p>
        </w:tc>
      </w:tr>
      <w:tr w:rsidR="00BA5800" w:rsidRPr="00195026" w14:paraId="6AC37404" w14:textId="77777777" w:rsidTr="00E9144A">
        <w:trPr>
          <w:trHeight w:val="273"/>
        </w:trPr>
        <w:tc>
          <w:tcPr>
            <w:tcW w:w="1129" w:type="dxa"/>
            <w:vAlign w:val="center"/>
          </w:tcPr>
          <w:p w14:paraId="1F7236B5" w14:textId="1FB9CE53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Ma et al, 2020 [</w:t>
            </w:r>
            <w:r w:rsidR="00BE4FF9">
              <w:rPr>
                <w:sz w:val="15"/>
                <w:szCs w:val="15"/>
              </w:rPr>
              <w:t>10</w:t>
            </w:r>
            <w:r w:rsidRPr="00195026">
              <w:rPr>
                <w:sz w:val="15"/>
                <w:szCs w:val="15"/>
              </w:rPr>
              <w:t>]</w:t>
            </w:r>
          </w:p>
        </w:tc>
        <w:tc>
          <w:tcPr>
            <w:tcW w:w="1626" w:type="dxa"/>
            <w:vAlign w:val="center"/>
          </w:tcPr>
          <w:p w14:paraId="52F94FF8" w14:textId="6DBD1AF7" w:rsidR="00BA5800" w:rsidRPr="00195026" w:rsidRDefault="00BA5800" w:rsidP="001D1447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Headache; fever; confusion</w:t>
            </w:r>
          </w:p>
        </w:tc>
        <w:tc>
          <w:tcPr>
            <w:tcW w:w="895" w:type="dxa"/>
            <w:vAlign w:val="center"/>
          </w:tcPr>
          <w:p w14:paraId="2E52B724" w14:textId="77777777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7</w:t>
            </w:r>
          </w:p>
        </w:tc>
        <w:tc>
          <w:tcPr>
            <w:tcW w:w="611" w:type="dxa"/>
            <w:vAlign w:val="center"/>
          </w:tcPr>
          <w:p w14:paraId="1E310822" w14:textId="77777777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0.9</w:t>
            </w:r>
          </w:p>
        </w:tc>
        <w:tc>
          <w:tcPr>
            <w:tcW w:w="671" w:type="dxa"/>
            <w:vAlign w:val="center"/>
          </w:tcPr>
          <w:p w14:paraId="5A11C1EA" w14:textId="466C2A9A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29</w:t>
            </w:r>
          </w:p>
        </w:tc>
        <w:tc>
          <w:tcPr>
            <w:tcW w:w="521" w:type="dxa"/>
            <w:vAlign w:val="center"/>
          </w:tcPr>
          <w:p w14:paraId="7649055F" w14:textId="43126F62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62</w:t>
            </w:r>
          </w:p>
        </w:tc>
        <w:tc>
          <w:tcPr>
            <w:tcW w:w="649" w:type="dxa"/>
            <w:vAlign w:val="center"/>
          </w:tcPr>
          <w:p w14:paraId="7530A163" w14:textId="2D853075" w:rsidR="00BA5800" w:rsidRPr="00195026" w:rsidRDefault="00BA5800" w:rsidP="0087252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ND</w:t>
            </w:r>
          </w:p>
        </w:tc>
        <w:tc>
          <w:tcPr>
            <w:tcW w:w="544" w:type="dxa"/>
            <w:vAlign w:val="center"/>
          </w:tcPr>
          <w:p w14:paraId="13FB4CE5" w14:textId="5D8C94AD" w:rsidR="00BA5800" w:rsidRPr="00195026" w:rsidRDefault="00BA5800" w:rsidP="001D1447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+</w:t>
            </w:r>
          </w:p>
        </w:tc>
        <w:tc>
          <w:tcPr>
            <w:tcW w:w="711" w:type="dxa"/>
            <w:vAlign w:val="center"/>
          </w:tcPr>
          <w:p w14:paraId="31023790" w14:textId="49F0716B" w:rsidR="00BA5800" w:rsidRPr="00195026" w:rsidRDefault="00BA5800" w:rsidP="00195026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1:2560</w:t>
            </w:r>
          </w:p>
        </w:tc>
        <w:tc>
          <w:tcPr>
            <w:tcW w:w="640" w:type="dxa"/>
            <w:vAlign w:val="center"/>
          </w:tcPr>
          <w:p w14:paraId="0CDB543F" w14:textId="523AB36D" w:rsidR="00BA5800" w:rsidRPr="00195026" w:rsidRDefault="00BA5800" w:rsidP="001D1447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1:5120</w:t>
            </w:r>
          </w:p>
        </w:tc>
        <w:tc>
          <w:tcPr>
            <w:tcW w:w="1472" w:type="dxa"/>
            <w:vAlign w:val="center"/>
          </w:tcPr>
          <w:p w14:paraId="77753558" w14:textId="6F8CEFE0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Cerebritis of both parietal lobes;</w:t>
            </w:r>
          </w:p>
          <w:p w14:paraId="6A6005C5" w14:textId="6074AF48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LM enhancement</w:t>
            </w:r>
          </w:p>
        </w:tc>
        <w:tc>
          <w:tcPr>
            <w:tcW w:w="1276" w:type="dxa"/>
            <w:vAlign w:val="center"/>
          </w:tcPr>
          <w:p w14:paraId="00CA44F1" w14:textId="3D5BA3D5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Good</w:t>
            </w:r>
          </w:p>
        </w:tc>
      </w:tr>
      <w:tr w:rsidR="00BA5800" w:rsidRPr="00195026" w14:paraId="74AD149D" w14:textId="77777777" w:rsidTr="00E9144A">
        <w:trPr>
          <w:trHeight w:val="273"/>
        </w:trPr>
        <w:tc>
          <w:tcPr>
            <w:tcW w:w="1129" w:type="dxa"/>
            <w:vAlign w:val="center"/>
          </w:tcPr>
          <w:p w14:paraId="6441A14A" w14:textId="2EC22CC9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Wienemann, 2020 [</w:t>
            </w:r>
            <w:r w:rsidR="00BE4FF9">
              <w:rPr>
                <w:sz w:val="15"/>
                <w:szCs w:val="15"/>
              </w:rPr>
              <w:t>11</w:t>
            </w:r>
            <w:r w:rsidRPr="00195026">
              <w:rPr>
                <w:sz w:val="15"/>
                <w:szCs w:val="15"/>
              </w:rPr>
              <w:t>]</w:t>
            </w:r>
          </w:p>
        </w:tc>
        <w:tc>
          <w:tcPr>
            <w:tcW w:w="1626" w:type="dxa"/>
            <w:vAlign w:val="center"/>
          </w:tcPr>
          <w:p w14:paraId="0EA08358" w14:textId="52A4C52F" w:rsidR="00BA5800" w:rsidRPr="00195026" w:rsidRDefault="00BA5800" w:rsidP="00E9144A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Headache; fever; confusion; malaise</w:t>
            </w:r>
          </w:p>
        </w:tc>
        <w:tc>
          <w:tcPr>
            <w:tcW w:w="895" w:type="dxa"/>
            <w:vAlign w:val="center"/>
          </w:tcPr>
          <w:p w14:paraId="4CB68EAB" w14:textId="77777777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5.5</w:t>
            </w:r>
          </w:p>
        </w:tc>
        <w:tc>
          <w:tcPr>
            <w:tcW w:w="611" w:type="dxa"/>
            <w:vAlign w:val="center"/>
          </w:tcPr>
          <w:p w14:paraId="246F4978" w14:textId="77777777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0.09</w:t>
            </w:r>
          </w:p>
        </w:tc>
        <w:tc>
          <w:tcPr>
            <w:tcW w:w="671" w:type="dxa"/>
            <w:vAlign w:val="center"/>
          </w:tcPr>
          <w:p w14:paraId="5C624A3F" w14:textId="77777777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Normal</w:t>
            </w:r>
          </w:p>
        </w:tc>
        <w:tc>
          <w:tcPr>
            <w:tcW w:w="521" w:type="dxa"/>
            <w:vAlign w:val="center"/>
          </w:tcPr>
          <w:p w14:paraId="41C741EE" w14:textId="204B3373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54</w:t>
            </w:r>
          </w:p>
        </w:tc>
        <w:tc>
          <w:tcPr>
            <w:tcW w:w="649" w:type="dxa"/>
            <w:vAlign w:val="center"/>
          </w:tcPr>
          <w:p w14:paraId="1DFCB602" w14:textId="08E90661" w:rsidR="00BA5800" w:rsidRPr="00195026" w:rsidRDefault="00BA5800" w:rsidP="0087252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</w:p>
        </w:tc>
        <w:tc>
          <w:tcPr>
            <w:tcW w:w="544" w:type="dxa"/>
            <w:vAlign w:val="center"/>
          </w:tcPr>
          <w:p w14:paraId="5F9B26F9" w14:textId="65AC4C6C" w:rsidR="00BA5800" w:rsidRPr="00195026" w:rsidRDefault="00BA5800" w:rsidP="008A3DCA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 xml:space="preserve">- </w:t>
            </w:r>
          </w:p>
          <w:p w14:paraId="63E9B303" w14:textId="254DE413" w:rsidR="00BA5800" w:rsidRPr="00195026" w:rsidRDefault="00BA5800" w:rsidP="008A3DCA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(then +)</w:t>
            </w:r>
          </w:p>
        </w:tc>
        <w:tc>
          <w:tcPr>
            <w:tcW w:w="711" w:type="dxa"/>
            <w:vAlign w:val="center"/>
          </w:tcPr>
          <w:p w14:paraId="36722F2C" w14:textId="1D1A79CB" w:rsidR="00BA5800" w:rsidRPr="00195026" w:rsidRDefault="00BA5800" w:rsidP="00195026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ND</w:t>
            </w:r>
          </w:p>
        </w:tc>
        <w:tc>
          <w:tcPr>
            <w:tcW w:w="640" w:type="dxa"/>
            <w:vAlign w:val="center"/>
          </w:tcPr>
          <w:p w14:paraId="6DD07CC8" w14:textId="3D1A566C" w:rsidR="00BA5800" w:rsidRPr="00195026" w:rsidRDefault="00BA5800" w:rsidP="008A3DCA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1:160</w:t>
            </w:r>
          </w:p>
        </w:tc>
        <w:tc>
          <w:tcPr>
            <w:tcW w:w="1472" w:type="dxa"/>
            <w:vAlign w:val="center"/>
          </w:tcPr>
          <w:p w14:paraId="143928A5" w14:textId="553BAFB4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Old MS lesions only</w:t>
            </w:r>
          </w:p>
        </w:tc>
        <w:tc>
          <w:tcPr>
            <w:tcW w:w="1276" w:type="dxa"/>
            <w:vAlign w:val="center"/>
          </w:tcPr>
          <w:p w14:paraId="6FD90BF8" w14:textId="79C5724C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Good</w:t>
            </w:r>
          </w:p>
        </w:tc>
      </w:tr>
      <w:tr w:rsidR="00BA5800" w:rsidRPr="00195026" w14:paraId="65E6061B" w14:textId="77777777" w:rsidTr="00E9144A">
        <w:trPr>
          <w:trHeight w:val="273"/>
        </w:trPr>
        <w:tc>
          <w:tcPr>
            <w:tcW w:w="1129" w:type="dxa"/>
            <w:vAlign w:val="center"/>
          </w:tcPr>
          <w:p w14:paraId="710D175A" w14:textId="7A3D57F0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Chong et al, 2019 [</w:t>
            </w:r>
            <w:r w:rsidR="00BE4FF9">
              <w:rPr>
                <w:sz w:val="15"/>
                <w:szCs w:val="15"/>
              </w:rPr>
              <w:t>12</w:t>
            </w:r>
            <w:r w:rsidRPr="00195026">
              <w:rPr>
                <w:sz w:val="15"/>
                <w:szCs w:val="15"/>
              </w:rPr>
              <w:t>]</w:t>
            </w:r>
          </w:p>
        </w:tc>
        <w:tc>
          <w:tcPr>
            <w:tcW w:w="1626" w:type="dxa"/>
            <w:vAlign w:val="center"/>
          </w:tcPr>
          <w:p w14:paraId="06FAA1D0" w14:textId="152004F0" w:rsidR="00BA5800" w:rsidRPr="00195026" w:rsidRDefault="00BA5800" w:rsidP="00F435D7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Headaches; anorexia; hallucinations</w:t>
            </w:r>
          </w:p>
        </w:tc>
        <w:tc>
          <w:tcPr>
            <w:tcW w:w="895" w:type="dxa"/>
            <w:vAlign w:val="center"/>
          </w:tcPr>
          <w:p w14:paraId="76DA76EC" w14:textId="1D72A8D8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2.25</w:t>
            </w:r>
          </w:p>
        </w:tc>
        <w:tc>
          <w:tcPr>
            <w:tcW w:w="611" w:type="dxa"/>
            <w:vAlign w:val="center"/>
          </w:tcPr>
          <w:p w14:paraId="4C216FC9" w14:textId="77777777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0.2</w:t>
            </w:r>
          </w:p>
        </w:tc>
        <w:tc>
          <w:tcPr>
            <w:tcW w:w="671" w:type="dxa"/>
            <w:vAlign w:val="center"/>
          </w:tcPr>
          <w:p w14:paraId="39CA468A" w14:textId="77777777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Normal</w:t>
            </w:r>
          </w:p>
        </w:tc>
        <w:tc>
          <w:tcPr>
            <w:tcW w:w="521" w:type="dxa"/>
            <w:vAlign w:val="center"/>
          </w:tcPr>
          <w:p w14:paraId="2000F1C7" w14:textId="566F8743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22</w:t>
            </w:r>
          </w:p>
        </w:tc>
        <w:tc>
          <w:tcPr>
            <w:tcW w:w="649" w:type="dxa"/>
            <w:vAlign w:val="center"/>
          </w:tcPr>
          <w:p w14:paraId="4967AB15" w14:textId="6EA66577" w:rsidR="00BA5800" w:rsidRPr="00195026" w:rsidRDefault="00BA5800" w:rsidP="0087252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</w:p>
        </w:tc>
        <w:tc>
          <w:tcPr>
            <w:tcW w:w="544" w:type="dxa"/>
            <w:vAlign w:val="center"/>
          </w:tcPr>
          <w:p w14:paraId="735E8732" w14:textId="02DF3E5A" w:rsidR="00BA5800" w:rsidRPr="00195026" w:rsidRDefault="00BA5800" w:rsidP="001C55D2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+</w:t>
            </w:r>
          </w:p>
        </w:tc>
        <w:tc>
          <w:tcPr>
            <w:tcW w:w="711" w:type="dxa"/>
            <w:vAlign w:val="center"/>
          </w:tcPr>
          <w:p w14:paraId="70766EAB" w14:textId="18983F41" w:rsidR="00BA5800" w:rsidRPr="00195026" w:rsidRDefault="00BA5800" w:rsidP="00195026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+</w:t>
            </w:r>
          </w:p>
        </w:tc>
        <w:tc>
          <w:tcPr>
            <w:tcW w:w="640" w:type="dxa"/>
            <w:vAlign w:val="center"/>
          </w:tcPr>
          <w:p w14:paraId="7FBDE15C" w14:textId="07127DE3" w:rsidR="00BA5800" w:rsidRPr="00195026" w:rsidRDefault="00BA5800" w:rsidP="00E9144A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+</w:t>
            </w:r>
          </w:p>
        </w:tc>
        <w:tc>
          <w:tcPr>
            <w:tcW w:w="1472" w:type="dxa"/>
            <w:vAlign w:val="center"/>
          </w:tcPr>
          <w:p w14:paraId="5F482A5F" w14:textId="724FF02D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Enhancing lesions;</w:t>
            </w:r>
            <w:r w:rsidRPr="00195026">
              <w:rPr>
                <w:sz w:val="15"/>
                <w:szCs w:val="15"/>
              </w:rPr>
              <w:br/>
              <w:t>LM enhancement</w:t>
            </w:r>
          </w:p>
        </w:tc>
        <w:tc>
          <w:tcPr>
            <w:tcW w:w="1276" w:type="dxa"/>
            <w:vAlign w:val="center"/>
          </w:tcPr>
          <w:p w14:paraId="6E8E5880" w14:textId="77777777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Good</w:t>
            </w:r>
          </w:p>
        </w:tc>
      </w:tr>
      <w:tr w:rsidR="00BA5800" w:rsidRPr="00195026" w14:paraId="74730659" w14:textId="77777777" w:rsidTr="00E9144A">
        <w:trPr>
          <w:trHeight w:val="273"/>
        </w:trPr>
        <w:tc>
          <w:tcPr>
            <w:tcW w:w="1129" w:type="dxa"/>
            <w:vAlign w:val="center"/>
          </w:tcPr>
          <w:p w14:paraId="02160AE3" w14:textId="5E581148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Anene-Maidoh et al, 2018 [</w:t>
            </w:r>
            <w:r w:rsidR="00BE4FF9">
              <w:rPr>
                <w:sz w:val="15"/>
                <w:szCs w:val="15"/>
              </w:rPr>
              <w:t>13</w:t>
            </w:r>
            <w:r w:rsidRPr="00195026">
              <w:rPr>
                <w:sz w:val="15"/>
                <w:szCs w:val="15"/>
              </w:rPr>
              <w:t>]</w:t>
            </w:r>
          </w:p>
        </w:tc>
        <w:tc>
          <w:tcPr>
            <w:tcW w:w="1626" w:type="dxa"/>
            <w:vAlign w:val="center"/>
          </w:tcPr>
          <w:p w14:paraId="1DBE1454" w14:textId="0B0126CE" w:rsidR="00BA5800" w:rsidRPr="00195026" w:rsidRDefault="00BA5800" w:rsidP="001C55D2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Headache; seizures; confusion; ataxia</w:t>
            </w:r>
          </w:p>
        </w:tc>
        <w:tc>
          <w:tcPr>
            <w:tcW w:w="895" w:type="dxa"/>
            <w:vAlign w:val="center"/>
          </w:tcPr>
          <w:p w14:paraId="46B03EFF" w14:textId="196C6CCF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4.75</w:t>
            </w:r>
          </w:p>
        </w:tc>
        <w:tc>
          <w:tcPr>
            <w:tcW w:w="611" w:type="dxa"/>
            <w:vAlign w:val="center"/>
          </w:tcPr>
          <w:p w14:paraId="702FE3A1" w14:textId="3B77BF6D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ND</w:t>
            </w:r>
          </w:p>
        </w:tc>
        <w:tc>
          <w:tcPr>
            <w:tcW w:w="671" w:type="dxa"/>
            <w:vAlign w:val="center"/>
          </w:tcPr>
          <w:p w14:paraId="783C8A80" w14:textId="6004415F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50</w:t>
            </w:r>
          </w:p>
        </w:tc>
        <w:tc>
          <w:tcPr>
            <w:tcW w:w="521" w:type="dxa"/>
            <w:vAlign w:val="center"/>
          </w:tcPr>
          <w:p w14:paraId="459A49CF" w14:textId="47CE7C58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48</w:t>
            </w:r>
          </w:p>
        </w:tc>
        <w:tc>
          <w:tcPr>
            <w:tcW w:w="649" w:type="dxa"/>
            <w:vAlign w:val="center"/>
          </w:tcPr>
          <w:p w14:paraId="0FDFF09C" w14:textId="1D8F7D37" w:rsidR="00BA5800" w:rsidRPr="00195026" w:rsidRDefault="00BA5800" w:rsidP="0087252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ND</w:t>
            </w:r>
          </w:p>
        </w:tc>
        <w:tc>
          <w:tcPr>
            <w:tcW w:w="544" w:type="dxa"/>
            <w:vAlign w:val="center"/>
          </w:tcPr>
          <w:p w14:paraId="12E77B20" w14:textId="291B1ACD" w:rsidR="00BA5800" w:rsidRPr="00195026" w:rsidRDefault="00BA5800" w:rsidP="001C55D2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+</w:t>
            </w:r>
          </w:p>
        </w:tc>
        <w:tc>
          <w:tcPr>
            <w:tcW w:w="711" w:type="dxa"/>
            <w:vAlign w:val="center"/>
          </w:tcPr>
          <w:p w14:paraId="7FAC9B92" w14:textId="23BF6613" w:rsidR="00BA5800" w:rsidRPr="00195026" w:rsidRDefault="00BA5800" w:rsidP="00195026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+</w:t>
            </w:r>
          </w:p>
        </w:tc>
        <w:tc>
          <w:tcPr>
            <w:tcW w:w="640" w:type="dxa"/>
            <w:vAlign w:val="center"/>
          </w:tcPr>
          <w:p w14:paraId="46E005C5" w14:textId="703CE5A5" w:rsidR="00BA5800" w:rsidRPr="00195026" w:rsidRDefault="00BA5800" w:rsidP="00E9144A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+</w:t>
            </w:r>
          </w:p>
        </w:tc>
        <w:tc>
          <w:tcPr>
            <w:tcW w:w="1472" w:type="dxa"/>
            <w:vAlign w:val="center"/>
          </w:tcPr>
          <w:p w14:paraId="33AAE47F" w14:textId="327B7FBB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 xml:space="preserve">Multiple infarcts; </w:t>
            </w:r>
          </w:p>
          <w:p w14:paraId="4B0E6709" w14:textId="668C6927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raised ICP</w:t>
            </w:r>
          </w:p>
        </w:tc>
        <w:tc>
          <w:tcPr>
            <w:tcW w:w="1276" w:type="dxa"/>
            <w:vAlign w:val="center"/>
          </w:tcPr>
          <w:p w14:paraId="0293A023" w14:textId="34C06FAE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Death</w:t>
            </w:r>
          </w:p>
        </w:tc>
      </w:tr>
      <w:tr w:rsidR="00BA5800" w:rsidRPr="00195026" w14:paraId="0B03C122" w14:textId="77777777" w:rsidTr="00E9144A">
        <w:trPr>
          <w:trHeight w:val="273"/>
        </w:trPr>
        <w:tc>
          <w:tcPr>
            <w:tcW w:w="1129" w:type="dxa"/>
            <w:vAlign w:val="center"/>
          </w:tcPr>
          <w:p w14:paraId="40DC9A5B" w14:textId="3DA8FB20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Pham et al, 2017 [</w:t>
            </w:r>
            <w:r w:rsidR="00BE4FF9">
              <w:rPr>
                <w:sz w:val="15"/>
                <w:szCs w:val="15"/>
              </w:rPr>
              <w:t>14</w:t>
            </w:r>
            <w:r w:rsidRPr="00195026">
              <w:rPr>
                <w:sz w:val="15"/>
                <w:szCs w:val="15"/>
              </w:rPr>
              <w:t>]</w:t>
            </w:r>
          </w:p>
        </w:tc>
        <w:tc>
          <w:tcPr>
            <w:tcW w:w="1626" w:type="dxa"/>
            <w:vAlign w:val="center"/>
          </w:tcPr>
          <w:p w14:paraId="4FDB13B4" w14:textId="2675092E" w:rsidR="00BA5800" w:rsidRPr="00195026" w:rsidRDefault="00BA5800" w:rsidP="00641DE1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Headache; neck pain; nausea; vertigo; anorexia</w:t>
            </w:r>
          </w:p>
        </w:tc>
        <w:tc>
          <w:tcPr>
            <w:tcW w:w="895" w:type="dxa"/>
            <w:vAlign w:val="center"/>
          </w:tcPr>
          <w:p w14:paraId="11C72E9F" w14:textId="77777777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3</w:t>
            </w:r>
          </w:p>
        </w:tc>
        <w:tc>
          <w:tcPr>
            <w:tcW w:w="611" w:type="dxa"/>
            <w:vAlign w:val="center"/>
          </w:tcPr>
          <w:p w14:paraId="366DCDF7" w14:textId="77777777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0.12</w:t>
            </w:r>
          </w:p>
        </w:tc>
        <w:tc>
          <w:tcPr>
            <w:tcW w:w="671" w:type="dxa"/>
            <w:vAlign w:val="center"/>
          </w:tcPr>
          <w:p w14:paraId="2D834590" w14:textId="0537825C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ND</w:t>
            </w:r>
          </w:p>
        </w:tc>
        <w:tc>
          <w:tcPr>
            <w:tcW w:w="521" w:type="dxa"/>
            <w:vAlign w:val="center"/>
          </w:tcPr>
          <w:p w14:paraId="20106E12" w14:textId="52132ADB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ND</w:t>
            </w:r>
          </w:p>
        </w:tc>
        <w:tc>
          <w:tcPr>
            <w:tcW w:w="649" w:type="dxa"/>
            <w:vAlign w:val="center"/>
          </w:tcPr>
          <w:p w14:paraId="2D403672" w14:textId="24C35AFC" w:rsidR="00BA5800" w:rsidRPr="00195026" w:rsidRDefault="00BA5800" w:rsidP="0087252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544" w:type="dxa"/>
            <w:vAlign w:val="center"/>
          </w:tcPr>
          <w:p w14:paraId="0BC04E07" w14:textId="1D1E44C0" w:rsidR="00BA5800" w:rsidRPr="00195026" w:rsidRDefault="00BA5800" w:rsidP="00641DE1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 xml:space="preserve">- </w:t>
            </w:r>
          </w:p>
        </w:tc>
        <w:tc>
          <w:tcPr>
            <w:tcW w:w="711" w:type="dxa"/>
            <w:vAlign w:val="center"/>
          </w:tcPr>
          <w:p w14:paraId="770561B8" w14:textId="7D1C08B6" w:rsidR="00BA5800" w:rsidRPr="00195026" w:rsidRDefault="00BA5800" w:rsidP="00195026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+</w:t>
            </w:r>
          </w:p>
        </w:tc>
        <w:tc>
          <w:tcPr>
            <w:tcW w:w="640" w:type="dxa"/>
            <w:vAlign w:val="center"/>
          </w:tcPr>
          <w:p w14:paraId="087D73F7" w14:textId="3D169817" w:rsidR="00BA5800" w:rsidRPr="00195026" w:rsidRDefault="00BA5800" w:rsidP="00641DE1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+</w:t>
            </w:r>
          </w:p>
        </w:tc>
        <w:tc>
          <w:tcPr>
            <w:tcW w:w="1472" w:type="dxa"/>
            <w:vAlign w:val="center"/>
          </w:tcPr>
          <w:p w14:paraId="315B6A54" w14:textId="0003F080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Obs. hydro.; nodular LM enhancement; 4</w:t>
            </w:r>
            <w:r w:rsidRPr="00195026">
              <w:rPr>
                <w:sz w:val="15"/>
                <w:szCs w:val="15"/>
                <w:vertAlign w:val="superscript"/>
              </w:rPr>
              <w:t>th</w:t>
            </w:r>
            <w:r w:rsidRPr="00195026">
              <w:rPr>
                <w:sz w:val="15"/>
                <w:szCs w:val="15"/>
              </w:rPr>
              <w:t xml:space="preserve"> ventricle compression</w:t>
            </w:r>
          </w:p>
        </w:tc>
        <w:tc>
          <w:tcPr>
            <w:tcW w:w="1276" w:type="dxa"/>
            <w:vAlign w:val="center"/>
          </w:tcPr>
          <w:p w14:paraId="1B0ADE6D" w14:textId="4A939117" w:rsidR="00BA5800" w:rsidRPr="00195026" w:rsidRDefault="00BA5800" w:rsidP="0059223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Good; required ventriculostomy </w:t>
            </w:r>
          </w:p>
        </w:tc>
      </w:tr>
      <w:tr w:rsidR="00BA5800" w:rsidRPr="00195026" w14:paraId="7B00A6A5" w14:textId="77777777" w:rsidTr="00E9144A">
        <w:trPr>
          <w:trHeight w:val="273"/>
        </w:trPr>
        <w:tc>
          <w:tcPr>
            <w:tcW w:w="1129" w:type="dxa"/>
            <w:vAlign w:val="center"/>
          </w:tcPr>
          <w:p w14:paraId="4FA1283F" w14:textId="15D1D2EF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Ward et al, 2016 [</w:t>
            </w:r>
            <w:r w:rsidR="00BE4FF9">
              <w:rPr>
                <w:sz w:val="15"/>
                <w:szCs w:val="15"/>
              </w:rPr>
              <w:t>15</w:t>
            </w:r>
            <w:r w:rsidRPr="00195026">
              <w:rPr>
                <w:sz w:val="15"/>
                <w:szCs w:val="15"/>
              </w:rPr>
              <w:t>]</w:t>
            </w:r>
          </w:p>
        </w:tc>
        <w:tc>
          <w:tcPr>
            <w:tcW w:w="1626" w:type="dxa"/>
            <w:vAlign w:val="center"/>
          </w:tcPr>
          <w:p w14:paraId="7EBFFCEA" w14:textId="0FB23CD1" w:rsidR="00BA5800" w:rsidRPr="00195026" w:rsidRDefault="00BA5800" w:rsidP="00E9144A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Dysarthria; dysphonia; vomiting; confusion; cognitive changes; right INO</w:t>
            </w:r>
          </w:p>
        </w:tc>
        <w:tc>
          <w:tcPr>
            <w:tcW w:w="895" w:type="dxa"/>
            <w:vAlign w:val="center"/>
          </w:tcPr>
          <w:p w14:paraId="1B1FA64B" w14:textId="0DFBB999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4.33</w:t>
            </w:r>
          </w:p>
        </w:tc>
        <w:tc>
          <w:tcPr>
            <w:tcW w:w="611" w:type="dxa"/>
            <w:vAlign w:val="center"/>
          </w:tcPr>
          <w:p w14:paraId="07406A16" w14:textId="77777777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2.4</w:t>
            </w:r>
          </w:p>
        </w:tc>
        <w:tc>
          <w:tcPr>
            <w:tcW w:w="671" w:type="dxa"/>
            <w:vAlign w:val="center"/>
          </w:tcPr>
          <w:p w14:paraId="4D327854" w14:textId="4A1A7595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ND</w:t>
            </w:r>
          </w:p>
        </w:tc>
        <w:tc>
          <w:tcPr>
            <w:tcW w:w="521" w:type="dxa"/>
            <w:vAlign w:val="center"/>
          </w:tcPr>
          <w:p w14:paraId="243EFA0C" w14:textId="55492A65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240</w:t>
            </w:r>
          </w:p>
        </w:tc>
        <w:tc>
          <w:tcPr>
            <w:tcW w:w="649" w:type="dxa"/>
            <w:vAlign w:val="center"/>
          </w:tcPr>
          <w:p w14:paraId="1AB6C1F8" w14:textId="38F0151F" w:rsidR="00BA5800" w:rsidRPr="00195026" w:rsidRDefault="00BA5800" w:rsidP="0087252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ND</w:t>
            </w:r>
          </w:p>
        </w:tc>
        <w:tc>
          <w:tcPr>
            <w:tcW w:w="544" w:type="dxa"/>
            <w:vAlign w:val="center"/>
          </w:tcPr>
          <w:p w14:paraId="5DA140B0" w14:textId="13756BD7" w:rsidR="00BA5800" w:rsidRPr="00195026" w:rsidRDefault="00BA5800" w:rsidP="00641DE1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+</w:t>
            </w:r>
          </w:p>
        </w:tc>
        <w:tc>
          <w:tcPr>
            <w:tcW w:w="711" w:type="dxa"/>
            <w:vAlign w:val="center"/>
          </w:tcPr>
          <w:p w14:paraId="455AFD63" w14:textId="6D515CD5" w:rsidR="00BA5800" w:rsidRPr="00195026" w:rsidRDefault="00BA5800" w:rsidP="00195026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+</w:t>
            </w:r>
          </w:p>
        </w:tc>
        <w:tc>
          <w:tcPr>
            <w:tcW w:w="640" w:type="dxa"/>
            <w:vAlign w:val="center"/>
          </w:tcPr>
          <w:p w14:paraId="7335E31A" w14:textId="49F412FA" w:rsidR="00BA5800" w:rsidRPr="00195026" w:rsidRDefault="00BA5800" w:rsidP="00641DE1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1:40</w:t>
            </w:r>
          </w:p>
        </w:tc>
        <w:tc>
          <w:tcPr>
            <w:tcW w:w="1472" w:type="dxa"/>
            <w:vAlign w:val="center"/>
          </w:tcPr>
          <w:p w14:paraId="1F0B556F" w14:textId="0406BB86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 xml:space="preserve">Intraparenchymal hyperintensity with contrast enhancement; multiple acute infarcts; </w:t>
            </w:r>
          </w:p>
        </w:tc>
        <w:tc>
          <w:tcPr>
            <w:tcW w:w="1276" w:type="dxa"/>
            <w:vAlign w:val="center"/>
          </w:tcPr>
          <w:p w14:paraId="4F742821" w14:textId="77777777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IRIS;</w:t>
            </w:r>
          </w:p>
          <w:p w14:paraId="10D94A36" w14:textId="33369162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death</w:t>
            </w:r>
          </w:p>
        </w:tc>
      </w:tr>
      <w:tr w:rsidR="00BA5800" w:rsidRPr="00195026" w14:paraId="794AF27A" w14:textId="77777777" w:rsidTr="00E9144A">
        <w:trPr>
          <w:trHeight w:val="273"/>
        </w:trPr>
        <w:tc>
          <w:tcPr>
            <w:tcW w:w="1129" w:type="dxa"/>
            <w:vAlign w:val="center"/>
          </w:tcPr>
          <w:p w14:paraId="2B0DD7D6" w14:textId="5A4BBA7A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Seto et al, 2016 [</w:t>
            </w:r>
            <w:r w:rsidR="00BE4FF9">
              <w:rPr>
                <w:sz w:val="15"/>
                <w:szCs w:val="15"/>
              </w:rPr>
              <w:t>16</w:t>
            </w:r>
            <w:r w:rsidRPr="00195026">
              <w:rPr>
                <w:sz w:val="15"/>
                <w:szCs w:val="15"/>
              </w:rPr>
              <w:t>]</w:t>
            </w:r>
          </w:p>
        </w:tc>
        <w:tc>
          <w:tcPr>
            <w:tcW w:w="1626" w:type="dxa"/>
          </w:tcPr>
          <w:p w14:paraId="4D1DE4B7" w14:textId="441AE522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Multiple cutaneous lesions (positive tissue culture); asymptomatic lung lesions; UMN facial palsy; gaze palsy; dysarthria; ideomotor apraxia</w:t>
            </w:r>
          </w:p>
        </w:tc>
        <w:tc>
          <w:tcPr>
            <w:tcW w:w="895" w:type="dxa"/>
            <w:vAlign w:val="center"/>
          </w:tcPr>
          <w:p w14:paraId="2B1BC249" w14:textId="0372D18B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2</w:t>
            </w:r>
          </w:p>
        </w:tc>
        <w:tc>
          <w:tcPr>
            <w:tcW w:w="611" w:type="dxa"/>
            <w:vAlign w:val="center"/>
          </w:tcPr>
          <w:p w14:paraId="0BA15E8F" w14:textId="14E7B14C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0.3</w:t>
            </w:r>
          </w:p>
        </w:tc>
        <w:tc>
          <w:tcPr>
            <w:tcW w:w="671" w:type="dxa"/>
            <w:vAlign w:val="center"/>
          </w:tcPr>
          <w:p w14:paraId="48B5573C" w14:textId="610D2914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16</w:t>
            </w:r>
          </w:p>
        </w:tc>
        <w:tc>
          <w:tcPr>
            <w:tcW w:w="521" w:type="dxa"/>
            <w:vAlign w:val="center"/>
          </w:tcPr>
          <w:p w14:paraId="6FE076FB" w14:textId="4DA56C55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74</w:t>
            </w:r>
          </w:p>
        </w:tc>
        <w:tc>
          <w:tcPr>
            <w:tcW w:w="649" w:type="dxa"/>
            <w:vAlign w:val="center"/>
          </w:tcPr>
          <w:p w14:paraId="47730B70" w14:textId="388ACBC1" w:rsidR="00BA5800" w:rsidRPr="00195026" w:rsidRDefault="00BA5800" w:rsidP="0087252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544" w:type="dxa"/>
            <w:vAlign w:val="center"/>
          </w:tcPr>
          <w:p w14:paraId="11416164" w14:textId="703BF6AC" w:rsidR="00BA5800" w:rsidRPr="00195026" w:rsidRDefault="00BA5800" w:rsidP="00641DE1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-</w:t>
            </w:r>
          </w:p>
        </w:tc>
        <w:tc>
          <w:tcPr>
            <w:tcW w:w="711" w:type="dxa"/>
            <w:vAlign w:val="center"/>
          </w:tcPr>
          <w:p w14:paraId="71E7259A" w14:textId="2AACE019" w:rsidR="00BA5800" w:rsidRPr="00195026" w:rsidRDefault="00BA5800" w:rsidP="004635FF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1:256</w:t>
            </w:r>
          </w:p>
        </w:tc>
        <w:tc>
          <w:tcPr>
            <w:tcW w:w="640" w:type="dxa"/>
            <w:vAlign w:val="center"/>
          </w:tcPr>
          <w:p w14:paraId="1441E384" w14:textId="32F4C581" w:rsidR="00BA5800" w:rsidRPr="00195026" w:rsidRDefault="00BA5800" w:rsidP="00641DE1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1:1040</w:t>
            </w:r>
          </w:p>
        </w:tc>
        <w:tc>
          <w:tcPr>
            <w:tcW w:w="1472" w:type="dxa"/>
            <w:vAlign w:val="center"/>
          </w:tcPr>
          <w:p w14:paraId="3EC1FC8B" w14:textId="49F2D218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Old MS lesions only</w:t>
            </w:r>
          </w:p>
        </w:tc>
        <w:tc>
          <w:tcPr>
            <w:tcW w:w="1276" w:type="dxa"/>
            <w:vAlign w:val="center"/>
          </w:tcPr>
          <w:p w14:paraId="3302462D" w14:textId="64E8769F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Reduced function but survived</w:t>
            </w:r>
          </w:p>
        </w:tc>
      </w:tr>
      <w:tr w:rsidR="00BA5800" w:rsidRPr="00195026" w14:paraId="7D17E5D3" w14:textId="77777777" w:rsidTr="00E9144A">
        <w:trPr>
          <w:trHeight w:val="273"/>
        </w:trPr>
        <w:tc>
          <w:tcPr>
            <w:tcW w:w="1129" w:type="dxa"/>
            <w:vAlign w:val="center"/>
          </w:tcPr>
          <w:p w14:paraId="75C4F7A7" w14:textId="425E7907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Grebenciucova et al, 2016 [</w:t>
            </w:r>
            <w:r w:rsidR="00BE4FF9">
              <w:rPr>
                <w:sz w:val="15"/>
                <w:szCs w:val="15"/>
              </w:rPr>
              <w:t>17</w:t>
            </w:r>
            <w:r w:rsidRPr="00195026">
              <w:rPr>
                <w:sz w:val="15"/>
                <w:szCs w:val="15"/>
              </w:rPr>
              <w:t>]</w:t>
            </w:r>
          </w:p>
        </w:tc>
        <w:tc>
          <w:tcPr>
            <w:tcW w:w="1626" w:type="dxa"/>
            <w:vAlign w:val="center"/>
          </w:tcPr>
          <w:p w14:paraId="205DC10C" w14:textId="1717BF96" w:rsidR="00BA5800" w:rsidRPr="00195026" w:rsidRDefault="00BA5800" w:rsidP="00E9144A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Headache; confusion; dizziness</w:t>
            </w:r>
          </w:p>
        </w:tc>
        <w:tc>
          <w:tcPr>
            <w:tcW w:w="895" w:type="dxa"/>
            <w:vAlign w:val="center"/>
          </w:tcPr>
          <w:p w14:paraId="3AEDDB2B" w14:textId="2D915D6F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2.75</w:t>
            </w:r>
          </w:p>
        </w:tc>
        <w:tc>
          <w:tcPr>
            <w:tcW w:w="611" w:type="dxa"/>
            <w:vAlign w:val="center"/>
          </w:tcPr>
          <w:p w14:paraId="10570DB3" w14:textId="774B7116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0.34</w:t>
            </w:r>
          </w:p>
        </w:tc>
        <w:tc>
          <w:tcPr>
            <w:tcW w:w="671" w:type="dxa"/>
            <w:vAlign w:val="center"/>
          </w:tcPr>
          <w:p w14:paraId="76B5547B" w14:textId="0D9672B8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ND</w:t>
            </w:r>
          </w:p>
        </w:tc>
        <w:tc>
          <w:tcPr>
            <w:tcW w:w="521" w:type="dxa"/>
            <w:vAlign w:val="center"/>
          </w:tcPr>
          <w:p w14:paraId="2576E553" w14:textId="6E07E874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203</w:t>
            </w:r>
          </w:p>
        </w:tc>
        <w:tc>
          <w:tcPr>
            <w:tcW w:w="649" w:type="dxa"/>
            <w:vAlign w:val="center"/>
          </w:tcPr>
          <w:p w14:paraId="15F6A5A7" w14:textId="7C1011DB" w:rsidR="00BA5800" w:rsidRPr="00195026" w:rsidRDefault="00BA5800" w:rsidP="0087252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ND</w:t>
            </w:r>
          </w:p>
        </w:tc>
        <w:tc>
          <w:tcPr>
            <w:tcW w:w="544" w:type="dxa"/>
            <w:vAlign w:val="center"/>
          </w:tcPr>
          <w:p w14:paraId="5D4877B1" w14:textId="238A9158" w:rsidR="00BA5800" w:rsidRPr="00195026" w:rsidRDefault="00BA5800" w:rsidP="00641DE1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+ (II)</w:t>
            </w:r>
          </w:p>
        </w:tc>
        <w:tc>
          <w:tcPr>
            <w:tcW w:w="711" w:type="dxa"/>
            <w:vAlign w:val="center"/>
          </w:tcPr>
          <w:p w14:paraId="02DBAA01" w14:textId="6E647BD0" w:rsidR="00BA5800" w:rsidRPr="00195026" w:rsidRDefault="00BA5800" w:rsidP="00195026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ND</w:t>
            </w:r>
          </w:p>
        </w:tc>
        <w:tc>
          <w:tcPr>
            <w:tcW w:w="640" w:type="dxa"/>
            <w:vAlign w:val="center"/>
          </w:tcPr>
          <w:p w14:paraId="4024B9A3" w14:textId="4B9A8B37" w:rsidR="00BA5800" w:rsidRPr="00195026" w:rsidRDefault="00BA5800" w:rsidP="00641DE1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+</w:t>
            </w:r>
          </w:p>
        </w:tc>
        <w:tc>
          <w:tcPr>
            <w:tcW w:w="1472" w:type="dxa"/>
            <w:vAlign w:val="center"/>
          </w:tcPr>
          <w:p w14:paraId="5BF2711D" w14:textId="3A5BD075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Old MS lesions only</w:t>
            </w:r>
          </w:p>
        </w:tc>
        <w:tc>
          <w:tcPr>
            <w:tcW w:w="1276" w:type="dxa"/>
            <w:vAlign w:val="center"/>
          </w:tcPr>
          <w:p w14:paraId="7EEA49A3" w14:textId="7BCC82E0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Good</w:t>
            </w:r>
          </w:p>
        </w:tc>
      </w:tr>
      <w:tr w:rsidR="00BA5800" w:rsidRPr="00195026" w14:paraId="0BB935C9" w14:textId="77777777" w:rsidTr="00E9144A">
        <w:trPr>
          <w:trHeight w:val="273"/>
        </w:trPr>
        <w:tc>
          <w:tcPr>
            <w:tcW w:w="1129" w:type="dxa"/>
            <w:vAlign w:val="center"/>
          </w:tcPr>
          <w:p w14:paraId="6D02718C" w14:textId="4357BB69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Huang et al, 2015 [1</w:t>
            </w:r>
            <w:r w:rsidR="00BE4FF9">
              <w:rPr>
                <w:sz w:val="15"/>
                <w:szCs w:val="15"/>
              </w:rPr>
              <w:t>8</w:t>
            </w:r>
            <w:r w:rsidRPr="00195026">
              <w:rPr>
                <w:sz w:val="15"/>
                <w:szCs w:val="15"/>
              </w:rPr>
              <w:t>]</w:t>
            </w:r>
          </w:p>
        </w:tc>
        <w:tc>
          <w:tcPr>
            <w:tcW w:w="1626" w:type="dxa"/>
          </w:tcPr>
          <w:p w14:paraId="11CB00B9" w14:textId="75F2F510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Disseminated cryptococcal infection with CNS involvement; headaches initially; then nausea, ataxia and drowsiness</w:t>
            </w:r>
          </w:p>
        </w:tc>
        <w:tc>
          <w:tcPr>
            <w:tcW w:w="895" w:type="dxa"/>
            <w:vAlign w:val="center"/>
          </w:tcPr>
          <w:p w14:paraId="50300805" w14:textId="5E1AE7DB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3.5</w:t>
            </w:r>
          </w:p>
        </w:tc>
        <w:tc>
          <w:tcPr>
            <w:tcW w:w="611" w:type="dxa"/>
            <w:vAlign w:val="center"/>
          </w:tcPr>
          <w:p w14:paraId="5B0E31CD" w14:textId="25D7E48A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0.5</w:t>
            </w:r>
          </w:p>
        </w:tc>
        <w:tc>
          <w:tcPr>
            <w:tcW w:w="671" w:type="dxa"/>
            <w:vAlign w:val="center"/>
          </w:tcPr>
          <w:p w14:paraId="4A99665B" w14:textId="560F0FB2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ND</w:t>
            </w:r>
          </w:p>
        </w:tc>
        <w:tc>
          <w:tcPr>
            <w:tcW w:w="521" w:type="dxa"/>
            <w:vAlign w:val="center"/>
          </w:tcPr>
          <w:p w14:paraId="79F88593" w14:textId="33E4742D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3060 (?)</w:t>
            </w:r>
          </w:p>
        </w:tc>
        <w:tc>
          <w:tcPr>
            <w:tcW w:w="649" w:type="dxa"/>
            <w:vAlign w:val="center"/>
          </w:tcPr>
          <w:p w14:paraId="03F52F71" w14:textId="467278D5" w:rsidR="00BA5800" w:rsidRPr="00195026" w:rsidRDefault="00BA5800" w:rsidP="00454FF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</w:p>
        </w:tc>
        <w:tc>
          <w:tcPr>
            <w:tcW w:w="544" w:type="dxa"/>
            <w:vAlign w:val="center"/>
          </w:tcPr>
          <w:p w14:paraId="4E295468" w14:textId="323DB27D" w:rsidR="00BA5800" w:rsidRPr="00195026" w:rsidRDefault="00BA5800" w:rsidP="00641DE1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+</w:t>
            </w:r>
          </w:p>
        </w:tc>
        <w:tc>
          <w:tcPr>
            <w:tcW w:w="711" w:type="dxa"/>
            <w:vAlign w:val="center"/>
          </w:tcPr>
          <w:p w14:paraId="19AEE5C5" w14:textId="1C6E3832" w:rsidR="00BA5800" w:rsidRPr="00195026" w:rsidRDefault="00BA5800" w:rsidP="00195026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1:128</w:t>
            </w:r>
          </w:p>
        </w:tc>
        <w:tc>
          <w:tcPr>
            <w:tcW w:w="640" w:type="dxa"/>
            <w:vAlign w:val="center"/>
          </w:tcPr>
          <w:p w14:paraId="22980B4D" w14:textId="4015A6DB" w:rsidR="00BA5800" w:rsidRPr="00195026" w:rsidRDefault="00BA5800" w:rsidP="00641DE1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1:108</w:t>
            </w:r>
          </w:p>
        </w:tc>
        <w:tc>
          <w:tcPr>
            <w:tcW w:w="1472" w:type="dxa"/>
            <w:vAlign w:val="center"/>
          </w:tcPr>
          <w:p w14:paraId="3DF64391" w14:textId="0AF0EA3D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 xml:space="preserve">Ring enhancing hyperintense lesions (abscesses) and areas of LM enhancement </w:t>
            </w:r>
          </w:p>
        </w:tc>
        <w:tc>
          <w:tcPr>
            <w:tcW w:w="1276" w:type="dxa"/>
            <w:vAlign w:val="center"/>
          </w:tcPr>
          <w:p w14:paraId="2B8AED2A" w14:textId="1B67E20E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Good</w:t>
            </w:r>
          </w:p>
        </w:tc>
      </w:tr>
      <w:tr w:rsidR="00BA5800" w:rsidRPr="00195026" w14:paraId="12E9BE59" w14:textId="77777777" w:rsidTr="00E9144A">
        <w:trPr>
          <w:trHeight w:val="273"/>
        </w:trPr>
        <w:tc>
          <w:tcPr>
            <w:tcW w:w="1129" w:type="dxa"/>
            <w:vAlign w:val="center"/>
          </w:tcPr>
          <w:p w14:paraId="58E773CD" w14:textId="05097DE9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Achtnichts et al, 2015 [</w:t>
            </w:r>
            <w:r w:rsidR="00BE4FF9">
              <w:rPr>
                <w:sz w:val="15"/>
                <w:szCs w:val="15"/>
              </w:rPr>
              <w:t>19</w:t>
            </w:r>
            <w:r w:rsidRPr="00195026">
              <w:rPr>
                <w:sz w:val="15"/>
                <w:szCs w:val="15"/>
              </w:rPr>
              <w:t>]</w:t>
            </w:r>
          </w:p>
        </w:tc>
        <w:tc>
          <w:tcPr>
            <w:tcW w:w="1626" w:type="dxa"/>
          </w:tcPr>
          <w:p w14:paraId="60EE93FD" w14:textId="4E2164BB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Bilateral</w:t>
            </w:r>
            <w:r w:rsidRPr="00195026">
              <w:rPr>
                <w:sz w:val="15"/>
                <w:szCs w:val="15"/>
                <w:lang w:val="fr-FR"/>
              </w:rPr>
              <w:t xml:space="preserve"> headache; photophobia; dysarthria; ataxia</w:t>
            </w:r>
          </w:p>
        </w:tc>
        <w:tc>
          <w:tcPr>
            <w:tcW w:w="895" w:type="dxa"/>
            <w:vAlign w:val="center"/>
          </w:tcPr>
          <w:p w14:paraId="6C30841F" w14:textId="77777777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2</w:t>
            </w:r>
          </w:p>
        </w:tc>
        <w:tc>
          <w:tcPr>
            <w:tcW w:w="611" w:type="dxa"/>
            <w:vAlign w:val="center"/>
          </w:tcPr>
          <w:p w14:paraId="4A9A898E" w14:textId="77777777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0.4</w:t>
            </w:r>
          </w:p>
        </w:tc>
        <w:tc>
          <w:tcPr>
            <w:tcW w:w="671" w:type="dxa"/>
            <w:vAlign w:val="center"/>
          </w:tcPr>
          <w:p w14:paraId="259BE2E8" w14:textId="77777777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9, 38</w:t>
            </w:r>
          </w:p>
        </w:tc>
        <w:tc>
          <w:tcPr>
            <w:tcW w:w="521" w:type="dxa"/>
            <w:vAlign w:val="center"/>
          </w:tcPr>
          <w:p w14:paraId="685C9B58" w14:textId="6C025AC2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3, 20</w:t>
            </w:r>
          </w:p>
        </w:tc>
        <w:tc>
          <w:tcPr>
            <w:tcW w:w="649" w:type="dxa"/>
            <w:vAlign w:val="center"/>
          </w:tcPr>
          <w:p w14:paraId="0DCC2F33" w14:textId="77E437F9" w:rsidR="00BA5800" w:rsidRPr="00195026" w:rsidRDefault="00BA5800" w:rsidP="00454FF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ND</w:t>
            </w:r>
          </w:p>
        </w:tc>
        <w:tc>
          <w:tcPr>
            <w:tcW w:w="544" w:type="dxa"/>
            <w:vAlign w:val="center"/>
          </w:tcPr>
          <w:p w14:paraId="1C53C69A" w14:textId="7029C735" w:rsidR="00BA5800" w:rsidRPr="00195026" w:rsidRDefault="00BA5800" w:rsidP="00F435D7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+</w:t>
            </w:r>
          </w:p>
        </w:tc>
        <w:tc>
          <w:tcPr>
            <w:tcW w:w="711" w:type="dxa"/>
            <w:vAlign w:val="center"/>
          </w:tcPr>
          <w:p w14:paraId="66D2C4E7" w14:textId="60F9F3E3" w:rsidR="00BA5800" w:rsidRPr="00195026" w:rsidRDefault="00BA5800" w:rsidP="00195026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+</w:t>
            </w:r>
          </w:p>
        </w:tc>
        <w:tc>
          <w:tcPr>
            <w:tcW w:w="640" w:type="dxa"/>
            <w:vAlign w:val="center"/>
          </w:tcPr>
          <w:p w14:paraId="0E1033EA" w14:textId="65B1889C" w:rsidR="00BA5800" w:rsidRPr="00195026" w:rsidRDefault="00BA5800" w:rsidP="00F435D7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1:2048</w:t>
            </w:r>
          </w:p>
        </w:tc>
        <w:tc>
          <w:tcPr>
            <w:tcW w:w="1472" w:type="dxa"/>
            <w:vAlign w:val="center"/>
          </w:tcPr>
          <w:p w14:paraId="43C08098" w14:textId="75566290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Non-enhancing WM lesions; new lesions a few weeks later</w:t>
            </w:r>
          </w:p>
        </w:tc>
        <w:tc>
          <w:tcPr>
            <w:tcW w:w="1276" w:type="dxa"/>
            <w:vAlign w:val="center"/>
          </w:tcPr>
          <w:p w14:paraId="716F6C7C" w14:textId="77777777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Good;</w:t>
            </w:r>
          </w:p>
          <w:p w14:paraId="4B122A33" w14:textId="6CBB8879" w:rsidR="00BA5800" w:rsidRPr="00195026" w:rsidRDefault="00BA5800" w:rsidP="0059223C">
            <w:pPr>
              <w:rPr>
                <w:sz w:val="15"/>
                <w:szCs w:val="15"/>
              </w:rPr>
            </w:pPr>
            <w:r w:rsidRPr="00195026">
              <w:rPr>
                <w:sz w:val="15"/>
                <w:szCs w:val="15"/>
              </w:rPr>
              <w:t>IRIS</w:t>
            </w:r>
          </w:p>
        </w:tc>
      </w:tr>
    </w:tbl>
    <w:p w14:paraId="291F02DB" w14:textId="67BD63FC" w:rsidR="00D3205D" w:rsidRDefault="00893B2D" w:rsidP="00D3205D">
      <w:pPr>
        <w:rPr>
          <w:u w:val="single"/>
        </w:rPr>
      </w:pPr>
      <w:r>
        <w:br/>
      </w:r>
      <w:r w:rsidRPr="00CC0A5C">
        <w:rPr>
          <w:sz w:val="20"/>
          <w:szCs w:val="20"/>
        </w:rPr>
        <w:t>Table</w:t>
      </w:r>
      <w:r w:rsidR="009E1C78">
        <w:rPr>
          <w:sz w:val="20"/>
          <w:szCs w:val="20"/>
        </w:rPr>
        <w:t xml:space="preserve"> 1</w:t>
      </w:r>
      <w:r w:rsidRPr="00CC0A5C">
        <w:rPr>
          <w:sz w:val="20"/>
          <w:szCs w:val="20"/>
        </w:rPr>
        <w:t>: comparison of clinical</w:t>
      </w:r>
      <w:r w:rsidR="0036276A">
        <w:rPr>
          <w:sz w:val="20"/>
          <w:szCs w:val="20"/>
        </w:rPr>
        <w:t xml:space="preserve"> features and </w:t>
      </w:r>
      <w:r w:rsidRPr="00CC0A5C">
        <w:rPr>
          <w:sz w:val="20"/>
          <w:szCs w:val="20"/>
        </w:rPr>
        <w:t>parameters</w:t>
      </w:r>
      <w:r w:rsidR="00D568BB">
        <w:rPr>
          <w:sz w:val="20"/>
          <w:szCs w:val="20"/>
        </w:rPr>
        <w:t xml:space="preserve"> of all published</w:t>
      </w:r>
      <w:r w:rsidR="00B67458">
        <w:rPr>
          <w:sz w:val="20"/>
          <w:szCs w:val="20"/>
        </w:rPr>
        <w:t xml:space="preserve"> case reports of CNS cryptococcal infection in fingolimod treated MS patients</w:t>
      </w:r>
      <w:r w:rsidR="00D568BB">
        <w:rPr>
          <w:sz w:val="20"/>
          <w:szCs w:val="20"/>
        </w:rPr>
        <w:t>; OP = opening pressure; WCC = white cell count;</w:t>
      </w:r>
      <w:r w:rsidR="00982610">
        <w:rPr>
          <w:sz w:val="20"/>
          <w:szCs w:val="20"/>
        </w:rPr>
        <w:t xml:space="preserve"> II = India Ink;</w:t>
      </w:r>
      <w:r w:rsidR="00D568BB">
        <w:rPr>
          <w:sz w:val="20"/>
          <w:szCs w:val="20"/>
        </w:rPr>
        <w:t xml:space="preserve"> CrAg = cryptococcal</w:t>
      </w:r>
      <w:r w:rsidR="0036276A">
        <w:rPr>
          <w:sz w:val="20"/>
          <w:szCs w:val="20"/>
        </w:rPr>
        <w:t xml:space="preserve"> antigen;</w:t>
      </w:r>
      <w:r w:rsidR="00572A03">
        <w:rPr>
          <w:sz w:val="20"/>
          <w:szCs w:val="20"/>
        </w:rPr>
        <w:t xml:space="preserve"> LM = leptomeningeal; IRIS = immune reconstitution</w:t>
      </w:r>
      <w:r w:rsidR="00AE18D4">
        <w:rPr>
          <w:sz w:val="20"/>
          <w:szCs w:val="20"/>
        </w:rPr>
        <w:t xml:space="preserve"> inflammatory syndrome; WM = white matter;</w:t>
      </w:r>
      <w:r w:rsidR="00400C7A">
        <w:rPr>
          <w:sz w:val="20"/>
          <w:szCs w:val="20"/>
        </w:rPr>
        <w:t xml:space="preserve"> ICP = intracranial pressure</w:t>
      </w:r>
      <w:r w:rsidR="00B219A4">
        <w:rPr>
          <w:sz w:val="20"/>
          <w:szCs w:val="20"/>
        </w:rPr>
        <w:t>; VP = ventriculoperitoneal;</w:t>
      </w:r>
      <w:r w:rsidR="008258E0">
        <w:rPr>
          <w:sz w:val="20"/>
          <w:szCs w:val="20"/>
        </w:rPr>
        <w:t xml:space="preserve"> + = positive; - = negative; </w:t>
      </w:r>
      <w:r w:rsidR="0036276A">
        <w:rPr>
          <w:sz w:val="20"/>
          <w:szCs w:val="20"/>
        </w:rPr>
        <w:t>ND = no data</w:t>
      </w:r>
      <w:r w:rsidR="00813603">
        <w:br/>
      </w:r>
    </w:p>
    <w:p w14:paraId="67B1A2C5" w14:textId="5FBA1391" w:rsidR="00F43F34" w:rsidRDefault="00F43F34" w:rsidP="00D3205D">
      <w:pPr>
        <w:rPr>
          <w:u w:val="single"/>
        </w:rPr>
      </w:pPr>
    </w:p>
    <w:p w14:paraId="2EC1558C" w14:textId="49FBA870" w:rsidR="00F43F34" w:rsidRDefault="00F43F34" w:rsidP="00D3205D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BE4FF9" w14:paraId="354E6D15" w14:textId="0F215E86" w:rsidTr="00BE4FF9">
        <w:trPr>
          <w:trHeight w:val="483"/>
        </w:trPr>
        <w:tc>
          <w:tcPr>
            <w:tcW w:w="7366" w:type="dxa"/>
            <w:vAlign w:val="center"/>
          </w:tcPr>
          <w:p w14:paraId="37C5AB6E" w14:textId="2598241E" w:rsidR="00BE4FF9" w:rsidRPr="00BE4FF9" w:rsidRDefault="00BE4FF9" w:rsidP="002620B9">
            <w:pPr>
              <w:rPr>
                <w:b/>
                <w:bCs/>
              </w:rPr>
            </w:pPr>
            <w:r w:rsidRPr="00BE4FF9">
              <w:rPr>
                <w:b/>
                <w:bCs/>
              </w:rPr>
              <w:lastRenderedPageBreak/>
              <w:t>Infections associated with fingolimod</w:t>
            </w:r>
          </w:p>
        </w:tc>
        <w:tc>
          <w:tcPr>
            <w:tcW w:w="3090" w:type="dxa"/>
            <w:vAlign w:val="center"/>
          </w:tcPr>
          <w:p w14:paraId="0E33EAF0" w14:textId="3D8715BE" w:rsidR="00BE4FF9" w:rsidRPr="00BE4FF9" w:rsidRDefault="00BE4FF9" w:rsidP="00BE4FF9">
            <w:pPr>
              <w:rPr>
                <w:b/>
                <w:bCs/>
              </w:rPr>
            </w:pPr>
            <w:r w:rsidRPr="00BE4FF9">
              <w:rPr>
                <w:b/>
                <w:bCs/>
              </w:rPr>
              <w:t>References</w:t>
            </w:r>
          </w:p>
        </w:tc>
      </w:tr>
      <w:tr w:rsidR="00BE4FF9" w14:paraId="503CB4D0" w14:textId="77777777" w:rsidTr="00BE4FF9">
        <w:trPr>
          <w:trHeight w:val="507"/>
        </w:trPr>
        <w:tc>
          <w:tcPr>
            <w:tcW w:w="7366" w:type="dxa"/>
            <w:vAlign w:val="center"/>
          </w:tcPr>
          <w:p w14:paraId="1D885563" w14:textId="07182058" w:rsidR="00BE4FF9" w:rsidRPr="00BE4FF9" w:rsidRDefault="00BE4FF9" w:rsidP="002620B9">
            <w:r w:rsidRPr="00BE4FF9">
              <w:t>Influenza</w:t>
            </w:r>
          </w:p>
        </w:tc>
        <w:tc>
          <w:tcPr>
            <w:tcW w:w="3090" w:type="dxa"/>
            <w:vAlign w:val="center"/>
          </w:tcPr>
          <w:p w14:paraId="1240850B" w14:textId="668DCA55" w:rsidR="00BE4FF9" w:rsidRPr="00BE4FF9" w:rsidRDefault="00BE4FF9" w:rsidP="00BE4FF9">
            <w:r>
              <w:t>[20]</w:t>
            </w:r>
          </w:p>
        </w:tc>
      </w:tr>
      <w:tr w:rsidR="00BE4FF9" w14:paraId="64480017" w14:textId="78C8ABC3" w:rsidTr="00BE4FF9">
        <w:trPr>
          <w:trHeight w:val="507"/>
        </w:trPr>
        <w:tc>
          <w:tcPr>
            <w:tcW w:w="7366" w:type="dxa"/>
            <w:vAlign w:val="center"/>
          </w:tcPr>
          <w:p w14:paraId="1CBB9B78" w14:textId="7897DF0F" w:rsidR="00BE4FF9" w:rsidRPr="00BE4FF9" w:rsidRDefault="00BE4FF9" w:rsidP="002620B9">
            <w:r w:rsidRPr="00BE4FF9">
              <w:t>Cryptococcus</w:t>
            </w:r>
          </w:p>
        </w:tc>
        <w:tc>
          <w:tcPr>
            <w:tcW w:w="3090" w:type="dxa"/>
            <w:vAlign w:val="center"/>
          </w:tcPr>
          <w:p w14:paraId="457248FB" w14:textId="416127F1" w:rsidR="00BE4FF9" w:rsidRPr="00BE4FF9" w:rsidRDefault="00BE4FF9" w:rsidP="00BE4FF9">
            <w:r>
              <w:t>[6-19]</w:t>
            </w:r>
          </w:p>
        </w:tc>
      </w:tr>
      <w:tr w:rsidR="00BE4FF9" w14:paraId="37AF54E4" w14:textId="77777777" w:rsidTr="00BE4FF9">
        <w:trPr>
          <w:trHeight w:val="507"/>
        </w:trPr>
        <w:tc>
          <w:tcPr>
            <w:tcW w:w="7366" w:type="dxa"/>
            <w:vAlign w:val="center"/>
          </w:tcPr>
          <w:p w14:paraId="08C21D9F" w14:textId="0EAA76DE" w:rsidR="00BE4FF9" w:rsidRPr="00BE4FF9" w:rsidRDefault="00BE4FF9" w:rsidP="002620B9">
            <w:r w:rsidRPr="00BE4FF9">
              <w:t>Pneumonia</w:t>
            </w:r>
          </w:p>
        </w:tc>
        <w:tc>
          <w:tcPr>
            <w:tcW w:w="3090" w:type="dxa"/>
            <w:vAlign w:val="center"/>
          </w:tcPr>
          <w:p w14:paraId="19F71A0E" w14:textId="04356E81" w:rsidR="00BE4FF9" w:rsidRPr="00BE4FF9" w:rsidRDefault="00BE4FF9" w:rsidP="00BE4FF9">
            <w:r>
              <w:t>[20]</w:t>
            </w:r>
          </w:p>
        </w:tc>
      </w:tr>
      <w:tr w:rsidR="00BE4FF9" w14:paraId="064DA8E1" w14:textId="4C66A9D0" w:rsidTr="00BE4FF9">
        <w:trPr>
          <w:trHeight w:val="483"/>
        </w:trPr>
        <w:tc>
          <w:tcPr>
            <w:tcW w:w="7366" w:type="dxa"/>
            <w:vAlign w:val="center"/>
          </w:tcPr>
          <w:p w14:paraId="2992F855" w14:textId="4E0FDC6A" w:rsidR="00BE4FF9" w:rsidRPr="00BE4FF9" w:rsidRDefault="00BE4FF9" w:rsidP="002620B9">
            <w:r w:rsidRPr="00BE4FF9">
              <w:t>JC virus related progressive multifocal leukoencephalopathy</w:t>
            </w:r>
          </w:p>
        </w:tc>
        <w:tc>
          <w:tcPr>
            <w:tcW w:w="3090" w:type="dxa"/>
            <w:vAlign w:val="center"/>
          </w:tcPr>
          <w:p w14:paraId="198D683B" w14:textId="6C2722EA" w:rsidR="00BE4FF9" w:rsidRPr="00BE4FF9" w:rsidRDefault="00BE4FF9" w:rsidP="00BE4FF9">
            <w:r>
              <w:t>[21]</w:t>
            </w:r>
          </w:p>
        </w:tc>
      </w:tr>
      <w:tr w:rsidR="00BE4FF9" w14:paraId="248AB05C" w14:textId="60E466D7" w:rsidTr="00BE4FF9">
        <w:trPr>
          <w:trHeight w:val="507"/>
        </w:trPr>
        <w:tc>
          <w:tcPr>
            <w:tcW w:w="7366" w:type="dxa"/>
            <w:vAlign w:val="center"/>
          </w:tcPr>
          <w:p w14:paraId="23F5B76E" w14:textId="6B9B68D5" w:rsidR="00BE4FF9" w:rsidRPr="00BE4FF9" w:rsidRDefault="00BE4FF9" w:rsidP="002620B9">
            <w:r w:rsidRPr="00BE4FF9">
              <w:t>Herpesviruses</w:t>
            </w:r>
          </w:p>
        </w:tc>
        <w:tc>
          <w:tcPr>
            <w:tcW w:w="3090" w:type="dxa"/>
            <w:vAlign w:val="center"/>
          </w:tcPr>
          <w:p w14:paraId="354A23EB" w14:textId="28E3A6C2" w:rsidR="00BE4FF9" w:rsidRPr="00BE4FF9" w:rsidRDefault="00BE4FF9" w:rsidP="00BE4FF9">
            <w:r>
              <w:t>[20]</w:t>
            </w:r>
          </w:p>
        </w:tc>
      </w:tr>
      <w:tr w:rsidR="00BE4FF9" w14:paraId="772C2BB0" w14:textId="77777777" w:rsidTr="00BE4FF9">
        <w:trPr>
          <w:trHeight w:val="507"/>
        </w:trPr>
        <w:tc>
          <w:tcPr>
            <w:tcW w:w="7366" w:type="dxa"/>
            <w:vAlign w:val="center"/>
          </w:tcPr>
          <w:p w14:paraId="1A54154D" w14:textId="00894460" w:rsidR="00BE4FF9" w:rsidRPr="00BE4FF9" w:rsidRDefault="00BE4FF9" w:rsidP="002620B9">
            <w:r w:rsidRPr="00BE4FF9">
              <w:t>Human papilloma virus</w:t>
            </w:r>
          </w:p>
        </w:tc>
        <w:tc>
          <w:tcPr>
            <w:tcW w:w="3090" w:type="dxa"/>
            <w:vAlign w:val="center"/>
          </w:tcPr>
          <w:p w14:paraId="26C1E2F2" w14:textId="1A6D8791" w:rsidR="00BE4FF9" w:rsidRPr="00BE4FF9" w:rsidRDefault="00BE4FF9" w:rsidP="00BE4FF9">
            <w:r>
              <w:t>[22]</w:t>
            </w:r>
          </w:p>
        </w:tc>
      </w:tr>
      <w:tr w:rsidR="00BE4FF9" w14:paraId="6A78D695" w14:textId="7850B1BB" w:rsidTr="00BE4FF9">
        <w:trPr>
          <w:trHeight w:val="483"/>
        </w:trPr>
        <w:tc>
          <w:tcPr>
            <w:tcW w:w="7366" w:type="dxa"/>
            <w:vAlign w:val="center"/>
          </w:tcPr>
          <w:p w14:paraId="68E313BB" w14:textId="441C2C7A" w:rsidR="00BE4FF9" w:rsidRPr="00BE4FF9" w:rsidRDefault="00BE4FF9" w:rsidP="002620B9">
            <w:r w:rsidRPr="00BE4FF9">
              <w:t>Listeria</w:t>
            </w:r>
          </w:p>
        </w:tc>
        <w:tc>
          <w:tcPr>
            <w:tcW w:w="3090" w:type="dxa"/>
            <w:vAlign w:val="center"/>
          </w:tcPr>
          <w:p w14:paraId="4ABF3816" w14:textId="582AA26A" w:rsidR="00BE4FF9" w:rsidRPr="00BE4FF9" w:rsidRDefault="00BE4FF9" w:rsidP="00BE4FF9">
            <w:r>
              <w:t>[23]</w:t>
            </w:r>
          </w:p>
        </w:tc>
      </w:tr>
      <w:tr w:rsidR="00BE4FF9" w14:paraId="329E23FE" w14:textId="77777777" w:rsidTr="00BE4FF9">
        <w:trPr>
          <w:trHeight w:val="483"/>
        </w:trPr>
        <w:tc>
          <w:tcPr>
            <w:tcW w:w="7366" w:type="dxa"/>
            <w:vAlign w:val="center"/>
          </w:tcPr>
          <w:p w14:paraId="64B1F210" w14:textId="532CF7E9" w:rsidR="00BE4FF9" w:rsidRPr="00BE4FF9" w:rsidRDefault="00BE4FF9" w:rsidP="002620B9">
            <w:r w:rsidRPr="00BE4FF9">
              <w:t>Tinea versicolor</w:t>
            </w:r>
          </w:p>
        </w:tc>
        <w:tc>
          <w:tcPr>
            <w:tcW w:w="3090" w:type="dxa"/>
            <w:vAlign w:val="center"/>
          </w:tcPr>
          <w:p w14:paraId="19A03857" w14:textId="5639EF89" w:rsidR="00BE4FF9" w:rsidRPr="00BE4FF9" w:rsidRDefault="00BE4FF9" w:rsidP="00BE4FF9">
            <w:r>
              <w:t>[24]</w:t>
            </w:r>
          </w:p>
        </w:tc>
      </w:tr>
    </w:tbl>
    <w:p w14:paraId="56799C97" w14:textId="685C516D" w:rsidR="00F43F34" w:rsidRDefault="00F43F34" w:rsidP="00D3205D">
      <w:pPr>
        <w:rPr>
          <w:u w:val="single"/>
        </w:rPr>
      </w:pPr>
    </w:p>
    <w:p w14:paraId="38ACA26F" w14:textId="4FF5EBA2" w:rsidR="002620B9" w:rsidRPr="00BE4FF9" w:rsidRDefault="002620B9" w:rsidP="00D3205D">
      <w:r w:rsidRPr="00BE4FF9">
        <w:t>Table 2: infections that have been associated with fingolimod use</w:t>
      </w:r>
    </w:p>
    <w:p w14:paraId="5A784958" w14:textId="77777777" w:rsidR="00B67458" w:rsidRDefault="00B67458">
      <w:pPr>
        <w:rPr>
          <w:u w:val="single"/>
        </w:rPr>
      </w:pPr>
      <w:r>
        <w:rPr>
          <w:u w:val="single"/>
        </w:rPr>
        <w:br w:type="page"/>
      </w:r>
    </w:p>
    <w:p w14:paraId="6963299D" w14:textId="1E4F1228" w:rsidR="009E1C78" w:rsidRPr="00D3205D" w:rsidRDefault="00813603" w:rsidP="00D3205D">
      <w:r w:rsidRPr="00CE0590">
        <w:rPr>
          <w:u w:val="single"/>
        </w:rPr>
        <w:lastRenderedPageBreak/>
        <w:t>Appendix</w:t>
      </w:r>
    </w:p>
    <w:tbl>
      <w:tblPr>
        <w:tblStyle w:val="TableGrid"/>
        <w:tblW w:w="0" w:type="auto"/>
        <w:tblInd w:w="-5" w:type="dxa"/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2758"/>
        <w:gridCol w:w="2486"/>
        <w:gridCol w:w="2602"/>
        <w:gridCol w:w="2615"/>
      </w:tblGrid>
      <w:tr w:rsidR="009E1C78" w14:paraId="6018B9E4" w14:textId="77777777" w:rsidTr="00835A35">
        <w:trPr>
          <w:trHeight w:val="432"/>
        </w:trPr>
        <w:tc>
          <w:tcPr>
            <w:tcW w:w="2758" w:type="dxa"/>
            <w:vAlign w:val="center"/>
          </w:tcPr>
          <w:p w14:paraId="1C406BF1" w14:textId="77777777" w:rsidR="009E1C78" w:rsidRPr="005951AE" w:rsidRDefault="009E1C78" w:rsidP="00C47DAB">
            <w:pPr>
              <w:rPr>
                <w:sz w:val="20"/>
                <w:szCs w:val="20"/>
              </w:rPr>
            </w:pPr>
            <w:r w:rsidRPr="005951AE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umbar puncture no.</w:t>
            </w:r>
          </w:p>
        </w:tc>
        <w:tc>
          <w:tcPr>
            <w:tcW w:w="2486" w:type="dxa"/>
            <w:vAlign w:val="center"/>
          </w:tcPr>
          <w:p w14:paraId="6E79B259" w14:textId="77777777" w:rsidR="009E1C78" w:rsidRPr="005951AE" w:rsidRDefault="009E1C78" w:rsidP="00C47DAB">
            <w:pPr>
              <w:rPr>
                <w:sz w:val="20"/>
                <w:szCs w:val="20"/>
              </w:rPr>
            </w:pPr>
            <w:r w:rsidRPr="005951AE">
              <w:rPr>
                <w:sz w:val="20"/>
                <w:szCs w:val="20"/>
              </w:rPr>
              <w:t>Day 2</w:t>
            </w:r>
          </w:p>
        </w:tc>
        <w:tc>
          <w:tcPr>
            <w:tcW w:w="2602" w:type="dxa"/>
            <w:vAlign w:val="center"/>
          </w:tcPr>
          <w:p w14:paraId="4DBBEA35" w14:textId="77777777" w:rsidR="009E1C78" w:rsidRPr="005951AE" w:rsidRDefault="009E1C78" w:rsidP="00C47DAB">
            <w:pPr>
              <w:rPr>
                <w:sz w:val="20"/>
                <w:szCs w:val="20"/>
              </w:rPr>
            </w:pPr>
            <w:r w:rsidRPr="005951AE">
              <w:rPr>
                <w:sz w:val="20"/>
                <w:szCs w:val="20"/>
              </w:rPr>
              <w:t>Day 8</w:t>
            </w:r>
          </w:p>
        </w:tc>
        <w:tc>
          <w:tcPr>
            <w:tcW w:w="2615" w:type="dxa"/>
            <w:vAlign w:val="center"/>
          </w:tcPr>
          <w:p w14:paraId="3D14C00E" w14:textId="77777777" w:rsidR="009E1C78" w:rsidRPr="005951AE" w:rsidRDefault="009E1C78" w:rsidP="00C47DAB">
            <w:pPr>
              <w:rPr>
                <w:sz w:val="20"/>
                <w:szCs w:val="20"/>
              </w:rPr>
            </w:pPr>
            <w:r w:rsidRPr="005951AE">
              <w:rPr>
                <w:sz w:val="20"/>
                <w:szCs w:val="20"/>
              </w:rPr>
              <w:t>Day 17</w:t>
            </w:r>
          </w:p>
        </w:tc>
      </w:tr>
      <w:tr w:rsidR="009E1C78" w14:paraId="0EDBF4B8" w14:textId="77777777" w:rsidTr="00835A35">
        <w:tc>
          <w:tcPr>
            <w:tcW w:w="2758" w:type="dxa"/>
          </w:tcPr>
          <w:p w14:paraId="2FA053BE" w14:textId="77777777" w:rsidR="009E1C78" w:rsidRPr="005951AE" w:rsidRDefault="009E1C78" w:rsidP="00C47DAB">
            <w:pPr>
              <w:rPr>
                <w:sz w:val="20"/>
                <w:szCs w:val="20"/>
              </w:rPr>
            </w:pPr>
            <w:r w:rsidRPr="005951AE">
              <w:rPr>
                <w:sz w:val="20"/>
                <w:szCs w:val="20"/>
              </w:rPr>
              <w:t>Opening pressure (cm H</w:t>
            </w:r>
            <w:r w:rsidRPr="005951AE">
              <w:rPr>
                <w:sz w:val="20"/>
                <w:szCs w:val="20"/>
                <w:vertAlign w:val="subscript"/>
              </w:rPr>
              <w:t>2</w:t>
            </w:r>
            <w:r w:rsidRPr="005951AE">
              <w:rPr>
                <w:sz w:val="20"/>
                <w:szCs w:val="20"/>
              </w:rPr>
              <w:t>O)</w:t>
            </w:r>
          </w:p>
        </w:tc>
        <w:tc>
          <w:tcPr>
            <w:tcW w:w="2486" w:type="dxa"/>
          </w:tcPr>
          <w:p w14:paraId="34B979CA" w14:textId="77777777" w:rsidR="009E1C78" w:rsidRPr="005951AE" w:rsidRDefault="009E1C78" w:rsidP="00C47DAB">
            <w:pPr>
              <w:rPr>
                <w:sz w:val="20"/>
                <w:szCs w:val="20"/>
              </w:rPr>
            </w:pPr>
            <w:r w:rsidRPr="005951AE">
              <w:rPr>
                <w:sz w:val="20"/>
                <w:szCs w:val="20"/>
              </w:rPr>
              <w:t>33</w:t>
            </w:r>
          </w:p>
        </w:tc>
        <w:tc>
          <w:tcPr>
            <w:tcW w:w="2602" w:type="dxa"/>
          </w:tcPr>
          <w:p w14:paraId="4A820516" w14:textId="77777777" w:rsidR="009E1C78" w:rsidRPr="005951AE" w:rsidRDefault="009E1C78" w:rsidP="00C47DAB">
            <w:pPr>
              <w:rPr>
                <w:sz w:val="20"/>
                <w:szCs w:val="20"/>
              </w:rPr>
            </w:pPr>
            <w:r w:rsidRPr="005951AE">
              <w:rPr>
                <w:sz w:val="20"/>
                <w:szCs w:val="20"/>
              </w:rPr>
              <w:t>27</w:t>
            </w:r>
          </w:p>
        </w:tc>
        <w:tc>
          <w:tcPr>
            <w:tcW w:w="2615" w:type="dxa"/>
          </w:tcPr>
          <w:p w14:paraId="7909FA80" w14:textId="77777777" w:rsidR="009E1C78" w:rsidRPr="005951AE" w:rsidRDefault="009E1C78" w:rsidP="00C47DAB">
            <w:pPr>
              <w:rPr>
                <w:sz w:val="20"/>
                <w:szCs w:val="20"/>
              </w:rPr>
            </w:pPr>
            <w:r w:rsidRPr="005951AE">
              <w:rPr>
                <w:sz w:val="20"/>
                <w:szCs w:val="20"/>
              </w:rPr>
              <w:t>21</w:t>
            </w:r>
          </w:p>
        </w:tc>
      </w:tr>
      <w:tr w:rsidR="009E1C78" w14:paraId="249BD1FC" w14:textId="77777777" w:rsidTr="00835A35">
        <w:tc>
          <w:tcPr>
            <w:tcW w:w="2758" w:type="dxa"/>
          </w:tcPr>
          <w:p w14:paraId="2747DFD5" w14:textId="77777777" w:rsidR="009E1C78" w:rsidRPr="005951AE" w:rsidRDefault="009E1C78" w:rsidP="00C47DAB">
            <w:pPr>
              <w:rPr>
                <w:sz w:val="20"/>
                <w:szCs w:val="20"/>
              </w:rPr>
            </w:pPr>
            <w:r w:rsidRPr="005951AE">
              <w:rPr>
                <w:sz w:val="20"/>
                <w:szCs w:val="20"/>
              </w:rPr>
              <w:t>Closing pressure (cm H</w:t>
            </w:r>
            <w:r w:rsidRPr="005951AE">
              <w:rPr>
                <w:sz w:val="20"/>
                <w:szCs w:val="20"/>
                <w:vertAlign w:val="subscript"/>
              </w:rPr>
              <w:t>2</w:t>
            </w:r>
            <w:r w:rsidRPr="005951AE">
              <w:rPr>
                <w:sz w:val="20"/>
                <w:szCs w:val="20"/>
              </w:rPr>
              <w:t>O)</w:t>
            </w:r>
          </w:p>
        </w:tc>
        <w:tc>
          <w:tcPr>
            <w:tcW w:w="2486" w:type="dxa"/>
          </w:tcPr>
          <w:p w14:paraId="0B62AF92" w14:textId="77777777" w:rsidR="009E1C78" w:rsidRPr="005951AE" w:rsidRDefault="009E1C78" w:rsidP="00C47DAB">
            <w:pPr>
              <w:rPr>
                <w:sz w:val="20"/>
                <w:szCs w:val="20"/>
              </w:rPr>
            </w:pPr>
            <w:r w:rsidRPr="005951AE">
              <w:rPr>
                <w:sz w:val="20"/>
                <w:szCs w:val="20"/>
              </w:rPr>
              <w:t>Not done</w:t>
            </w:r>
          </w:p>
        </w:tc>
        <w:tc>
          <w:tcPr>
            <w:tcW w:w="2602" w:type="dxa"/>
          </w:tcPr>
          <w:p w14:paraId="63F62890" w14:textId="77777777" w:rsidR="009E1C78" w:rsidRPr="005951AE" w:rsidRDefault="009E1C78" w:rsidP="00C47DAB">
            <w:pPr>
              <w:rPr>
                <w:sz w:val="20"/>
                <w:szCs w:val="20"/>
              </w:rPr>
            </w:pPr>
            <w:r w:rsidRPr="005951AE">
              <w:rPr>
                <w:sz w:val="20"/>
                <w:szCs w:val="20"/>
              </w:rPr>
              <w:t>Not done</w:t>
            </w:r>
          </w:p>
        </w:tc>
        <w:tc>
          <w:tcPr>
            <w:tcW w:w="2615" w:type="dxa"/>
          </w:tcPr>
          <w:p w14:paraId="757F02D0" w14:textId="77777777" w:rsidR="009E1C78" w:rsidRPr="005951AE" w:rsidRDefault="009E1C78" w:rsidP="00C47DAB">
            <w:pPr>
              <w:rPr>
                <w:sz w:val="20"/>
                <w:szCs w:val="20"/>
              </w:rPr>
            </w:pPr>
            <w:r w:rsidRPr="005951AE">
              <w:rPr>
                <w:sz w:val="20"/>
                <w:szCs w:val="20"/>
              </w:rPr>
              <w:t>15.5</w:t>
            </w:r>
          </w:p>
        </w:tc>
      </w:tr>
      <w:tr w:rsidR="009E1C78" w14:paraId="0ACF7388" w14:textId="77777777" w:rsidTr="00835A35">
        <w:tc>
          <w:tcPr>
            <w:tcW w:w="2758" w:type="dxa"/>
          </w:tcPr>
          <w:p w14:paraId="08D38418" w14:textId="77777777" w:rsidR="009E1C78" w:rsidRPr="005951AE" w:rsidRDefault="009E1C78" w:rsidP="00C47DAB">
            <w:pPr>
              <w:rPr>
                <w:sz w:val="20"/>
                <w:szCs w:val="20"/>
              </w:rPr>
            </w:pPr>
            <w:r w:rsidRPr="005951AE">
              <w:rPr>
                <w:sz w:val="20"/>
                <w:szCs w:val="20"/>
              </w:rPr>
              <w:t>WCC (x 10*6/L)</w:t>
            </w:r>
          </w:p>
        </w:tc>
        <w:tc>
          <w:tcPr>
            <w:tcW w:w="2486" w:type="dxa"/>
          </w:tcPr>
          <w:p w14:paraId="357F5480" w14:textId="77777777" w:rsidR="009E1C78" w:rsidRPr="005951AE" w:rsidRDefault="009E1C78" w:rsidP="00C47DAB">
            <w:pPr>
              <w:rPr>
                <w:sz w:val="20"/>
                <w:szCs w:val="20"/>
              </w:rPr>
            </w:pPr>
            <w:r w:rsidRPr="005951AE">
              <w:rPr>
                <w:sz w:val="20"/>
                <w:szCs w:val="20"/>
              </w:rPr>
              <w:t>&lt; 5</w:t>
            </w:r>
          </w:p>
        </w:tc>
        <w:tc>
          <w:tcPr>
            <w:tcW w:w="2602" w:type="dxa"/>
          </w:tcPr>
          <w:p w14:paraId="70D98CC9" w14:textId="77777777" w:rsidR="009E1C78" w:rsidRPr="005951AE" w:rsidRDefault="009E1C78" w:rsidP="00C47DAB">
            <w:pPr>
              <w:rPr>
                <w:sz w:val="20"/>
                <w:szCs w:val="20"/>
              </w:rPr>
            </w:pPr>
            <w:r w:rsidRPr="005951AE">
              <w:rPr>
                <w:sz w:val="20"/>
                <w:szCs w:val="20"/>
              </w:rPr>
              <w:t>&lt; 5</w:t>
            </w:r>
          </w:p>
        </w:tc>
        <w:tc>
          <w:tcPr>
            <w:tcW w:w="2615" w:type="dxa"/>
          </w:tcPr>
          <w:p w14:paraId="64FAF680" w14:textId="77777777" w:rsidR="009E1C78" w:rsidRPr="005951AE" w:rsidRDefault="009E1C78" w:rsidP="00C47DAB">
            <w:pPr>
              <w:rPr>
                <w:sz w:val="20"/>
                <w:szCs w:val="20"/>
              </w:rPr>
            </w:pPr>
            <w:r w:rsidRPr="005951AE">
              <w:rPr>
                <w:sz w:val="20"/>
                <w:szCs w:val="20"/>
              </w:rPr>
              <w:t>41 (100% lymphocytes)</w:t>
            </w:r>
          </w:p>
        </w:tc>
      </w:tr>
      <w:tr w:rsidR="009E1C78" w14:paraId="1AF59715" w14:textId="77777777" w:rsidTr="00835A35">
        <w:tc>
          <w:tcPr>
            <w:tcW w:w="2758" w:type="dxa"/>
          </w:tcPr>
          <w:p w14:paraId="538FD284" w14:textId="77777777" w:rsidR="009E1C78" w:rsidRPr="005951AE" w:rsidRDefault="009E1C78" w:rsidP="00C47DAB">
            <w:pPr>
              <w:rPr>
                <w:sz w:val="20"/>
                <w:szCs w:val="20"/>
              </w:rPr>
            </w:pPr>
            <w:r w:rsidRPr="005951AE">
              <w:rPr>
                <w:sz w:val="20"/>
                <w:szCs w:val="20"/>
              </w:rPr>
              <w:t>RBC (x 10*6/L)</w:t>
            </w:r>
          </w:p>
        </w:tc>
        <w:tc>
          <w:tcPr>
            <w:tcW w:w="2486" w:type="dxa"/>
          </w:tcPr>
          <w:p w14:paraId="4F8BEEF0" w14:textId="77777777" w:rsidR="009E1C78" w:rsidRPr="005951AE" w:rsidRDefault="009E1C78" w:rsidP="00C47DAB">
            <w:pPr>
              <w:rPr>
                <w:sz w:val="20"/>
                <w:szCs w:val="20"/>
              </w:rPr>
            </w:pPr>
            <w:r w:rsidRPr="005951AE">
              <w:rPr>
                <w:sz w:val="20"/>
                <w:szCs w:val="20"/>
              </w:rPr>
              <w:t>1360</w:t>
            </w:r>
          </w:p>
        </w:tc>
        <w:tc>
          <w:tcPr>
            <w:tcW w:w="2602" w:type="dxa"/>
          </w:tcPr>
          <w:p w14:paraId="465A56FC" w14:textId="77777777" w:rsidR="009E1C78" w:rsidRPr="005951AE" w:rsidRDefault="009E1C78" w:rsidP="00C47DAB">
            <w:pPr>
              <w:rPr>
                <w:sz w:val="20"/>
                <w:szCs w:val="20"/>
              </w:rPr>
            </w:pPr>
            <w:r w:rsidRPr="005951AE">
              <w:rPr>
                <w:sz w:val="20"/>
                <w:szCs w:val="20"/>
              </w:rPr>
              <w:t>&lt; 5</w:t>
            </w:r>
          </w:p>
        </w:tc>
        <w:tc>
          <w:tcPr>
            <w:tcW w:w="2615" w:type="dxa"/>
          </w:tcPr>
          <w:p w14:paraId="12C7EDAC" w14:textId="77777777" w:rsidR="009E1C78" w:rsidRPr="005951AE" w:rsidRDefault="009E1C78" w:rsidP="00C47DAB">
            <w:pPr>
              <w:rPr>
                <w:sz w:val="20"/>
                <w:szCs w:val="20"/>
              </w:rPr>
            </w:pPr>
            <w:r w:rsidRPr="005951AE">
              <w:rPr>
                <w:sz w:val="20"/>
                <w:szCs w:val="20"/>
              </w:rPr>
              <w:t>&lt; 5</w:t>
            </w:r>
          </w:p>
        </w:tc>
      </w:tr>
      <w:tr w:rsidR="009E1C78" w14:paraId="11D0EA7A" w14:textId="77777777" w:rsidTr="00835A35">
        <w:tc>
          <w:tcPr>
            <w:tcW w:w="2758" w:type="dxa"/>
          </w:tcPr>
          <w:p w14:paraId="5AB1D1ED" w14:textId="77777777" w:rsidR="009E1C78" w:rsidRPr="005951AE" w:rsidRDefault="009E1C78" w:rsidP="00C47DAB">
            <w:pPr>
              <w:rPr>
                <w:sz w:val="20"/>
                <w:szCs w:val="20"/>
              </w:rPr>
            </w:pPr>
            <w:r w:rsidRPr="005951AE">
              <w:rPr>
                <w:sz w:val="20"/>
                <w:szCs w:val="20"/>
              </w:rPr>
              <w:t>Protein (g/L)</w:t>
            </w:r>
          </w:p>
        </w:tc>
        <w:tc>
          <w:tcPr>
            <w:tcW w:w="2486" w:type="dxa"/>
          </w:tcPr>
          <w:p w14:paraId="72CF4E02" w14:textId="77777777" w:rsidR="009E1C78" w:rsidRPr="005951AE" w:rsidRDefault="009E1C78" w:rsidP="00C47DAB">
            <w:pPr>
              <w:rPr>
                <w:sz w:val="20"/>
                <w:szCs w:val="20"/>
              </w:rPr>
            </w:pPr>
            <w:r w:rsidRPr="005951AE">
              <w:rPr>
                <w:sz w:val="20"/>
                <w:szCs w:val="20"/>
              </w:rPr>
              <w:t>0.94</w:t>
            </w:r>
          </w:p>
        </w:tc>
        <w:tc>
          <w:tcPr>
            <w:tcW w:w="2602" w:type="dxa"/>
          </w:tcPr>
          <w:p w14:paraId="15F0858F" w14:textId="77777777" w:rsidR="009E1C78" w:rsidRPr="005951AE" w:rsidRDefault="009E1C78" w:rsidP="00C47DAB">
            <w:pPr>
              <w:rPr>
                <w:sz w:val="20"/>
                <w:szCs w:val="20"/>
              </w:rPr>
            </w:pPr>
            <w:r w:rsidRPr="005951AE">
              <w:rPr>
                <w:sz w:val="20"/>
                <w:szCs w:val="20"/>
              </w:rPr>
              <w:t>Not done</w:t>
            </w:r>
          </w:p>
        </w:tc>
        <w:tc>
          <w:tcPr>
            <w:tcW w:w="2615" w:type="dxa"/>
          </w:tcPr>
          <w:p w14:paraId="474088E7" w14:textId="77777777" w:rsidR="009E1C78" w:rsidRPr="005951AE" w:rsidRDefault="009E1C78" w:rsidP="00C47DAB">
            <w:pPr>
              <w:rPr>
                <w:sz w:val="20"/>
                <w:szCs w:val="20"/>
              </w:rPr>
            </w:pPr>
            <w:r w:rsidRPr="005951AE">
              <w:rPr>
                <w:sz w:val="20"/>
                <w:szCs w:val="20"/>
              </w:rPr>
              <w:t>Not done</w:t>
            </w:r>
          </w:p>
        </w:tc>
      </w:tr>
      <w:tr w:rsidR="009E1C78" w14:paraId="0908F33B" w14:textId="77777777" w:rsidTr="00835A35">
        <w:tc>
          <w:tcPr>
            <w:tcW w:w="2758" w:type="dxa"/>
          </w:tcPr>
          <w:p w14:paraId="16BFF4A8" w14:textId="77777777" w:rsidR="009E1C78" w:rsidRPr="005951AE" w:rsidRDefault="009E1C78" w:rsidP="00C47DAB">
            <w:pPr>
              <w:rPr>
                <w:sz w:val="20"/>
                <w:szCs w:val="20"/>
              </w:rPr>
            </w:pPr>
            <w:r w:rsidRPr="005951AE">
              <w:rPr>
                <w:sz w:val="20"/>
                <w:szCs w:val="20"/>
              </w:rPr>
              <w:t>CSF glucose (paired serum)</w:t>
            </w:r>
          </w:p>
        </w:tc>
        <w:tc>
          <w:tcPr>
            <w:tcW w:w="2486" w:type="dxa"/>
          </w:tcPr>
          <w:p w14:paraId="5D199C8F" w14:textId="77777777" w:rsidR="009E1C78" w:rsidRPr="005951AE" w:rsidRDefault="009E1C78" w:rsidP="00C47DAB">
            <w:pPr>
              <w:rPr>
                <w:sz w:val="20"/>
                <w:szCs w:val="20"/>
              </w:rPr>
            </w:pPr>
            <w:r w:rsidRPr="005951AE">
              <w:rPr>
                <w:sz w:val="20"/>
                <w:szCs w:val="20"/>
              </w:rPr>
              <w:t>3.0 (not done)</w:t>
            </w:r>
          </w:p>
        </w:tc>
        <w:tc>
          <w:tcPr>
            <w:tcW w:w="2602" w:type="dxa"/>
          </w:tcPr>
          <w:p w14:paraId="3A97F763" w14:textId="77777777" w:rsidR="009E1C78" w:rsidRPr="005951AE" w:rsidRDefault="009E1C78" w:rsidP="00C47DAB">
            <w:pPr>
              <w:rPr>
                <w:sz w:val="20"/>
                <w:szCs w:val="20"/>
              </w:rPr>
            </w:pPr>
            <w:r w:rsidRPr="005951AE">
              <w:rPr>
                <w:sz w:val="20"/>
                <w:szCs w:val="20"/>
              </w:rPr>
              <w:t>Not done</w:t>
            </w:r>
          </w:p>
        </w:tc>
        <w:tc>
          <w:tcPr>
            <w:tcW w:w="2615" w:type="dxa"/>
          </w:tcPr>
          <w:p w14:paraId="72FA57D8" w14:textId="77777777" w:rsidR="009E1C78" w:rsidRPr="005951AE" w:rsidRDefault="009E1C78" w:rsidP="00C47DAB">
            <w:pPr>
              <w:rPr>
                <w:sz w:val="20"/>
                <w:szCs w:val="20"/>
              </w:rPr>
            </w:pPr>
            <w:r w:rsidRPr="005951AE">
              <w:rPr>
                <w:sz w:val="20"/>
                <w:szCs w:val="20"/>
              </w:rPr>
              <w:t>Not done</w:t>
            </w:r>
          </w:p>
        </w:tc>
      </w:tr>
      <w:tr w:rsidR="009E1C78" w14:paraId="6533C6A7" w14:textId="77777777" w:rsidTr="00835A35">
        <w:tc>
          <w:tcPr>
            <w:tcW w:w="2758" w:type="dxa"/>
          </w:tcPr>
          <w:p w14:paraId="3767D85B" w14:textId="77777777" w:rsidR="009E1C78" w:rsidRPr="005951AE" w:rsidRDefault="009E1C78" w:rsidP="00C47DAB">
            <w:pPr>
              <w:rPr>
                <w:sz w:val="20"/>
                <w:szCs w:val="20"/>
              </w:rPr>
            </w:pPr>
            <w:r w:rsidRPr="005951AE">
              <w:rPr>
                <w:sz w:val="20"/>
                <w:szCs w:val="20"/>
              </w:rPr>
              <w:t>MCS</w:t>
            </w:r>
          </w:p>
        </w:tc>
        <w:tc>
          <w:tcPr>
            <w:tcW w:w="2486" w:type="dxa"/>
          </w:tcPr>
          <w:p w14:paraId="25E3DE32" w14:textId="77777777" w:rsidR="009E1C78" w:rsidRPr="005951AE" w:rsidRDefault="009E1C78" w:rsidP="00C47DAB">
            <w:pPr>
              <w:rPr>
                <w:sz w:val="20"/>
                <w:szCs w:val="20"/>
              </w:rPr>
            </w:pPr>
            <w:r w:rsidRPr="005951AE">
              <w:rPr>
                <w:sz w:val="20"/>
                <w:szCs w:val="20"/>
              </w:rPr>
              <w:t>Light growth cryptococcus neoformans</w:t>
            </w:r>
          </w:p>
        </w:tc>
        <w:tc>
          <w:tcPr>
            <w:tcW w:w="2602" w:type="dxa"/>
          </w:tcPr>
          <w:p w14:paraId="31CFF46A" w14:textId="77777777" w:rsidR="009E1C78" w:rsidRPr="005951AE" w:rsidRDefault="009E1C78" w:rsidP="00C47DAB">
            <w:pPr>
              <w:rPr>
                <w:sz w:val="20"/>
                <w:szCs w:val="20"/>
              </w:rPr>
            </w:pPr>
            <w:r w:rsidRPr="005951AE">
              <w:rPr>
                <w:sz w:val="20"/>
                <w:szCs w:val="20"/>
              </w:rPr>
              <w:t>No organisms seen</w:t>
            </w:r>
            <w:r w:rsidRPr="005951AE">
              <w:rPr>
                <w:sz w:val="20"/>
                <w:szCs w:val="20"/>
              </w:rPr>
              <w:br/>
              <w:t>No growth on culture</w:t>
            </w:r>
          </w:p>
        </w:tc>
        <w:tc>
          <w:tcPr>
            <w:tcW w:w="2615" w:type="dxa"/>
          </w:tcPr>
          <w:p w14:paraId="11E04E98" w14:textId="77777777" w:rsidR="009E1C78" w:rsidRPr="005951AE" w:rsidRDefault="009E1C78" w:rsidP="00C47DAB">
            <w:pPr>
              <w:rPr>
                <w:sz w:val="20"/>
                <w:szCs w:val="20"/>
              </w:rPr>
            </w:pPr>
            <w:r w:rsidRPr="005951AE">
              <w:rPr>
                <w:sz w:val="20"/>
                <w:szCs w:val="20"/>
              </w:rPr>
              <w:t>No organisms seen</w:t>
            </w:r>
            <w:r w:rsidRPr="005951AE">
              <w:rPr>
                <w:sz w:val="20"/>
                <w:szCs w:val="20"/>
              </w:rPr>
              <w:br/>
              <w:t>No growth on culture</w:t>
            </w:r>
          </w:p>
        </w:tc>
      </w:tr>
      <w:tr w:rsidR="009E1C78" w14:paraId="410BF355" w14:textId="77777777" w:rsidTr="00835A35">
        <w:tc>
          <w:tcPr>
            <w:tcW w:w="2758" w:type="dxa"/>
          </w:tcPr>
          <w:p w14:paraId="0E58DFAB" w14:textId="77777777" w:rsidR="009E1C78" w:rsidRPr="005951AE" w:rsidRDefault="009E1C78" w:rsidP="00C47DAB">
            <w:pPr>
              <w:rPr>
                <w:sz w:val="20"/>
                <w:szCs w:val="20"/>
              </w:rPr>
            </w:pPr>
            <w:r w:rsidRPr="005951AE">
              <w:rPr>
                <w:sz w:val="20"/>
                <w:szCs w:val="20"/>
              </w:rPr>
              <w:t>India Ink</w:t>
            </w:r>
          </w:p>
        </w:tc>
        <w:tc>
          <w:tcPr>
            <w:tcW w:w="2486" w:type="dxa"/>
          </w:tcPr>
          <w:p w14:paraId="02896549" w14:textId="77777777" w:rsidR="009E1C78" w:rsidRPr="005951AE" w:rsidRDefault="009E1C78" w:rsidP="00C47DAB">
            <w:pPr>
              <w:rPr>
                <w:sz w:val="20"/>
                <w:szCs w:val="20"/>
              </w:rPr>
            </w:pPr>
            <w:r w:rsidRPr="005951AE">
              <w:rPr>
                <w:sz w:val="20"/>
                <w:szCs w:val="20"/>
              </w:rPr>
              <w:t>Positive</w:t>
            </w:r>
          </w:p>
        </w:tc>
        <w:tc>
          <w:tcPr>
            <w:tcW w:w="2602" w:type="dxa"/>
          </w:tcPr>
          <w:p w14:paraId="6BFF63E7" w14:textId="77777777" w:rsidR="009E1C78" w:rsidRPr="005951AE" w:rsidRDefault="009E1C78" w:rsidP="00C47DAB">
            <w:pPr>
              <w:rPr>
                <w:sz w:val="20"/>
                <w:szCs w:val="20"/>
              </w:rPr>
            </w:pPr>
            <w:r w:rsidRPr="005951AE">
              <w:rPr>
                <w:sz w:val="20"/>
                <w:szCs w:val="20"/>
              </w:rPr>
              <w:t>Negative</w:t>
            </w:r>
          </w:p>
        </w:tc>
        <w:tc>
          <w:tcPr>
            <w:tcW w:w="2615" w:type="dxa"/>
          </w:tcPr>
          <w:p w14:paraId="3FA89293" w14:textId="77777777" w:rsidR="009E1C78" w:rsidRPr="005951AE" w:rsidRDefault="009E1C78" w:rsidP="00C47DAB">
            <w:pPr>
              <w:rPr>
                <w:sz w:val="20"/>
                <w:szCs w:val="20"/>
              </w:rPr>
            </w:pPr>
            <w:r w:rsidRPr="005951AE">
              <w:rPr>
                <w:sz w:val="20"/>
                <w:szCs w:val="20"/>
              </w:rPr>
              <w:t>Negative</w:t>
            </w:r>
          </w:p>
        </w:tc>
      </w:tr>
      <w:tr w:rsidR="009E1C78" w14:paraId="06E3D778" w14:textId="77777777" w:rsidTr="00835A35">
        <w:tc>
          <w:tcPr>
            <w:tcW w:w="2758" w:type="dxa"/>
          </w:tcPr>
          <w:p w14:paraId="0282ED3B" w14:textId="77777777" w:rsidR="009E1C78" w:rsidRPr="005951AE" w:rsidRDefault="009E1C78" w:rsidP="00C47DAB">
            <w:pPr>
              <w:rPr>
                <w:sz w:val="20"/>
                <w:szCs w:val="20"/>
              </w:rPr>
            </w:pPr>
            <w:r w:rsidRPr="005951AE">
              <w:rPr>
                <w:sz w:val="20"/>
                <w:szCs w:val="20"/>
              </w:rPr>
              <w:t>Cryptococcal antigen</w:t>
            </w:r>
          </w:p>
        </w:tc>
        <w:tc>
          <w:tcPr>
            <w:tcW w:w="2486" w:type="dxa"/>
          </w:tcPr>
          <w:p w14:paraId="73D3B2BE" w14:textId="77777777" w:rsidR="009E1C78" w:rsidRPr="005951AE" w:rsidRDefault="009E1C78" w:rsidP="00C47DAB">
            <w:pPr>
              <w:rPr>
                <w:sz w:val="20"/>
                <w:szCs w:val="20"/>
              </w:rPr>
            </w:pPr>
            <w:r w:rsidRPr="005951AE">
              <w:rPr>
                <w:sz w:val="20"/>
                <w:szCs w:val="20"/>
              </w:rPr>
              <w:t>1:100</w:t>
            </w:r>
          </w:p>
        </w:tc>
        <w:tc>
          <w:tcPr>
            <w:tcW w:w="2602" w:type="dxa"/>
          </w:tcPr>
          <w:p w14:paraId="1B7D19B7" w14:textId="77777777" w:rsidR="009E1C78" w:rsidRPr="005951AE" w:rsidRDefault="009E1C78" w:rsidP="00C47DAB">
            <w:pPr>
              <w:rPr>
                <w:sz w:val="20"/>
                <w:szCs w:val="20"/>
              </w:rPr>
            </w:pPr>
            <w:r w:rsidRPr="005951AE">
              <w:rPr>
                <w:sz w:val="20"/>
                <w:szCs w:val="20"/>
              </w:rPr>
              <w:t>1:100</w:t>
            </w:r>
          </w:p>
        </w:tc>
        <w:tc>
          <w:tcPr>
            <w:tcW w:w="2615" w:type="dxa"/>
          </w:tcPr>
          <w:p w14:paraId="2950413F" w14:textId="77777777" w:rsidR="009E1C78" w:rsidRPr="005951AE" w:rsidRDefault="009E1C78" w:rsidP="00C47DAB">
            <w:pPr>
              <w:rPr>
                <w:sz w:val="20"/>
                <w:szCs w:val="20"/>
              </w:rPr>
            </w:pPr>
            <w:r w:rsidRPr="005951AE">
              <w:rPr>
                <w:sz w:val="20"/>
                <w:szCs w:val="20"/>
              </w:rPr>
              <w:t>1:100</w:t>
            </w:r>
          </w:p>
        </w:tc>
      </w:tr>
      <w:tr w:rsidR="009E1C78" w14:paraId="78435DA6" w14:textId="77777777" w:rsidTr="00835A35">
        <w:tc>
          <w:tcPr>
            <w:tcW w:w="2758" w:type="dxa"/>
          </w:tcPr>
          <w:p w14:paraId="6DCDD84E" w14:textId="77777777" w:rsidR="009E1C78" w:rsidRPr="005951AE" w:rsidRDefault="009E1C78" w:rsidP="00C47DAB">
            <w:pPr>
              <w:rPr>
                <w:sz w:val="20"/>
                <w:szCs w:val="20"/>
              </w:rPr>
            </w:pPr>
            <w:r w:rsidRPr="005951AE">
              <w:rPr>
                <w:sz w:val="20"/>
                <w:szCs w:val="20"/>
              </w:rPr>
              <w:t>Xanthochromia</w:t>
            </w:r>
          </w:p>
        </w:tc>
        <w:tc>
          <w:tcPr>
            <w:tcW w:w="2486" w:type="dxa"/>
          </w:tcPr>
          <w:p w14:paraId="0CF00DA4" w14:textId="77777777" w:rsidR="009E1C78" w:rsidRPr="005951AE" w:rsidRDefault="009E1C78" w:rsidP="00C47DAB">
            <w:pPr>
              <w:rPr>
                <w:sz w:val="20"/>
                <w:szCs w:val="20"/>
              </w:rPr>
            </w:pPr>
            <w:r w:rsidRPr="005951AE">
              <w:rPr>
                <w:sz w:val="20"/>
                <w:szCs w:val="20"/>
              </w:rPr>
              <w:t>Negative</w:t>
            </w:r>
          </w:p>
        </w:tc>
        <w:tc>
          <w:tcPr>
            <w:tcW w:w="2602" w:type="dxa"/>
          </w:tcPr>
          <w:p w14:paraId="7048163B" w14:textId="77777777" w:rsidR="009E1C78" w:rsidRPr="005951AE" w:rsidRDefault="009E1C78" w:rsidP="00C47DAB">
            <w:pPr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1889C47B" w14:textId="77777777" w:rsidR="009E1C78" w:rsidRPr="005951AE" w:rsidRDefault="009E1C78" w:rsidP="00C47DAB">
            <w:pPr>
              <w:rPr>
                <w:sz w:val="20"/>
                <w:szCs w:val="20"/>
              </w:rPr>
            </w:pPr>
          </w:p>
        </w:tc>
      </w:tr>
    </w:tbl>
    <w:p w14:paraId="5F13E202" w14:textId="7C2C1D89" w:rsidR="009E1C78" w:rsidRPr="00CE0590" w:rsidRDefault="009E1C78" w:rsidP="009E1C78">
      <w:pPr>
        <w:rPr>
          <w:u w:val="single"/>
        </w:rPr>
      </w:pPr>
      <w:r>
        <w:br/>
      </w:r>
      <w:r w:rsidRPr="005951AE">
        <w:rPr>
          <w:sz w:val="20"/>
          <w:szCs w:val="20"/>
        </w:rPr>
        <w:t xml:space="preserve">Table </w:t>
      </w:r>
      <w:r w:rsidR="002620B9">
        <w:rPr>
          <w:sz w:val="20"/>
          <w:szCs w:val="20"/>
        </w:rPr>
        <w:t>3</w:t>
      </w:r>
      <w:r w:rsidRPr="005951AE">
        <w:rPr>
          <w:sz w:val="20"/>
          <w:szCs w:val="20"/>
        </w:rPr>
        <w:t>: serial CSF results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67"/>
        <w:gridCol w:w="2494"/>
      </w:tblGrid>
      <w:tr w:rsidR="009E1C78" w:rsidRPr="00C80E32" w14:paraId="5C93F0D9" w14:textId="77777777" w:rsidTr="00835A35">
        <w:tc>
          <w:tcPr>
            <w:tcW w:w="2767" w:type="dxa"/>
          </w:tcPr>
          <w:p w14:paraId="3FB7ED84" w14:textId="77777777" w:rsidR="009E1C78" w:rsidRPr="00C80E32" w:rsidRDefault="009E1C78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>HIV</w:t>
            </w:r>
          </w:p>
        </w:tc>
        <w:tc>
          <w:tcPr>
            <w:tcW w:w="2494" w:type="dxa"/>
          </w:tcPr>
          <w:p w14:paraId="0E1FC942" w14:textId="77777777" w:rsidR="009E1C78" w:rsidRPr="00C80E32" w:rsidRDefault="009E1C78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>Negative</w:t>
            </w:r>
          </w:p>
        </w:tc>
      </w:tr>
      <w:tr w:rsidR="009E1C78" w:rsidRPr="00C80E32" w14:paraId="0A034AF7" w14:textId="77777777" w:rsidTr="00835A35">
        <w:tc>
          <w:tcPr>
            <w:tcW w:w="2767" w:type="dxa"/>
          </w:tcPr>
          <w:p w14:paraId="328B9963" w14:textId="77777777" w:rsidR="009E1C78" w:rsidRPr="00C80E32" w:rsidRDefault="009E1C78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>HTLV</w:t>
            </w:r>
          </w:p>
        </w:tc>
        <w:tc>
          <w:tcPr>
            <w:tcW w:w="2494" w:type="dxa"/>
          </w:tcPr>
          <w:p w14:paraId="30883BAA" w14:textId="77777777" w:rsidR="009E1C78" w:rsidRPr="00C80E32" w:rsidRDefault="009E1C78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>Negative</w:t>
            </w:r>
          </w:p>
        </w:tc>
      </w:tr>
      <w:tr w:rsidR="009E1C78" w:rsidRPr="00C80E32" w14:paraId="778A998C" w14:textId="77777777" w:rsidTr="00835A35">
        <w:tc>
          <w:tcPr>
            <w:tcW w:w="2767" w:type="dxa"/>
          </w:tcPr>
          <w:p w14:paraId="3B5F99BB" w14:textId="77777777" w:rsidR="009E1C78" w:rsidRPr="00C80E32" w:rsidRDefault="009E1C78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>Toxoplasma screen</w:t>
            </w:r>
          </w:p>
        </w:tc>
        <w:tc>
          <w:tcPr>
            <w:tcW w:w="2494" w:type="dxa"/>
          </w:tcPr>
          <w:p w14:paraId="5D997705" w14:textId="77777777" w:rsidR="009E1C78" w:rsidRPr="00C80E32" w:rsidRDefault="009E1C78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>Negative</w:t>
            </w:r>
          </w:p>
        </w:tc>
      </w:tr>
      <w:tr w:rsidR="009E1C78" w:rsidRPr="00C80E32" w14:paraId="37198316" w14:textId="77777777" w:rsidTr="00835A35">
        <w:tc>
          <w:tcPr>
            <w:tcW w:w="2767" w:type="dxa"/>
          </w:tcPr>
          <w:p w14:paraId="1B318B6B" w14:textId="77777777" w:rsidR="009E1C78" w:rsidRPr="00C80E32" w:rsidRDefault="009E1C78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>CMV IgM</w:t>
            </w:r>
          </w:p>
        </w:tc>
        <w:tc>
          <w:tcPr>
            <w:tcW w:w="2494" w:type="dxa"/>
          </w:tcPr>
          <w:p w14:paraId="56BE4F94" w14:textId="77777777" w:rsidR="009E1C78" w:rsidRPr="00C80E32" w:rsidRDefault="009E1C78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>Negative</w:t>
            </w:r>
          </w:p>
        </w:tc>
      </w:tr>
      <w:tr w:rsidR="009E1C78" w:rsidRPr="00C80E32" w14:paraId="18AC8CD0" w14:textId="77777777" w:rsidTr="00835A35">
        <w:tc>
          <w:tcPr>
            <w:tcW w:w="2767" w:type="dxa"/>
          </w:tcPr>
          <w:p w14:paraId="68C6B6FC" w14:textId="77777777" w:rsidR="009E1C78" w:rsidRPr="00C80E32" w:rsidRDefault="009E1C78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>SARS-CoV-2 RNA</w:t>
            </w:r>
          </w:p>
        </w:tc>
        <w:tc>
          <w:tcPr>
            <w:tcW w:w="2494" w:type="dxa"/>
          </w:tcPr>
          <w:p w14:paraId="2A66D324" w14:textId="77777777" w:rsidR="009E1C78" w:rsidRPr="00C80E32" w:rsidRDefault="009E1C78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>Not detected</w:t>
            </w:r>
          </w:p>
        </w:tc>
      </w:tr>
      <w:tr w:rsidR="009E1C78" w:rsidRPr="00C80E32" w14:paraId="1435B3AD" w14:textId="77777777" w:rsidTr="00835A35">
        <w:tc>
          <w:tcPr>
            <w:tcW w:w="2767" w:type="dxa"/>
          </w:tcPr>
          <w:p w14:paraId="2EA2CF7F" w14:textId="77777777" w:rsidR="009E1C78" w:rsidRPr="00C80E32" w:rsidRDefault="009E1C78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>HBsAg</w:t>
            </w:r>
          </w:p>
        </w:tc>
        <w:tc>
          <w:tcPr>
            <w:tcW w:w="2494" w:type="dxa"/>
          </w:tcPr>
          <w:p w14:paraId="36FEFD00" w14:textId="77777777" w:rsidR="009E1C78" w:rsidRPr="00C80E32" w:rsidRDefault="009E1C78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>Not detected</w:t>
            </w:r>
          </w:p>
        </w:tc>
      </w:tr>
      <w:tr w:rsidR="009E1C78" w:rsidRPr="00C80E32" w14:paraId="11A15325" w14:textId="77777777" w:rsidTr="00835A35">
        <w:tc>
          <w:tcPr>
            <w:tcW w:w="2767" w:type="dxa"/>
          </w:tcPr>
          <w:p w14:paraId="6B3AAE97" w14:textId="77777777" w:rsidR="009E1C78" w:rsidRPr="00C80E32" w:rsidRDefault="009E1C78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>HCV IgG</w:t>
            </w:r>
          </w:p>
        </w:tc>
        <w:tc>
          <w:tcPr>
            <w:tcW w:w="2494" w:type="dxa"/>
          </w:tcPr>
          <w:p w14:paraId="4548C048" w14:textId="77777777" w:rsidR="009E1C78" w:rsidRPr="00C80E32" w:rsidRDefault="009E1C78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>Not detected</w:t>
            </w:r>
          </w:p>
        </w:tc>
      </w:tr>
    </w:tbl>
    <w:p w14:paraId="253D677D" w14:textId="4376194A" w:rsidR="00813603" w:rsidRPr="00813603" w:rsidRDefault="00813603" w:rsidP="00813603">
      <w:r>
        <w:br/>
      </w:r>
      <w:r w:rsidRPr="005D5D66">
        <w:rPr>
          <w:sz w:val="20"/>
          <w:szCs w:val="20"/>
        </w:rPr>
        <w:t xml:space="preserve">Table </w:t>
      </w:r>
      <w:r w:rsidR="002620B9">
        <w:rPr>
          <w:sz w:val="20"/>
          <w:szCs w:val="20"/>
        </w:rPr>
        <w:t>4</w:t>
      </w:r>
      <w:r w:rsidRPr="005D5D66">
        <w:rPr>
          <w:sz w:val="20"/>
          <w:szCs w:val="20"/>
        </w:rPr>
        <w:t>: other relevant results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1190"/>
        <w:gridCol w:w="1191"/>
        <w:gridCol w:w="1191"/>
        <w:gridCol w:w="1191"/>
        <w:gridCol w:w="1191"/>
        <w:gridCol w:w="1938"/>
      </w:tblGrid>
      <w:tr w:rsidR="00813603" w:rsidRPr="00C80E32" w14:paraId="7D593B93" w14:textId="77777777" w:rsidTr="00835A35">
        <w:trPr>
          <w:trHeight w:val="432"/>
        </w:trPr>
        <w:tc>
          <w:tcPr>
            <w:tcW w:w="2523" w:type="dxa"/>
            <w:vAlign w:val="center"/>
          </w:tcPr>
          <w:p w14:paraId="6151905B" w14:textId="77777777" w:rsidR="00813603" w:rsidRPr="00C80E32" w:rsidRDefault="00813603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>Blood results</w:t>
            </w:r>
          </w:p>
        </w:tc>
        <w:tc>
          <w:tcPr>
            <w:tcW w:w="1190" w:type="dxa"/>
            <w:vAlign w:val="center"/>
          </w:tcPr>
          <w:p w14:paraId="111BCF86" w14:textId="77777777" w:rsidR="00813603" w:rsidRPr="00C80E32" w:rsidRDefault="00813603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>Day 1</w:t>
            </w:r>
          </w:p>
        </w:tc>
        <w:tc>
          <w:tcPr>
            <w:tcW w:w="1191" w:type="dxa"/>
            <w:vAlign w:val="center"/>
          </w:tcPr>
          <w:p w14:paraId="72F500B3" w14:textId="77777777" w:rsidR="00813603" w:rsidRPr="00C80E32" w:rsidRDefault="00813603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>Day 4</w:t>
            </w:r>
          </w:p>
        </w:tc>
        <w:tc>
          <w:tcPr>
            <w:tcW w:w="1191" w:type="dxa"/>
            <w:vAlign w:val="center"/>
          </w:tcPr>
          <w:p w14:paraId="3C28B5A2" w14:textId="77777777" w:rsidR="00813603" w:rsidRPr="00C80E32" w:rsidRDefault="00813603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>Day 6</w:t>
            </w:r>
          </w:p>
        </w:tc>
        <w:tc>
          <w:tcPr>
            <w:tcW w:w="1191" w:type="dxa"/>
            <w:vAlign w:val="center"/>
          </w:tcPr>
          <w:p w14:paraId="00CCE331" w14:textId="77777777" w:rsidR="00813603" w:rsidRPr="00C80E32" w:rsidRDefault="00813603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>Day 15</w:t>
            </w:r>
          </w:p>
        </w:tc>
        <w:tc>
          <w:tcPr>
            <w:tcW w:w="1191" w:type="dxa"/>
            <w:vAlign w:val="center"/>
          </w:tcPr>
          <w:p w14:paraId="4F349263" w14:textId="77777777" w:rsidR="00813603" w:rsidRPr="00C80E32" w:rsidRDefault="00813603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>Day 22</w:t>
            </w:r>
          </w:p>
        </w:tc>
        <w:tc>
          <w:tcPr>
            <w:tcW w:w="1938" w:type="dxa"/>
            <w:vAlign w:val="center"/>
          </w:tcPr>
          <w:p w14:paraId="2EE0B3AA" w14:textId="77777777" w:rsidR="00813603" w:rsidRPr="00C80E32" w:rsidRDefault="00813603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>Normal range</w:t>
            </w:r>
          </w:p>
        </w:tc>
      </w:tr>
      <w:tr w:rsidR="00813603" w:rsidRPr="00C80E32" w14:paraId="54E4E515" w14:textId="77777777" w:rsidTr="00835A35">
        <w:trPr>
          <w:trHeight w:val="273"/>
        </w:trPr>
        <w:tc>
          <w:tcPr>
            <w:tcW w:w="2523" w:type="dxa"/>
          </w:tcPr>
          <w:p w14:paraId="634F66CB" w14:textId="77777777" w:rsidR="00813603" w:rsidRPr="00C80E32" w:rsidRDefault="00813603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>WCC ( x 10</w:t>
            </w:r>
            <w:r w:rsidRPr="00C80E32">
              <w:rPr>
                <w:sz w:val="20"/>
                <w:szCs w:val="20"/>
                <w:vertAlign w:val="superscript"/>
              </w:rPr>
              <w:t>9</w:t>
            </w:r>
            <w:r w:rsidRPr="00C80E32">
              <w:rPr>
                <w:sz w:val="20"/>
                <w:szCs w:val="20"/>
              </w:rPr>
              <w:t>/L)</w:t>
            </w:r>
          </w:p>
        </w:tc>
        <w:tc>
          <w:tcPr>
            <w:tcW w:w="1190" w:type="dxa"/>
          </w:tcPr>
          <w:p w14:paraId="78276544" w14:textId="77777777" w:rsidR="00813603" w:rsidRPr="00C80E32" w:rsidRDefault="00813603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>7.3</w:t>
            </w:r>
          </w:p>
        </w:tc>
        <w:tc>
          <w:tcPr>
            <w:tcW w:w="1191" w:type="dxa"/>
          </w:tcPr>
          <w:p w14:paraId="1A64D4A5" w14:textId="77777777" w:rsidR="00813603" w:rsidRPr="00C80E32" w:rsidRDefault="00813603" w:rsidP="00C47DAB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293E89FF" w14:textId="77777777" w:rsidR="00813603" w:rsidRPr="00C80E32" w:rsidRDefault="00813603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>6.3</w:t>
            </w:r>
          </w:p>
        </w:tc>
        <w:tc>
          <w:tcPr>
            <w:tcW w:w="1191" w:type="dxa"/>
          </w:tcPr>
          <w:p w14:paraId="5F40BD1F" w14:textId="77777777" w:rsidR="00813603" w:rsidRPr="00C80E32" w:rsidRDefault="00813603" w:rsidP="00C47DAB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51A44506" w14:textId="77777777" w:rsidR="00813603" w:rsidRPr="00C80E32" w:rsidRDefault="00813603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>7</w:t>
            </w:r>
          </w:p>
        </w:tc>
        <w:tc>
          <w:tcPr>
            <w:tcW w:w="1938" w:type="dxa"/>
          </w:tcPr>
          <w:p w14:paraId="25F8CD33" w14:textId="77777777" w:rsidR="00813603" w:rsidRPr="00C80E32" w:rsidRDefault="00813603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>4 - 11</w:t>
            </w:r>
          </w:p>
        </w:tc>
      </w:tr>
      <w:tr w:rsidR="00813603" w:rsidRPr="00C80E32" w14:paraId="744AE2C6" w14:textId="77777777" w:rsidTr="00835A35">
        <w:trPr>
          <w:trHeight w:val="273"/>
        </w:trPr>
        <w:tc>
          <w:tcPr>
            <w:tcW w:w="2523" w:type="dxa"/>
          </w:tcPr>
          <w:p w14:paraId="6C354260" w14:textId="77777777" w:rsidR="00813603" w:rsidRPr="00C80E32" w:rsidRDefault="00813603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>Neutrophils ( x 10</w:t>
            </w:r>
            <w:r w:rsidRPr="00C80E32">
              <w:rPr>
                <w:sz w:val="20"/>
                <w:szCs w:val="20"/>
                <w:vertAlign w:val="superscript"/>
              </w:rPr>
              <w:t>9</w:t>
            </w:r>
            <w:r w:rsidRPr="00C80E32">
              <w:rPr>
                <w:sz w:val="20"/>
                <w:szCs w:val="20"/>
              </w:rPr>
              <w:t>/L)</w:t>
            </w:r>
          </w:p>
        </w:tc>
        <w:tc>
          <w:tcPr>
            <w:tcW w:w="1190" w:type="dxa"/>
          </w:tcPr>
          <w:p w14:paraId="52403E5B" w14:textId="77777777" w:rsidR="00813603" w:rsidRPr="00C80E32" w:rsidRDefault="00813603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>6.2</w:t>
            </w:r>
          </w:p>
        </w:tc>
        <w:tc>
          <w:tcPr>
            <w:tcW w:w="1191" w:type="dxa"/>
          </w:tcPr>
          <w:p w14:paraId="05A50F0A" w14:textId="77777777" w:rsidR="00813603" w:rsidRPr="00C80E32" w:rsidRDefault="00813603" w:rsidP="00C47DAB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283EAE47" w14:textId="77777777" w:rsidR="00813603" w:rsidRPr="00C80E32" w:rsidRDefault="00813603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>5.2</w:t>
            </w:r>
          </w:p>
        </w:tc>
        <w:tc>
          <w:tcPr>
            <w:tcW w:w="1191" w:type="dxa"/>
          </w:tcPr>
          <w:p w14:paraId="07B0A3C0" w14:textId="77777777" w:rsidR="00813603" w:rsidRPr="00C80E32" w:rsidRDefault="00813603" w:rsidP="00C47DAB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1E86BAF1" w14:textId="77777777" w:rsidR="00813603" w:rsidRPr="00C80E32" w:rsidRDefault="00813603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>5.4</w:t>
            </w:r>
          </w:p>
        </w:tc>
        <w:tc>
          <w:tcPr>
            <w:tcW w:w="1938" w:type="dxa"/>
          </w:tcPr>
          <w:p w14:paraId="31BE8040" w14:textId="77777777" w:rsidR="00813603" w:rsidRPr="00C80E32" w:rsidRDefault="00813603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>2 – 7.5</w:t>
            </w:r>
          </w:p>
        </w:tc>
      </w:tr>
      <w:tr w:rsidR="00813603" w:rsidRPr="00C80E32" w14:paraId="035AFBF9" w14:textId="77777777" w:rsidTr="00835A35">
        <w:trPr>
          <w:trHeight w:val="273"/>
        </w:trPr>
        <w:tc>
          <w:tcPr>
            <w:tcW w:w="2523" w:type="dxa"/>
          </w:tcPr>
          <w:p w14:paraId="77EAC9BA" w14:textId="77777777" w:rsidR="00813603" w:rsidRPr="00C80E32" w:rsidRDefault="00813603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>Lymphocytes ( x 10</w:t>
            </w:r>
            <w:r w:rsidRPr="00C80E32">
              <w:rPr>
                <w:sz w:val="20"/>
                <w:szCs w:val="20"/>
                <w:vertAlign w:val="superscript"/>
              </w:rPr>
              <w:t>9</w:t>
            </w:r>
            <w:r w:rsidRPr="00C80E32">
              <w:rPr>
                <w:sz w:val="20"/>
                <w:szCs w:val="20"/>
              </w:rPr>
              <w:t>/L)</w:t>
            </w:r>
          </w:p>
        </w:tc>
        <w:tc>
          <w:tcPr>
            <w:tcW w:w="1190" w:type="dxa"/>
          </w:tcPr>
          <w:p w14:paraId="0549D1E5" w14:textId="77777777" w:rsidR="00813603" w:rsidRPr="00C80E32" w:rsidRDefault="00813603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>0.53</w:t>
            </w:r>
          </w:p>
        </w:tc>
        <w:tc>
          <w:tcPr>
            <w:tcW w:w="1191" w:type="dxa"/>
          </w:tcPr>
          <w:p w14:paraId="7C05F243" w14:textId="77777777" w:rsidR="00813603" w:rsidRPr="00C80E32" w:rsidRDefault="00813603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>0.21</w:t>
            </w:r>
          </w:p>
        </w:tc>
        <w:tc>
          <w:tcPr>
            <w:tcW w:w="1191" w:type="dxa"/>
          </w:tcPr>
          <w:p w14:paraId="0B2BFDC3" w14:textId="77777777" w:rsidR="00813603" w:rsidRPr="00C80E32" w:rsidRDefault="00813603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 xml:space="preserve">0.28 </w:t>
            </w:r>
          </w:p>
        </w:tc>
        <w:tc>
          <w:tcPr>
            <w:tcW w:w="1191" w:type="dxa"/>
          </w:tcPr>
          <w:p w14:paraId="31B2DA69" w14:textId="77777777" w:rsidR="00813603" w:rsidRPr="00C80E32" w:rsidRDefault="00813603" w:rsidP="00C47DAB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3571CD4E" w14:textId="77777777" w:rsidR="00813603" w:rsidRPr="00C80E32" w:rsidRDefault="00813603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>0.75</w:t>
            </w:r>
          </w:p>
        </w:tc>
        <w:tc>
          <w:tcPr>
            <w:tcW w:w="1938" w:type="dxa"/>
          </w:tcPr>
          <w:p w14:paraId="69DDF709" w14:textId="77777777" w:rsidR="00813603" w:rsidRPr="00C80E32" w:rsidRDefault="00813603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>1 – 4</w:t>
            </w:r>
          </w:p>
        </w:tc>
      </w:tr>
      <w:tr w:rsidR="00813603" w:rsidRPr="00C80E32" w14:paraId="10A10C01" w14:textId="77777777" w:rsidTr="00835A35">
        <w:trPr>
          <w:trHeight w:val="273"/>
        </w:trPr>
        <w:tc>
          <w:tcPr>
            <w:tcW w:w="2523" w:type="dxa"/>
          </w:tcPr>
          <w:p w14:paraId="548141EB" w14:textId="77777777" w:rsidR="00813603" w:rsidRPr="00C80E32" w:rsidRDefault="00813603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>CRP (mg/L)</w:t>
            </w:r>
          </w:p>
        </w:tc>
        <w:tc>
          <w:tcPr>
            <w:tcW w:w="1190" w:type="dxa"/>
          </w:tcPr>
          <w:p w14:paraId="7DCAB2A1" w14:textId="77777777" w:rsidR="00813603" w:rsidRPr="00C80E32" w:rsidRDefault="00813603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>19</w:t>
            </w:r>
          </w:p>
        </w:tc>
        <w:tc>
          <w:tcPr>
            <w:tcW w:w="1191" w:type="dxa"/>
          </w:tcPr>
          <w:p w14:paraId="6433B7A8" w14:textId="77777777" w:rsidR="00813603" w:rsidRPr="00C80E32" w:rsidRDefault="00813603" w:rsidP="00C47DAB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2F199AE6" w14:textId="77777777" w:rsidR="00813603" w:rsidRPr="00C80E32" w:rsidRDefault="00813603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>21</w:t>
            </w:r>
          </w:p>
        </w:tc>
        <w:tc>
          <w:tcPr>
            <w:tcW w:w="1191" w:type="dxa"/>
          </w:tcPr>
          <w:p w14:paraId="04582E7E" w14:textId="77777777" w:rsidR="00813603" w:rsidRPr="00C80E32" w:rsidRDefault="00813603" w:rsidP="00C47DAB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45FC4F72" w14:textId="77777777" w:rsidR="00813603" w:rsidRPr="00C80E32" w:rsidRDefault="00813603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>12</w:t>
            </w:r>
          </w:p>
        </w:tc>
        <w:tc>
          <w:tcPr>
            <w:tcW w:w="1938" w:type="dxa"/>
          </w:tcPr>
          <w:p w14:paraId="7B80A0AD" w14:textId="77777777" w:rsidR="00813603" w:rsidRPr="00C80E32" w:rsidRDefault="00813603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>0 - 10</w:t>
            </w:r>
          </w:p>
        </w:tc>
      </w:tr>
      <w:tr w:rsidR="00813603" w:rsidRPr="00C80E32" w14:paraId="58D70D5A" w14:textId="77777777" w:rsidTr="00835A35">
        <w:trPr>
          <w:trHeight w:val="273"/>
        </w:trPr>
        <w:tc>
          <w:tcPr>
            <w:tcW w:w="2523" w:type="dxa"/>
          </w:tcPr>
          <w:p w14:paraId="0D563F49" w14:textId="77777777" w:rsidR="00813603" w:rsidRPr="00C80E32" w:rsidRDefault="00813603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>CD3 ( x 10</w:t>
            </w:r>
            <w:r w:rsidRPr="00C80E32">
              <w:rPr>
                <w:sz w:val="20"/>
                <w:szCs w:val="20"/>
                <w:vertAlign w:val="superscript"/>
              </w:rPr>
              <w:t>6</w:t>
            </w:r>
            <w:r w:rsidRPr="00C80E32">
              <w:rPr>
                <w:sz w:val="20"/>
                <w:szCs w:val="20"/>
              </w:rPr>
              <w:t>/L)</w:t>
            </w:r>
          </w:p>
        </w:tc>
        <w:tc>
          <w:tcPr>
            <w:tcW w:w="1190" w:type="dxa"/>
          </w:tcPr>
          <w:p w14:paraId="40C67A7C" w14:textId="77777777" w:rsidR="00813603" w:rsidRPr="00C80E32" w:rsidRDefault="00813603" w:rsidP="00C47DAB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1955ABE9" w14:textId="77777777" w:rsidR="00813603" w:rsidRPr="00C80E32" w:rsidRDefault="00813603" w:rsidP="00C47DAB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06B0BA5A" w14:textId="77777777" w:rsidR="00813603" w:rsidRPr="00C80E32" w:rsidRDefault="00813603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 xml:space="preserve">241 </w:t>
            </w:r>
          </w:p>
        </w:tc>
        <w:tc>
          <w:tcPr>
            <w:tcW w:w="1191" w:type="dxa"/>
          </w:tcPr>
          <w:p w14:paraId="44E9C4B8" w14:textId="77777777" w:rsidR="00813603" w:rsidRPr="00C80E32" w:rsidRDefault="00813603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>416</w:t>
            </w:r>
          </w:p>
        </w:tc>
        <w:tc>
          <w:tcPr>
            <w:tcW w:w="1191" w:type="dxa"/>
          </w:tcPr>
          <w:p w14:paraId="572C9F42" w14:textId="77777777" w:rsidR="00813603" w:rsidRPr="00C80E32" w:rsidRDefault="00813603" w:rsidP="00C47DAB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14:paraId="65E68DB4" w14:textId="77777777" w:rsidR="00813603" w:rsidRPr="00C80E32" w:rsidRDefault="00813603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>918 – 2023</w:t>
            </w:r>
          </w:p>
        </w:tc>
      </w:tr>
      <w:tr w:rsidR="00813603" w:rsidRPr="00C80E32" w14:paraId="128FB480" w14:textId="77777777" w:rsidTr="00835A35">
        <w:trPr>
          <w:trHeight w:val="273"/>
        </w:trPr>
        <w:tc>
          <w:tcPr>
            <w:tcW w:w="2523" w:type="dxa"/>
          </w:tcPr>
          <w:p w14:paraId="4D28232A" w14:textId="77777777" w:rsidR="00813603" w:rsidRPr="00C80E32" w:rsidRDefault="00813603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>CD4 ( x 10</w:t>
            </w:r>
            <w:r w:rsidRPr="00C80E32">
              <w:rPr>
                <w:sz w:val="20"/>
                <w:szCs w:val="20"/>
                <w:vertAlign w:val="superscript"/>
              </w:rPr>
              <w:t>6</w:t>
            </w:r>
            <w:r w:rsidRPr="00C80E32">
              <w:rPr>
                <w:sz w:val="20"/>
                <w:szCs w:val="20"/>
              </w:rPr>
              <w:t>/L)</w:t>
            </w:r>
          </w:p>
        </w:tc>
        <w:tc>
          <w:tcPr>
            <w:tcW w:w="1190" w:type="dxa"/>
          </w:tcPr>
          <w:p w14:paraId="17D9EA90" w14:textId="77777777" w:rsidR="00813603" w:rsidRPr="00C80E32" w:rsidRDefault="00813603" w:rsidP="00C47DAB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1E0843CC" w14:textId="77777777" w:rsidR="00813603" w:rsidRPr="00C80E32" w:rsidRDefault="00813603" w:rsidP="00C47DAB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3E1DA667" w14:textId="77777777" w:rsidR="00813603" w:rsidRPr="00C80E32" w:rsidRDefault="00813603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91" w:type="dxa"/>
          </w:tcPr>
          <w:p w14:paraId="1285873A" w14:textId="77777777" w:rsidR="00813603" w:rsidRPr="00C80E32" w:rsidRDefault="00813603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>61</w:t>
            </w:r>
          </w:p>
        </w:tc>
        <w:tc>
          <w:tcPr>
            <w:tcW w:w="1191" w:type="dxa"/>
          </w:tcPr>
          <w:p w14:paraId="27A16C53" w14:textId="77777777" w:rsidR="00813603" w:rsidRPr="00C80E32" w:rsidRDefault="00813603" w:rsidP="00C47DAB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14:paraId="76C58517" w14:textId="77777777" w:rsidR="00813603" w:rsidRPr="00C80E32" w:rsidRDefault="00813603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>455 – 1320</w:t>
            </w:r>
          </w:p>
        </w:tc>
      </w:tr>
      <w:tr w:rsidR="00813603" w:rsidRPr="00C80E32" w14:paraId="2A5B55D8" w14:textId="77777777" w:rsidTr="00835A35">
        <w:trPr>
          <w:trHeight w:val="273"/>
        </w:trPr>
        <w:tc>
          <w:tcPr>
            <w:tcW w:w="2523" w:type="dxa"/>
          </w:tcPr>
          <w:p w14:paraId="2E0C50C4" w14:textId="77777777" w:rsidR="00813603" w:rsidRPr="00C80E32" w:rsidRDefault="00813603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>CD8 ( x 10</w:t>
            </w:r>
            <w:r w:rsidRPr="00C80E32">
              <w:rPr>
                <w:sz w:val="20"/>
                <w:szCs w:val="20"/>
                <w:vertAlign w:val="superscript"/>
              </w:rPr>
              <w:t>6</w:t>
            </w:r>
            <w:r w:rsidRPr="00C80E32">
              <w:rPr>
                <w:sz w:val="20"/>
                <w:szCs w:val="20"/>
              </w:rPr>
              <w:t>/L)</w:t>
            </w:r>
          </w:p>
        </w:tc>
        <w:tc>
          <w:tcPr>
            <w:tcW w:w="1190" w:type="dxa"/>
          </w:tcPr>
          <w:p w14:paraId="298346DF" w14:textId="77777777" w:rsidR="00813603" w:rsidRPr="00C80E32" w:rsidRDefault="00813603" w:rsidP="00C47DAB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2C42A06B" w14:textId="77777777" w:rsidR="00813603" w:rsidRPr="00C80E32" w:rsidRDefault="00813603" w:rsidP="00C47DAB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131106AF" w14:textId="77777777" w:rsidR="00813603" w:rsidRPr="00C80E32" w:rsidRDefault="00813603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 xml:space="preserve">113 </w:t>
            </w:r>
          </w:p>
        </w:tc>
        <w:tc>
          <w:tcPr>
            <w:tcW w:w="1191" w:type="dxa"/>
          </w:tcPr>
          <w:p w14:paraId="0F3A2AF0" w14:textId="77777777" w:rsidR="00813603" w:rsidRPr="00C80E32" w:rsidRDefault="00813603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>209</w:t>
            </w:r>
          </w:p>
        </w:tc>
        <w:tc>
          <w:tcPr>
            <w:tcW w:w="1191" w:type="dxa"/>
          </w:tcPr>
          <w:p w14:paraId="458DF7FA" w14:textId="77777777" w:rsidR="00813603" w:rsidRPr="00C80E32" w:rsidRDefault="00813603" w:rsidP="00C47DAB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14:paraId="726F13E6" w14:textId="77777777" w:rsidR="00813603" w:rsidRPr="00C80E32" w:rsidRDefault="00813603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>140 – 906</w:t>
            </w:r>
          </w:p>
        </w:tc>
      </w:tr>
      <w:tr w:rsidR="00813603" w:rsidRPr="00C80E32" w14:paraId="45B83A7E" w14:textId="77777777" w:rsidTr="00835A35">
        <w:trPr>
          <w:trHeight w:val="273"/>
        </w:trPr>
        <w:tc>
          <w:tcPr>
            <w:tcW w:w="2523" w:type="dxa"/>
          </w:tcPr>
          <w:p w14:paraId="0CF8F98B" w14:textId="77777777" w:rsidR="00813603" w:rsidRPr="00C80E32" w:rsidRDefault="00813603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>CD19 ( x 10</w:t>
            </w:r>
            <w:r w:rsidRPr="00C80E32">
              <w:rPr>
                <w:sz w:val="20"/>
                <w:szCs w:val="20"/>
                <w:vertAlign w:val="superscript"/>
              </w:rPr>
              <w:t>6</w:t>
            </w:r>
            <w:r w:rsidRPr="00C80E32">
              <w:rPr>
                <w:sz w:val="20"/>
                <w:szCs w:val="20"/>
              </w:rPr>
              <w:t>/L)</w:t>
            </w:r>
          </w:p>
        </w:tc>
        <w:tc>
          <w:tcPr>
            <w:tcW w:w="1190" w:type="dxa"/>
          </w:tcPr>
          <w:p w14:paraId="4689F435" w14:textId="77777777" w:rsidR="00813603" w:rsidRPr="00C80E32" w:rsidRDefault="00813603" w:rsidP="00C47DAB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356A5D43" w14:textId="77777777" w:rsidR="00813603" w:rsidRPr="00C80E32" w:rsidRDefault="00813603" w:rsidP="00C47DAB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4C889C2B" w14:textId="77777777" w:rsidR="00813603" w:rsidRPr="00C80E32" w:rsidRDefault="00813603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191" w:type="dxa"/>
          </w:tcPr>
          <w:p w14:paraId="2FDC0CBE" w14:textId="77777777" w:rsidR="00813603" w:rsidRPr="00C80E32" w:rsidRDefault="00813603" w:rsidP="00C47DAB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27E196D0" w14:textId="77777777" w:rsidR="00813603" w:rsidRPr="00C80E32" w:rsidRDefault="00813603" w:rsidP="00C47DAB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14:paraId="14636F79" w14:textId="77777777" w:rsidR="00813603" w:rsidRPr="00C80E32" w:rsidRDefault="00813603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>42 – 461</w:t>
            </w:r>
          </w:p>
        </w:tc>
      </w:tr>
      <w:tr w:rsidR="00813603" w:rsidRPr="00C80E32" w14:paraId="180AEF54" w14:textId="77777777" w:rsidTr="00835A35">
        <w:trPr>
          <w:trHeight w:val="273"/>
        </w:trPr>
        <w:tc>
          <w:tcPr>
            <w:tcW w:w="2523" w:type="dxa"/>
          </w:tcPr>
          <w:p w14:paraId="47A8BCD4" w14:textId="77777777" w:rsidR="00813603" w:rsidRPr="00C80E32" w:rsidRDefault="00813603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>CD56 ( x 10</w:t>
            </w:r>
            <w:r w:rsidRPr="00C80E32">
              <w:rPr>
                <w:sz w:val="20"/>
                <w:szCs w:val="20"/>
                <w:vertAlign w:val="superscript"/>
              </w:rPr>
              <w:t>6</w:t>
            </w:r>
            <w:r w:rsidRPr="00C80E32">
              <w:rPr>
                <w:sz w:val="20"/>
                <w:szCs w:val="20"/>
              </w:rPr>
              <w:t>/L)</w:t>
            </w:r>
          </w:p>
        </w:tc>
        <w:tc>
          <w:tcPr>
            <w:tcW w:w="1190" w:type="dxa"/>
          </w:tcPr>
          <w:p w14:paraId="2F60EEAD" w14:textId="77777777" w:rsidR="00813603" w:rsidRPr="00C80E32" w:rsidRDefault="00813603" w:rsidP="00C47DAB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34B13EA3" w14:textId="77777777" w:rsidR="00813603" w:rsidRPr="00C80E32" w:rsidRDefault="00813603" w:rsidP="00C47DAB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0EBCBA40" w14:textId="77777777" w:rsidR="00813603" w:rsidRPr="00C80E32" w:rsidRDefault="00813603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 xml:space="preserve">74 </w:t>
            </w:r>
          </w:p>
        </w:tc>
        <w:tc>
          <w:tcPr>
            <w:tcW w:w="1191" w:type="dxa"/>
          </w:tcPr>
          <w:p w14:paraId="7941E437" w14:textId="77777777" w:rsidR="00813603" w:rsidRPr="00C80E32" w:rsidRDefault="00813603" w:rsidP="00C47DAB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14:paraId="6FDD104F" w14:textId="77777777" w:rsidR="00813603" w:rsidRPr="00C80E32" w:rsidRDefault="00813603" w:rsidP="00C47DAB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14:paraId="0EC78A22" w14:textId="77777777" w:rsidR="00813603" w:rsidRPr="00C80E32" w:rsidRDefault="00813603" w:rsidP="00C47DAB">
            <w:pPr>
              <w:rPr>
                <w:sz w:val="20"/>
                <w:szCs w:val="20"/>
              </w:rPr>
            </w:pPr>
            <w:r w:rsidRPr="00C80E32">
              <w:rPr>
                <w:sz w:val="20"/>
                <w:szCs w:val="20"/>
              </w:rPr>
              <w:t>90 – 600</w:t>
            </w:r>
          </w:p>
        </w:tc>
      </w:tr>
    </w:tbl>
    <w:p w14:paraId="7D13117B" w14:textId="4F645EFB" w:rsidR="00CC2EAC" w:rsidRDefault="00813603" w:rsidP="00CC2EAC">
      <w:pPr>
        <w:rPr>
          <w:u w:val="single"/>
        </w:rPr>
      </w:pPr>
      <w:r>
        <w:br/>
      </w:r>
      <w:r w:rsidRPr="005D5D66">
        <w:rPr>
          <w:sz w:val="20"/>
          <w:szCs w:val="20"/>
        </w:rPr>
        <w:t xml:space="preserve">Table </w:t>
      </w:r>
      <w:r w:rsidR="002620B9">
        <w:rPr>
          <w:sz w:val="20"/>
          <w:szCs w:val="20"/>
        </w:rPr>
        <w:t>5</w:t>
      </w:r>
      <w:r w:rsidRPr="005D5D66">
        <w:rPr>
          <w:sz w:val="20"/>
          <w:szCs w:val="20"/>
        </w:rPr>
        <w:t xml:space="preserve">: serial </w:t>
      </w:r>
      <w:r w:rsidR="00862E5C">
        <w:rPr>
          <w:sz w:val="20"/>
          <w:szCs w:val="20"/>
        </w:rPr>
        <w:t>haematology</w:t>
      </w:r>
      <w:r w:rsidR="00862E5C" w:rsidRPr="005D5D66">
        <w:rPr>
          <w:sz w:val="20"/>
          <w:szCs w:val="20"/>
        </w:rPr>
        <w:t xml:space="preserve"> </w:t>
      </w:r>
      <w:r w:rsidRPr="005D5D66">
        <w:rPr>
          <w:sz w:val="20"/>
          <w:szCs w:val="20"/>
        </w:rPr>
        <w:t>results</w:t>
      </w:r>
      <w:r w:rsidR="005D5D66">
        <w:rPr>
          <w:sz w:val="20"/>
          <w:szCs w:val="20"/>
        </w:rPr>
        <w:br/>
      </w:r>
      <w:r>
        <w:br/>
      </w:r>
    </w:p>
    <w:p w14:paraId="14ACF9A6" w14:textId="77777777" w:rsidR="00CC2EAC" w:rsidRDefault="00CC2EAC">
      <w:pPr>
        <w:rPr>
          <w:u w:val="single"/>
        </w:rPr>
      </w:pPr>
      <w:r>
        <w:rPr>
          <w:u w:val="single"/>
        </w:rPr>
        <w:br w:type="page"/>
      </w:r>
    </w:p>
    <w:p w14:paraId="1601AB31" w14:textId="5F92900C" w:rsidR="005D5D66" w:rsidRPr="00CC2EAC" w:rsidRDefault="00813603" w:rsidP="00CC2EAC">
      <w:r w:rsidRPr="00CE0590">
        <w:rPr>
          <w:u w:val="single"/>
        </w:rPr>
        <w:lastRenderedPageBreak/>
        <w:t>Refere</w:t>
      </w:r>
      <w:r w:rsidR="005D5D66">
        <w:rPr>
          <w:u w:val="single"/>
        </w:rPr>
        <w:t>nces</w:t>
      </w:r>
    </w:p>
    <w:p w14:paraId="700A2C56" w14:textId="1D48DD3E" w:rsidR="00F26A35" w:rsidRPr="00F26A35" w:rsidRDefault="00835A35" w:rsidP="00F26A35">
      <w:pPr>
        <w:rPr>
          <w:rFonts w:cstheme="minorHAnsi"/>
        </w:rPr>
      </w:pPr>
      <w:r>
        <w:t>[</w:t>
      </w:r>
      <w:r w:rsidR="00565641">
        <w:t>1</w:t>
      </w:r>
      <w:r>
        <w:t>]</w:t>
      </w:r>
      <w:r w:rsidR="006529EA">
        <w:t xml:space="preserve"> </w:t>
      </w:r>
      <w:r w:rsidR="006529EA" w:rsidRPr="006529EA">
        <w:t>Wijburg MT, Warnke</w:t>
      </w:r>
      <w:r w:rsidR="006529EA">
        <w:t xml:space="preserve"> </w:t>
      </w:r>
      <w:r w:rsidR="006529EA" w:rsidRPr="006529EA">
        <w:t>C, McGuigan C, et al.</w:t>
      </w:r>
      <w:r w:rsidR="000A7E33">
        <w:t xml:space="preserve"> </w:t>
      </w:r>
      <w:r w:rsidR="000A7E33" w:rsidRPr="000A7E33">
        <w:t>Pharmacovigilance during treatment of multiple</w:t>
      </w:r>
      <w:r w:rsidR="000A7E33">
        <w:t xml:space="preserve"> </w:t>
      </w:r>
      <w:r w:rsidR="000A7E33" w:rsidRPr="000A7E33">
        <w:t xml:space="preserve">sclerosis: early </w:t>
      </w:r>
      <w:r w:rsidR="000A7E33" w:rsidRPr="00F26A35">
        <w:rPr>
          <w:rFonts w:cstheme="minorHAnsi"/>
        </w:rPr>
        <w:t xml:space="preserve">recognition of CNS complications. </w:t>
      </w:r>
      <w:r w:rsidR="006529EA" w:rsidRPr="00F26A35">
        <w:rPr>
          <w:rFonts w:cstheme="minorHAnsi"/>
          <w:i/>
          <w:iCs/>
        </w:rPr>
        <w:t>J Neurol Neurosurg Psychiatry.</w:t>
      </w:r>
      <w:r w:rsidR="006529EA" w:rsidRPr="00F26A35">
        <w:rPr>
          <w:rFonts w:cstheme="minorHAnsi"/>
        </w:rPr>
        <w:t xml:space="preserve"> 2021;92:177–188.</w:t>
      </w:r>
    </w:p>
    <w:p w14:paraId="1987ABF9" w14:textId="6D666D02" w:rsidR="00F26A35" w:rsidRPr="00F26A35" w:rsidRDefault="00F26A35" w:rsidP="00F26A35">
      <w:pPr>
        <w:rPr>
          <w:rFonts w:cstheme="minorHAnsi"/>
          <w:b/>
          <w:bCs/>
        </w:rPr>
      </w:pPr>
      <w:r w:rsidRPr="00F26A35">
        <w:rPr>
          <w:rFonts w:cstheme="minorHAnsi"/>
          <w:color w:val="212121"/>
          <w:shd w:val="clear" w:color="auto" w:fill="FFFFFF"/>
        </w:rPr>
        <w:t>[</w:t>
      </w:r>
      <w:r w:rsidR="00BE4FF9">
        <w:rPr>
          <w:rFonts w:cstheme="minorHAnsi"/>
          <w:color w:val="212121"/>
          <w:shd w:val="clear" w:color="auto" w:fill="FFFFFF"/>
        </w:rPr>
        <w:t>2</w:t>
      </w:r>
      <w:r w:rsidRPr="00F26A35">
        <w:rPr>
          <w:rFonts w:cstheme="minorHAnsi"/>
          <w:color w:val="212121"/>
          <w:shd w:val="clear" w:color="auto" w:fill="FFFFFF"/>
        </w:rPr>
        <w:t>] Barry B, Erwin AA, Stevens J, Tornatore C. Fingolimod Rebound: A Review of the Clinical Experience and Management Considerations. </w:t>
      </w:r>
      <w:r w:rsidRPr="00F26A35">
        <w:rPr>
          <w:rFonts w:cstheme="minorHAnsi"/>
          <w:i/>
          <w:iCs/>
          <w:color w:val="212121"/>
          <w:shd w:val="clear" w:color="auto" w:fill="FFFFFF"/>
        </w:rPr>
        <w:t>Neurol Ther</w:t>
      </w:r>
      <w:r w:rsidRPr="00F26A35">
        <w:rPr>
          <w:rFonts w:cstheme="minorHAnsi"/>
          <w:color w:val="212121"/>
          <w:shd w:val="clear" w:color="auto" w:fill="FFFFFF"/>
        </w:rPr>
        <w:t>. 2019;8(2):241-250. doi:10.1007/s40120-019-00160-9</w:t>
      </w:r>
    </w:p>
    <w:p w14:paraId="76F7F0A8" w14:textId="37537474" w:rsidR="00F26A35" w:rsidRDefault="00F26A35" w:rsidP="00F26A35">
      <w:r w:rsidRPr="00F26A35">
        <w:rPr>
          <w:rFonts w:cstheme="minorHAnsi"/>
        </w:rPr>
        <w:t>[</w:t>
      </w:r>
      <w:r w:rsidR="00BE4FF9">
        <w:rPr>
          <w:rFonts w:cstheme="minorHAnsi"/>
        </w:rPr>
        <w:t>3</w:t>
      </w:r>
      <w:r w:rsidRPr="00F26A35">
        <w:rPr>
          <w:rFonts w:cstheme="minorHAnsi"/>
        </w:rPr>
        <w:t>] Rowles WM, Hsu WY, McPolin K, et al. Transitioning From S1P Receptor Modulators to B Cell-Depleting Therapies in Multiple Sclerosis</w:t>
      </w:r>
      <w:r w:rsidRPr="00F26A35">
        <w:t>: Clinical, Radiographic, and Laboratory Data. </w:t>
      </w:r>
      <w:r w:rsidRPr="00F26A35">
        <w:rPr>
          <w:i/>
          <w:iCs/>
        </w:rPr>
        <w:t>Neurol Neuroimmunol Neuroinflamm</w:t>
      </w:r>
      <w:r w:rsidRPr="00F26A35">
        <w:t>. 2022;9(4):e1183. Published 2022 May 17. doi:10.1212/NXI.0000000000001183</w:t>
      </w:r>
    </w:p>
    <w:p w14:paraId="30C6342F" w14:textId="6F554CDB" w:rsidR="00F26A35" w:rsidRDefault="00F26A35" w:rsidP="00F26A35">
      <w:r>
        <w:t>[</w:t>
      </w:r>
      <w:r w:rsidR="00BE4FF9">
        <w:t>4</w:t>
      </w:r>
      <w:r>
        <w:t xml:space="preserve">] </w:t>
      </w:r>
      <w:r w:rsidRPr="00F26A35">
        <w:t>Wingfield T, Jani M, Krutikov M, et al. Cryptococcal meningitis in an HIV-negative patient with rheumatoid arthritis treated with rituximab. </w:t>
      </w:r>
      <w:r w:rsidRPr="00F26A35">
        <w:rPr>
          <w:i/>
          <w:iCs/>
        </w:rPr>
        <w:t>Rheumatology (Oxford)</w:t>
      </w:r>
      <w:r w:rsidRPr="00F26A35">
        <w:t>. 2011;50(9):1725-1727. doi:10.1093/rheumatology/ker210</w:t>
      </w:r>
    </w:p>
    <w:p w14:paraId="5A78FC0E" w14:textId="2C8BF535" w:rsidR="00BE4FF9" w:rsidRDefault="00F26A35" w:rsidP="00BE4FF9">
      <w:r>
        <w:t>[</w:t>
      </w:r>
      <w:r w:rsidR="00BE4FF9">
        <w:t>5</w:t>
      </w:r>
      <w:r>
        <w:t xml:space="preserve">] </w:t>
      </w:r>
      <w:r w:rsidRPr="00F26A35">
        <w:t>Sánchez-Ojanguren J, Isern-Segura I, Chico-Chumillas C, Javaloyas-de-Morlius M. Meningoencefalitis por Crytococcus neoformans en mujer tratada con rituximab [Cryptococcus neoformans meningoencephalitis in a patient treated with rituximab]. </w:t>
      </w:r>
      <w:r w:rsidRPr="00F26A35">
        <w:rPr>
          <w:i/>
          <w:iCs/>
        </w:rPr>
        <w:t>Med Clin (Barc)</w:t>
      </w:r>
      <w:r w:rsidRPr="00F26A35">
        <w:t>. 2009;133(4):157-158. doi:10.1016/j.medcli.2008.09.036</w:t>
      </w:r>
    </w:p>
    <w:p w14:paraId="7B0EE498" w14:textId="01DFEC94" w:rsidR="00BE4FF9" w:rsidRDefault="00BE4FF9" w:rsidP="00BE4FF9">
      <w:r>
        <w:t xml:space="preserve">[6] </w:t>
      </w:r>
      <w:r w:rsidRPr="00DE60BF">
        <w:t>Aoki R, Mori M, Suzuki YI, et al. Cryptococcal Meningitis in a Fingolimod-Treated Patient: Positive Antigen Test a Year Before Onset. </w:t>
      </w:r>
      <w:r w:rsidRPr="00DE60BF">
        <w:rPr>
          <w:i/>
          <w:iCs/>
        </w:rPr>
        <w:t>Neurol Clin Pract</w:t>
      </w:r>
      <w:r w:rsidRPr="00DE60BF">
        <w:t>. 2021;11(4):e549-e550</w:t>
      </w:r>
    </w:p>
    <w:p w14:paraId="29BF6CE1" w14:textId="2FC0C33D" w:rsidR="00BE4FF9" w:rsidRDefault="00BE4FF9" w:rsidP="00BE4FF9">
      <w:r>
        <w:t xml:space="preserve">[7] </w:t>
      </w:r>
      <w:r w:rsidRPr="00A83D6E">
        <w:t>Cuascut FX, Alkabie S, Hutton GJ. Fingolimod-related cryptococcal meningoencephalitis and immune reconstitution inflammatory syndrome in a patient with multiple sclerosis. </w:t>
      </w:r>
      <w:r w:rsidRPr="00A83D6E">
        <w:rPr>
          <w:i/>
          <w:iCs/>
        </w:rPr>
        <w:t>Mult Scler Relat Disord</w:t>
      </w:r>
      <w:r w:rsidRPr="00A83D6E">
        <w:t>. 2021;53:103072.</w:t>
      </w:r>
    </w:p>
    <w:p w14:paraId="1DEB4CEB" w14:textId="27FB62C1" w:rsidR="00BE4FF9" w:rsidRPr="00010918" w:rsidRDefault="00BE4FF9" w:rsidP="00BE4FF9">
      <w:r>
        <w:t xml:space="preserve">[8] </w:t>
      </w:r>
      <w:r w:rsidRPr="00010918">
        <w:t>Kaur P, Lewis A, Basit A, Cyr NS, Muhammad Z. Increased risk of disseminated cryptococcal infection in a patient with multiple sclerosis on fingolimod. </w:t>
      </w:r>
      <w:r w:rsidRPr="00010918">
        <w:rPr>
          <w:i/>
          <w:iCs/>
        </w:rPr>
        <w:t>IDCases</w:t>
      </w:r>
      <w:r w:rsidRPr="00010918">
        <w:t>. 2020;22:e00961.</w:t>
      </w:r>
    </w:p>
    <w:p w14:paraId="0A0651B9" w14:textId="3A0D5013" w:rsidR="00BE4FF9" w:rsidRDefault="00BE4FF9" w:rsidP="00BE4FF9">
      <w:r>
        <w:t xml:space="preserve">[9] </w:t>
      </w:r>
      <w:r w:rsidRPr="00845929">
        <w:t>Baghbanian SM, Amiri MRM. Cryptococcal meningoencephalitis in a multiple sclerosis patient after fingolimod discontinuation-a case report. </w:t>
      </w:r>
      <w:r w:rsidRPr="00845929">
        <w:rPr>
          <w:i/>
          <w:iCs/>
        </w:rPr>
        <w:t>Neurol Sci</w:t>
      </w:r>
      <w:r w:rsidRPr="00845929">
        <w:t>. 2021;42(3):1175-1177.</w:t>
      </w:r>
    </w:p>
    <w:p w14:paraId="595850B9" w14:textId="0F408A7B" w:rsidR="00BE4FF9" w:rsidRDefault="00BE4FF9" w:rsidP="00BE4FF9">
      <w:r>
        <w:t xml:space="preserve">[10] </w:t>
      </w:r>
      <w:r w:rsidRPr="00565641">
        <w:t>Ma SB, Griffin D, Boyd SC, Chang CC, Wong J, Guy SD. Cryptococcus neoformans var grubii meningoencephalitis in a patient on fingolimod for relapsing-remitting multiple sclerosis: Case report and review of published cases [published online ahead of print, 2020 Jan 3]. </w:t>
      </w:r>
      <w:r w:rsidRPr="00565641">
        <w:rPr>
          <w:i/>
          <w:iCs/>
        </w:rPr>
        <w:t>Mult Scler Relat Disord</w:t>
      </w:r>
      <w:r w:rsidRPr="00565641">
        <w:t xml:space="preserve">. 2020;39:101923. </w:t>
      </w:r>
    </w:p>
    <w:p w14:paraId="53D34222" w14:textId="77777777" w:rsidR="00BE4FF9" w:rsidRDefault="00BE4FF9" w:rsidP="00BE4FF9">
      <w:r w:rsidRPr="00565641">
        <w:rPr>
          <w:lang w:val="fr-FR"/>
        </w:rPr>
        <w:t>[</w:t>
      </w:r>
      <w:r>
        <w:rPr>
          <w:lang w:val="fr-FR"/>
        </w:rPr>
        <w:t>11</w:t>
      </w:r>
      <w:r w:rsidRPr="00565641">
        <w:rPr>
          <w:lang w:val="fr-FR"/>
        </w:rPr>
        <w:t xml:space="preserve">] Wienemann T, Müller AK, MacKenzie C, et al. </w:t>
      </w:r>
      <w:r w:rsidRPr="00565641">
        <w:t>Cryptococcal meningoencephalitis in an IgG</w:t>
      </w:r>
      <w:r w:rsidRPr="00565641">
        <w:rPr>
          <w:vertAlign w:val="subscript"/>
        </w:rPr>
        <w:t>2</w:t>
      </w:r>
      <w:r w:rsidRPr="00565641">
        <w:t>-deficient patient with multiple sclerosis on fingolimod therapy for more than five years - case report. </w:t>
      </w:r>
      <w:r w:rsidRPr="00565641">
        <w:rPr>
          <w:i/>
          <w:iCs/>
        </w:rPr>
        <w:t>BMC Neurol</w:t>
      </w:r>
      <w:r w:rsidRPr="00565641">
        <w:t xml:space="preserve">. 2020;20(1):158. Published 2020 Apr 27. </w:t>
      </w:r>
    </w:p>
    <w:p w14:paraId="40FAE4E1" w14:textId="4A18CF81" w:rsidR="00BE4FF9" w:rsidRPr="00835A35" w:rsidRDefault="00BE4FF9" w:rsidP="00BE4FF9">
      <w:r>
        <w:t xml:space="preserve">[12] </w:t>
      </w:r>
      <w:r w:rsidRPr="00565641">
        <w:t>Chong I, Wang KY, Lincoln CM. Cryptococcal meningitis in a multiple sclerosis patient treated with Fingolimod: a case report and review of imaging findings. </w:t>
      </w:r>
      <w:r w:rsidRPr="00565641">
        <w:rPr>
          <w:i/>
          <w:iCs/>
        </w:rPr>
        <w:t>Clin Imaging</w:t>
      </w:r>
      <w:r w:rsidRPr="00565641">
        <w:t xml:space="preserve">. 2019;54:53-56. </w:t>
      </w:r>
    </w:p>
    <w:p w14:paraId="0955A066" w14:textId="7EB1145A" w:rsidR="00BE4FF9" w:rsidRDefault="00926D01" w:rsidP="00BE4FF9">
      <w:r>
        <w:t>[</w:t>
      </w:r>
      <w:r w:rsidR="00BE4FF9">
        <w:t>13</w:t>
      </w:r>
      <w:r w:rsidR="00631462">
        <w:t xml:space="preserve">] </w:t>
      </w:r>
      <w:r w:rsidR="00631462" w:rsidRPr="00631462">
        <w:t>Anene-Maidoh</w:t>
      </w:r>
      <w:r w:rsidR="00631462">
        <w:t xml:space="preserve"> TI</w:t>
      </w:r>
      <w:r w:rsidR="00631462" w:rsidRPr="00631462">
        <w:t>, Paschall</w:t>
      </w:r>
      <w:r w:rsidR="00631462">
        <w:t xml:space="preserve"> RM</w:t>
      </w:r>
      <w:r w:rsidR="00631462" w:rsidRPr="00631462">
        <w:t>,</w:t>
      </w:r>
      <w:r w:rsidR="00631462">
        <w:t xml:space="preserve"> </w:t>
      </w:r>
      <w:r w:rsidR="00631462" w:rsidRPr="00631462">
        <w:t>Graham</w:t>
      </w:r>
      <w:r w:rsidR="00631462">
        <w:t xml:space="preserve"> RS.</w:t>
      </w:r>
      <w:r w:rsidR="00631462" w:rsidRPr="00631462">
        <w:t xml:space="preserve"> Refractory cryptococcal meningoencephalitis in a patient with multiple sclerosis treated with fingolimod: A case report</w:t>
      </w:r>
      <w:r w:rsidR="00631462">
        <w:t xml:space="preserve">. </w:t>
      </w:r>
      <w:r w:rsidR="00631462">
        <w:rPr>
          <w:i/>
          <w:iCs/>
        </w:rPr>
        <w:t xml:space="preserve">Interdiscip Neurosurg. </w:t>
      </w:r>
      <w:r w:rsidR="00631462">
        <w:t>2018;12:8-9</w:t>
      </w:r>
    </w:p>
    <w:p w14:paraId="07701AAF" w14:textId="56C2A608" w:rsidR="00BE4FF9" w:rsidRDefault="00BE4FF9" w:rsidP="00BE4FF9">
      <w:r>
        <w:t xml:space="preserve">[14] </w:t>
      </w:r>
      <w:r w:rsidRPr="00565641">
        <w:t>Pham C, Bennett I, Jithoo R. Cryptococcal meningitis causing obstructive hydrocephalus in a patient on fingolimod. </w:t>
      </w:r>
      <w:r w:rsidRPr="00565641">
        <w:rPr>
          <w:i/>
          <w:iCs/>
        </w:rPr>
        <w:t>BMJ Case Rep</w:t>
      </w:r>
      <w:r w:rsidRPr="00565641">
        <w:t>. 2017;2017:bcr2017220026.</w:t>
      </w:r>
    </w:p>
    <w:p w14:paraId="12F40311" w14:textId="0D9CE324" w:rsidR="00926D01" w:rsidRDefault="00926D01" w:rsidP="00CC2EAC">
      <w:r>
        <w:t>[</w:t>
      </w:r>
      <w:r w:rsidR="00BE4FF9">
        <w:t>15</w:t>
      </w:r>
      <w:r>
        <w:t xml:space="preserve">] </w:t>
      </w:r>
      <w:r w:rsidRPr="00926D01">
        <w:t>Ward MD, Jones DE, Goldman MD. Cryptococcal meningitis after fingolimod discontinuation in a patient with multiple sclerosis. </w:t>
      </w:r>
      <w:r w:rsidRPr="00926D01">
        <w:rPr>
          <w:i/>
          <w:iCs/>
        </w:rPr>
        <w:t>Mult Scler Relat Disord</w:t>
      </w:r>
      <w:r w:rsidRPr="00926D01">
        <w:t>. 2016;9:47-49.</w:t>
      </w:r>
    </w:p>
    <w:p w14:paraId="335F1D94" w14:textId="77777777" w:rsidR="00BE4FF9" w:rsidRDefault="00BE4FF9" w:rsidP="00BE4FF9">
      <w:r>
        <w:t xml:space="preserve">[16] </w:t>
      </w:r>
      <w:r w:rsidRPr="00DF60AC">
        <w:t>Seto H, Nishimura M, Minamiji K, et al. Disseminated Cryptococcosis in a 63-year-old Patient with Multiple Sclerosis Treated with Fingolimod. </w:t>
      </w:r>
      <w:r w:rsidRPr="00DF60AC">
        <w:rPr>
          <w:i/>
          <w:iCs/>
        </w:rPr>
        <w:t>Intern Med</w:t>
      </w:r>
      <w:r w:rsidRPr="00DF60AC">
        <w:t>. 2016;55(22):3383-3386.</w:t>
      </w:r>
    </w:p>
    <w:p w14:paraId="2B3C9D87" w14:textId="390DA77C" w:rsidR="00BE4FF9" w:rsidRDefault="00BE4FF9" w:rsidP="00BE4FF9">
      <w:r>
        <w:lastRenderedPageBreak/>
        <w:t xml:space="preserve">[17] </w:t>
      </w:r>
      <w:r w:rsidRPr="00DE60BF">
        <w:t>Grebenciucova E, Reder AT, Bernard JT. Immunologic mechanisms of fingolimod and the role of immunosenescence in the risk of cryptococcal infection: A case report and review of literature [published correction appears in Mult Scler Relat Disord. 2016 Nov;10:213]. </w:t>
      </w:r>
      <w:r w:rsidRPr="00DE60BF">
        <w:rPr>
          <w:i/>
          <w:iCs/>
        </w:rPr>
        <w:t>Mult Scler Relat Disord</w:t>
      </w:r>
      <w:r w:rsidRPr="00DE60BF">
        <w:t xml:space="preserve">. 2016;9:158-162. </w:t>
      </w:r>
    </w:p>
    <w:p w14:paraId="34241EDA" w14:textId="27CC0F10" w:rsidR="00BE4FF9" w:rsidRDefault="00BE4FF9" w:rsidP="00BE4FF9">
      <w:r>
        <w:t xml:space="preserve">[18] </w:t>
      </w:r>
      <w:r w:rsidRPr="00BD3B0D">
        <w:t>Huang D. Disseminated cryptococcosis in a patient with multiple sclerosis treated with fingolimod. </w:t>
      </w:r>
      <w:r w:rsidRPr="00BD3B0D">
        <w:rPr>
          <w:i/>
          <w:iCs/>
        </w:rPr>
        <w:t>Neurology</w:t>
      </w:r>
      <w:r w:rsidRPr="00BD3B0D">
        <w:t>. 2015;85(11):1001-1003.</w:t>
      </w:r>
    </w:p>
    <w:p w14:paraId="3CE9B730" w14:textId="439AD499" w:rsidR="00565641" w:rsidRPr="00F26A35" w:rsidRDefault="00565641" w:rsidP="00565641">
      <w:pPr>
        <w:rPr>
          <w:lang w:val="fr-FR"/>
        </w:rPr>
      </w:pPr>
      <w:r>
        <w:t>[</w:t>
      </w:r>
      <w:r w:rsidR="00BE4FF9">
        <w:t>19</w:t>
      </w:r>
      <w:r>
        <w:t xml:space="preserve">] </w:t>
      </w:r>
      <w:r w:rsidRPr="00565641">
        <w:t>Achtnichts L, Obreja O, Conen A, Fux CA, Nedeltchev K. Cryptococcal Meningoencephalitis in a Patient With Multiple Sclerosis Treated With Fingolimod. </w:t>
      </w:r>
      <w:r w:rsidRPr="00F26A35">
        <w:rPr>
          <w:i/>
          <w:iCs/>
          <w:lang w:val="fr-FR"/>
        </w:rPr>
        <w:t>JAMA Neurol.</w:t>
      </w:r>
      <w:r w:rsidRPr="00F26A35">
        <w:rPr>
          <w:lang w:val="fr-FR"/>
        </w:rPr>
        <w:t> 2015;72(10):1203–1205.</w:t>
      </w:r>
    </w:p>
    <w:p w14:paraId="1A712061" w14:textId="05B15694" w:rsidR="00BE4FF9" w:rsidRDefault="00BE4FF9" w:rsidP="00BE4FF9">
      <w:r>
        <w:t xml:space="preserve">[20] </w:t>
      </w:r>
      <w:r w:rsidRPr="00BE4FF9">
        <w:t>Zhao Z, Ma CL, Gu ZC, Dong Y, Lv Y, Zhong MK. Incidence and Risk of Infection Associated With Fingolimod in Patients With Multiple Sclerosis: A Systematic Review and Meta-Analysis of 8,448 Patients From 12 Randomized Controlled Trials. </w:t>
      </w:r>
      <w:r w:rsidRPr="00BE4FF9">
        <w:rPr>
          <w:i/>
          <w:iCs/>
        </w:rPr>
        <w:t>Front Immunol</w:t>
      </w:r>
      <w:r w:rsidRPr="00BE4FF9">
        <w:t>. 2021;12:611711</w:t>
      </w:r>
      <w:r>
        <w:t>.</w:t>
      </w:r>
    </w:p>
    <w:p w14:paraId="2997856D" w14:textId="365DF128" w:rsidR="00BE4FF9" w:rsidRDefault="00BE4FF9" w:rsidP="00BE4FF9">
      <w:r>
        <w:t xml:space="preserve">[21] </w:t>
      </w:r>
      <w:r w:rsidRPr="00BE4FF9">
        <w:t>Berger JR, Cree BA, Greenberg B, et al. Progressive multifocal leukoencephalopathy after fingolimod treatment. </w:t>
      </w:r>
      <w:r w:rsidRPr="00BE4FF9">
        <w:rPr>
          <w:i/>
          <w:iCs/>
        </w:rPr>
        <w:t>Neurology</w:t>
      </w:r>
      <w:r w:rsidRPr="00BE4FF9">
        <w:t>. 2018;90(20):e1815-e1821. doi:10.1212/WNL.0000000000005529</w:t>
      </w:r>
    </w:p>
    <w:p w14:paraId="18B8081E" w14:textId="3AC33DC4" w:rsidR="00BE4FF9" w:rsidRDefault="00BE4FF9" w:rsidP="00BE4FF9">
      <w:r>
        <w:t xml:space="preserve">[22] </w:t>
      </w:r>
      <w:r w:rsidRPr="00BE4FF9">
        <w:t>Jaafar N, Zeineddine M, Massouh J, Yamout BI. Skin warts during fingolimod treatment in patients with multiple sclerosis. </w:t>
      </w:r>
      <w:r w:rsidRPr="00BE4FF9">
        <w:rPr>
          <w:i/>
          <w:iCs/>
        </w:rPr>
        <w:t>Mult Scler Relat Disord</w:t>
      </w:r>
      <w:r w:rsidRPr="00BE4FF9">
        <w:t>. 2019;36:101437. doi:10.1016/j.msard.2019.101437</w:t>
      </w:r>
    </w:p>
    <w:p w14:paraId="32867798" w14:textId="5029733A" w:rsidR="00BE4FF9" w:rsidRDefault="00BE4FF9" w:rsidP="00BE4FF9">
      <w:r>
        <w:t xml:space="preserve">[23] </w:t>
      </w:r>
      <w:r w:rsidRPr="00BE4FF9">
        <w:t>Tecellioglu M, Kamisli O, Kamisli S, Erdogmus UA, Özcan C. Listeria monocytogenes rhombencephalitis in a patient with multiple sclerosis during fingolimod therapy. </w:t>
      </w:r>
      <w:r w:rsidRPr="00BE4FF9">
        <w:rPr>
          <w:i/>
          <w:iCs/>
        </w:rPr>
        <w:t>Mult Scler Relat Disord</w:t>
      </w:r>
      <w:r w:rsidRPr="00BE4FF9">
        <w:t>. 2019;27:409-411. doi:10.1016/j.msard.2018.11.025</w:t>
      </w:r>
    </w:p>
    <w:p w14:paraId="4E8B633B" w14:textId="3B9BF650" w:rsidR="00BE4FF9" w:rsidRDefault="00BE4FF9" w:rsidP="00BE4FF9">
      <w:r>
        <w:t xml:space="preserve">[24] </w:t>
      </w:r>
      <w:r w:rsidRPr="00BE4FF9">
        <w:t>https://www.medicines.org.uk/emc/product/4545#</w:t>
      </w:r>
    </w:p>
    <w:p w14:paraId="06D8C459" w14:textId="1D33E8CD" w:rsidR="00BE4FF9" w:rsidRDefault="00BE4FF9" w:rsidP="00BE4FF9"/>
    <w:p w14:paraId="094B020E" w14:textId="3DA21547" w:rsidR="008878A6" w:rsidRPr="00E41364" w:rsidRDefault="005D5D66" w:rsidP="00E41364">
      <w:pPr>
        <w:rPr>
          <w:b/>
          <w:bCs/>
        </w:rPr>
      </w:pPr>
      <w:r w:rsidRPr="00EE65D5">
        <w:rPr>
          <w:b/>
          <w:bCs/>
        </w:rPr>
        <w:t>END OF MANUSCRIPT</w:t>
      </w:r>
    </w:p>
    <w:sectPr w:rsidR="008878A6" w:rsidRPr="00E41364" w:rsidSect="00AB0B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B169D" w16cex:dateUtc="2023-04-20T00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863782" w16cid:durableId="27EB0D56"/>
  <w16cid:commentId w16cid:paraId="2B1CBC32" w16cid:durableId="27EB0D57"/>
  <w16cid:commentId w16cid:paraId="359C9374" w16cid:durableId="27EB0D58"/>
  <w16cid:commentId w16cid:paraId="0378F128" w16cid:durableId="27EB0D5A"/>
  <w16cid:commentId w16cid:paraId="1F8856C1" w16cid:durableId="27EB169D"/>
  <w16cid:commentId w16cid:paraId="2A77E9F5" w16cid:durableId="27EB0D5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2B37"/>
    <w:multiLevelType w:val="multilevel"/>
    <w:tmpl w:val="13D4F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022B46"/>
    <w:multiLevelType w:val="multilevel"/>
    <w:tmpl w:val="9FF024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A549C4"/>
    <w:multiLevelType w:val="hybridMultilevel"/>
    <w:tmpl w:val="31501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408C5"/>
    <w:multiLevelType w:val="hybridMultilevel"/>
    <w:tmpl w:val="52029FC4"/>
    <w:lvl w:ilvl="0" w:tplc="D1CE6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80AFA"/>
    <w:multiLevelType w:val="hybridMultilevel"/>
    <w:tmpl w:val="758A9458"/>
    <w:lvl w:ilvl="0" w:tplc="873C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fr-FR" w:vendorID="64" w:dllVersion="131078" w:nlCheck="1" w:checkStyle="0"/>
  <w:activeWritingStyle w:appName="MSWord" w:lang="en-GB" w:vendorID="64" w:dllVersion="131078" w:nlCheck="1" w:checkStyle="1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8F"/>
    <w:rsid w:val="0000789C"/>
    <w:rsid w:val="00010918"/>
    <w:rsid w:val="00016F67"/>
    <w:rsid w:val="00020A09"/>
    <w:rsid w:val="00043049"/>
    <w:rsid w:val="0004662B"/>
    <w:rsid w:val="00046CFA"/>
    <w:rsid w:val="00076822"/>
    <w:rsid w:val="00080EF9"/>
    <w:rsid w:val="000A7E33"/>
    <w:rsid w:val="000B6237"/>
    <w:rsid w:val="000B757D"/>
    <w:rsid w:val="000C7CFF"/>
    <w:rsid w:val="000E0135"/>
    <w:rsid w:val="000E234D"/>
    <w:rsid w:val="00103133"/>
    <w:rsid w:val="00104A43"/>
    <w:rsid w:val="00121773"/>
    <w:rsid w:val="001249F4"/>
    <w:rsid w:val="00130E72"/>
    <w:rsid w:val="0014020C"/>
    <w:rsid w:val="00151499"/>
    <w:rsid w:val="00151BF8"/>
    <w:rsid w:val="00152099"/>
    <w:rsid w:val="001655DF"/>
    <w:rsid w:val="00167A57"/>
    <w:rsid w:val="0017435D"/>
    <w:rsid w:val="00174C6F"/>
    <w:rsid w:val="001777A8"/>
    <w:rsid w:val="00177E06"/>
    <w:rsid w:val="00195026"/>
    <w:rsid w:val="001A3F29"/>
    <w:rsid w:val="001A64B2"/>
    <w:rsid w:val="001B2B84"/>
    <w:rsid w:val="001B2C38"/>
    <w:rsid w:val="001C55D2"/>
    <w:rsid w:val="001D1447"/>
    <w:rsid w:val="001D34C1"/>
    <w:rsid w:val="001D7815"/>
    <w:rsid w:val="001E04FC"/>
    <w:rsid w:val="001E4E7E"/>
    <w:rsid w:val="001F5193"/>
    <w:rsid w:val="002534EA"/>
    <w:rsid w:val="00253CAE"/>
    <w:rsid w:val="002553DC"/>
    <w:rsid w:val="002620B9"/>
    <w:rsid w:val="0026429D"/>
    <w:rsid w:val="00264692"/>
    <w:rsid w:val="002646AA"/>
    <w:rsid w:val="002920E1"/>
    <w:rsid w:val="00292DC8"/>
    <w:rsid w:val="00295CB3"/>
    <w:rsid w:val="002C16CB"/>
    <w:rsid w:val="002C7A84"/>
    <w:rsid w:val="002D2FA1"/>
    <w:rsid w:val="002D46D8"/>
    <w:rsid w:val="002D4773"/>
    <w:rsid w:val="002E0E92"/>
    <w:rsid w:val="002E57C5"/>
    <w:rsid w:val="002F1136"/>
    <w:rsid w:val="002F1224"/>
    <w:rsid w:val="003032DB"/>
    <w:rsid w:val="003036F5"/>
    <w:rsid w:val="0031452A"/>
    <w:rsid w:val="003273F2"/>
    <w:rsid w:val="00330BCA"/>
    <w:rsid w:val="00346B82"/>
    <w:rsid w:val="003606D8"/>
    <w:rsid w:val="0036276A"/>
    <w:rsid w:val="00373065"/>
    <w:rsid w:val="003730FA"/>
    <w:rsid w:val="003757B9"/>
    <w:rsid w:val="003804C3"/>
    <w:rsid w:val="003862C0"/>
    <w:rsid w:val="003B3EBA"/>
    <w:rsid w:val="003C39FA"/>
    <w:rsid w:val="003C3E8B"/>
    <w:rsid w:val="003D1102"/>
    <w:rsid w:val="003D1353"/>
    <w:rsid w:val="003E390F"/>
    <w:rsid w:val="003E40C4"/>
    <w:rsid w:val="003F317A"/>
    <w:rsid w:val="00400C7A"/>
    <w:rsid w:val="00406BBA"/>
    <w:rsid w:val="0040770F"/>
    <w:rsid w:val="004112FF"/>
    <w:rsid w:val="004177BE"/>
    <w:rsid w:val="00423C9B"/>
    <w:rsid w:val="00426796"/>
    <w:rsid w:val="004324B8"/>
    <w:rsid w:val="00445ECD"/>
    <w:rsid w:val="00454FFC"/>
    <w:rsid w:val="004635FF"/>
    <w:rsid w:val="00467E35"/>
    <w:rsid w:val="00470DA4"/>
    <w:rsid w:val="00475947"/>
    <w:rsid w:val="00485BCC"/>
    <w:rsid w:val="0049719E"/>
    <w:rsid w:val="004B5B8B"/>
    <w:rsid w:val="004B75F9"/>
    <w:rsid w:val="004C037B"/>
    <w:rsid w:val="004C31EC"/>
    <w:rsid w:val="004C3531"/>
    <w:rsid w:val="004C5EDB"/>
    <w:rsid w:val="0051089B"/>
    <w:rsid w:val="00510A75"/>
    <w:rsid w:val="00517FD3"/>
    <w:rsid w:val="00533FBA"/>
    <w:rsid w:val="0054164E"/>
    <w:rsid w:val="00542345"/>
    <w:rsid w:val="005434CE"/>
    <w:rsid w:val="0054677A"/>
    <w:rsid w:val="00561DA9"/>
    <w:rsid w:val="00565641"/>
    <w:rsid w:val="00572A03"/>
    <w:rsid w:val="005744D1"/>
    <w:rsid w:val="00584137"/>
    <w:rsid w:val="00586CFC"/>
    <w:rsid w:val="00591D36"/>
    <w:rsid w:val="0059223C"/>
    <w:rsid w:val="005951AE"/>
    <w:rsid w:val="005A1E6E"/>
    <w:rsid w:val="005B6069"/>
    <w:rsid w:val="005D5D66"/>
    <w:rsid w:val="005E35CB"/>
    <w:rsid w:val="005E3F6F"/>
    <w:rsid w:val="005E5C0B"/>
    <w:rsid w:val="005F498E"/>
    <w:rsid w:val="00614CBE"/>
    <w:rsid w:val="006159B4"/>
    <w:rsid w:val="006229DD"/>
    <w:rsid w:val="006234C3"/>
    <w:rsid w:val="00626AD6"/>
    <w:rsid w:val="00631462"/>
    <w:rsid w:val="0063323C"/>
    <w:rsid w:val="006369CE"/>
    <w:rsid w:val="00637458"/>
    <w:rsid w:val="00641DE1"/>
    <w:rsid w:val="006529EA"/>
    <w:rsid w:val="0067470C"/>
    <w:rsid w:val="00676A14"/>
    <w:rsid w:val="0069146C"/>
    <w:rsid w:val="006B01A7"/>
    <w:rsid w:val="006B1108"/>
    <w:rsid w:val="006B2B80"/>
    <w:rsid w:val="006C53C6"/>
    <w:rsid w:val="006F0CC3"/>
    <w:rsid w:val="00714A29"/>
    <w:rsid w:val="0073139B"/>
    <w:rsid w:val="00733FA1"/>
    <w:rsid w:val="00766282"/>
    <w:rsid w:val="0076748D"/>
    <w:rsid w:val="007827DD"/>
    <w:rsid w:val="00787A17"/>
    <w:rsid w:val="007971C0"/>
    <w:rsid w:val="007A326E"/>
    <w:rsid w:val="007A7510"/>
    <w:rsid w:val="007B0637"/>
    <w:rsid w:val="007B2D19"/>
    <w:rsid w:val="007D657B"/>
    <w:rsid w:val="007E061E"/>
    <w:rsid w:val="007F4A0C"/>
    <w:rsid w:val="007F4F77"/>
    <w:rsid w:val="007F5677"/>
    <w:rsid w:val="007F62FE"/>
    <w:rsid w:val="008022F0"/>
    <w:rsid w:val="00803C5A"/>
    <w:rsid w:val="008109C5"/>
    <w:rsid w:val="00813603"/>
    <w:rsid w:val="00816E1A"/>
    <w:rsid w:val="0081750F"/>
    <w:rsid w:val="00817B87"/>
    <w:rsid w:val="008258E0"/>
    <w:rsid w:val="00835A35"/>
    <w:rsid w:val="00837D57"/>
    <w:rsid w:val="00845929"/>
    <w:rsid w:val="00862E5C"/>
    <w:rsid w:val="00866FD7"/>
    <w:rsid w:val="0087252D"/>
    <w:rsid w:val="008763BB"/>
    <w:rsid w:val="0088013E"/>
    <w:rsid w:val="008878A6"/>
    <w:rsid w:val="00893302"/>
    <w:rsid w:val="00893B2D"/>
    <w:rsid w:val="008A317E"/>
    <w:rsid w:val="008A3DCA"/>
    <w:rsid w:val="008A56ED"/>
    <w:rsid w:val="008B13FE"/>
    <w:rsid w:val="008C3232"/>
    <w:rsid w:val="008F0736"/>
    <w:rsid w:val="009003AF"/>
    <w:rsid w:val="00904D67"/>
    <w:rsid w:val="009145DC"/>
    <w:rsid w:val="009214CC"/>
    <w:rsid w:val="00926D01"/>
    <w:rsid w:val="00931A28"/>
    <w:rsid w:val="009427AC"/>
    <w:rsid w:val="0095199E"/>
    <w:rsid w:val="009604FF"/>
    <w:rsid w:val="009773A1"/>
    <w:rsid w:val="00982610"/>
    <w:rsid w:val="009A0EC9"/>
    <w:rsid w:val="009B66C1"/>
    <w:rsid w:val="009C0A64"/>
    <w:rsid w:val="009C5C60"/>
    <w:rsid w:val="009D6426"/>
    <w:rsid w:val="009E1C78"/>
    <w:rsid w:val="009E3585"/>
    <w:rsid w:val="009F772B"/>
    <w:rsid w:val="00A0026F"/>
    <w:rsid w:val="00A07FAE"/>
    <w:rsid w:val="00A17AAC"/>
    <w:rsid w:val="00A3648C"/>
    <w:rsid w:val="00A424E5"/>
    <w:rsid w:val="00A601FB"/>
    <w:rsid w:val="00A71D34"/>
    <w:rsid w:val="00A71F28"/>
    <w:rsid w:val="00A776B3"/>
    <w:rsid w:val="00A81E4E"/>
    <w:rsid w:val="00A83D6E"/>
    <w:rsid w:val="00AB0B31"/>
    <w:rsid w:val="00AC5D0A"/>
    <w:rsid w:val="00AD2234"/>
    <w:rsid w:val="00AD5B30"/>
    <w:rsid w:val="00AE18D4"/>
    <w:rsid w:val="00B03742"/>
    <w:rsid w:val="00B12725"/>
    <w:rsid w:val="00B13043"/>
    <w:rsid w:val="00B21983"/>
    <w:rsid w:val="00B219A4"/>
    <w:rsid w:val="00B34A14"/>
    <w:rsid w:val="00B56394"/>
    <w:rsid w:val="00B6026F"/>
    <w:rsid w:val="00B60984"/>
    <w:rsid w:val="00B63DF6"/>
    <w:rsid w:val="00B67458"/>
    <w:rsid w:val="00B736EF"/>
    <w:rsid w:val="00B93BB3"/>
    <w:rsid w:val="00B94E1F"/>
    <w:rsid w:val="00BA5800"/>
    <w:rsid w:val="00BA7B1C"/>
    <w:rsid w:val="00BB0131"/>
    <w:rsid w:val="00BC750D"/>
    <w:rsid w:val="00BC7EA6"/>
    <w:rsid w:val="00BD3B0D"/>
    <w:rsid w:val="00BE3D89"/>
    <w:rsid w:val="00BE4FF9"/>
    <w:rsid w:val="00BF6A80"/>
    <w:rsid w:val="00C1570D"/>
    <w:rsid w:val="00C16EA2"/>
    <w:rsid w:val="00C33D29"/>
    <w:rsid w:val="00C4021A"/>
    <w:rsid w:val="00C47DAB"/>
    <w:rsid w:val="00C56489"/>
    <w:rsid w:val="00C5654B"/>
    <w:rsid w:val="00C62C9F"/>
    <w:rsid w:val="00C80E32"/>
    <w:rsid w:val="00C841DF"/>
    <w:rsid w:val="00C945BD"/>
    <w:rsid w:val="00C97388"/>
    <w:rsid w:val="00CB2FF5"/>
    <w:rsid w:val="00CC0A5C"/>
    <w:rsid w:val="00CC1302"/>
    <w:rsid w:val="00CC2EAC"/>
    <w:rsid w:val="00CC5385"/>
    <w:rsid w:val="00CD5A37"/>
    <w:rsid w:val="00CE0590"/>
    <w:rsid w:val="00D02BA5"/>
    <w:rsid w:val="00D10447"/>
    <w:rsid w:val="00D167E7"/>
    <w:rsid w:val="00D21B6A"/>
    <w:rsid w:val="00D22143"/>
    <w:rsid w:val="00D229E6"/>
    <w:rsid w:val="00D27B2D"/>
    <w:rsid w:val="00D3205D"/>
    <w:rsid w:val="00D41141"/>
    <w:rsid w:val="00D568BB"/>
    <w:rsid w:val="00D65531"/>
    <w:rsid w:val="00D662A4"/>
    <w:rsid w:val="00D8158D"/>
    <w:rsid w:val="00D965CA"/>
    <w:rsid w:val="00D96ED1"/>
    <w:rsid w:val="00D97423"/>
    <w:rsid w:val="00DB6893"/>
    <w:rsid w:val="00DD7D7F"/>
    <w:rsid w:val="00DE0265"/>
    <w:rsid w:val="00DE0BCF"/>
    <w:rsid w:val="00DE60BF"/>
    <w:rsid w:val="00DF271A"/>
    <w:rsid w:val="00DF60AC"/>
    <w:rsid w:val="00DF664A"/>
    <w:rsid w:val="00DF6CB8"/>
    <w:rsid w:val="00E05D9C"/>
    <w:rsid w:val="00E07BDD"/>
    <w:rsid w:val="00E31A61"/>
    <w:rsid w:val="00E3716B"/>
    <w:rsid w:val="00E41364"/>
    <w:rsid w:val="00E4712C"/>
    <w:rsid w:val="00E60E2E"/>
    <w:rsid w:val="00E61B7B"/>
    <w:rsid w:val="00E669EA"/>
    <w:rsid w:val="00E77720"/>
    <w:rsid w:val="00E90650"/>
    <w:rsid w:val="00E9144A"/>
    <w:rsid w:val="00EA4342"/>
    <w:rsid w:val="00EB48D4"/>
    <w:rsid w:val="00EB6EEA"/>
    <w:rsid w:val="00EC1436"/>
    <w:rsid w:val="00EC57A0"/>
    <w:rsid w:val="00EC6687"/>
    <w:rsid w:val="00EC779D"/>
    <w:rsid w:val="00ED0926"/>
    <w:rsid w:val="00ED5206"/>
    <w:rsid w:val="00EE65D5"/>
    <w:rsid w:val="00EF235B"/>
    <w:rsid w:val="00F023B8"/>
    <w:rsid w:val="00F241F6"/>
    <w:rsid w:val="00F26A35"/>
    <w:rsid w:val="00F34728"/>
    <w:rsid w:val="00F34EDC"/>
    <w:rsid w:val="00F435D7"/>
    <w:rsid w:val="00F43F34"/>
    <w:rsid w:val="00F44786"/>
    <w:rsid w:val="00F46656"/>
    <w:rsid w:val="00F73341"/>
    <w:rsid w:val="00F815FC"/>
    <w:rsid w:val="00F82461"/>
    <w:rsid w:val="00FA0D21"/>
    <w:rsid w:val="00FB028F"/>
    <w:rsid w:val="00FC527B"/>
    <w:rsid w:val="00FD0FD6"/>
    <w:rsid w:val="00FD6093"/>
    <w:rsid w:val="00FE25A5"/>
    <w:rsid w:val="00FE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96ED"/>
  <w15:docId w15:val="{BF41AB89-4C49-D843-9190-BC669E61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01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7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77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7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7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7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77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7A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31462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26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3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71BA90E5EB240B142CBEB491F2FE4" ma:contentTypeVersion="19" ma:contentTypeDescription="Create a new document." ma:contentTypeScope="" ma:versionID="c49eb9d63f43f7e9287111107a716ee3">
  <xsd:schema xmlns:xsd="http://www.w3.org/2001/XMLSchema" xmlns:xs="http://www.w3.org/2001/XMLSchema" xmlns:p="http://schemas.microsoft.com/office/2006/metadata/properties" xmlns:ns1="http://schemas.microsoft.com/sharepoint/v3" xmlns:ns3="fdb8f85e-5e4e-4788-a7de-7033592aa2e9" xmlns:ns4="cc360cf2-c728-485d-8f63-6117eedb1bdb" targetNamespace="http://schemas.microsoft.com/office/2006/metadata/properties" ma:root="true" ma:fieldsID="075733d0c4d503d69c75c004a8c420ec" ns1:_="" ns3:_="" ns4:_="">
    <xsd:import namespace="http://schemas.microsoft.com/sharepoint/v3"/>
    <xsd:import namespace="fdb8f85e-5e4e-4788-a7de-7033592aa2e9"/>
    <xsd:import namespace="cc360cf2-c728-485d-8f63-6117eedb1b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8f85e-5e4e-4788-a7de-7033592aa2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60cf2-c728-485d-8f63-6117eedb1b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cc360cf2-c728-485d-8f63-6117eedb1bdb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A0A7A-3191-4562-A690-47DEE0178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b8f85e-5e4e-4788-a7de-7033592aa2e9"/>
    <ds:schemaRef ds:uri="cc360cf2-c728-485d-8f63-6117eedb1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6B4897-3451-4E3F-BAFD-366D6AF783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EA848E-2AB3-437D-BDC1-77BC808C25F7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cc360cf2-c728-485d-8f63-6117eedb1bdb"/>
    <ds:schemaRef ds:uri="http://schemas.microsoft.com/sharepoint/v3"/>
    <ds:schemaRef ds:uri="http://www.w3.org/XML/1998/namespace"/>
    <ds:schemaRef ds:uri="http://schemas.openxmlformats.org/package/2006/metadata/core-properties"/>
    <ds:schemaRef ds:uri="fdb8f85e-5e4e-4788-a7de-7033592aa2e9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A71756F-6F92-4CE7-A553-A66864A6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2915</Words>
  <Characters>16618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University Hospital NHS Foundation Trust</Company>
  <LinksUpToDate>false</LinksUpToDate>
  <CharactersWithSpaces>19495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moneeb.nasir</dc:creator>
  <cp:lastModifiedBy>Ian Galea</cp:lastModifiedBy>
  <cp:revision>2</cp:revision>
  <dcterms:created xsi:type="dcterms:W3CDTF">2023-12-03T08:49:00Z</dcterms:created>
  <dcterms:modified xsi:type="dcterms:W3CDTF">2023-12-03T08:49:00Z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0x010100EC171BA90E5EB240B142CBEB491F2FE4</vt:lpwstr>
  </property>
</Properties>
</file>