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7AE39" w14:textId="77777777" w:rsidR="00186B9D" w:rsidRPr="0065228D" w:rsidRDefault="00186B9D" w:rsidP="00186B9D">
      <w:pPr>
        <w:spacing w:after="0" w:line="360" w:lineRule="auto"/>
        <w:jc w:val="center"/>
        <w:rPr>
          <w:rFonts w:ascii="Times New Roman" w:hAnsi="Times New Roman" w:cs="Times New Roman"/>
          <w:b/>
          <w:bCs/>
          <w:sz w:val="28"/>
          <w:szCs w:val="28"/>
        </w:rPr>
      </w:pPr>
      <w:bookmarkStart w:id="0" w:name="_Hlk122277132"/>
      <w:r w:rsidRPr="0065228D">
        <w:rPr>
          <w:rFonts w:ascii="Times New Roman" w:hAnsi="Times New Roman" w:cs="Times New Roman"/>
          <w:b/>
          <w:bCs/>
          <w:sz w:val="28"/>
          <w:szCs w:val="28"/>
        </w:rPr>
        <w:t xml:space="preserve">Decentralized and Centralized </w:t>
      </w:r>
      <w:bookmarkEnd w:id="0"/>
      <w:r>
        <w:rPr>
          <w:rFonts w:ascii="Times New Roman" w:hAnsi="Times New Roman" w:cs="Times New Roman"/>
          <w:b/>
          <w:bCs/>
          <w:sz w:val="28"/>
          <w:szCs w:val="28"/>
        </w:rPr>
        <w:t>Exchanges: Which digital tokens pose a greater contagion risk?</w:t>
      </w:r>
    </w:p>
    <w:p w14:paraId="6C87FE64" w14:textId="77777777" w:rsidR="00186B9D" w:rsidRDefault="00186B9D" w:rsidP="000134A9">
      <w:pPr>
        <w:spacing w:line="360" w:lineRule="auto"/>
        <w:contextualSpacing/>
        <w:jc w:val="center"/>
        <w:rPr>
          <w:rFonts w:ascii="Times New Roman" w:hAnsi="Times New Roman" w:cs="Times New Roman"/>
          <w:b/>
          <w:bCs/>
          <w:sz w:val="24"/>
          <w:szCs w:val="24"/>
        </w:rPr>
      </w:pPr>
    </w:p>
    <w:p w14:paraId="3845AC81" w14:textId="77777777" w:rsidR="00186B9D" w:rsidRDefault="00186B9D" w:rsidP="000134A9">
      <w:pPr>
        <w:spacing w:line="360" w:lineRule="auto"/>
        <w:contextualSpacing/>
        <w:jc w:val="center"/>
        <w:rPr>
          <w:rFonts w:ascii="Times New Roman" w:hAnsi="Times New Roman" w:cs="Times New Roman"/>
          <w:b/>
          <w:bCs/>
          <w:sz w:val="24"/>
          <w:szCs w:val="24"/>
        </w:rPr>
      </w:pPr>
    </w:p>
    <w:p w14:paraId="676808AF" w14:textId="38373053" w:rsidR="00B348DE" w:rsidRPr="0065228D" w:rsidRDefault="00B348DE" w:rsidP="000134A9">
      <w:pPr>
        <w:spacing w:line="360" w:lineRule="auto"/>
        <w:contextualSpacing/>
        <w:jc w:val="center"/>
        <w:rPr>
          <w:rFonts w:ascii="Times New Roman" w:hAnsi="Times New Roman" w:cs="Times New Roman"/>
          <w:b/>
          <w:bCs/>
          <w:sz w:val="24"/>
          <w:szCs w:val="24"/>
        </w:rPr>
      </w:pPr>
      <w:r w:rsidRPr="0065228D">
        <w:rPr>
          <w:rFonts w:ascii="Times New Roman" w:hAnsi="Times New Roman" w:cs="Times New Roman"/>
          <w:b/>
          <w:bCs/>
          <w:sz w:val="24"/>
          <w:szCs w:val="24"/>
        </w:rPr>
        <w:t>ABSTRACT</w:t>
      </w:r>
    </w:p>
    <w:p w14:paraId="7932DC14" w14:textId="77777777" w:rsidR="000E187E" w:rsidRDefault="000E187E" w:rsidP="00BB762A">
      <w:pPr>
        <w:spacing w:line="240" w:lineRule="auto"/>
        <w:contextualSpacing/>
        <w:jc w:val="both"/>
        <w:rPr>
          <w:rFonts w:ascii="Times New Roman" w:hAnsi="Times New Roman" w:cs="Times New Roman"/>
          <w:sz w:val="24"/>
          <w:szCs w:val="24"/>
        </w:rPr>
      </w:pPr>
    </w:p>
    <w:p w14:paraId="3442EB2D" w14:textId="45BD4234" w:rsidR="00FF19AC" w:rsidRDefault="00FF19AC" w:rsidP="00F84F21">
      <w:pPr>
        <w:spacing w:line="360" w:lineRule="auto"/>
        <w:contextualSpacing/>
        <w:jc w:val="both"/>
        <w:rPr>
          <w:rFonts w:ascii="Times New Roman" w:hAnsi="Times New Roman" w:cs="Times New Roman"/>
          <w:sz w:val="24"/>
          <w:szCs w:val="24"/>
        </w:rPr>
      </w:pPr>
      <w:r w:rsidRPr="00FF19AC">
        <w:rPr>
          <w:rFonts w:ascii="Times New Roman" w:hAnsi="Times New Roman" w:cs="Times New Roman"/>
          <w:sz w:val="24"/>
          <w:szCs w:val="24"/>
        </w:rPr>
        <w:t>This study explores the impact of trading activity on both centralized exchanges (CEXs) and decentralized exchanges (DEXs) on information transmission patterns between digital and traditional investment assets. Utilizing a quantile connectedness approach, we analyze the relationships among DEX tokens, CEX tokens, and various assets, including Gold, Oil, Bitcoin, REITs, Equity, Bonds, and the US dollar index. Our results reveal that in the lowest quantile, DEX and CEX tokens primarily receive spillovers, while other assets act as the main transmitters. In contrast, in the upper quantile, DEX and CEX tokens become the primary transmitters of spillovers to other assets. These findings hold significant implications for financial portfolio management, as they demonstrate that during a short squeeze period, DEX-CEX tokens exhibit contagious effects on other assets, diminishing the effectiveness of risk management and portfolio strategies. Furthermore, our study suggests that DEX-CEX tokens serve as optimal hedges for oil, offering a cost-effective alternative for hedging Gold and the USD Index.</w:t>
      </w:r>
    </w:p>
    <w:p w14:paraId="1DC34A02" w14:textId="77777777" w:rsidR="00FF19AC" w:rsidRDefault="00FF19AC" w:rsidP="00F84F21">
      <w:pPr>
        <w:spacing w:line="360" w:lineRule="auto"/>
        <w:contextualSpacing/>
        <w:jc w:val="both"/>
        <w:rPr>
          <w:rFonts w:ascii="Times New Roman" w:hAnsi="Times New Roman" w:cs="Times New Roman"/>
          <w:sz w:val="24"/>
          <w:szCs w:val="24"/>
        </w:rPr>
      </w:pPr>
    </w:p>
    <w:p w14:paraId="0C81A4CF" w14:textId="0644F04C" w:rsidR="00B348DE" w:rsidRDefault="00EE339A" w:rsidP="00F84F21">
      <w:pPr>
        <w:spacing w:line="360" w:lineRule="auto"/>
        <w:contextualSpacing/>
        <w:jc w:val="both"/>
        <w:rPr>
          <w:rFonts w:ascii="Times New Roman" w:hAnsi="Times New Roman" w:cs="Times New Roman"/>
          <w:sz w:val="24"/>
          <w:szCs w:val="24"/>
        </w:rPr>
      </w:pPr>
      <w:r w:rsidRPr="0065228D">
        <w:rPr>
          <w:rFonts w:ascii="Times New Roman" w:hAnsi="Times New Roman" w:cs="Times New Roman"/>
          <w:i/>
          <w:iCs/>
          <w:sz w:val="24"/>
          <w:szCs w:val="24"/>
        </w:rPr>
        <w:t>Keywords:</w:t>
      </w:r>
      <w:r w:rsidRPr="0065228D">
        <w:rPr>
          <w:rFonts w:ascii="Times New Roman" w:hAnsi="Times New Roman" w:cs="Times New Roman"/>
          <w:sz w:val="24"/>
          <w:szCs w:val="24"/>
        </w:rPr>
        <w:t xml:space="preserve"> </w:t>
      </w:r>
      <w:r w:rsidR="00F16D0A" w:rsidRPr="00185A58">
        <w:rPr>
          <w:rFonts w:ascii="Times New Roman" w:hAnsi="Times New Roman" w:cs="Times New Roman"/>
          <w:sz w:val="24"/>
          <w:szCs w:val="24"/>
          <w:highlight w:val="cyan"/>
        </w:rPr>
        <w:t>Decentralized</w:t>
      </w:r>
      <w:r w:rsidRPr="00185A58">
        <w:rPr>
          <w:rFonts w:ascii="Times New Roman" w:hAnsi="Times New Roman" w:cs="Times New Roman"/>
          <w:sz w:val="24"/>
          <w:szCs w:val="24"/>
          <w:highlight w:val="cyan"/>
        </w:rPr>
        <w:t xml:space="preserve"> </w:t>
      </w:r>
      <w:r w:rsidR="009648AA" w:rsidRPr="00185A58">
        <w:rPr>
          <w:rFonts w:ascii="Times New Roman" w:hAnsi="Times New Roman" w:cs="Times New Roman"/>
          <w:sz w:val="24"/>
          <w:szCs w:val="24"/>
          <w:highlight w:val="cyan"/>
        </w:rPr>
        <w:t>exchange</w:t>
      </w:r>
      <w:r w:rsidR="00185A58">
        <w:rPr>
          <w:rFonts w:ascii="Times New Roman" w:hAnsi="Times New Roman" w:cs="Times New Roman"/>
          <w:sz w:val="24"/>
          <w:szCs w:val="24"/>
          <w:highlight w:val="cyan"/>
        </w:rPr>
        <w:t>s</w:t>
      </w:r>
      <w:r w:rsidR="009648AA" w:rsidRPr="00185A58">
        <w:rPr>
          <w:rFonts w:ascii="Times New Roman" w:hAnsi="Times New Roman" w:cs="Times New Roman"/>
          <w:sz w:val="24"/>
          <w:szCs w:val="24"/>
          <w:highlight w:val="cyan"/>
        </w:rPr>
        <w:t>:</w:t>
      </w:r>
      <w:r w:rsidR="00233DAE" w:rsidRPr="00185A58">
        <w:rPr>
          <w:rFonts w:ascii="Times New Roman" w:hAnsi="Times New Roman" w:cs="Times New Roman"/>
          <w:sz w:val="24"/>
          <w:szCs w:val="24"/>
          <w:highlight w:val="cyan"/>
        </w:rPr>
        <w:t xml:space="preserve"> </w:t>
      </w:r>
      <w:r w:rsidRPr="00185A58">
        <w:rPr>
          <w:rFonts w:ascii="Times New Roman" w:hAnsi="Times New Roman" w:cs="Times New Roman"/>
          <w:sz w:val="24"/>
          <w:szCs w:val="24"/>
          <w:highlight w:val="cyan"/>
        </w:rPr>
        <w:t>Centralized exchange</w:t>
      </w:r>
      <w:r w:rsidR="00185A58">
        <w:rPr>
          <w:rFonts w:ascii="Times New Roman" w:hAnsi="Times New Roman" w:cs="Times New Roman"/>
          <w:sz w:val="24"/>
          <w:szCs w:val="24"/>
          <w:highlight w:val="cyan"/>
        </w:rPr>
        <w:t>s</w:t>
      </w:r>
      <w:r w:rsidR="009648AA" w:rsidRPr="00185A58">
        <w:rPr>
          <w:rFonts w:ascii="Times New Roman" w:hAnsi="Times New Roman" w:cs="Times New Roman"/>
          <w:sz w:val="24"/>
          <w:szCs w:val="24"/>
          <w:highlight w:val="cyan"/>
        </w:rPr>
        <w:t>; Cryptocurrency;</w:t>
      </w:r>
      <w:r w:rsidRPr="00185A58">
        <w:rPr>
          <w:rFonts w:ascii="Times New Roman" w:hAnsi="Times New Roman" w:cs="Times New Roman"/>
          <w:sz w:val="24"/>
          <w:szCs w:val="24"/>
          <w:highlight w:val="cyan"/>
        </w:rPr>
        <w:t xml:space="preserve"> tokens</w:t>
      </w:r>
      <w:r w:rsidR="001C5C19" w:rsidRPr="00185A58">
        <w:rPr>
          <w:rFonts w:ascii="Times New Roman" w:hAnsi="Times New Roman" w:cs="Times New Roman"/>
          <w:sz w:val="24"/>
          <w:szCs w:val="24"/>
          <w:highlight w:val="cyan"/>
        </w:rPr>
        <w:t>;</w:t>
      </w:r>
      <w:r w:rsidRPr="00185A58">
        <w:rPr>
          <w:rFonts w:ascii="Times New Roman" w:hAnsi="Times New Roman" w:cs="Times New Roman"/>
          <w:sz w:val="24"/>
          <w:szCs w:val="24"/>
          <w:highlight w:val="cyan"/>
        </w:rPr>
        <w:t xml:space="preserve"> </w:t>
      </w:r>
      <w:r w:rsidR="00AD4771" w:rsidRPr="00185A58">
        <w:rPr>
          <w:rFonts w:ascii="Times New Roman" w:hAnsi="Times New Roman" w:cs="Times New Roman"/>
          <w:sz w:val="24"/>
          <w:szCs w:val="24"/>
          <w:highlight w:val="cyan"/>
        </w:rPr>
        <w:t xml:space="preserve">financial </w:t>
      </w:r>
      <w:r w:rsidR="0057196B" w:rsidRPr="00185A58">
        <w:rPr>
          <w:rFonts w:ascii="Times New Roman" w:hAnsi="Times New Roman" w:cs="Times New Roman"/>
          <w:sz w:val="24"/>
          <w:szCs w:val="24"/>
          <w:highlight w:val="cyan"/>
        </w:rPr>
        <w:t>contagion</w:t>
      </w:r>
      <w:r w:rsidR="00580323" w:rsidRPr="00185A58">
        <w:rPr>
          <w:rFonts w:ascii="Times New Roman" w:hAnsi="Times New Roman" w:cs="Times New Roman"/>
          <w:sz w:val="24"/>
          <w:szCs w:val="24"/>
          <w:highlight w:val="cyan"/>
        </w:rPr>
        <w:t>.</w:t>
      </w:r>
    </w:p>
    <w:p w14:paraId="1059CDBD" w14:textId="77777777" w:rsidR="00580323" w:rsidRPr="0065228D" w:rsidRDefault="00580323" w:rsidP="00F84F21">
      <w:pPr>
        <w:spacing w:line="360" w:lineRule="auto"/>
        <w:contextualSpacing/>
        <w:jc w:val="both"/>
        <w:rPr>
          <w:rFonts w:ascii="Times New Roman" w:hAnsi="Times New Roman" w:cs="Times New Roman"/>
          <w:i/>
          <w:iCs/>
          <w:sz w:val="24"/>
          <w:szCs w:val="24"/>
        </w:rPr>
      </w:pPr>
    </w:p>
    <w:p w14:paraId="0DFE1E9D" w14:textId="0319074F" w:rsidR="00EE339A" w:rsidRPr="00EE339A" w:rsidRDefault="00EE339A" w:rsidP="00EE339A">
      <w:pPr>
        <w:spacing w:line="360" w:lineRule="auto"/>
        <w:contextualSpacing/>
        <w:jc w:val="both"/>
        <w:rPr>
          <w:rFonts w:ascii="Times New Roman" w:hAnsi="Times New Roman" w:cs="Times New Roman"/>
          <w:i/>
          <w:iCs/>
          <w:sz w:val="24"/>
          <w:szCs w:val="24"/>
        </w:rPr>
      </w:pPr>
      <w:r w:rsidRPr="00EE339A">
        <w:rPr>
          <w:rFonts w:ascii="Times New Roman" w:hAnsi="Times New Roman" w:cs="Times New Roman"/>
          <w:i/>
          <w:iCs/>
          <w:sz w:val="24"/>
          <w:szCs w:val="24"/>
        </w:rPr>
        <w:t xml:space="preserve">JEL code: C58; F36; </w:t>
      </w:r>
      <w:r w:rsidR="00F43F22" w:rsidRPr="0065228D">
        <w:rPr>
          <w:rFonts w:ascii="Times New Roman" w:hAnsi="Times New Roman" w:cs="Times New Roman"/>
          <w:i/>
          <w:iCs/>
          <w:sz w:val="24"/>
          <w:szCs w:val="24"/>
        </w:rPr>
        <w:t xml:space="preserve">G10; </w:t>
      </w:r>
      <w:r w:rsidRPr="00EE339A">
        <w:rPr>
          <w:rFonts w:ascii="Times New Roman" w:hAnsi="Times New Roman" w:cs="Times New Roman"/>
          <w:i/>
          <w:iCs/>
          <w:sz w:val="24"/>
          <w:szCs w:val="24"/>
        </w:rPr>
        <w:t>G11; G15</w:t>
      </w:r>
    </w:p>
    <w:p w14:paraId="1CF1821C" w14:textId="77777777" w:rsidR="00EE339A" w:rsidRPr="0065228D" w:rsidRDefault="00EE339A" w:rsidP="00F84F21">
      <w:pPr>
        <w:spacing w:line="360" w:lineRule="auto"/>
        <w:contextualSpacing/>
        <w:jc w:val="both"/>
        <w:rPr>
          <w:rFonts w:ascii="Times New Roman" w:hAnsi="Times New Roman" w:cs="Times New Roman"/>
          <w:sz w:val="24"/>
          <w:szCs w:val="24"/>
        </w:rPr>
      </w:pPr>
    </w:p>
    <w:p w14:paraId="59A3ECA0" w14:textId="00B99104" w:rsidR="00B348DE" w:rsidRPr="0065228D" w:rsidRDefault="00B348DE" w:rsidP="00F84F21">
      <w:pPr>
        <w:spacing w:line="360" w:lineRule="auto"/>
        <w:contextualSpacing/>
        <w:jc w:val="both"/>
        <w:rPr>
          <w:rFonts w:ascii="Times New Roman" w:hAnsi="Times New Roman" w:cs="Times New Roman"/>
          <w:sz w:val="24"/>
          <w:szCs w:val="24"/>
        </w:rPr>
      </w:pPr>
    </w:p>
    <w:p w14:paraId="69FD0697" w14:textId="2AF2BB48" w:rsidR="00B348DE" w:rsidRPr="0065228D" w:rsidRDefault="00B348DE" w:rsidP="00F84F21">
      <w:pPr>
        <w:spacing w:line="360" w:lineRule="auto"/>
        <w:contextualSpacing/>
        <w:jc w:val="both"/>
        <w:rPr>
          <w:rFonts w:ascii="Times New Roman" w:hAnsi="Times New Roman" w:cs="Times New Roman"/>
          <w:sz w:val="24"/>
          <w:szCs w:val="24"/>
        </w:rPr>
      </w:pPr>
    </w:p>
    <w:p w14:paraId="3D0771BA" w14:textId="61A2CBBA" w:rsidR="00B348DE" w:rsidRPr="0065228D" w:rsidRDefault="00B348DE" w:rsidP="00F84F21">
      <w:pPr>
        <w:spacing w:line="360" w:lineRule="auto"/>
        <w:contextualSpacing/>
        <w:jc w:val="both"/>
        <w:rPr>
          <w:rFonts w:ascii="Times New Roman" w:hAnsi="Times New Roman" w:cs="Times New Roman"/>
          <w:sz w:val="24"/>
          <w:szCs w:val="24"/>
        </w:rPr>
      </w:pPr>
    </w:p>
    <w:p w14:paraId="3D6E92A2" w14:textId="55FC388D" w:rsidR="00B348DE" w:rsidRPr="0065228D" w:rsidRDefault="00B348DE" w:rsidP="00F84F21">
      <w:pPr>
        <w:spacing w:line="360" w:lineRule="auto"/>
        <w:contextualSpacing/>
        <w:jc w:val="both"/>
        <w:rPr>
          <w:rFonts w:ascii="Times New Roman" w:hAnsi="Times New Roman" w:cs="Times New Roman"/>
          <w:sz w:val="24"/>
          <w:szCs w:val="24"/>
        </w:rPr>
      </w:pPr>
    </w:p>
    <w:p w14:paraId="4812620C" w14:textId="044844A0" w:rsidR="00B348DE" w:rsidRPr="0065228D" w:rsidRDefault="00B348DE" w:rsidP="00F84F21">
      <w:pPr>
        <w:spacing w:line="360" w:lineRule="auto"/>
        <w:contextualSpacing/>
        <w:jc w:val="both"/>
        <w:rPr>
          <w:rFonts w:ascii="Times New Roman" w:hAnsi="Times New Roman" w:cs="Times New Roman"/>
          <w:sz w:val="24"/>
          <w:szCs w:val="24"/>
        </w:rPr>
      </w:pPr>
    </w:p>
    <w:p w14:paraId="637D4E91" w14:textId="593C0377" w:rsidR="00B348DE" w:rsidRPr="0065228D" w:rsidRDefault="00B348DE" w:rsidP="00F84F21">
      <w:pPr>
        <w:spacing w:line="360" w:lineRule="auto"/>
        <w:contextualSpacing/>
        <w:jc w:val="both"/>
        <w:rPr>
          <w:rFonts w:ascii="Times New Roman" w:hAnsi="Times New Roman" w:cs="Times New Roman"/>
          <w:sz w:val="24"/>
          <w:szCs w:val="24"/>
        </w:rPr>
      </w:pPr>
    </w:p>
    <w:p w14:paraId="246537E8" w14:textId="3E2BE447" w:rsidR="00FA5D16" w:rsidRDefault="00FA5D16" w:rsidP="00F84F21">
      <w:pPr>
        <w:spacing w:line="360" w:lineRule="auto"/>
        <w:contextualSpacing/>
        <w:jc w:val="both"/>
        <w:rPr>
          <w:rFonts w:ascii="Times New Roman" w:hAnsi="Times New Roman" w:cs="Times New Roman"/>
          <w:sz w:val="24"/>
          <w:szCs w:val="24"/>
        </w:rPr>
      </w:pPr>
    </w:p>
    <w:p w14:paraId="77C4F165" w14:textId="77777777" w:rsidR="00531153" w:rsidRDefault="00531153" w:rsidP="00F84F21">
      <w:pPr>
        <w:spacing w:line="360" w:lineRule="auto"/>
        <w:contextualSpacing/>
        <w:jc w:val="both"/>
        <w:rPr>
          <w:rFonts w:ascii="Times New Roman" w:hAnsi="Times New Roman" w:cs="Times New Roman"/>
          <w:sz w:val="24"/>
          <w:szCs w:val="24"/>
        </w:rPr>
      </w:pPr>
    </w:p>
    <w:p w14:paraId="3684696B" w14:textId="77777777" w:rsidR="00531153" w:rsidRDefault="00531153" w:rsidP="00F84F21">
      <w:pPr>
        <w:spacing w:line="360" w:lineRule="auto"/>
        <w:contextualSpacing/>
        <w:jc w:val="both"/>
        <w:rPr>
          <w:rFonts w:ascii="Times New Roman" w:hAnsi="Times New Roman" w:cs="Times New Roman"/>
          <w:sz w:val="24"/>
          <w:szCs w:val="24"/>
        </w:rPr>
      </w:pPr>
    </w:p>
    <w:p w14:paraId="75251731" w14:textId="77777777" w:rsidR="00FA5D16" w:rsidRPr="0065228D" w:rsidRDefault="00FA5D16" w:rsidP="00F84F21">
      <w:pPr>
        <w:spacing w:line="360" w:lineRule="auto"/>
        <w:contextualSpacing/>
        <w:jc w:val="both"/>
        <w:rPr>
          <w:rFonts w:ascii="Times New Roman" w:hAnsi="Times New Roman" w:cs="Times New Roman"/>
          <w:sz w:val="24"/>
          <w:szCs w:val="24"/>
        </w:rPr>
      </w:pPr>
    </w:p>
    <w:p w14:paraId="76077EC7" w14:textId="45F18994" w:rsidR="00B348DE" w:rsidRPr="0065228D" w:rsidRDefault="00B348DE" w:rsidP="00F84F21">
      <w:pPr>
        <w:numPr>
          <w:ilvl w:val="0"/>
          <w:numId w:val="1"/>
        </w:numPr>
        <w:spacing w:line="360" w:lineRule="auto"/>
        <w:contextualSpacing/>
        <w:jc w:val="both"/>
        <w:rPr>
          <w:rFonts w:ascii="Times New Roman" w:hAnsi="Times New Roman" w:cs="Times New Roman"/>
          <w:sz w:val="24"/>
          <w:szCs w:val="24"/>
        </w:rPr>
      </w:pPr>
      <w:r w:rsidRPr="0065228D">
        <w:rPr>
          <w:rFonts w:ascii="Times New Roman" w:hAnsi="Times New Roman" w:cs="Times New Roman"/>
          <w:b/>
          <w:sz w:val="24"/>
          <w:szCs w:val="24"/>
          <w:lang w:val="en-GB"/>
        </w:rPr>
        <w:t>Introduction</w:t>
      </w:r>
    </w:p>
    <w:p w14:paraId="7ABEB57F" w14:textId="77777777" w:rsidR="00FD268D" w:rsidRPr="00FD268D" w:rsidRDefault="00FD268D" w:rsidP="00FD268D">
      <w:pPr>
        <w:spacing w:line="360" w:lineRule="auto"/>
        <w:contextualSpacing/>
        <w:jc w:val="both"/>
        <w:rPr>
          <w:rFonts w:ascii="Times New Roman" w:hAnsi="Times New Roman" w:cs="Times New Roman"/>
          <w:sz w:val="24"/>
          <w:szCs w:val="24"/>
        </w:rPr>
      </w:pPr>
    </w:p>
    <w:p w14:paraId="25C0EEFA" w14:textId="2533F098" w:rsidR="00456A5A" w:rsidRPr="00542D8C" w:rsidRDefault="00FA5D16" w:rsidP="00456A5A">
      <w:pPr>
        <w:spacing w:line="360" w:lineRule="auto"/>
        <w:contextualSpacing/>
        <w:jc w:val="both"/>
        <w:rPr>
          <w:rFonts w:ascii="Times New Roman" w:hAnsi="Times New Roman" w:cs="Times New Roman"/>
          <w:sz w:val="24"/>
          <w:szCs w:val="24"/>
        </w:rPr>
      </w:pPr>
      <w:r w:rsidRPr="00542D8C">
        <w:rPr>
          <w:rFonts w:ascii="Times New Roman" w:hAnsi="Times New Roman" w:cs="Times New Roman"/>
          <w:sz w:val="24"/>
          <w:szCs w:val="24"/>
        </w:rPr>
        <w:t xml:space="preserve">The trade of digital assets has increased substantially over the last decade, with centralized exchanges (CEX) acting as the main marketplace for the crypto assets. </w:t>
      </w:r>
      <w:r w:rsidR="00F742E8" w:rsidRPr="00542D8C">
        <w:rPr>
          <w:rFonts w:ascii="Times New Roman" w:hAnsi="Times New Roman" w:cs="Times New Roman"/>
          <w:sz w:val="24"/>
          <w:szCs w:val="24"/>
        </w:rPr>
        <w:t>Recently, decentralized exchanges (DEX) have also gained attention as a viable alternative for investors due to the increased security and anonymity they offer</w:t>
      </w:r>
      <w:r w:rsidR="00A72514" w:rsidRPr="00542D8C">
        <w:rPr>
          <w:rFonts w:ascii="Times New Roman" w:hAnsi="Times New Roman" w:cs="Times New Roman"/>
          <w:sz w:val="24"/>
          <w:szCs w:val="24"/>
        </w:rPr>
        <w:t xml:space="preserve"> (</w:t>
      </w:r>
      <w:proofErr w:type="spellStart"/>
      <w:r w:rsidR="00A72514" w:rsidRPr="00542D8C">
        <w:rPr>
          <w:rFonts w:ascii="Times New Roman" w:hAnsi="Times New Roman" w:cs="Times New Roman"/>
          <w:sz w:val="24"/>
          <w:szCs w:val="24"/>
        </w:rPr>
        <w:t>Aspris</w:t>
      </w:r>
      <w:proofErr w:type="spellEnd"/>
      <w:r w:rsidR="00A72514" w:rsidRPr="00542D8C">
        <w:rPr>
          <w:rFonts w:ascii="Times New Roman" w:hAnsi="Times New Roman" w:cs="Times New Roman"/>
          <w:sz w:val="24"/>
          <w:szCs w:val="24"/>
        </w:rPr>
        <w:t xml:space="preserve"> et al., 2021)</w:t>
      </w:r>
      <w:r w:rsidR="00F742E8" w:rsidRPr="00542D8C">
        <w:rPr>
          <w:rFonts w:ascii="Times New Roman" w:hAnsi="Times New Roman" w:cs="Times New Roman"/>
          <w:sz w:val="24"/>
          <w:szCs w:val="24"/>
        </w:rPr>
        <w:t xml:space="preserve">. The recent collapses of cryptocurrency exchanges </w:t>
      </w:r>
      <w:r w:rsidR="00A72514" w:rsidRPr="00542D8C">
        <w:rPr>
          <w:rFonts w:ascii="Times New Roman" w:hAnsi="Times New Roman" w:cs="Times New Roman"/>
          <w:sz w:val="24"/>
          <w:szCs w:val="24"/>
        </w:rPr>
        <w:t xml:space="preserve">fed into </w:t>
      </w:r>
      <w:r w:rsidR="00F742E8" w:rsidRPr="00542D8C">
        <w:rPr>
          <w:rFonts w:ascii="Times New Roman" w:hAnsi="Times New Roman" w:cs="Times New Roman"/>
          <w:sz w:val="24"/>
          <w:szCs w:val="24"/>
        </w:rPr>
        <w:t xml:space="preserve">the </w:t>
      </w:r>
      <w:r w:rsidR="00A72514" w:rsidRPr="00542D8C">
        <w:rPr>
          <w:rFonts w:ascii="Times New Roman" w:hAnsi="Times New Roman" w:cs="Times New Roman"/>
          <w:sz w:val="24"/>
          <w:szCs w:val="24"/>
        </w:rPr>
        <w:t xml:space="preserve">ongoing </w:t>
      </w:r>
      <w:r w:rsidR="00F742E8" w:rsidRPr="00542D8C">
        <w:rPr>
          <w:rFonts w:ascii="Times New Roman" w:hAnsi="Times New Roman" w:cs="Times New Roman"/>
          <w:sz w:val="24"/>
          <w:szCs w:val="24"/>
        </w:rPr>
        <w:t xml:space="preserve">debates on whether the extreme volatility of digital assets is posing a threat to </w:t>
      </w:r>
      <w:r w:rsidR="004B3B1F" w:rsidRPr="00542D8C">
        <w:rPr>
          <w:rFonts w:ascii="Times New Roman" w:hAnsi="Times New Roman" w:cs="Times New Roman"/>
          <w:sz w:val="24"/>
          <w:szCs w:val="24"/>
        </w:rPr>
        <w:t>global</w:t>
      </w:r>
      <w:r w:rsidR="00F742E8" w:rsidRPr="00542D8C">
        <w:rPr>
          <w:rFonts w:ascii="Times New Roman" w:hAnsi="Times New Roman" w:cs="Times New Roman"/>
          <w:sz w:val="24"/>
          <w:szCs w:val="24"/>
        </w:rPr>
        <w:t xml:space="preserve"> financial stability</w:t>
      </w:r>
      <w:r w:rsidR="00A72514" w:rsidRPr="00542D8C">
        <w:rPr>
          <w:rFonts w:ascii="Times New Roman" w:hAnsi="Times New Roman" w:cs="Times New Roman"/>
          <w:sz w:val="24"/>
          <w:szCs w:val="24"/>
        </w:rPr>
        <w:t>.</w:t>
      </w:r>
      <w:r w:rsidR="00F742E8" w:rsidRPr="00542D8C">
        <w:rPr>
          <w:rFonts w:ascii="Times New Roman" w:hAnsi="Times New Roman" w:cs="Times New Roman"/>
          <w:sz w:val="24"/>
          <w:szCs w:val="24"/>
        </w:rPr>
        <w:t xml:space="preserve"> In this paper, we aim to explore how the trading activity on CEX and DEX platforms alters </w:t>
      </w:r>
      <w:r w:rsidR="001C5C19" w:rsidRPr="00542D8C">
        <w:rPr>
          <w:rFonts w:ascii="Times New Roman" w:hAnsi="Times New Roman" w:cs="Times New Roman"/>
          <w:sz w:val="24"/>
          <w:szCs w:val="24"/>
        </w:rPr>
        <w:t xml:space="preserve">the </w:t>
      </w:r>
      <w:r w:rsidR="00F742E8" w:rsidRPr="00542D8C">
        <w:rPr>
          <w:rFonts w:ascii="Times New Roman" w:hAnsi="Times New Roman" w:cs="Times New Roman"/>
          <w:sz w:val="24"/>
          <w:szCs w:val="24"/>
        </w:rPr>
        <w:t xml:space="preserve">patterns of interconnectedness in the digital asset ecosystem and beyond. </w:t>
      </w:r>
    </w:p>
    <w:p w14:paraId="5F80FE90" w14:textId="59AFB176" w:rsidR="00147147" w:rsidRDefault="00126B97" w:rsidP="0094244C">
      <w:pPr>
        <w:spacing w:line="360" w:lineRule="auto"/>
        <w:ind w:firstLine="720"/>
        <w:contextualSpacing/>
        <w:jc w:val="both"/>
        <w:rPr>
          <w:rFonts w:ascii="Times New Roman" w:hAnsi="Times New Roman" w:cs="Times New Roman"/>
          <w:sz w:val="24"/>
          <w:szCs w:val="24"/>
        </w:rPr>
      </w:pPr>
      <w:bookmarkStart w:id="1" w:name="_Hlk145326586"/>
      <w:r w:rsidRPr="00542D8C">
        <w:rPr>
          <w:rFonts w:ascii="Times New Roman" w:hAnsi="Times New Roman" w:cs="Times New Roman"/>
          <w:sz w:val="24"/>
          <w:szCs w:val="24"/>
        </w:rPr>
        <w:t>The</w:t>
      </w:r>
      <w:r w:rsidR="00247244" w:rsidRPr="00542D8C">
        <w:rPr>
          <w:rFonts w:ascii="Times New Roman" w:hAnsi="Times New Roman" w:cs="Times New Roman"/>
          <w:sz w:val="24"/>
          <w:szCs w:val="24"/>
        </w:rPr>
        <w:t xml:space="preserve"> categorization of digital assets based on their heterogeneous characteristics and blockchain stack position </w:t>
      </w:r>
      <w:r w:rsidRPr="00542D8C">
        <w:rPr>
          <w:rFonts w:ascii="Times New Roman" w:hAnsi="Times New Roman" w:cs="Times New Roman"/>
          <w:sz w:val="24"/>
          <w:szCs w:val="24"/>
        </w:rPr>
        <w:t xml:space="preserve">is important for understanding </w:t>
      </w:r>
      <w:r w:rsidR="006B2B83" w:rsidRPr="00542D8C">
        <w:rPr>
          <w:rFonts w:ascii="Times New Roman" w:hAnsi="Times New Roman" w:cs="Times New Roman"/>
          <w:sz w:val="24"/>
          <w:szCs w:val="24"/>
        </w:rPr>
        <w:t>the</w:t>
      </w:r>
      <w:r w:rsidRPr="00542D8C">
        <w:rPr>
          <w:rFonts w:ascii="Times New Roman" w:hAnsi="Times New Roman" w:cs="Times New Roman"/>
          <w:sz w:val="24"/>
          <w:szCs w:val="24"/>
        </w:rPr>
        <w:t xml:space="preserve"> dynamics of inf</w:t>
      </w:r>
      <w:r>
        <w:rPr>
          <w:rFonts w:ascii="Times New Roman" w:hAnsi="Times New Roman" w:cs="Times New Roman"/>
          <w:sz w:val="24"/>
          <w:szCs w:val="24"/>
        </w:rPr>
        <w:t>ormation transmission between crypto assets</w:t>
      </w:r>
      <w:r w:rsidR="008762CF">
        <w:rPr>
          <w:rFonts w:ascii="Times New Roman" w:hAnsi="Times New Roman" w:cs="Times New Roman"/>
          <w:sz w:val="24"/>
          <w:szCs w:val="24"/>
        </w:rPr>
        <w:t xml:space="preserve"> </w:t>
      </w:r>
      <w:r w:rsidR="008762CF" w:rsidRPr="008762CF">
        <w:rPr>
          <w:rFonts w:ascii="Times New Roman" w:hAnsi="Times New Roman" w:cs="Times New Roman"/>
          <w:sz w:val="24"/>
          <w:szCs w:val="24"/>
        </w:rPr>
        <w:t>(</w:t>
      </w:r>
      <w:r w:rsidR="008762CF" w:rsidRPr="008762CF">
        <w:rPr>
          <w:rFonts w:ascii="Times New Roman" w:hAnsi="Times New Roman" w:cs="Times New Roman"/>
          <w:bCs/>
          <w:sz w:val="24"/>
          <w:szCs w:val="24"/>
        </w:rPr>
        <w:t>Corbet et al., 2020;</w:t>
      </w:r>
      <w:r w:rsidR="008762CF" w:rsidRPr="008762CF">
        <w:t xml:space="preserve"> </w:t>
      </w:r>
      <w:r w:rsidR="008762CF" w:rsidRPr="008762CF">
        <w:rPr>
          <w:rFonts w:ascii="Times New Roman" w:hAnsi="Times New Roman" w:cs="Times New Roman"/>
          <w:bCs/>
          <w:sz w:val="24"/>
          <w:szCs w:val="24"/>
        </w:rPr>
        <w:t xml:space="preserve">Benedetti &amp; </w:t>
      </w:r>
      <w:proofErr w:type="spellStart"/>
      <w:r w:rsidR="008762CF" w:rsidRPr="008762CF">
        <w:rPr>
          <w:rFonts w:ascii="Times New Roman" w:hAnsi="Times New Roman" w:cs="Times New Roman"/>
          <w:bCs/>
          <w:sz w:val="24"/>
          <w:szCs w:val="24"/>
        </w:rPr>
        <w:t>Nikbakht</w:t>
      </w:r>
      <w:proofErr w:type="spellEnd"/>
      <w:r w:rsidR="008762CF" w:rsidRPr="008762CF">
        <w:rPr>
          <w:rFonts w:ascii="Times New Roman" w:hAnsi="Times New Roman" w:cs="Times New Roman"/>
          <w:bCs/>
          <w:sz w:val="24"/>
          <w:szCs w:val="24"/>
        </w:rPr>
        <w:t>, 2021</w:t>
      </w:r>
      <w:r w:rsidR="008762CF" w:rsidRPr="008762CF">
        <w:rPr>
          <w:rFonts w:ascii="Times New Roman" w:hAnsi="Times New Roman" w:cs="Times New Roman"/>
          <w:bCs/>
          <w:sz w:val="24"/>
          <w:szCs w:val="24"/>
        </w:rPr>
        <w:t>)</w:t>
      </w:r>
      <w:r w:rsidR="006B2B83" w:rsidRPr="008762CF">
        <w:rPr>
          <w:rFonts w:ascii="Times New Roman" w:hAnsi="Times New Roman" w:cs="Times New Roman"/>
          <w:sz w:val="24"/>
          <w:szCs w:val="24"/>
        </w:rPr>
        <w:t>.</w:t>
      </w:r>
      <w:r w:rsidR="006B2B83" w:rsidRPr="008762CF">
        <w:rPr>
          <w:rFonts w:ascii="Arial" w:hAnsi="Arial" w:cs="Arial"/>
          <w:spacing w:val="1"/>
          <w:sz w:val="27"/>
          <w:szCs w:val="27"/>
          <w:shd w:val="clear" w:color="auto" w:fill="FFFFFF"/>
        </w:rPr>
        <w:t xml:space="preserve"> </w:t>
      </w:r>
      <w:r w:rsidR="00147147" w:rsidRPr="00147147">
        <w:rPr>
          <w:rFonts w:ascii="Times New Roman" w:hAnsi="Times New Roman" w:cs="Times New Roman"/>
          <w:sz w:val="24"/>
          <w:szCs w:val="24"/>
        </w:rPr>
        <w:t>Crypto tokens</w:t>
      </w:r>
      <w:r w:rsidR="008E70C0">
        <w:rPr>
          <w:rFonts w:ascii="Times New Roman" w:hAnsi="Times New Roman" w:cs="Times New Roman"/>
          <w:sz w:val="24"/>
          <w:szCs w:val="24"/>
        </w:rPr>
        <w:t xml:space="preserve"> </w:t>
      </w:r>
      <w:r w:rsidR="00147147" w:rsidRPr="00147147">
        <w:rPr>
          <w:rFonts w:ascii="Times New Roman" w:hAnsi="Times New Roman" w:cs="Times New Roman"/>
          <w:sz w:val="24"/>
          <w:szCs w:val="24"/>
        </w:rPr>
        <w:t>can represent an investor's ownership stake in a business or be used for financial transactions in addition to facilitating exchanges on a blockchain. This implies that, like owners of other securities, token owners can use them to make money through sales or purchases. While cryptocurrencies</w:t>
      </w:r>
      <w:r w:rsidR="00147147">
        <w:rPr>
          <w:rStyle w:val="FootnoteReference"/>
          <w:rFonts w:ascii="Times New Roman" w:hAnsi="Times New Roman" w:cs="Times New Roman"/>
          <w:sz w:val="24"/>
          <w:szCs w:val="24"/>
        </w:rPr>
        <w:footnoteReference w:id="1"/>
      </w:r>
      <w:r w:rsidR="00147147" w:rsidRPr="00147147">
        <w:rPr>
          <w:rFonts w:ascii="Times New Roman" w:hAnsi="Times New Roman" w:cs="Times New Roman"/>
          <w:sz w:val="24"/>
          <w:szCs w:val="24"/>
        </w:rPr>
        <w:t xml:space="preserve"> and crypto tokens share many similarities, cryptocurrencies are designed to be used as a form of payment, a unit of account, and a store of value.</w:t>
      </w:r>
    </w:p>
    <w:p w14:paraId="5DC445A3" w14:textId="26B96D8A" w:rsidR="002A0FD1" w:rsidRPr="00F94789" w:rsidRDefault="00A439CD" w:rsidP="0086092F">
      <w:pPr>
        <w:spacing w:line="360" w:lineRule="auto"/>
        <w:ind w:firstLine="720"/>
        <w:contextualSpacing/>
        <w:jc w:val="both"/>
        <w:rPr>
          <w:rFonts w:ascii="Times New Roman" w:hAnsi="Times New Roman" w:cs="Times New Roman"/>
          <w:sz w:val="24"/>
          <w:szCs w:val="24"/>
          <w:highlight w:val="cyan"/>
        </w:rPr>
      </w:pPr>
      <w:bookmarkStart w:id="3" w:name="_Hlk145328030"/>
      <w:bookmarkEnd w:id="1"/>
      <w:r w:rsidRPr="00F94789">
        <w:rPr>
          <w:rFonts w:ascii="Times New Roman" w:hAnsi="Times New Roman" w:cs="Times New Roman"/>
          <w:sz w:val="24"/>
          <w:szCs w:val="24"/>
          <w:highlight w:val="cyan"/>
        </w:rPr>
        <w:t>Therefore, the main aim of</w:t>
      </w:r>
      <w:r w:rsidR="00F94789" w:rsidRPr="00F94789">
        <w:rPr>
          <w:rFonts w:ascii="Times New Roman" w:hAnsi="Times New Roman" w:cs="Times New Roman"/>
          <w:sz w:val="24"/>
          <w:szCs w:val="24"/>
          <w:highlight w:val="cyan"/>
        </w:rPr>
        <w:t xml:space="preserve"> this </w:t>
      </w:r>
      <w:r w:rsidR="004D4008" w:rsidRPr="00F94789">
        <w:rPr>
          <w:rFonts w:ascii="Times New Roman" w:hAnsi="Times New Roman" w:cs="Times New Roman"/>
          <w:sz w:val="24"/>
          <w:szCs w:val="24"/>
          <w:highlight w:val="cyan"/>
        </w:rPr>
        <w:t>paper</w:t>
      </w:r>
      <w:r w:rsidRPr="00F94789">
        <w:rPr>
          <w:rFonts w:ascii="Times New Roman" w:hAnsi="Times New Roman" w:cs="Times New Roman"/>
          <w:sz w:val="24"/>
          <w:szCs w:val="24"/>
          <w:highlight w:val="cyan"/>
        </w:rPr>
        <w:t xml:space="preserve"> is</w:t>
      </w:r>
      <w:r w:rsidRPr="00F94789">
        <w:rPr>
          <w:highlight w:val="cyan"/>
        </w:rPr>
        <w:t xml:space="preserve"> to</w:t>
      </w:r>
      <w:r w:rsidRPr="00F94789">
        <w:rPr>
          <w:rFonts w:ascii="Times New Roman" w:hAnsi="Times New Roman" w:cs="Times New Roman"/>
          <w:sz w:val="24"/>
          <w:szCs w:val="24"/>
          <w:highlight w:val="cyan"/>
        </w:rPr>
        <w:t xml:space="preserve"> distinguish between tokens traded on CEX and DEX platforms </w:t>
      </w:r>
      <w:proofErr w:type="gramStart"/>
      <w:r w:rsidRPr="00F94789">
        <w:rPr>
          <w:rFonts w:ascii="Times New Roman" w:hAnsi="Times New Roman" w:cs="Times New Roman"/>
          <w:sz w:val="24"/>
          <w:szCs w:val="24"/>
          <w:highlight w:val="cyan"/>
        </w:rPr>
        <w:t>in order to</w:t>
      </w:r>
      <w:proofErr w:type="gramEnd"/>
      <w:r w:rsidRPr="00F94789">
        <w:rPr>
          <w:rFonts w:ascii="Times New Roman" w:hAnsi="Times New Roman" w:cs="Times New Roman"/>
          <w:sz w:val="24"/>
          <w:szCs w:val="24"/>
          <w:highlight w:val="cyan"/>
        </w:rPr>
        <w:t xml:space="preserve"> offer a different perspective on how to analyze the information transmission mechanism both inside and outside the crypto asset class.  </w:t>
      </w:r>
      <w:r w:rsidR="0094244C" w:rsidRPr="00F94789">
        <w:rPr>
          <w:rFonts w:ascii="Times New Roman" w:hAnsi="Times New Roman" w:cs="Times New Roman"/>
          <w:sz w:val="24"/>
          <w:szCs w:val="24"/>
          <w:highlight w:val="cyan"/>
        </w:rPr>
        <w:t xml:space="preserve">Why does the type of trading platform matter? To support the price discovery process and the provision of liquidity, CEXs have an infrastructure </w:t>
      </w:r>
      <w:proofErr w:type="gramStart"/>
      <w:r w:rsidR="0094244C" w:rsidRPr="00F94789">
        <w:rPr>
          <w:rFonts w:ascii="Times New Roman" w:hAnsi="Times New Roman" w:cs="Times New Roman"/>
          <w:sz w:val="24"/>
          <w:szCs w:val="24"/>
          <w:highlight w:val="cyan"/>
        </w:rPr>
        <w:t>similar to</w:t>
      </w:r>
      <w:proofErr w:type="gramEnd"/>
      <w:r w:rsidR="0094244C" w:rsidRPr="00F94789">
        <w:rPr>
          <w:rFonts w:ascii="Times New Roman" w:hAnsi="Times New Roman" w:cs="Times New Roman"/>
          <w:sz w:val="24"/>
          <w:szCs w:val="24"/>
          <w:highlight w:val="cyan"/>
        </w:rPr>
        <w:t xml:space="preserve"> that of the traditional equity markets, which is complete with the same protocols and transaction execution requirements.</w:t>
      </w:r>
      <w:r w:rsidR="00F94789">
        <w:rPr>
          <w:rFonts w:ascii="Times New Roman" w:hAnsi="Times New Roman" w:cs="Times New Roman"/>
          <w:sz w:val="24"/>
          <w:szCs w:val="24"/>
          <w:highlight w:val="cyan"/>
        </w:rPr>
        <w:t xml:space="preserve"> </w:t>
      </w:r>
      <w:r w:rsidR="0094244C" w:rsidRPr="00EE141C">
        <w:rPr>
          <w:rFonts w:ascii="Times New Roman" w:hAnsi="Times New Roman" w:cs="Times New Roman"/>
          <w:sz w:val="24"/>
          <w:szCs w:val="24"/>
          <w:highlight w:val="cyan"/>
          <w:lang/>
        </w:rPr>
        <w:t>The primary distinction between CEX and DEX exchanges is that with the former, users retain control over their funds while trading, whereas with the latter, they do not. Beyond just exchanging one digital asset for another, CEX offer</w:t>
      </w:r>
      <w:r w:rsidR="0094244C" w:rsidRPr="00F94789">
        <w:rPr>
          <w:rFonts w:ascii="Times New Roman" w:hAnsi="Times New Roman" w:cs="Times New Roman"/>
          <w:sz w:val="24"/>
          <w:szCs w:val="24"/>
          <w:highlight w:val="cyan"/>
        </w:rPr>
        <w:t>s</w:t>
      </w:r>
      <w:r w:rsidR="0094244C" w:rsidRPr="00EE141C">
        <w:rPr>
          <w:rFonts w:ascii="Times New Roman" w:hAnsi="Times New Roman" w:cs="Times New Roman"/>
          <w:sz w:val="24"/>
          <w:szCs w:val="24"/>
          <w:highlight w:val="cyan"/>
          <w:lang/>
        </w:rPr>
        <w:t xml:space="preserve"> a wide range of additional features, including margin trading, crypto derivatives trading, exchange staking, and margin lending, among </w:t>
      </w:r>
      <w:r w:rsidR="0094244C" w:rsidRPr="00F94789">
        <w:rPr>
          <w:rFonts w:ascii="Times New Roman" w:hAnsi="Times New Roman" w:cs="Times New Roman"/>
          <w:sz w:val="24"/>
          <w:szCs w:val="24"/>
          <w:highlight w:val="cyan"/>
          <w:lang/>
        </w:rPr>
        <w:t>others. Moreover</w:t>
      </w:r>
      <w:r w:rsidR="0094244C" w:rsidRPr="00EE141C">
        <w:rPr>
          <w:rFonts w:ascii="Times New Roman" w:hAnsi="Times New Roman" w:cs="Times New Roman"/>
          <w:sz w:val="24"/>
          <w:szCs w:val="24"/>
          <w:highlight w:val="cyan"/>
          <w:lang/>
        </w:rPr>
        <w:t xml:space="preserve">, </w:t>
      </w:r>
      <w:r w:rsidR="0094244C" w:rsidRPr="00EE141C">
        <w:rPr>
          <w:rFonts w:ascii="Times New Roman" w:hAnsi="Times New Roman" w:cs="Times New Roman"/>
          <w:sz w:val="24"/>
          <w:szCs w:val="24"/>
          <w:highlight w:val="cyan"/>
          <w:lang/>
        </w:rPr>
        <w:lastRenderedPageBreak/>
        <w:t>CEX allows investors to purchase bitcoin using fiat money.</w:t>
      </w:r>
      <w:r w:rsidR="0094244C" w:rsidRPr="00F94789">
        <w:rPr>
          <w:rFonts w:ascii="Times New Roman" w:hAnsi="Times New Roman" w:cs="Times New Roman"/>
          <w:sz w:val="24"/>
          <w:szCs w:val="24"/>
          <w:highlight w:val="cyan"/>
        </w:rPr>
        <w:t xml:space="preserve"> </w:t>
      </w:r>
      <w:r w:rsidR="003F05E5" w:rsidRPr="00F94789">
        <w:rPr>
          <w:rFonts w:ascii="Times New Roman" w:hAnsi="Times New Roman" w:cs="Times New Roman"/>
          <w:sz w:val="24"/>
          <w:szCs w:val="24"/>
          <w:highlight w:val="cyan"/>
        </w:rPr>
        <w:t xml:space="preserve">Popular centralized exchanges like </w:t>
      </w:r>
      <w:proofErr w:type="spellStart"/>
      <w:r w:rsidR="003F05E5" w:rsidRPr="00F94789">
        <w:rPr>
          <w:rFonts w:ascii="Times New Roman" w:hAnsi="Times New Roman" w:cs="Times New Roman"/>
          <w:sz w:val="24"/>
          <w:szCs w:val="24"/>
          <w:highlight w:val="cyan"/>
        </w:rPr>
        <w:t>Bitstamp</w:t>
      </w:r>
      <w:proofErr w:type="spellEnd"/>
      <w:r w:rsidR="003F05E5" w:rsidRPr="00F94789">
        <w:rPr>
          <w:rFonts w:ascii="Times New Roman" w:hAnsi="Times New Roman" w:cs="Times New Roman"/>
          <w:sz w:val="24"/>
          <w:szCs w:val="24"/>
          <w:highlight w:val="cyan"/>
        </w:rPr>
        <w:t xml:space="preserve">, </w:t>
      </w:r>
      <w:proofErr w:type="spellStart"/>
      <w:r w:rsidR="003F05E5" w:rsidRPr="00F94789">
        <w:rPr>
          <w:rFonts w:ascii="Times New Roman" w:hAnsi="Times New Roman" w:cs="Times New Roman"/>
          <w:sz w:val="24"/>
          <w:szCs w:val="24"/>
          <w:highlight w:val="cyan"/>
        </w:rPr>
        <w:t>QuadrigaCX</w:t>
      </w:r>
      <w:proofErr w:type="spellEnd"/>
      <w:r w:rsidR="003F05E5" w:rsidRPr="00F94789">
        <w:rPr>
          <w:rFonts w:ascii="Times New Roman" w:hAnsi="Times New Roman" w:cs="Times New Roman"/>
          <w:sz w:val="24"/>
          <w:szCs w:val="24"/>
          <w:highlight w:val="cyan"/>
        </w:rPr>
        <w:t>, and Coinbase (COIN) are recent examples.</w:t>
      </w:r>
      <w:r w:rsidR="00964465" w:rsidRPr="00F94789">
        <w:rPr>
          <w:rFonts w:ascii="Times New Roman" w:hAnsi="Times New Roman" w:cs="Times New Roman"/>
          <w:sz w:val="24"/>
          <w:szCs w:val="24"/>
          <w:highlight w:val="cyan"/>
        </w:rPr>
        <w:t xml:space="preserve"> These companies had bank accounts, which made it much easier to purchase cryptocurrencies and effectively connected them to the current financial </w:t>
      </w:r>
      <w:r w:rsidR="003F05E5" w:rsidRPr="00F94789">
        <w:rPr>
          <w:rFonts w:ascii="Times New Roman" w:hAnsi="Times New Roman" w:cs="Times New Roman"/>
          <w:sz w:val="24"/>
          <w:szCs w:val="24"/>
          <w:highlight w:val="cyan"/>
        </w:rPr>
        <w:t xml:space="preserve">system. </w:t>
      </w:r>
    </w:p>
    <w:p w14:paraId="2269F120" w14:textId="0749A247" w:rsidR="00964465" w:rsidRPr="00F94789" w:rsidRDefault="002A0FD1" w:rsidP="0086092F">
      <w:pPr>
        <w:spacing w:line="360" w:lineRule="auto"/>
        <w:ind w:firstLine="720"/>
        <w:contextualSpacing/>
        <w:jc w:val="both"/>
        <w:rPr>
          <w:rFonts w:ascii="Times New Roman" w:hAnsi="Times New Roman" w:cs="Times New Roman"/>
          <w:sz w:val="24"/>
          <w:szCs w:val="24"/>
        </w:rPr>
      </w:pPr>
      <w:r w:rsidRPr="002A0FD1">
        <w:rPr>
          <w:rFonts w:ascii="Times New Roman" w:hAnsi="Times New Roman" w:cs="Times New Roman"/>
          <w:sz w:val="24"/>
          <w:szCs w:val="24"/>
          <w:highlight w:val="cyan"/>
          <w:lang/>
        </w:rPr>
        <w:t>There are some disadvantages to CEX despite its many positive features, such as the potential for sudden changes in financial regulations that could put investors' money at risk. For example, if an exchange is the focus of an investigation, their funds might be momentarily frozen or, in the worst cases, seized. Users of CEX must also verify their identities. In the event of a data breach, their private information might end up being offered for sale on the dark web. Then, they might fall victim to scams, identity theft attempts, or hacking.</w:t>
      </w:r>
      <w:r w:rsidRPr="00F94789">
        <w:rPr>
          <w:rFonts w:ascii="Times New Roman" w:hAnsi="Times New Roman" w:cs="Times New Roman"/>
          <w:sz w:val="24"/>
          <w:szCs w:val="24"/>
          <w:highlight w:val="cyan"/>
        </w:rPr>
        <w:t xml:space="preserve"> For instance, the CEX platforms initially seemed to function flawlessly before breaking down. The Mt. Gox attack in 2014 resulted in the theft of over 850,000 bitcoins. </w:t>
      </w:r>
      <w:proofErr w:type="spellStart"/>
      <w:r w:rsidRPr="00F94789">
        <w:rPr>
          <w:rFonts w:ascii="Times New Roman" w:hAnsi="Times New Roman" w:cs="Times New Roman"/>
          <w:sz w:val="24"/>
          <w:szCs w:val="24"/>
          <w:highlight w:val="cyan"/>
        </w:rPr>
        <w:t>Bitstamp</w:t>
      </w:r>
      <w:proofErr w:type="spellEnd"/>
      <w:r w:rsidRPr="00F94789">
        <w:rPr>
          <w:rFonts w:ascii="Times New Roman" w:hAnsi="Times New Roman" w:cs="Times New Roman"/>
          <w:sz w:val="24"/>
          <w:szCs w:val="24"/>
          <w:highlight w:val="cyan"/>
        </w:rPr>
        <w:t xml:space="preserve"> was compromised in 2015, and BTC-e was shut down in 2017. </w:t>
      </w:r>
      <w:r w:rsidR="00964465" w:rsidRPr="00F94789">
        <w:rPr>
          <w:rFonts w:ascii="Times New Roman" w:hAnsi="Times New Roman" w:cs="Times New Roman"/>
          <w:sz w:val="24"/>
          <w:szCs w:val="24"/>
          <w:highlight w:val="cyan"/>
        </w:rPr>
        <w:t>Moreover, Gerald Cotten</w:t>
      </w:r>
      <w:r w:rsidR="005E1658" w:rsidRPr="00F94789">
        <w:rPr>
          <w:rStyle w:val="FootnoteReference"/>
          <w:rFonts w:ascii="Times New Roman" w:hAnsi="Times New Roman" w:cs="Times New Roman"/>
          <w:sz w:val="24"/>
          <w:szCs w:val="24"/>
          <w:highlight w:val="cyan"/>
        </w:rPr>
        <w:footnoteReference w:id="2"/>
      </w:r>
      <w:r w:rsidR="00964465" w:rsidRPr="00F94789">
        <w:rPr>
          <w:rFonts w:ascii="Times New Roman" w:hAnsi="Times New Roman" w:cs="Times New Roman"/>
          <w:sz w:val="24"/>
          <w:szCs w:val="24"/>
          <w:highlight w:val="cyan"/>
        </w:rPr>
        <w:t xml:space="preserve">, the CEO and owner of the infamous </w:t>
      </w:r>
      <w:proofErr w:type="spellStart"/>
      <w:r w:rsidR="00964465" w:rsidRPr="00F94789">
        <w:rPr>
          <w:rFonts w:ascii="Times New Roman" w:hAnsi="Times New Roman" w:cs="Times New Roman"/>
          <w:sz w:val="24"/>
          <w:szCs w:val="24"/>
          <w:highlight w:val="cyan"/>
        </w:rPr>
        <w:t>QuadrigaCX</w:t>
      </w:r>
      <w:proofErr w:type="spellEnd"/>
      <w:r w:rsidR="00964465" w:rsidRPr="00F94789">
        <w:rPr>
          <w:rFonts w:ascii="Times New Roman" w:hAnsi="Times New Roman" w:cs="Times New Roman"/>
          <w:sz w:val="24"/>
          <w:szCs w:val="24"/>
          <w:highlight w:val="cyan"/>
        </w:rPr>
        <w:t xml:space="preserve">, passed away unexpectedly in 2018 and took the keys to $250 million in cryptocurrency assets with him to his grave. As a result, the exchange was compromised and shut down in 2019 after losing </w:t>
      </w:r>
      <w:proofErr w:type="gramStart"/>
      <w:r w:rsidR="00964465" w:rsidRPr="00F94789">
        <w:rPr>
          <w:rFonts w:ascii="Times New Roman" w:hAnsi="Times New Roman" w:cs="Times New Roman"/>
          <w:sz w:val="24"/>
          <w:szCs w:val="24"/>
          <w:highlight w:val="cyan"/>
        </w:rPr>
        <w:t>all of</w:t>
      </w:r>
      <w:proofErr w:type="gramEnd"/>
      <w:r w:rsidR="00964465" w:rsidRPr="00F94789">
        <w:rPr>
          <w:rFonts w:ascii="Times New Roman" w:hAnsi="Times New Roman" w:cs="Times New Roman"/>
          <w:sz w:val="24"/>
          <w:szCs w:val="24"/>
          <w:highlight w:val="cyan"/>
        </w:rPr>
        <w:t xml:space="preserve"> its clients' coins.</w:t>
      </w:r>
    </w:p>
    <w:p w14:paraId="271FF11C" w14:textId="57C9D706" w:rsidR="0030594E" w:rsidRPr="00FE4792" w:rsidRDefault="0030594E" w:rsidP="0030594E">
      <w:pPr>
        <w:spacing w:line="360" w:lineRule="auto"/>
        <w:ind w:firstLine="720"/>
        <w:contextualSpacing/>
        <w:jc w:val="both"/>
        <w:rPr>
          <w:rFonts w:ascii="Times New Roman" w:hAnsi="Times New Roman" w:cs="Times New Roman"/>
          <w:sz w:val="24"/>
          <w:szCs w:val="24"/>
          <w:highlight w:val="cyan"/>
        </w:rPr>
      </w:pPr>
      <w:r w:rsidRPr="00FE4792">
        <w:rPr>
          <w:rFonts w:ascii="Times New Roman" w:hAnsi="Times New Roman" w:cs="Times New Roman"/>
          <w:sz w:val="24"/>
          <w:szCs w:val="24"/>
          <w:highlight w:val="cyan"/>
        </w:rPr>
        <w:t xml:space="preserve">The recent failures of FTX and Terra Luna proved that the availability of liquidity is essential to the survival of crypto assets and exchanges. Regulators have serious concerns about the capacity of cryptocurrency exchanges to safeguard customers from liquidity constraints and volatility shocks </w:t>
      </w:r>
      <w:proofErr w:type="gramStart"/>
      <w:r w:rsidRPr="00FE4792">
        <w:rPr>
          <w:rFonts w:ascii="Times New Roman" w:hAnsi="Times New Roman" w:cs="Times New Roman"/>
          <w:sz w:val="24"/>
          <w:szCs w:val="24"/>
          <w:highlight w:val="cyan"/>
        </w:rPr>
        <w:t>in light of</w:t>
      </w:r>
      <w:proofErr w:type="gramEnd"/>
      <w:r w:rsidRPr="00FE4792">
        <w:rPr>
          <w:rFonts w:ascii="Times New Roman" w:hAnsi="Times New Roman" w:cs="Times New Roman"/>
          <w:sz w:val="24"/>
          <w:szCs w:val="24"/>
          <w:highlight w:val="cyan"/>
        </w:rPr>
        <w:t xml:space="preserve"> recent crypto crashes (Terra Luna and FTX collapses). Investors seeking a greater level of financial decentralization are attracted to their DEX platforms because CEXs have received harsh criticism for their subpar managerial choices. However, because of the unregulated nature of the cryptocurrency market and the high counterparty risk, investors run a serious risk of losing money. Hackers have reportedly already stolen billions of dollars from renowned exchanges like </w:t>
      </w:r>
      <w:proofErr w:type="spellStart"/>
      <w:r w:rsidRPr="00FE4792">
        <w:rPr>
          <w:rFonts w:ascii="Times New Roman" w:hAnsi="Times New Roman" w:cs="Times New Roman"/>
          <w:sz w:val="24"/>
          <w:szCs w:val="24"/>
          <w:highlight w:val="cyan"/>
        </w:rPr>
        <w:t>Bitfinex</w:t>
      </w:r>
      <w:proofErr w:type="spellEnd"/>
      <w:r w:rsidRPr="00FE4792">
        <w:rPr>
          <w:rFonts w:ascii="Times New Roman" w:hAnsi="Times New Roman" w:cs="Times New Roman"/>
          <w:sz w:val="24"/>
          <w:szCs w:val="24"/>
          <w:highlight w:val="cyan"/>
        </w:rPr>
        <w:t xml:space="preserve"> and </w:t>
      </w:r>
      <w:proofErr w:type="spellStart"/>
      <w:r w:rsidRPr="00FE4792">
        <w:rPr>
          <w:rFonts w:ascii="Times New Roman" w:hAnsi="Times New Roman" w:cs="Times New Roman"/>
          <w:sz w:val="24"/>
          <w:szCs w:val="24"/>
          <w:highlight w:val="cyan"/>
        </w:rPr>
        <w:t>Binance</w:t>
      </w:r>
      <w:proofErr w:type="spellEnd"/>
      <w:r w:rsidRPr="00FE4792">
        <w:rPr>
          <w:rFonts w:ascii="Times New Roman" w:hAnsi="Times New Roman" w:cs="Times New Roman"/>
          <w:sz w:val="24"/>
          <w:szCs w:val="24"/>
          <w:highlight w:val="cyan"/>
        </w:rPr>
        <w:t xml:space="preserve">, according to recent reports. These attacks on cryptocurrency exchanges have substantially increased price and policy uncertainty in cryptocurrency markets, which consequentially influenced other asset classes (Lucey et al., 2022). </w:t>
      </w:r>
    </w:p>
    <w:p w14:paraId="6FE6C879" w14:textId="57AF3339" w:rsidR="00456A5A" w:rsidRDefault="00100219" w:rsidP="00531153">
      <w:pPr>
        <w:spacing w:line="360" w:lineRule="auto"/>
        <w:ind w:firstLine="720"/>
        <w:contextualSpacing/>
        <w:jc w:val="both"/>
        <w:rPr>
          <w:rFonts w:ascii="Times New Roman" w:hAnsi="Times New Roman" w:cs="Times New Roman"/>
          <w:sz w:val="24"/>
          <w:szCs w:val="24"/>
        </w:rPr>
      </w:pPr>
      <w:r w:rsidRPr="00F94789">
        <w:rPr>
          <w:rFonts w:ascii="Times New Roman" w:hAnsi="Times New Roman" w:cs="Times New Roman"/>
          <w:sz w:val="24"/>
          <w:szCs w:val="24"/>
          <w:highlight w:val="cyan"/>
        </w:rPr>
        <w:t>DEXs</w:t>
      </w:r>
      <w:r w:rsidR="00463F9F" w:rsidRPr="00F94789">
        <w:rPr>
          <w:rFonts w:ascii="Times New Roman" w:hAnsi="Times New Roman" w:cs="Times New Roman"/>
          <w:sz w:val="24"/>
          <w:szCs w:val="24"/>
          <w:highlight w:val="cyan"/>
        </w:rPr>
        <w:t xml:space="preserve"> platforms</w:t>
      </w:r>
      <w:r w:rsidRPr="00F94789">
        <w:rPr>
          <w:rFonts w:ascii="Times New Roman" w:hAnsi="Times New Roman" w:cs="Times New Roman"/>
          <w:sz w:val="24"/>
          <w:szCs w:val="24"/>
          <w:highlight w:val="cyan"/>
        </w:rPr>
        <w:t xml:space="preserve"> have become a feasible alternative for investors </w:t>
      </w:r>
      <w:r w:rsidR="00972D1C" w:rsidRPr="00F94789">
        <w:rPr>
          <w:rFonts w:ascii="Times New Roman" w:hAnsi="Times New Roman" w:cs="Times New Roman"/>
          <w:sz w:val="24"/>
          <w:szCs w:val="24"/>
          <w:highlight w:val="cyan"/>
        </w:rPr>
        <w:t xml:space="preserve">seeking </w:t>
      </w:r>
      <w:r w:rsidR="00463F9F" w:rsidRPr="00F94789">
        <w:rPr>
          <w:rFonts w:ascii="Times New Roman" w:hAnsi="Times New Roman" w:cs="Times New Roman"/>
          <w:sz w:val="24"/>
          <w:szCs w:val="24"/>
          <w:highlight w:val="cyan"/>
        </w:rPr>
        <w:t>to overcome</w:t>
      </w:r>
      <w:r w:rsidRPr="00F94789">
        <w:rPr>
          <w:rFonts w:ascii="Times New Roman" w:hAnsi="Times New Roman" w:cs="Times New Roman"/>
          <w:sz w:val="24"/>
          <w:szCs w:val="24"/>
          <w:highlight w:val="cyan"/>
        </w:rPr>
        <w:t xml:space="preserve"> the failure of </w:t>
      </w:r>
      <w:r w:rsidR="00463F9F" w:rsidRPr="00F94789">
        <w:rPr>
          <w:rFonts w:ascii="Times New Roman" w:hAnsi="Times New Roman" w:cs="Times New Roman"/>
          <w:sz w:val="24"/>
          <w:szCs w:val="24"/>
          <w:highlight w:val="cyan"/>
        </w:rPr>
        <w:t>centralized</w:t>
      </w:r>
      <w:r w:rsidR="00AB064E" w:rsidRPr="00F94789">
        <w:rPr>
          <w:rFonts w:ascii="Times New Roman" w:hAnsi="Times New Roman" w:cs="Times New Roman"/>
          <w:sz w:val="24"/>
          <w:szCs w:val="24"/>
          <w:highlight w:val="cyan"/>
        </w:rPr>
        <w:t xml:space="preserve"> </w:t>
      </w:r>
      <w:r w:rsidR="00463F9F" w:rsidRPr="00F94789">
        <w:rPr>
          <w:rFonts w:ascii="Times New Roman" w:hAnsi="Times New Roman" w:cs="Times New Roman"/>
          <w:sz w:val="24"/>
          <w:szCs w:val="24"/>
          <w:highlight w:val="cyan"/>
        </w:rPr>
        <w:t>exchanges</w:t>
      </w:r>
      <w:r w:rsidR="00972D1C" w:rsidRPr="00F94789">
        <w:rPr>
          <w:rFonts w:ascii="Times New Roman" w:hAnsi="Times New Roman" w:cs="Times New Roman"/>
          <w:sz w:val="24"/>
          <w:szCs w:val="24"/>
          <w:highlight w:val="cyan"/>
        </w:rPr>
        <w:t xml:space="preserve"> and looking to transact in</w:t>
      </w:r>
      <w:r w:rsidRPr="00F94789">
        <w:rPr>
          <w:rFonts w:ascii="Times New Roman" w:hAnsi="Times New Roman" w:cs="Times New Roman"/>
          <w:sz w:val="24"/>
          <w:szCs w:val="24"/>
          <w:highlight w:val="cyan"/>
        </w:rPr>
        <w:t xml:space="preserve"> </w:t>
      </w:r>
      <w:r w:rsidR="00463F9F" w:rsidRPr="00F94789">
        <w:rPr>
          <w:rFonts w:ascii="Times New Roman" w:hAnsi="Times New Roman" w:cs="Times New Roman"/>
          <w:sz w:val="24"/>
          <w:szCs w:val="24"/>
          <w:highlight w:val="cyan"/>
        </w:rPr>
        <w:t xml:space="preserve">digital </w:t>
      </w:r>
      <w:r w:rsidRPr="00F94789">
        <w:rPr>
          <w:rFonts w:ascii="Times New Roman" w:hAnsi="Times New Roman" w:cs="Times New Roman"/>
          <w:sz w:val="24"/>
          <w:szCs w:val="24"/>
          <w:highlight w:val="cyan"/>
        </w:rPr>
        <w:t xml:space="preserve">tokens in a </w:t>
      </w:r>
      <w:r w:rsidR="00972D1C" w:rsidRPr="00F94789">
        <w:rPr>
          <w:rFonts w:ascii="Times New Roman" w:hAnsi="Times New Roman" w:cs="Times New Roman"/>
          <w:sz w:val="24"/>
          <w:szCs w:val="24"/>
          <w:highlight w:val="cyan"/>
        </w:rPr>
        <w:t xml:space="preserve">more </w:t>
      </w:r>
      <w:r w:rsidRPr="00F94789">
        <w:rPr>
          <w:rFonts w:ascii="Times New Roman" w:hAnsi="Times New Roman" w:cs="Times New Roman"/>
          <w:sz w:val="24"/>
          <w:szCs w:val="24"/>
          <w:highlight w:val="cyan"/>
        </w:rPr>
        <w:t>reliable</w:t>
      </w:r>
      <w:r w:rsidR="00463F9F" w:rsidRPr="00F94789">
        <w:rPr>
          <w:rFonts w:ascii="Times New Roman" w:hAnsi="Times New Roman" w:cs="Times New Roman"/>
          <w:sz w:val="24"/>
          <w:szCs w:val="24"/>
          <w:highlight w:val="cyan"/>
        </w:rPr>
        <w:t xml:space="preserve">, </w:t>
      </w:r>
      <w:r w:rsidRPr="00F94789">
        <w:rPr>
          <w:rFonts w:ascii="Times New Roman" w:hAnsi="Times New Roman" w:cs="Times New Roman"/>
          <w:sz w:val="24"/>
          <w:szCs w:val="24"/>
          <w:highlight w:val="cyan"/>
        </w:rPr>
        <w:t>secure</w:t>
      </w:r>
      <w:r w:rsidR="00463F9F" w:rsidRPr="00F94789">
        <w:rPr>
          <w:rFonts w:ascii="Times New Roman" w:hAnsi="Times New Roman" w:cs="Times New Roman"/>
          <w:sz w:val="24"/>
          <w:szCs w:val="24"/>
          <w:highlight w:val="cyan"/>
        </w:rPr>
        <w:t>, and decentralized</w:t>
      </w:r>
      <w:r w:rsidRPr="00F94789">
        <w:rPr>
          <w:rFonts w:ascii="Times New Roman" w:hAnsi="Times New Roman" w:cs="Times New Roman"/>
          <w:sz w:val="24"/>
          <w:szCs w:val="24"/>
          <w:highlight w:val="cyan"/>
        </w:rPr>
        <w:t xml:space="preserve"> manner.</w:t>
      </w:r>
      <w:r w:rsidR="00463F9F" w:rsidRPr="00F94789">
        <w:rPr>
          <w:rFonts w:ascii="Times New Roman" w:hAnsi="Times New Roman" w:cs="Times New Roman"/>
          <w:sz w:val="24"/>
          <w:szCs w:val="24"/>
          <w:highlight w:val="cyan"/>
        </w:rPr>
        <w:t xml:space="preserve"> </w:t>
      </w:r>
      <w:r w:rsidR="00C91DFD" w:rsidRPr="00F94789">
        <w:rPr>
          <w:rFonts w:ascii="Times New Roman" w:hAnsi="Times New Roman" w:cs="Times New Roman"/>
          <w:sz w:val="24"/>
          <w:szCs w:val="24"/>
          <w:highlight w:val="cyan"/>
        </w:rPr>
        <w:t>DEXs make it possible to swap tokens without the need for an intermediary exchange to act as a custodian for their cryptocurrency.</w:t>
      </w:r>
      <w:r w:rsidR="001A2DAF" w:rsidRPr="00F94789">
        <w:rPr>
          <w:rFonts w:ascii="Times New Roman" w:hAnsi="Times New Roman" w:cs="Times New Roman"/>
          <w:sz w:val="24"/>
          <w:szCs w:val="24"/>
          <w:highlight w:val="cyan"/>
        </w:rPr>
        <w:t xml:space="preserve"> </w:t>
      </w:r>
      <w:r w:rsidR="00463F9F" w:rsidRPr="00F94789">
        <w:rPr>
          <w:rFonts w:ascii="Times New Roman" w:hAnsi="Times New Roman" w:cs="Times New Roman"/>
          <w:sz w:val="24"/>
          <w:szCs w:val="24"/>
          <w:highlight w:val="cyan"/>
        </w:rPr>
        <w:t xml:space="preserve">There is no doubt that </w:t>
      </w:r>
      <w:r w:rsidR="004B3B1F" w:rsidRPr="00F94789">
        <w:rPr>
          <w:rFonts w:ascii="Times New Roman" w:hAnsi="Times New Roman" w:cs="Times New Roman"/>
          <w:sz w:val="24"/>
          <w:szCs w:val="24"/>
          <w:highlight w:val="cyan"/>
        </w:rPr>
        <w:lastRenderedPageBreak/>
        <w:t>cryptocurrency</w:t>
      </w:r>
      <w:r w:rsidR="00C91DFD" w:rsidRPr="00F94789">
        <w:rPr>
          <w:rFonts w:ascii="Times New Roman" w:hAnsi="Times New Roman" w:cs="Times New Roman"/>
          <w:sz w:val="24"/>
          <w:szCs w:val="24"/>
          <w:highlight w:val="cyan"/>
        </w:rPr>
        <w:t xml:space="preserve"> e</w:t>
      </w:r>
      <w:r w:rsidR="00463F9F" w:rsidRPr="00F94789">
        <w:rPr>
          <w:rFonts w:ascii="Times New Roman" w:hAnsi="Times New Roman" w:cs="Times New Roman"/>
          <w:sz w:val="24"/>
          <w:szCs w:val="24"/>
          <w:highlight w:val="cyan"/>
        </w:rPr>
        <w:t>xchanges</w:t>
      </w:r>
      <w:r w:rsidR="00C91DFD" w:rsidRPr="00F94789">
        <w:rPr>
          <w:rFonts w:ascii="Times New Roman" w:hAnsi="Times New Roman" w:cs="Times New Roman"/>
          <w:sz w:val="24"/>
          <w:szCs w:val="24"/>
          <w:highlight w:val="cyan"/>
        </w:rPr>
        <w:t xml:space="preserve"> ha</w:t>
      </w:r>
      <w:r w:rsidR="00972D1C" w:rsidRPr="00F94789">
        <w:rPr>
          <w:rFonts w:ascii="Times New Roman" w:hAnsi="Times New Roman" w:cs="Times New Roman"/>
          <w:sz w:val="24"/>
          <w:szCs w:val="24"/>
          <w:highlight w:val="cyan"/>
        </w:rPr>
        <w:t>ve already</w:t>
      </w:r>
      <w:r w:rsidR="00C91DFD" w:rsidRPr="00F94789">
        <w:rPr>
          <w:rFonts w:ascii="Times New Roman" w:hAnsi="Times New Roman" w:cs="Times New Roman"/>
          <w:sz w:val="24"/>
          <w:szCs w:val="24"/>
          <w:highlight w:val="cyan"/>
        </w:rPr>
        <w:t xml:space="preserve"> becom</w:t>
      </w:r>
      <w:r w:rsidR="00463F9F" w:rsidRPr="00F94789">
        <w:rPr>
          <w:rFonts w:ascii="Times New Roman" w:hAnsi="Times New Roman" w:cs="Times New Roman"/>
          <w:sz w:val="24"/>
          <w:szCs w:val="24"/>
          <w:highlight w:val="cyan"/>
        </w:rPr>
        <w:t>e more</w:t>
      </w:r>
      <w:r w:rsidR="00C91DFD" w:rsidRPr="00F94789">
        <w:rPr>
          <w:rFonts w:ascii="Times New Roman" w:hAnsi="Times New Roman" w:cs="Times New Roman"/>
          <w:sz w:val="24"/>
          <w:szCs w:val="24"/>
          <w:highlight w:val="cyan"/>
        </w:rPr>
        <w:t xml:space="preserve"> active</w:t>
      </w:r>
      <w:r w:rsidR="00463F9F" w:rsidRPr="00F94789">
        <w:rPr>
          <w:rFonts w:ascii="Times New Roman" w:hAnsi="Times New Roman" w:cs="Times New Roman"/>
          <w:sz w:val="24"/>
          <w:szCs w:val="24"/>
          <w:highlight w:val="cyan"/>
        </w:rPr>
        <w:t xml:space="preserve"> trading place</w:t>
      </w:r>
      <w:r w:rsidR="00E05FE5" w:rsidRPr="00F94789">
        <w:rPr>
          <w:rFonts w:ascii="Times New Roman" w:hAnsi="Times New Roman" w:cs="Times New Roman"/>
          <w:sz w:val="24"/>
          <w:szCs w:val="24"/>
          <w:highlight w:val="cyan"/>
        </w:rPr>
        <w:t>s</w:t>
      </w:r>
      <w:r w:rsidR="00463F9F" w:rsidRPr="00F94789">
        <w:rPr>
          <w:rFonts w:ascii="Times New Roman" w:hAnsi="Times New Roman" w:cs="Times New Roman"/>
          <w:sz w:val="24"/>
          <w:szCs w:val="24"/>
          <w:highlight w:val="cyan"/>
        </w:rPr>
        <w:t xml:space="preserve"> due to the increased diversity of traded tokens and </w:t>
      </w:r>
      <w:r w:rsidR="00E05FE5" w:rsidRPr="00F94789">
        <w:rPr>
          <w:rFonts w:ascii="Times New Roman" w:hAnsi="Times New Roman" w:cs="Times New Roman"/>
          <w:sz w:val="24"/>
          <w:szCs w:val="24"/>
          <w:highlight w:val="cyan"/>
        </w:rPr>
        <w:t xml:space="preserve">the </w:t>
      </w:r>
      <w:r w:rsidR="00463F9F" w:rsidRPr="00F94789">
        <w:rPr>
          <w:rFonts w:ascii="Times New Roman" w:hAnsi="Times New Roman" w:cs="Times New Roman"/>
          <w:sz w:val="24"/>
          <w:szCs w:val="24"/>
          <w:highlight w:val="cyan"/>
        </w:rPr>
        <w:t>variety of instruments available for investor</w:t>
      </w:r>
      <w:r w:rsidR="00E05FE5" w:rsidRPr="00F94789">
        <w:rPr>
          <w:rFonts w:ascii="Times New Roman" w:hAnsi="Times New Roman" w:cs="Times New Roman"/>
          <w:sz w:val="24"/>
          <w:szCs w:val="24"/>
          <w:highlight w:val="cyan"/>
        </w:rPr>
        <w:t>s</w:t>
      </w:r>
      <w:r w:rsidR="00972D1C" w:rsidRPr="00F94789">
        <w:rPr>
          <w:rFonts w:ascii="Times New Roman" w:hAnsi="Times New Roman" w:cs="Times New Roman"/>
          <w:sz w:val="24"/>
          <w:szCs w:val="24"/>
          <w:highlight w:val="cyan"/>
        </w:rPr>
        <w:t xml:space="preserve"> in comparison to the early stages of their existence</w:t>
      </w:r>
      <w:r w:rsidR="00C91DFD" w:rsidRPr="00F94789">
        <w:rPr>
          <w:rFonts w:ascii="Times New Roman" w:hAnsi="Times New Roman" w:cs="Times New Roman"/>
          <w:sz w:val="24"/>
          <w:szCs w:val="24"/>
          <w:highlight w:val="cyan"/>
        </w:rPr>
        <w:t xml:space="preserve">. </w:t>
      </w:r>
      <w:r w:rsidR="00972D1C" w:rsidRPr="00F94789">
        <w:rPr>
          <w:rFonts w:ascii="Times New Roman" w:hAnsi="Times New Roman" w:cs="Times New Roman"/>
          <w:sz w:val="24"/>
          <w:szCs w:val="24"/>
          <w:highlight w:val="cyan"/>
        </w:rPr>
        <w:t>I</w:t>
      </w:r>
      <w:r w:rsidR="00463F9F" w:rsidRPr="00F94789">
        <w:rPr>
          <w:rFonts w:ascii="Times New Roman" w:hAnsi="Times New Roman" w:cs="Times New Roman"/>
          <w:sz w:val="24"/>
          <w:szCs w:val="24"/>
          <w:highlight w:val="cyan"/>
        </w:rPr>
        <w:t>t is</w:t>
      </w:r>
      <w:r w:rsidR="00972D1C" w:rsidRPr="00F94789">
        <w:rPr>
          <w:rFonts w:ascii="Times New Roman" w:hAnsi="Times New Roman" w:cs="Times New Roman"/>
          <w:sz w:val="24"/>
          <w:szCs w:val="24"/>
          <w:highlight w:val="cyan"/>
        </w:rPr>
        <w:t xml:space="preserve"> further</w:t>
      </w:r>
      <w:r w:rsidR="00463F9F" w:rsidRPr="00F94789">
        <w:rPr>
          <w:rFonts w:ascii="Times New Roman" w:hAnsi="Times New Roman" w:cs="Times New Roman"/>
          <w:sz w:val="24"/>
          <w:szCs w:val="24"/>
          <w:highlight w:val="cyan"/>
        </w:rPr>
        <w:t xml:space="preserve"> expected that </w:t>
      </w:r>
      <w:r w:rsidR="00C91DFD" w:rsidRPr="00F94789">
        <w:rPr>
          <w:rFonts w:ascii="Times New Roman" w:hAnsi="Times New Roman" w:cs="Times New Roman"/>
          <w:sz w:val="24"/>
          <w:szCs w:val="24"/>
          <w:highlight w:val="cyan"/>
        </w:rPr>
        <w:t>DEX</w:t>
      </w:r>
      <w:r w:rsidR="00463F9F" w:rsidRPr="00F94789">
        <w:rPr>
          <w:rFonts w:ascii="Times New Roman" w:hAnsi="Times New Roman" w:cs="Times New Roman"/>
          <w:sz w:val="24"/>
          <w:szCs w:val="24"/>
          <w:highlight w:val="cyan"/>
        </w:rPr>
        <w:t xml:space="preserve"> platforms will continue</w:t>
      </w:r>
      <w:r w:rsidR="00C91DFD" w:rsidRPr="00F94789">
        <w:rPr>
          <w:rFonts w:ascii="Times New Roman" w:hAnsi="Times New Roman" w:cs="Times New Roman"/>
          <w:sz w:val="24"/>
          <w:szCs w:val="24"/>
          <w:highlight w:val="cyan"/>
        </w:rPr>
        <w:t xml:space="preserve"> </w:t>
      </w:r>
      <w:proofErr w:type="gramStart"/>
      <w:r w:rsidR="00972D1C" w:rsidRPr="00F94789">
        <w:rPr>
          <w:rFonts w:ascii="Times New Roman" w:hAnsi="Times New Roman" w:cs="Times New Roman"/>
          <w:sz w:val="24"/>
          <w:szCs w:val="24"/>
          <w:highlight w:val="cyan"/>
        </w:rPr>
        <w:t>growing in size</w:t>
      </w:r>
      <w:proofErr w:type="gramEnd"/>
      <w:r w:rsidR="00E05FE5" w:rsidRPr="00F94789">
        <w:rPr>
          <w:rFonts w:ascii="Times New Roman" w:hAnsi="Times New Roman" w:cs="Times New Roman"/>
          <w:sz w:val="24"/>
          <w:szCs w:val="24"/>
          <w:highlight w:val="cyan"/>
        </w:rPr>
        <w:t>,</w:t>
      </w:r>
      <w:r w:rsidR="00972D1C" w:rsidRPr="00F94789">
        <w:rPr>
          <w:rFonts w:ascii="Times New Roman" w:hAnsi="Times New Roman" w:cs="Times New Roman"/>
          <w:sz w:val="24"/>
          <w:szCs w:val="24"/>
          <w:highlight w:val="cyan"/>
        </w:rPr>
        <w:t xml:space="preserve"> taking </w:t>
      </w:r>
      <w:r w:rsidR="001A31E7" w:rsidRPr="00F94789">
        <w:rPr>
          <w:rFonts w:ascii="Times New Roman" w:hAnsi="Times New Roman" w:cs="Times New Roman"/>
          <w:sz w:val="24"/>
          <w:szCs w:val="24"/>
          <w:highlight w:val="cyan"/>
        </w:rPr>
        <w:t>a</w:t>
      </w:r>
      <w:r w:rsidR="00972D1C" w:rsidRPr="00F94789">
        <w:rPr>
          <w:rFonts w:ascii="Times New Roman" w:hAnsi="Times New Roman" w:cs="Times New Roman"/>
          <w:sz w:val="24"/>
          <w:szCs w:val="24"/>
          <w:highlight w:val="cyan"/>
        </w:rPr>
        <w:t xml:space="preserve"> substantial share</w:t>
      </w:r>
      <w:r w:rsidR="00C91DFD" w:rsidRPr="00F94789">
        <w:rPr>
          <w:rFonts w:ascii="Times New Roman" w:hAnsi="Times New Roman" w:cs="Times New Roman"/>
          <w:sz w:val="24"/>
          <w:szCs w:val="24"/>
          <w:highlight w:val="cyan"/>
        </w:rPr>
        <w:t xml:space="preserve"> of cryptocurrency ecosystem transactions </w:t>
      </w:r>
      <w:r w:rsidR="00972D1C" w:rsidRPr="00F94789">
        <w:rPr>
          <w:rFonts w:ascii="Times New Roman" w:hAnsi="Times New Roman" w:cs="Times New Roman"/>
          <w:sz w:val="24"/>
          <w:szCs w:val="24"/>
          <w:highlight w:val="cyan"/>
        </w:rPr>
        <w:t>from</w:t>
      </w:r>
      <w:r w:rsidR="00972D1C">
        <w:rPr>
          <w:rFonts w:ascii="Times New Roman" w:hAnsi="Times New Roman" w:cs="Times New Roman"/>
          <w:sz w:val="24"/>
          <w:szCs w:val="24"/>
        </w:rPr>
        <w:t xml:space="preserve"> </w:t>
      </w:r>
      <w:r w:rsidR="00972D1C" w:rsidRPr="00F94789">
        <w:rPr>
          <w:rFonts w:ascii="Times New Roman" w:hAnsi="Times New Roman" w:cs="Times New Roman"/>
          <w:sz w:val="24"/>
          <w:szCs w:val="24"/>
          <w:highlight w:val="cyan"/>
        </w:rPr>
        <w:t>CEXs</w:t>
      </w:r>
      <w:r w:rsidR="00C91DFD" w:rsidRPr="00F94789">
        <w:rPr>
          <w:rFonts w:ascii="Times New Roman" w:hAnsi="Times New Roman" w:cs="Times New Roman"/>
          <w:sz w:val="24"/>
          <w:szCs w:val="24"/>
          <w:highlight w:val="cyan"/>
        </w:rPr>
        <w:t>.</w:t>
      </w:r>
      <w:r w:rsidR="00972D1C" w:rsidRPr="00F94789">
        <w:rPr>
          <w:rFonts w:ascii="Times New Roman" w:hAnsi="Times New Roman" w:cs="Times New Roman"/>
          <w:sz w:val="24"/>
          <w:szCs w:val="24"/>
          <w:highlight w:val="cyan"/>
        </w:rPr>
        <w:t xml:space="preserve"> The r</w:t>
      </w:r>
      <w:r w:rsidR="00C91DFD" w:rsidRPr="00F94789">
        <w:rPr>
          <w:rFonts w:ascii="Times New Roman" w:hAnsi="Times New Roman" w:cs="Times New Roman"/>
          <w:sz w:val="24"/>
          <w:szCs w:val="24"/>
          <w:highlight w:val="cyan"/>
        </w:rPr>
        <w:t>ecent estimates indicate that</w:t>
      </w:r>
      <w:r w:rsidR="00E05FE5" w:rsidRPr="00F94789">
        <w:rPr>
          <w:rFonts w:ascii="Times New Roman" w:hAnsi="Times New Roman" w:cs="Times New Roman"/>
          <w:sz w:val="24"/>
          <w:szCs w:val="24"/>
          <w:highlight w:val="cyan"/>
        </w:rPr>
        <w:t>,</w:t>
      </w:r>
      <w:r w:rsidR="00C91DFD" w:rsidRPr="00F94789">
        <w:rPr>
          <w:rFonts w:ascii="Times New Roman" w:hAnsi="Times New Roman" w:cs="Times New Roman"/>
          <w:sz w:val="24"/>
          <w:szCs w:val="24"/>
          <w:highlight w:val="cyan"/>
        </w:rPr>
        <w:t xml:space="preserve"> in May 2021, trading on DEX platforms exceeded USD150 billion, far outpacing </w:t>
      </w:r>
      <w:r w:rsidR="00E05FE5" w:rsidRPr="00F94789">
        <w:rPr>
          <w:rFonts w:ascii="Times New Roman" w:hAnsi="Times New Roman" w:cs="Times New Roman"/>
          <w:sz w:val="24"/>
          <w:szCs w:val="24"/>
          <w:highlight w:val="cyan"/>
        </w:rPr>
        <w:t xml:space="preserve">the </w:t>
      </w:r>
      <w:r w:rsidR="00C91DFD" w:rsidRPr="00F94789">
        <w:rPr>
          <w:rFonts w:ascii="Times New Roman" w:hAnsi="Times New Roman" w:cs="Times New Roman"/>
          <w:sz w:val="24"/>
          <w:szCs w:val="24"/>
          <w:highlight w:val="cyan"/>
        </w:rPr>
        <w:t xml:space="preserve">growth </w:t>
      </w:r>
      <w:r w:rsidR="00972D1C" w:rsidRPr="00F94789">
        <w:rPr>
          <w:rFonts w:ascii="Times New Roman" w:hAnsi="Times New Roman" w:cs="Times New Roman"/>
          <w:sz w:val="24"/>
          <w:szCs w:val="24"/>
          <w:highlight w:val="cyan"/>
        </w:rPr>
        <w:t>of the</w:t>
      </w:r>
      <w:r w:rsidR="00C91DFD" w:rsidRPr="00F94789">
        <w:rPr>
          <w:rFonts w:ascii="Times New Roman" w:hAnsi="Times New Roman" w:cs="Times New Roman"/>
          <w:sz w:val="24"/>
          <w:szCs w:val="24"/>
          <w:highlight w:val="cyan"/>
        </w:rPr>
        <w:t xml:space="preserve"> rival </w:t>
      </w:r>
      <w:r w:rsidR="00FA5D16" w:rsidRPr="00F94789">
        <w:rPr>
          <w:rFonts w:ascii="Times New Roman" w:hAnsi="Times New Roman" w:cs="Times New Roman"/>
          <w:sz w:val="24"/>
          <w:szCs w:val="24"/>
          <w:highlight w:val="cyan"/>
        </w:rPr>
        <w:t xml:space="preserve">centralized </w:t>
      </w:r>
      <w:r w:rsidR="00C91DFD" w:rsidRPr="00F94789">
        <w:rPr>
          <w:rFonts w:ascii="Times New Roman" w:hAnsi="Times New Roman" w:cs="Times New Roman"/>
          <w:sz w:val="24"/>
          <w:szCs w:val="24"/>
          <w:highlight w:val="cyan"/>
        </w:rPr>
        <w:t>exchange</w:t>
      </w:r>
      <w:r w:rsidR="00972D1C" w:rsidRPr="00F94789">
        <w:rPr>
          <w:rFonts w:ascii="Times New Roman" w:hAnsi="Times New Roman" w:cs="Times New Roman"/>
          <w:sz w:val="24"/>
          <w:szCs w:val="24"/>
          <w:highlight w:val="cyan"/>
        </w:rPr>
        <w:t>s</w:t>
      </w:r>
      <w:r w:rsidR="00C91DFD" w:rsidRPr="00F94789">
        <w:rPr>
          <w:rFonts w:ascii="Times New Roman" w:hAnsi="Times New Roman" w:cs="Times New Roman"/>
          <w:sz w:val="24"/>
          <w:szCs w:val="24"/>
          <w:highlight w:val="cyan"/>
        </w:rPr>
        <w:t>.</w:t>
      </w:r>
    </w:p>
    <w:p w14:paraId="2057FD78" w14:textId="41BC095E" w:rsidR="00384029" w:rsidRDefault="001167DC" w:rsidP="00384029">
      <w:pPr>
        <w:spacing w:line="360" w:lineRule="auto"/>
        <w:ind w:firstLine="720"/>
        <w:contextualSpacing/>
        <w:jc w:val="both"/>
        <w:rPr>
          <w:rFonts w:ascii="Times New Roman" w:hAnsi="Times New Roman" w:cs="Times New Roman"/>
          <w:sz w:val="24"/>
          <w:szCs w:val="24"/>
        </w:rPr>
      </w:pPr>
      <w:r w:rsidRPr="00542D8C">
        <w:rPr>
          <w:rFonts w:ascii="Times New Roman" w:hAnsi="Times New Roman" w:cs="Times New Roman"/>
          <w:sz w:val="24"/>
          <w:szCs w:val="24"/>
        </w:rPr>
        <w:t>DEXs and CEXs have coexisted for many years, and</w:t>
      </w:r>
      <w:r w:rsidRPr="001167DC">
        <w:rPr>
          <w:rFonts w:ascii="Times New Roman" w:hAnsi="Times New Roman" w:cs="Times New Roman"/>
          <w:sz w:val="24"/>
          <w:szCs w:val="24"/>
        </w:rPr>
        <w:t xml:space="preserve"> many investors have welcomed and used both depending on their preferences for security, affordability, liquidity, risk, and trading opportunities. Keeping in view the unique features </w:t>
      </w:r>
      <w:r w:rsidR="001A31E7" w:rsidRPr="001167DC">
        <w:rPr>
          <w:rFonts w:ascii="Times New Roman" w:hAnsi="Times New Roman" w:cs="Times New Roman"/>
          <w:sz w:val="24"/>
          <w:szCs w:val="24"/>
        </w:rPr>
        <w:t>offered</w:t>
      </w:r>
      <w:r w:rsidRPr="001167DC">
        <w:rPr>
          <w:rFonts w:ascii="Times New Roman" w:hAnsi="Times New Roman" w:cs="Times New Roman"/>
          <w:sz w:val="24"/>
          <w:szCs w:val="24"/>
        </w:rPr>
        <w:t xml:space="preserve"> by both exchanges, the main objective of </w:t>
      </w:r>
      <w:r w:rsidR="00DB3782">
        <w:rPr>
          <w:rFonts w:ascii="Times New Roman" w:hAnsi="Times New Roman" w:cs="Times New Roman"/>
          <w:sz w:val="24"/>
          <w:szCs w:val="24"/>
        </w:rPr>
        <w:t xml:space="preserve">the </w:t>
      </w:r>
      <w:r w:rsidRPr="001167DC">
        <w:rPr>
          <w:rFonts w:ascii="Times New Roman" w:hAnsi="Times New Roman" w:cs="Times New Roman"/>
          <w:sz w:val="24"/>
          <w:szCs w:val="24"/>
        </w:rPr>
        <w:t>current study is to explore the quantile connectedness between decentralized and centralized exchange tokens and other assets.</w:t>
      </w:r>
      <w:r>
        <w:rPr>
          <w:rFonts w:ascii="Times New Roman" w:hAnsi="Times New Roman" w:cs="Times New Roman"/>
          <w:sz w:val="24"/>
          <w:szCs w:val="24"/>
        </w:rPr>
        <w:t xml:space="preserve"> We employ</w:t>
      </w:r>
      <w:r w:rsidR="006350B4" w:rsidRPr="0065228D">
        <w:rPr>
          <w:rFonts w:ascii="Times New Roman" w:hAnsi="Times New Roman" w:cs="Times New Roman"/>
          <w:sz w:val="24"/>
          <w:szCs w:val="24"/>
        </w:rPr>
        <w:t xml:space="preserve"> the daily data of three DEX tokens (RUNE-</w:t>
      </w:r>
      <w:r w:rsidR="006350B4" w:rsidRPr="00384029">
        <w:rPr>
          <w:rFonts w:ascii="Times New Roman" w:hAnsi="Times New Roman" w:cs="Times New Roman"/>
          <w:sz w:val="24"/>
          <w:szCs w:val="24"/>
        </w:rPr>
        <w:t>THOR Chain,</w:t>
      </w:r>
      <w:r w:rsidR="006350B4" w:rsidRPr="0065228D">
        <w:rPr>
          <w:rFonts w:ascii="Times New Roman" w:hAnsi="Times New Roman" w:cs="Times New Roman"/>
          <w:sz w:val="24"/>
          <w:szCs w:val="24"/>
        </w:rPr>
        <w:t xml:space="preserve"> LRC-</w:t>
      </w:r>
      <w:proofErr w:type="spellStart"/>
      <w:r w:rsidR="006350B4" w:rsidRPr="0065228D">
        <w:rPr>
          <w:rFonts w:ascii="Times New Roman" w:hAnsi="Times New Roman" w:cs="Times New Roman"/>
          <w:sz w:val="24"/>
          <w:szCs w:val="24"/>
        </w:rPr>
        <w:t>Loopring</w:t>
      </w:r>
      <w:proofErr w:type="spellEnd"/>
      <w:r w:rsidR="006350B4" w:rsidRPr="0065228D">
        <w:rPr>
          <w:rFonts w:ascii="Times New Roman" w:hAnsi="Times New Roman" w:cs="Times New Roman"/>
          <w:sz w:val="24"/>
          <w:szCs w:val="24"/>
        </w:rPr>
        <w:t>, GNO-Gnosis,) and three CEX tokens (BNB-</w:t>
      </w:r>
      <w:proofErr w:type="spellStart"/>
      <w:r w:rsidR="006350B4" w:rsidRPr="0065228D">
        <w:rPr>
          <w:rFonts w:ascii="Times New Roman" w:hAnsi="Times New Roman" w:cs="Times New Roman"/>
          <w:sz w:val="24"/>
          <w:szCs w:val="24"/>
        </w:rPr>
        <w:t>Binance</w:t>
      </w:r>
      <w:proofErr w:type="spellEnd"/>
      <w:r w:rsidR="006350B4" w:rsidRPr="0065228D">
        <w:rPr>
          <w:rFonts w:ascii="Times New Roman" w:hAnsi="Times New Roman" w:cs="Times New Roman"/>
          <w:sz w:val="24"/>
          <w:szCs w:val="24"/>
        </w:rPr>
        <w:t xml:space="preserve"> Coin, LEO-UNUS SED LEO, </w:t>
      </w:r>
      <w:bookmarkStart w:id="4" w:name="_Hlk103537996"/>
      <w:r w:rsidR="006350B4" w:rsidRPr="0065228D">
        <w:rPr>
          <w:rFonts w:ascii="Times New Roman" w:hAnsi="Times New Roman" w:cs="Times New Roman"/>
          <w:sz w:val="24"/>
          <w:szCs w:val="24"/>
        </w:rPr>
        <w:t>FTT-FTX Token</w:t>
      </w:r>
      <w:bookmarkEnd w:id="4"/>
      <w:r w:rsidR="006350B4" w:rsidRPr="0065228D">
        <w:rPr>
          <w:rFonts w:ascii="Times New Roman" w:hAnsi="Times New Roman" w:cs="Times New Roman"/>
          <w:sz w:val="24"/>
          <w:szCs w:val="24"/>
        </w:rPr>
        <w:t xml:space="preserve">) </w:t>
      </w:r>
      <w:r>
        <w:rPr>
          <w:rFonts w:ascii="Times New Roman" w:hAnsi="Times New Roman" w:cs="Times New Roman"/>
          <w:sz w:val="24"/>
          <w:szCs w:val="24"/>
        </w:rPr>
        <w:t xml:space="preserve">from </w:t>
      </w:r>
      <w:r w:rsidR="00DB3782">
        <w:rPr>
          <w:rFonts w:ascii="Times New Roman" w:hAnsi="Times New Roman" w:cs="Times New Roman"/>
          <w:sz w:val="24"/>
          <w:szCs w:val="24"/>
        </w:rPr>
        <w:t xml:space="preserve">31 </w:t>
      </w:r>
      <w:r w:rsidR="00384029" w:rsidRPr="00384029">
        <w:rPr>
          <w:rFonts w:ascii="Times New Roman" w:hAnsi="Times New Roman" w:cs="Times New Roman"/>
          <w:sz w:val="24"/>
          <w:szCs w:val="24"/>
        </w:rPr>
        <w:t xml:space="preserve">July 2019 </w:t>
      </w:r>
      <w:r w:rsidR="00DB3782">
        <w:rPr>
          <w:rFonts w:ascii="Times New Roman" w:hAnsi="Times New Roman" w:cs="Times New Roman"/>
          <w:sz w:val="24"/>
          <w:szCs w:val="24"/>
        </w:rPr>
        <w:t>to</w:t>
      </w:r>
      <w:r w:rsidR="00384029" w:rsidRPr="00384029">
        <w:rPr>
          <w:rFonts w:ascii="Times New Roman" w:hAnsi="Times New Roman" w:cs="Times New Roman"/>
          <w:sz w:val="24"/>
          <w:szCs w:val="24"/>
        </w:rPr>
        <w:t xml:space="preserve"> </w:t>
      </w:r>
      <w:r w:rsidR="00DB3782">
        <w:rPr>
          <w:rFonts w:ascii="Times New Roman" w:hAnsi="Times New Roman" w:cs="Times New Roman"/>
          <w:sz w:val="24"/>
          <w:szCs w:val="24"/>
        </w:rPr>
        <w:t xml:space="preserve">25 </w:t>
      </w:r>
      <w:r w:rsidR="00384029" w:rsidRPr="00384029">
        <w:rPr>
          <w:rFonts w:ascii="Times New Roman" w:hAnsi="Times New Roman" w:cs="Times New Roman"/>
          <w:sz w:val="24"/>
          <w:szCs w:val="24"/>
        </w:rPr>
        <w:t>April</w:t>
      </w:r>
      <w:r w:rsidR="00DB3782">
        <w:rPr>
          <w:rFonts w:ascii="Times New Roman" w:hAnsi="Times New Roman" w:cs="Times New Roman"/>
          <w:sz w:val="24"/>
          <w:szCs w:val="24"/>
        </w:rPr>
        <w:t xml:space="preserve"> </w:t>
      </w:r>
      <w:r w:rsidR="00384029" w:rsidRPr="00384029">
        <w:rPr>
          <w:rFonts w:ascii="Times New Roman" w:hAnsi="Times New Roman" w:cs="Times New Roman"/>
          <w:sz w:val="24"/>
          <w:szCs w:val="24"/>
        </w:rPr>
        <w:t>2022</w:t>
      </w:r>
      <w:r w:rsidR="00384029">
        <w:rPr>
          <w:rFonts w:ascii="Times New Roman" w:hAnsi="Times New Roman" w:cs="Times New Roman"/>
          <w:sz w:val="24"/>
          <w:szCs w:val="24"/>
        </w:rPr>
        <w:t xml:space="preserve">. We further extend our data period to </w:t>
      </w:r>
      <w:r w:rsidR="00DB3782">
        <w:rPr>
          <w:rFonts w:ascii="Times New Roman" w:hAnsi="Times New Roman" w:cs="Times New Roman"/>
          <w:sz w:val="24"/>
          <w:szCs w:val="24"/>
        </w:rPr>
        <w:t xml:space="preserve">30 </w:t>
      </w:r>
      <w:r w:rsidR="00384029" w:rsidRPr="00384029">
        <w:rPr>
          <w:rFonts w:ascii="Times New Roman" w:hAnsi="Times New Roman" w:cs="Times New Roman"/>
          <w:sz w:val="24"/>
          <w:szCs w:val="24"/>
        </w:rPr>
        <w:t>January 2023</w:t>
      </w:r>
      <w:r w:rsidR="00384029">
        <w:rPr>
          <w:rFonts w:ascii="Times New Roman" w:hAnsi="Times New Roman" w:cs="Times New Roman"/>
          <w:sz w:val="24"/>
          <w:szCs w:val="24"/>
        </w:rPr>
        <w:t xml:space="preserve"> to cover the collapses of Terra Luna and FTX.</w:t>
      </w:r>
      <w:r w:rsidR="00384029" w:rsidRPr="00384029">
        <w:rPr>
          <w:rFonts w:ascii="Times New Roman" w:hAnsi="Times New Roman" w:cs="Times New Roman"/>
          <w:sz w:val="24"/>
          <w:szCs w:val="24"/>
        </w:rPr>
        <w:t xml:space="preserve">  </w:t>
      </w:r>
    </w:p>
    <w:bookmarkEnd w:id="3"/>
    <w:p w14:paraId="364CE27D" w14:textId="54CAC196" w:rsidR="006350B4" w:rsidRDefault="00384029" w:rsidP="00384029">
      <w:pPr>
        <w:spacing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We </w:t>
      </w:r>
      <w:r w:rsidRPr="00F0191A">
        <w:rPr>
          <w:rFonts w:ascii="Times New Roman" w:hAnsi="Times New Roman" w:cs="Times New Roman"/>
          <w:sz w:val="24"/>
          <w:szCs w:val="24"/>
        </w:rPr>
        <w:t>employ</w:t>
      </w:r>
      <w:r w:rsidR="007F4B42" w:rsidRPr="00F0191A">
        <w:rPr>
          <w:rFonts w:ascii="Times New Roman" w:hAnsi="Times New Roman" w:cs="Times New Roman"/>
          <w:sz w:val="24"/>
          <w:szCs w:val="24"/>
        </w:rPr>
        <w:t xml:space="preserve"> Ando et al.</w:t>
      </w:r>
      <w:r w:rsidR="005645CB" w:rsidRPr="00F0191A">
        <w:rPr>
          <w:rFonts w:ascii="Times New Roman" w:hAnsi="Times New Roman" w:cs="Times New Roman"/>
          <w:sz w:val="24"/>
          <w:szCs w:val="24"/>
        </w:rPr>
        <w:t>’s</w:t>
      </w:r>
      <w:r w:rsidR="007F4B42" w:rsidRPr="00F0191A">
        <w:rPr>
          <w:rFonts w:ascii="Times New Roman" w:hAnsi="Times New Roman" w:cs="Times New Roman"/>
          <w:sz w:val="24"/>
          <w:szCs w:val="24"/>
        </w:rPr>
        <w:t xml:space="preserve"> (2018) technique of quantile-based-connectedness </w:t>
      </w:r>
      <w:r w:rsidR="006350B4" w:rsidRPr="00F0191A">
        <w:rPr>
          <w:rFonts w:ascii="Times New Roman" w:hAnsi="Times New Roman" w:cs="Times New Roman"/>
          <w:sz w:val="24"/>
          <w:szCs w:val="24"/>
        </w:rPr>
        <w:t>that uses a mix of the quantile VAR and a spillover technique based on the Diebold and Yilmaz (2012)</w:t>
      </w:r>
      <w:r w:rsidR="006350B4" w:rsidRPr="0065228D">
        <w:rPr>
          <w:rFonts w:ascii="Times New Roman" w:hAnsi="Times New Roman" w:cs="Times New Roman"/>
          <w:sz w:val="24"/>
          <w:szCs w:val="24"/>
        </w:rPr>
        <w:t xml:space="preserve"> models to </w:t>
      </w:r>
      <w:r w:rsidR="007F4B42" w:rsidRPr="0065228D">
        <w:rPr>
          <w:rFonts w:ascii="Times New Roman" w:hAnsi="Times New Roman" w:cs="Times New Roman"/>
          <w:sz w:val="24"/>
          <w:szCs w:val="24"/>
        </w:rPr>
        <w:t>examine</w:t>
      </w:r>
      <w:r w:rsidR="006350B4" w:rsidRPr="0065228D">
        <w:rPr>
          <w:rFonts w:ascii="Times New Roman" w:hAnsi="Times New Roman" w:cs="Times New Roman"/>
          <w:sz w:val="24"/>
          <w:szCs w:val="24"/>
        </w:rPr>
        <w:t xml:space="preserve"> the link between the median and extreme quantiles. </w:t>
      </w:r>
      <w:r w:rsidRPr="00384029">
        <w:rPr>
          <w:rFonts w:ascii="Times New Roman" w:hAnsi="Times New Roman" w:cs="Times New Roman"/>
          <w:sz w:val="24"/>
          <w:szCs w:val="24"/>
        </w:rPr>
        <w:t>F</w:t>
      </w:r>
      <w:r>
        <w:rPr>
          <w:rFonts w:ascii="Times New Roman" w:hAnsi="Times New Roman" w:cs="Times New Roman"/>
          <w:sz w:val="24"/>
          <w:szCs w:val="24"/>
        </w:rPr>
        <w:t>i</w:t>
      </w:r>
      <w:r w:rsidRPr="00384029">
        <w:rPr>
          <w:rFonts w:ascii="Times New Roman" w:hAnsi="Times New Roman" w:cs="Times New Roman"/>
          <w:sz w:val="24"/>
          <w:szCs w:val="24"/>
        </w:rPr>
        <w:t>nally</w:t>
      </w:r>
      <w:r w:rsidR="006350B4" w:rsidRPr="00384029">
        <w:rPr>
          <w:rFonts w:ascii="Times New Roman" w:hAnsi="Times New Roman" w:cs="Times New Roman"/>
          <w:sz w:val="24"/>
          <w:szCs w:val="24"/>
        </w:rPr>
        <w:t>,</w:t>
      </w:r>
      <w:r w:rsidR="006350B4" w:rsidRPr="0065228D">
        <w:rPr>
          <w:rFonts w:ascii="Times New Roman" w:hAnsi="Times New Roman" w:cs="Times New Roman"/>
          <w:sz w:val="24"/>
          <w:szCs w:val="24"/>
        </w:rPr>
        <w:t xml:space="preserve"> we </w:t>
      </w:r>
      <w:r w:rsidR="007F4B42" w:rsidRPr="0065228D">
        <w:rPr>
          <w:rFonts w:ascii="Times New Roman" w:hAnsi="Times New Roman" w:cs="Times New Roman"/>
          <w:sz w:val="24"/>
          <w:szCs w:val="24"/>
        </w:rPr>
        <w:t xml:space="preserve">use </w:t>
      </w:r>
      <w:r w:rsidR="005645CB">
        <w:rPr>
          <w:rFonts w:ascii="Times New Roman" w:hAnsi="Times New Roman" w:cs="Times New Roman"/>
          <w:sz w:val="24"/>
          <w:szCs w:val="24"/>
        </w:rPr>
        <w:t xml:space="preserve">the </w:t>
      </w:r>
      <w:r w:rsidR="007F4B42" w:rsidRPr="0065228D">
        <w:rPr>
          <w:rFonts w:ascii="Times New Roman" w:hAnsi="Times New Roman" w:cs="Times New Roman"/>
          <w:sz w:val="24"/>
          <w:szCs w:val="24"/>
        </w:rPr>
        <w:t>BEKK</w:t>
      </w:r>
      <w:r w:rsidR="005645CB">
        <w:rPr>
          <w:rFonts w:ascii="Times New Roman" w:hAnsi="Times New Roman" w:cs="Times New Roman"/>
          <w:sz w:val="24"/>
          <w:szCs w:val="24"/>
        </w:rPr>
        <w:t>–</w:t>
      </w:r>
      <w:r w:rsidR="007F4B42" w:rsidRPr="0065228D">
        <w:rPr>
          <w:rFonts w:ascii="Times New Roman" w:hAnsi="Times New Roman" w:cs="Times New Roman"/>
          <w:sz w:val="24"/>
          <w:szCs w:val="24"/>
        </w:rPr>
        <w:t>GARCH model for e</w:t>
      </w:r>
      <w:r w:rsidR="006350B4" w:rsidRPr="0065228D">
        <w:rPr>
          <w:rFonts w:ascii="Times New Roman" w:hAnsi="Times New Roman" w:cs="Times New Roman"/>
          <w:sz w:val="24"/>
          <w:szCs w:val="24"/>
        </w:rPr>
        <w:t>stimat</w:t>
      </w:r>
      <w:r w:rsidR="007F4B42" w:rsidRPr="0065228D">
        <w:rPr>
          <w:rFonts w:ascii="Times New Roman" w:hAnsi="Times New Roman" w:cs="Times New Roman"/>
          <w:sz w:val="24"/>
          <w:szCs w:val="24"/>
        </w:rPr>
        <w:t>ing</w:t>
      </w:r>
      <w:r w:rsidR="006350B4" w:rsidRPr="0065228D">
        <w:rPr>
          <w:rFonts w:ascii="Times New Roman" w:hAnsi="Times New Roman" w:cs="Times New Roman"/>
          <w:sz w:val="24"/>
          <w:szCs w:val="24"/>
        </w:rPr>
        <w:t xml:space="preserve"> the optimal weights, hedge ratios, and hedging effectiveness for the </w:t>
      </w:r>
      <w:r w:rsidR="007F4B42" w:rsidRPr="0065228D">
        <w:rPr>
          <w:rFonts w:ascii="Times New Roman" w:hAnsi="Times New Roman" w:cs="Times New Roman"/>
          <w:sz w:val="24"/>
          <w:szCs w:val="24"/>
        </w:rPr>
        <w:t>combination</w:t>
      </w:r>
      <w:r w:rsidR="006350B4" w:rsidRPr="0065228D">
        <w:rPr>
          <w:rFonts w:ascii="Times New Roman" w:hAnsi="Times New Roman" w:cs="Times New Roman"/>
          <w:sz w:val="24"/>
          <w:szCs w:val="24"/>
        </w:rPr>
        <w:t xml:space="preserve"> of </w:t>
      </w:r>
      <w:r w:rsidR="007F4B42" w:rsidRPr="0065228D">
        <w:rPr>
          <w:rFonts w:ascii="Times New Roman" w:hAnsi="Times New Roman" w:cs="Times New Roman"/>
          <w:sz w:val="24"/>
          <w:szCs w:val="24"/>
        </w:rPr>
        <w:t>DEX</w:t>
      </w:r>
      <w:r w:rsidR="005645CB">
        <w:rPr>
          <w:rFonts w:ascii="Times New Roman" w:hAnsi="Times New Roman" w:cs="Times New Roman"/>
          <w:sz w:val="24"/>
          <w:szCs w:val="24"/>
        </w:rPr>
        <w:t>–</w:t>
      </w:r>
      <w:r w:rsidR="006350B4" w:rsidRPr="0065228D">
        <w:rPr>
          <w:rFonts w:ascii="Times New Roman" w:hAnsi="Times New Roman" w:cs="Times New Roman"/>
          <w:sz w:val="24"/>
          <w:szCs w:val="24"/>
        </w:rPr>
        <w:t>other asset</w:t>
      </w:r>
      <w:r w:rsidR="007F4B42" w:rsidRPr="0065228D">
        <w:rPr>
          <w:rFonts w:ascii="Times New Roman" w:hAnsi="Times New Roman" w:cs="Times New Roman"/>
          <w:sz w:val="24"/>
          <w:szCs w:val="24"/>
        </w:rPr>
        <w:t>s</w:t>
      </w:r>
      <w:r w:rsidR="006350B4" w:rsidRPr="0065228D">
        <w:rPr>
          <w:rFonts w:ascii="Times New Roman" w:hAnsi="Times New Roman" w:cs="Times New Roman"/>
          <w:sz w:val="24"/>
          <w:szCs w:val="24"/>
        </w:rPr>
        <w:t xml:space="preserve"> </w:t>
      </w:r>
      <w:r w:rsidR="005645CB">
        <w:rPr>
          <w:rFonts w:ascii="Times New Roman" w:hAnsi="Times New Roman" w:cs="Times New Roman"/>
          <w:sz w:val="24"/>
          <w:szCs w:val="24"/>
        </w:rPr>
        <w:t xml:space="preserve">and </w:t>
      </w:r>
      <w:r w:rsidR="007F4B42" w:rsidRPr="0065228D">
        <w:rPr>
          <w:rFonts w:ascii="Times New Roman" w:hAnsi="Times New Roman" w:cs="Times New Roman"/>
          <w:sz w:val="24"/>
          <w:szCs w:val="24"/>
        </w:rPr>
        <w:t>CEX</w:t>
      </w:r>
      <w:r w:rsidR="005645CB">
        <w:rPr>
          <w:rFonts w:ascii="Times New Roman" w:hAnsi="Times New Roman" w:cs="Times New Roman"/>
          <w:sz w:val="24"/>
          <w:szCs w:val="24"/>
        </w:rPr>
        <w:t>–</w:t>
      </w:r>
      <w:r w:rsidR="006350B4" w:rsidRPr="0065228D">
        <w:rPr>
          <w:rFonts w:ascii="Times New Roman" w:hAnsi="Times New Roman" w:cs="Times New Roman"/>
          <w:sz w:val="24"/>
          <w:szCs w:val="24"/>
        </w:rPr>
        <w:t>other asset</w:t>
      </w:r>
      <w:r w:rsidR="005645CB">
        <w:rPr>
          <w:rFonts w:ascii="Times New Roman" w:hAnsi="Times New Roman" w:cs="Times New Roman"/>
          <w:sz w:val="24"/>
          <w:szCs w:val="24"/>
        </w:rPr>
        <w:t>s</w:t>
      </w:r>
      <w:r w:rsidR="007F4B42" w:rsidRPr="0065228D">
        <w:rPr>
          <w:rFonts w:ascii="Times New Roman" w:hAnsi="Times New Roman" w:cs="Times New Roman"/>
          <w:sz w:val="24"/>
          <w:szCs w:val="24"/>
        </w:rPr>
        <w:t>.</w:t>
      </w:r>
      <w:r w:rsidR="006350B4" w:rsidRPr="0065228D">
        <w:rPr>
          <w:rFonts w:ascii="Times New Roman" w:hAnsi="Times New Roman" w:cs="Times New Roman"/>
          <w:sz w:val="24"/>
          <w:szCs w:val="24"/>
        </w:rPr>
        <w:t xml:space="preserve"> </w:t>
      </w:r>
      <w:r w:rsidR="007F4B42" w:rsidRPr="0065228D">
        <w:rPr>
          <w:rFonts w:ascii="Times New Roman" w:hAnsi="Times New Roman" w:cs="Times New Roman"/>
          <w:sz w:val="24"/>
          <w:szCs w:val="24"/>
        </w:rPr>
        <w:t>T</w:t>
      </w:r>
      <w:r w:rsidR="006350B4" w:rsidRPr="0065228D">
        <w:rPr>
          <w:rFonts w:ascii="Times New Roman" w:hAnsi="Times New Roman" w:cs="Times New Roman"/>
          <w:sz w:val="24"/>
          <w:szCs w:val="24"/>
        </w:rPr>
        <w:t xml:space="preserve">he variance and covariances </w:t>
      </w:r>
      <w:r w:rsidR="007F4B42" w:rsidRPr="0065228D">
        <w:rPr>
          <w:rFonts w:ascii="Times New Roman" w:hAnsi="Times New Roman" w:cs="Times New Roman"/>
          <w:sz w:val="24"/>
          <w:szCs w:val="24"/>
        </w:rPr>
        <w:t>are first estimated using the</w:t>
      </w:r>
      <w:r w:rsidR="006350B4" w:rsidRPr="0065228D">
        <w:rPr>
          <w:rFonts w:ascii="Times New Roman" w:hAnsi="Times New Roman" w:cs="Times New Roman"/>
          <w:sz w:val="24"/>
          <w:szCs w:val="24"/>
        </w:rPr>
        <w:t xml:space="preserve"> BEKK</w:t>
      </w:r>
      <w:r w:rsidR="005645CB">
        <w:rPr>
          <w:rFonts w:ascii="Times New Roman" w:hAnsi="Times New Roman" w:cs="Times New Roman"/>
          <w:sz w:val="24"/>
          <w:szCs w:val="24"/>
        </w:rPr>
        <w:t>–</w:t>
      </w:r>
      <w:r w:rsidR="006350B4" w:rsidRPr="0065228D">
        <w:rPr>
          <w:rFonts w:ascii="Times New Roman" w:hAnsi="Times New Roman" w:cs="Times New Roman"/>
          <w:sz w:val="24"/>
          <w:szCs w:val="24"/>
        </w:rPr>
        <w:t xml:space="preserve">GARCH model for all </w:t>
      </w:r>
      <w:r w:rsidR="007F4B42" w:rsidRPr="0065228D">
        <w:rPr>
          <w:rFonts w:ascii="Times New Roman" w:hAnsi="Times New Roman" w:cs="Times New Roman"/>
          <w:sz w:val="24"/>
          <w:szCs w:val="24"/>
        </w:rPr>
        <w:t>combination</w:t>
      </w:r>
      <w:r w:rsidR="006350B4" w:rsidRPr="0065228D">
        <w:rPr>
          <w:rFonts w:ascii="Times New Roman" w:hAnsi="Times New Roman" w:cs="Times New Roman"/>
          <w:sz w:val="24"/>
          <w:szCs w:val="24"/>
        </w:rPr>
        <w:t>s</w:t>
      </w:r>
      <w:r w:rsidR="007F4B42" w:rsidRPr="0065228D">
        <w:rPr>
          <w:rFonts w:ascii="Times New Roman" w:hAnsi="Times New Roman" w:cs="Times New Roman"/>
          <w:sz w:val="24"/>
          <w:szCs w:val="24"/>
        </w:rPr>
        <w:t xml:space="preserve"> of DEX</w:t>
      </w:r>
      <w:r w:rsidR="005645CB">
        <w:rPr>
          <w:rFonts w:ascii="Times New Roman" w:hAnsi="Times New Roman" w:cs="Times New Roman"/>
          <w:sz w:val="24"/>
          <w:szCs w:val="24"/>
        </w:rPr>
        <w:t>–</w:t>
      </w:r>
      <w:r w:rsidR="007F4B42" w:rsidRPr="0065228D">
        <w:rPr>
          <w:rFonts w:ascii="Times New Roman" w:hAnsi="Times New Roman" w:cs="Times New Roman"/>
          <w:sz w:val="24"/>
          <w:szCs w:val="24"/>
        </w:rPr>
        <w:t>CEX tokens and other assets</w:t>
      </w:r>
      <w:r w:rsidR="005645CB">
        <w:rPr>
          <w:rFonts w:ascii="Times New Roman" w:hAnsi="Times New Roman" w:cs="Times New Roman"/>
          <w:sz w:val="24"/>
          <w:szCs w:val="24"/>
        </w:rPr>
        <w:t>. Next,</w:t>
      </w:r>
      <w:r w:rsidR="006350B4" w:rsidRPr="0065228D">
        <w:rPr>
          <w:rFonts w:ascii="Times New Roman" w:hAnsi="Times New Roman" w:cs="Times New Roman"/>
          <w:sz w:val="24"/>
          <w:szCs w:val="24"/>
        </w:rPr>
        <w:t xml:space="preserve"> </w:t>
      </w:r>
      <w:r w:rsidR="007F4B42" w:rsidRPr="00FB1658">
        <w:rPr>
          <w:rFonts w:ascii="Times New Roman" w:hAnsi="Times New Roman" w:cs="Times New Roman"/>
          <w:sz w:val="24"/>
          <w:szCs w:val="24"/>
        </w:rPr>
        <w:t>following</w:t>
      </w:r>
      <w:r w:rsidR="006350B4" w:rsidRPr="00FB1658">
        <w:rPr>
          <w:rFonts w:ascii="Times New Roman" w:hAnsi="Times New Roman" w:cs="Times New Roman"/>
          <w:sz w:val="24"/>
          <w:szCs w:val="24"/>
        </w:rPr>
        <w:t xml:space="preserve"> </w:t>
      </w:r>
      <w:r w:rsidR="007F4B42" w:rsidRPr="00FB1658">
        <w:rPr>
          <w:rFonts w:ascii="Times New Roman" w:hAnsi="Times New Roman" w:cs="Times New Roman"/>
          <w:sz w:val="24"/>
          <w:szCs w:val="24"/>
        </w:rPr>
        <w:t xml:space="preserve">Kroner and Ng (1998), Kroner and Sultan (1993), and Ku et al. (2007), </w:t>
      </w:r>
      <w:r w:rsidR="006350B4" w:rsidRPr="00FB1658">
        <w:rPr>
          <w:rFonts w:ascii="Times New Roman" w:hAnsi="Times New Roman" w:cs="Times New Roman"/>
          <w:sz w:val="24"/>
          <w:szCs w:val="24"/>
        </w:rPr>
        <w:t xml:space="preserve">the optimal weights, hedge ratios, and hedging effectiveness </w:t>
      </w:r>
      <w:r w:rsidR="007F4B42" w:rsidRPr="00FB1658">
        <w:rPr>
          <w:rFonts w:ascii="Times New Roman" w:hAnsi="Times New Roman" w:cs="Times New Roman"/>
          <w:sz w:val="24"/>
          <w:szCs w:val="24"/>
        </w:rPr>
        <w:t>are calculated</w:t>
      </w:r>
      <w:r w:rsidR="005645CB" w:rsidRPr="00FB1658">
        <w:rPr>
          <w:rFonts w:ascii="Times New Roman" w:hAnsi="Times New Roman" w:cs="Times New Roman"/>
          <w:sz w:val="24"/>
          <w:szCs w:val="24"/>
        </w:rPr>
        <w:t>,</w:t>
      </w:r>
      <w:r w:rsidR="006350B4" w:rsidRPr="00FB1658">
        <w:rPr>
          <w:rFonts w:ascii="Times New Roman" w:hAnsi="Times New Roman" w:cs="Times New Roman"/>
          <w:sz w:val="24"/>
          <w:szCs w:val="24"/>
        </w:rPr>
        <w:t xml:space="preserve"> respectively.</w:t>
      </w:r>
    </w:p>
    <w:p w14:paraId="63A416C9" w14:textId="51C615EB" w:rsidR="00E55D3D" w:rsidRPr="00FE4792" w:rsidRDefault="00AE759C" w:rsidP="004358A1">
      <w:pPr>
        <w:spacing w:line="360" w:lineRule="auto"/>
        <w:ind w:firstLine="720"/>
        <w:contextualSpacing/>
        <w:jc w:val="both"/>
        <w:rPr>
          <w:rFonts w:ascii="Times New Roman" w:hAnsi="Times New Roman" w:cs="Times New Roman"/>
          <w:sz w:val="24"/>
          <w:szCs w:val="24"/>
          <w:highlight w:val="cyan"/>
        </w:rPr>
      </w:pPr>
      <w:r w:rsidRPr="00FE4792">
        <w:rPr>
          <w:rFonts w:ascii="Times New Roman" w:hAnsi="Times New Roman" w:cs="Times New Roman"/>
          <w:sz w:val="24"/>
          <w:szCs w:val="24"/>
          <w:highlight w:val="cyan"/>
        </w:rPr>
        <w:t xml:space="preserve">Our paper makes several literary contributions. To the best of our knowledge, this is the first study to examine </w:t>
      </w:r>
      <w:r w:rsidR="00270AA2" w:rsidRPr="00FE4792">
        <w:rPr>
          <w:rFonts w:ascii="Times New Roman" w:hAnsi="Times New Roman" w:cs="Times New Roman"/>
          <w:sz w:val="24"/>
          <w:szCs w:val="24"/>
          <w:highlight w:val="cyan"/>
        </w:rPr>
        <w:t>spillovers</w:t>
      </w:r>
      <w:r w:rsidRPr="00FE4792">
        <w:rPr>
          <w:rFonts w:ascii="Times New Roman" w:hAnsi="Times New Roman" w:cs="Times New Roman"/>
          <w:sz w:val="24"/>
          <w:szCs w:val="24"/>
          <w:highlight w:val="cyan"/>
        </w:rPr>
        <w:t xml:space="preserve"> between centralized and decentralized exchange tokens and other assets like gold, oil, bitcoin, REITs, stocks, bonds, and the USD index. </w:t>
      </w:r>
      <w:bookmarkStart w:id="5" w:name="_Hlk145328469"/>
      <w:r w:rsidRPr="00FE4792">
        <w:rPr>
          <w:rFonts w:ascii="Times New Roman" w:hAnsi="Times New Roman" w:cs="Times New Roman"/>
          <w:sz w:val="24"/>
          <w:szCs w:val="24"/>
          <w:highlight w:val="cyan"/>
        </w:rPr>
        <w:t xml:space="preserve">There is not much research on DEX and CEX tokens; only a few studies specifically examined how these tokens function. </w:t>
      </w:r>
      <w:r w:rsidR="00E50EB8" w:rsidRPr="00FE4792">
        <w:rPr>
          <w:rFonts w:ascii="Times New Roman" w:hAnsi="Times New Roman" w:cs="Times New Roman"/>
          <w:sz w:val="24"/>
          <w:szCs w:val="24"/>
          <w:highlight w:val="cyan"/>
        </w:rPr>
        <w:t xml:space="preserve">The most notable ones in this regard are those by Yousaf and Goodell (2023), in which the authors investigate whether the FTX scandal and its connection to FTT have caused reputational contagion to other tokens like DEX, CEX, NFTs, Defi, Memes, Energy, and Tourism, even tokens with little direct connection to FTT. Their research shows that on the event day (November 8, 2022) almost all token returns were negative. For DEX, NFT, and memes tokens, abnormal returns are negative, whereas CEX tokens experienced mixed results </w:t>
      </w:r>
      <w:r w:rsidR="00E50EB8" w:rsidRPr="00FE4792">
        <w:rPr>
          <w:rFonts w:ascii="Times New Roman" w:hAnsi="Times New Roman" w:cs="Times New Roman"/>
          <w:sz w:val="24"/>
          <w:szCs w:val="24"/>
          <w:highlight w:val="cyan"/>
        </w:rPr>
        <w:lastRenderedPageBreak/>
        <w:t xml:space="preserve">on the event day. </w:t>
      </w:r>
      <w:r w:rsidR="00DA1EAC" w:rsidRPr="00FE4792">
        <w:rPr>
          <w:rFonts w:ascii="Times New Roman" w:hAnsi="Times New Roman" w:cs="Times New Roman"/>
          <w:sz w:val="24"/>
          <w:szCs w:val="24"/>
          <w:highlight w:val="cyan"/>
        </w:rPr>
        <w:t xml:space="preserve">The other noteworthy study is one by </w:t>
      </w:r>
      <w:proofErr w:type="spellStart"/>
      <w:r w:rsidR="00DA1EAC" w:rsidRPr="00FE4792">
        <w:rPr>
          <w:rFonts w:ascii="Times New Roman" w:hAnsi="Times New Roman" w:cs="Times New Roman"/>
          <w:sz w:val="24"/>
          <w:szCs w:val="24"/>
          <w:highlight w:val="cyan"/>
        </w:rPr>
        <w:t>Aspris</w:t>
      </w:r>
      <w:proofErr w:type="spellEnd"/>
      <w:r w:rsidR="00DA1EAC" w:rsidRPr="00FE4792">
        <w:rPr>
          <w:rFonts w:ascii="Times New Roman" w:hAnsi="Times New Roman" w:cs="Times New Roman"/>
          <w:sz w:val="24"/>
          <w:szCs w:val="24"/>
          <w:highlight w:val="cyan"/>
        </w:rPr>
        <w:t xml:space="preserve"> et al. (2021), which examines the function of decentralized exchanges and discovers notable variations between CEX and DEX tokens in terms of listing and trading characteristics.</w:t>
      </w:r>
      <w:r w:rsidR="00DA1EAC" w:rsidRPr="00FE4792">
        <w:rPr>
          <w:highlight w:val="cyan"/>
        </w:rPr>
        <w:t xml:space="preserve"> </w:t>
      </w:r>
      <w:r w:rsidR="00DA1EAC" w:rsidRPr="00FE4792">
        <w:rPr>
          <w:rFonts w:ascii="Times New Roman" w:hAnsi="Times New Roman" w:cs="Times New Roman"/>
          <w:sz w:val="24"/>
          <w:szCs w:val="24"/>
          <w:highlight w:val="cyan"/>
        </w:rPr>
        <w:t>Furthermore, they discovered that trading activity significantly increased when DEX tokens were listed on a centralized exchange during the study period. As a result of centralized listings, volume shifts away from decentralized platforms, suggesting that token holders strongly prefer more liquid, deeper markets over the increased security and anonymity offered by decentralized exchanges.</w:t>
      </w:r>
    </w:p>
    <w:p w14:paraId="5EB35D4D" w14:textId="6D276759" w:rsidR="00413788" w:rsidRDefault="00413788" w:rsidP="004358A1">
      <w:pPr>
        <w:spacing w:line="360" w:lineRule="auto"/>
        <w:ind w:firstLine="720"/>
        <w:contextualSpacing/>
        <w:jc w:val="both"/>
        <w:rPr>
          <w:rFonts w:ascii="Times New Roman" w:hAnsi="Times New Roman" w:cs="Times New Roman"/>
          <w:sz w:val="24"/>
          <w:szCs w:val="24"/>
        </w:rPr>
      </w:pPr>
      <w:r w:rsidRPr="00FE4792">
        <w:rPr>
          <w:rFonts w:ascii="Times New Roman" w:hAnsi="Times New Roman" w:cs="Times New Roman"/>
          <w:sz w:val="24"/>
          <w:szCs w:val="24"/>
          <w:highlight w:val="cyan"/>
        </w:rPr>
        <w:t>Our paper examines the asymmetric effects of the spillovers between DEX and CEX tokens and other assets by quantifying the spillovers across various quantiles. The asymmetry in financial market spillovers has received a lot of attention in the literature.</w:t>
      </w:r>
      <w:r w:rsidR="00CA5CB6" w:rsidRPr="00FE4792">
        <w:rPr>
          <w:rFonts w:ascii="Times New Roman" w:hAnsi="Times New Roman" w:cs="Times New Roman"/>
          <w:sz w:val="24"/>
          <w:szCs w:val="24"/>
          <w:highlight w:val="cyan"/>
        </w:rPr>
        <w:t xml:space="preserve"> For instance, Saeed</w:t>
      </w:r>
      <w:r w:rsidRPr="00FE4792">
        <w:rPr>
          <w:rFonts w:ascii="Times New Roman" w:hAnsi="Times New Roman" w:cs="Times New Roman"/>
          <w:sz w:val="24"/>
          <w:szCs w:val="24"/>
          <w:highlight w:val="cyan"/>
        </w:rPr>
        <w:t xml:space="preserve"> et al.</w:t>
      </w:r>
      <w:r w:rsidR="00CA5CB6" w:rsidRPr="00FE4792">
        <w:rPr>
          <w:rFonts w:ascii="Times New Roman" w:hAnsi="Times New Roman" w:cs="Times New Roman"/>
          <w:sz w:val="24"/>
          <w:szCs w:val="24"/>
          <w:highlight w:val="cyan"/>
        </w:rPr>
        <w:t xml:space="preserve"> (2021)</w:t>
      </w:r>
      <w:r w:rsidRPr="00FE4792">
        <w:rPr>
          <w:rFonts w:ascii="Times New Roman" w:hAnsi="Times New Roman" w:cs="Times New Roman"/>
          <w:sz w:val="24"/>
          <w:szCs w:val="24"/>
          <w:highlight w:val="cyan"/>
        </w:rPr>
        <w:t xml:space="preserve"> study the asymmetries in spillovers between green and conventional assets</w:t>
      </w:r>
      <w:r w:rsidR="00CA5CB6" w:rsidRPr="00FE4792">
        <w:rPr>
          <w:rFonts w:ascii="Times New Roman" w:hAnsi="Times New Roman" w:cs="Times New Roman"/>
          <w:sz w:val="24"/>
          <w:szCs w:val="24"/>
          <w:highlight w:val="cyan"/>
        </w:rPr>
        <w:t>.</w:t>
      </w:r>
      <w:r w:rsidRPr="00FE4792">
        <w:rPr>
          <w:rFonts w:ascii="Times New Roman" w:hAnsi="Times New Roman" w:cs="Times New Roman"/>
          <w:sz w:val="24"/>
          <w:szCs w:val="24"/>
          <w:highlight w:val="cyan"/>
        </w:rPr>
        <w:t xml:space="preserve"> Naeem et al. </w:t>
      </w:r>
      <w:r w:rsidR="00CA5CB6" w:rsidRPr="00FE4792">
        <w:rPr>
          <w:rFonts w:ascii="Times New Roman" w:hAnsi="Times New Roman" w:cs="Times New Roman"/>
          <w:sz w:val="24"/>
          <w:szCs w:val="24"/>
          <w:highlight w:val="cyan"/>
        </w:rPr>
        <w:t>(</w:t>
      </w:r>
      <w:r w:rsidRPr="00FE4792">
        <w:rPr>
          <w:rFonts w:ascii="Times New Roman" w:hAnsi="Times New Roman" w:cs="Times New Roman"/>
          <w:sz w:val="24"/>
          <w:szCs w:val="24"/>
          <w:highlight w:val="cyan"/>
        </w:rPr>
        <w:t>2022</w:t>
      </w:r>
      <w:r w:rsidR="00CA5CB6" w:rsidRPr="00FE4792">
        <w:rPr>
          <w:rFonts w:ascii="Times New Roman" w:hAnsi="Times New Roman" w:cs="Times New Roman"/>
          <w:sz w:val="24"/>
          <w:szCs w:val="24"/>
          <w:highlight w:val="cyan"/>
        </w:rPr>
        <w:t>)</w:t>
      </w:r>
      <w:r w:rsidRPr="00FE4792">
        <w:rPr>
          <w:rFonts w:ascii="Times New Roman" w:hAnsi="Times New Roman" w:cs="Times New Roman"/>
          <w:sz w:val="24"/>
          <w:szCs w:val="24"/>
          <w:highlight w:val="cyan"/>
        </w:rPr>
        <w:t xml:space="preserve"> examine the asymmetric spillovers among cryptocurrencies during the COVID-19 pandemic. </w:t>
      </w:r>
      <w:proofErr w:type="spellStart"/>
      <w:r w:rsidRPr="00FE4792">
        <w:rPr>
          <w:rFonts w:ascii="Times New Roman" w:hAnsi="Times New Roman" w:cs="Times New Roman"/>
          <w:sz w:val="24"/>
          <w:szCs w:val="24"/>
          <w:highlight w:val="cyan"/>
        </w:rPr>
        <w:t>Anwer</w:t>
      </w:r>
      <w:proofErr w:type="spellEnd"/>
      <w:r w:rsidRPr="00FE4792">
        <w:rPr>
          <w:rFonts w:ascii="Times New Roman" w:hAnsi="Times New Roman" w:cs="Times New Roman"/>
          <w:sz w:val="24"/>
          <w:szCs w:val="24"/>
          <w:highlight w:val="cyan"/>
        </w:rPr>
        <w:t xml:space="preserve"> et al. (2022) </w:t>
      </w:r>
      <w:proofErr w:type="gramStart"/>
      <w:r w:rsidR="00EA6303" w:rsidRPr="00FE4792">
        <w:rPr>
          <w:rFonts w:ascii="Times New Roman" w:hAnsi="Times New Roman" w:cs="Times New Roman"/>
          <w:sz w:val="24"/>
          <w:szCs w:val="24"/>
          <w:highlight w:val="cyan"/>
        </w:rPr>
        <w:t>analyze</w:t>
      </w:r>
      <w:proofErr w:type="gramEnd"/>
      <w:r w:rsidR="00CA5CB6" w:rsidRPr="00FE4792">
        <w:rPr>
          <w:rFonts w:ascii="Times New Roman" w:hAnsi="Times New Roman" w:cs="Times New Roman"/>
          <w:sz w:val="24"/>
          <w:szCs w:val="24"/>
          <w:highlight w:val="cyan"/>
        </w:rPr>
        <w:t xml:space="preserve"> </w:t>
      </w:r>
      <w:r w:rsidRPr="00FE4792">
        <w:rPr>
          <w:rFonts w:ascii="Times New Roman" w:hAnsi="Times New Roman" w:cs="Times New Roman"/>
          <w:sz w:val="24"/>
          <w:szCs w:val="24"/>
          <w:highlight w:val="cyan"/>
        </w:rPr>
        <w:t xml:space="preserve">the systemic risk that existed between the markets for energy and non-energy commodities during the COVID-19 pandemic. Our study, which draws on this body of research, offers empirical proof of the asymmetric spillover effects between DEX and CEX tokens and other </w:t>
      </w:r>
      <w:r w:rsidR="00EA6303" w:rsidRPr="00FE4792">
        <w:rPr>
          <w:rFonts w:ascii="Times New Roman" w:hAnsi="Times New Roman" w:cs="Times New Roman"/>
          <w:sz w:val="24"/>
          <w:szCs w:val="24"/>
          <w:highlight w:val="cyan"/>
        </w:rPr>
        <w:t>assets</w:t>
      </w:r>
      <w:r w:rsidRPr="00FE4792">
        <w:rPr>
          <w:rFonts w:ascii="Times New Roman" w:hAnsi="Times New Roman" w:cs="Times New Roman"/>
          <w:sz w:val="24"/>
          <w:szCs w:val="24"/>
          <w:highlight w:val="cyan"/>
        </w:rPr>
        <w:t>.</w:t>
      </w:r>
    </w:p>
    <w:p w14:paraId="416FA208" w14:textId="7DD3B469" w:rsidR="006350B4" w:rsidRPr="0065228D" w:rsidRDefault="006350B4" w:rsidP="00384029">
      <w:pPr>
        <w:spacing w:line="360" w:lineRule="auto"/>
        <w:ind w:firstLine="720"/>
        <w:contextualSpacing/>
        <w:jc w:val="both"/>
        <w:rPr>
          <w:rFonts w:ascii="Times New Roman" w:hAnsi="Times New Roman" w:cs="Times New Roman"/>
          <w:sz w:val="24"/>
          <w:szCs w:val="24"/>
        </w:rPr>
      </w:pPr>
      <w:bookmarkStart w:id="6" w:name="_Hlk122808786"/>
      <w:bookmarkEnd w:id="5"/>
      <w:r w:rsidRPr="0065228D">
        <w:rPr>
          <w:rFonts w:ascii="Times New Roman" w:hAnsi="Times New Roman" w:cs="Times New Roman"/>
          <w:sz w:val="24"/>
          <w:szCs w:val="24"/>
        </w:rPr>
        <w:t xml:space="preserve">According to our findings, at the lowest quantiles, the DEX and CEX tokens are the primary recipients of spillovers, whereas Gold, </w:t>
      </w:r>
      <w:r w:rsidR="009326E7" w:rsidRPr="0065228D">
        <w:rPr>
          <w:rFonts w:ascii="Times New Roman" w:hAnsi="Times New Roman" w:cs="Times New Roman"/>
          <w:sz w:val="24"/>
          <w:szCs w:val="24"/>
        </w:rPr>
        <w:t>O</w:t>
      </w:r>
      <w:r w:rsidR="00037A5A" w:rsidRPr="0065228D">
        <w:rPr>
          <w:rFonts w:ascii="Times New Roman" w:hAnsi="Times New Roman" w:cs="Times New Roman"/>
          <w:sz w:val="24"/>
          <w:szCs w:val="24"/>
        </w:rPr>
        <w:t>il</w:t>
      </w:r>
      <w:r w:rsidRPr="0065228D">
        <w:rPr>
          <w:rFonts w:ascii="Times New Roman" w:hAnsi="Times New Roman" w:cs="Times New Roman"/>
          <w:sz w:val="24"/>
          <w:szCs w:val="24"/>
        </w:rPr>
        <w:t xml:space="preserve">, Bitcoin, REITs, </w:t>
      </w:r>
      <w:r w:rsidR="009326E7" w:rsidRPr="0065228D">
        <w:rPr>
          <w:rFonts w:ascii="Times New Roman" w:hAnsi="Times New Roman" w:cs="Times New Roman"/>
          <w:sz w:val="24"/>
          <w:szCs w:val="24"/>
        </w:rPr>
        <w:t>Equity</w:t>
      </w:r>
      <w:r w:rsidRPr="0065228D">
        <w:rPr>
          <w:rFonts w:ascii="Times New Roman" w:hAnsi="Times New Roman" w:cs="Times New Roman"/>
          <w:sz w:val="24"/>
          <w:szCs w:val="24"/>
        </w:rPr>
        <w:t xml:space="preserve">, </w:t>
      </w:r>
      <w:r w:rsidR="009326E7" w:rsidRPr="0065228D">
        <w:rPr>
          <w:rFonts w:ascii="Times New Roman" w:hAnsi="Times New Roman" w:cs="Times New Roman"/>
          <w:sz w:val="24"/>
          <w:szCs w:val="24"/>
        </w:rPr>
        <w:t>B</w:t>
      </w:r>
      <w:r w:rsidRPr="0065228D">
        <w:rPr>
          <w:rFonts w:ascii="Times New Roman" w:hAnsi="Times New Roman" w:cs="Times New Roman"/>
          <w:sz w:val="24"/>
          <w:szCs w:val="24"/>
        </w:rPr>
        <w:t xml:space="preserve">onds, and the US dollar index are the top transmitters. At the extreme upper quantiles, the DEX and CEX tokens are the primary transmitters of spillovers, whilst other assets are primarily the receivers. </w:t>
      </w:r>
      <w:bookmarkEnd w:id="6"/>
      <w:r w:rsidRPr="0065228D">
        <w:rPr>
          <w:rFonts w:ascii="Times New Roman" w:hAnsi="Times New Roman" w:cs="Times New Roman"/>
          <w:sz w:val="24"/>
          <w:szCs w:val="24"/>
        </w:rPr>
        <w:t xml:space="preserve">Moreover, the </w:t>
      </w:r>
      <w:r w:rsidR="00545D99" w:rsidRPr="0065228D">
        <w:rPr>
          <w:rFonts w:ascii="Times New Roman" w:hAnsi="Times New Roman" w:cs="Times New Roman"/>
          <w:sz w:val="24"/>
          <w:szCs w:val="24"/>
        </w:rPr>
        <w:t xml:space="preserve">different patterns of </w:t>
      </w:r>
      <w:r w:rsidRPr="0065228D">
        <w:rPr>
          <w:rFonts w:ascii="Times New Roman" w:hAnsi="Times New Roman" w:cs="Times New Roman"/>
          <w:sz w:val="24"/>
          <w:szCs w:val="24"/>
        </w:rPr>
        <w:t>spillover between DEX</w:t>
      </w:r>
      <w:r w:rsidR="005645CB">
        <w:rPr>
          <w:rFonts w:ascii="Times New Roman" w:hAnsi="Times New Roman" w:cs="Times New Roman"/>
          <w:sz w:val="24"/>
          <w:szCs w:val="24"/>
        </w:rPr>
        <w:t>–</w:t>
      </w:r>
      <w:r w:rsidRPr="0065228D">
        <w:rPr>
          <w:rFonts w:ascii="Times New Roman" w:hAnsi="Times New Roman" w:cs="Times New Roman"/>
          <w:sz w:val="24"/>
          <w:szCs w:val="24"/>
        </w:rPr>
        <w:t xml:space="preserve">CEX tokens and other </w:t>
      </w:r>
      <w:r w:rsidR="00545D99" w:rsidRPr="0065228D">
        <w:rPr>
          <w:rFonts w:ascii="Times New Roman" w:hAnsi="Times New Roman" w:cs="Times New Roman"/>
          <w:sz w:val="24"/>
          <w:szCs w:val="24"/>
        </w:rPr>
        <w:t>asset</w:t>
      </w:r>
      <w:r w:rsidRPr="0065228D">
        <w:rPr>
          <w:rFonts w:ascii="Times New Roman" w:hAnsi="Times New Roman" w:cs="Times New Roman"/>
          <w:sz w:val="24"/>
          <w:szCs w:val="24"/>
        </w:rPr>
        <w:t xml:space="preserve">s at </w:t>
      </w:r>
      <w:r w:rsidR="00545D99" w:rsidRPr="0065228D">
        <w:rPr>
          <w:rFonts w:ascii="Times New Roman" w:hAnsi="Times New Roman" w:cs="Times New Roman"/>
          <w:sz w:val="24"/>
          <w:szCs w:val="24"/>
        </w:rPr>
        <w:t>various quantile</w:t>
      </w:r>
      <w:r w:rsidR="005645CB">
        <w:rPr>
          <w:rFonts w:ascii="Times New Roman" w:hAnsi="Times New Roman" w:cs="Times New Roman"/>
          <w:sz w:val="24"/>
          <w:szCs w:val="24"/>
        </w:rPr>
        <w:t xml:space="preserve">s—the </w:t>
      </w:r>
      <w:r w:rsidRPr="0065228D">
        <w:rPr>
          <w:rFonts w:ascii="Times New Roman" w:hAnsi="Times New Roman" w:cs="Times New Roman"/>
          <w:sz w:val="24"/>
          <w:szCs w:val="24"/>
        </w:rPr>
        <w:t>median, the lower extreme, and the upper extreme</w:t>
      </w:r>
      <w:r w:rsidR="005645CB">
        <w:rPr>
          <w:rFonts w:ascii="Times New Roman" w:hAnsi="Times New Roman" w:cs="Times New Roman"/>
          <w:sz w:val="24"/>
          <w:szCs w:val="24"/>
        </w:rPr>
        <w:t>—</w:t>
      </w:r>
      <w:r w:rsidR="00D3292C" w:rsidRPr="0065228D">
        <w:rPr>
          <w:rFonts w:ascii="Times New Roman" w:hAnsi="Times New Roman" w:cs="Times New Roman"/>
          <w:sz w:val="24"/>
          <w:szCs w:val="24"/>
        </w:rPr>
        <w:t>further emphasi</w:t>
      </w:r>
      <w:r w:rsidR="009326E7" w:rsidRPr="0065228D">
        <w:rPr>
          <w:rFonts w:ascii="Times New Roman" w:hAnsi="Times New Roman" w:cs="Times New Roman"/>
          <w:sz w:val="24"/>
          <w:szCs w:val="24"/>
        </w:rPr>
        <w:t>z</w:t>
      </w:r>
      <w:r w:rsidR="00D3292C" w:rsidRPr="0065228D">
        <w:rPr>
          <w:rFonts w:ascii="Times New Roman" w:hAnsi="Times New Roman" w:cs="Times New Roman"/>
          <w:sz w:val="24"/>
          <w:szCs w:val="24"/>
        </w:rPr>
        <w:t>e the importance of researching</w:t>
      </w:r>
      <w:r w:rsidRPr="0065228D">
        <w:rPr>
          <w:rFonts w:ascii="Times New Roman" w:hAnsi="Times New Roman" w:cs="Times New Roman"/>
          <w:sz w:val="24"/>
          <w:szCs w:val="24"/>
        </w:rPr>
        <w:t xml:space="preserve"> the DEX</w:t>
      </w:r>
      <w:r w:rsidR="005645CB">
        <w:rPr>
          <w:rFonts w:ascii="Times New Roman" w:hAnsi="Times New Roman" w:cs="Times New Roman"/>
          <w:sz w:val="24"/>
          <w:szCs w:val="24"/>
        </w:rPr>
        <w:t>–</w:t>
      </w:r>
      <w:r w:rsidRPr="0065228D">
        <w:rPr>
          <w:rFonts w:ascii="Times New Roman" w:hAnsi="Times New Roman" w:cs="Times New Roman"/>
          <w:sz w:val="24"/>
          <w:szCs w:val="24"/>
        </w:rPr>
        <w:t xml:space="preserve">CEX tokens </w:t>
      </w:r>
      <w:r w:rsidR="00384029" w:rsidRPr="0065228D">
        <w:rPr>
          <w:rFonts w:ascii="Times New Roman" w:hAnsi="Times New Roman" w:cs="Times New Roman"/>
          <w:sz w:val="24"/>
          <w:szCs w:val="24"/>
        </w:rPr>
        <w:t>behaviors</w:t>
      </w:r>
      <w:r w:rsidR="00D3292C" w:rsidRPr="0065228D">
        <w:rPr>
          <w:rFonts w:ascii="Times New Roman" w:hAnsi="Times New Roman" w:cs="Times New Roman"/>
          <w:sz w:val="24"/>
          <w:szCs w:val="24"/>
        </w:rPr>
        <w:t xml:space="preserve"> </w:t>
      </w:r>
      <w:r w:rsidRPr="0065228D">
        <w:rPr>
          <w:rFonts w:ascii="Times New Roman" w:hAnsi="Times New Roman" w:cs="Times New Roman"/>
          <w:sz w:val="24"/>
          <w:szCs w:val="24"/>
        </w:rPr>
        <w:t xml:space="preserve">under </w:t>
      </w:r>
      <w:r w:rsidR="00083BAB" w:rsidRPr="0065228D">
        <w:rPr>
          <w:rFonts w:ascii="Times New Roman" w:hAnsi="Times New Roman" w:cs="Times New Roman"/>
          <w:sz w:val="24"/>
          <w:szCs w:val="24"/>
        </w:rPr>
        <w:t>various</w:t>
      </w:r>
      <w:r w:rsidRPr="0065228D">
        <w:rPr>
          <w:rFonts w:ascii="Times New Roman" w:hAnsi="Times New Roman" w:cs="Times New Roman"/>
          <w:sz w:val="24"/>
          <w:szCs w:val="24"/>
        </w:rPr>
        <w:t xml:space="preserve"> market conditions. </w:t>
      </w:r>
    </w:p>
    <w:p w14:paraId="0C4BE98B" w14:textId="7732A888" w:rsidR="006350B4" w:rsidRPr="0065228D" w:rsidRDefault="00083BAB" w:rsidP="00BB762A">
      <w:pPr>
        <w:spacing w:line="360" w:lineRule="auto"/>
        <w:ind w:firstLine="720"/>
        <w:contextualSpacing/>
        <w:jc w:val="both"/>
        <w:rPr>
          <w:rFonts w:ascii="Times New Roman" w:hAnsi="Times New Roman" w:cs="Times New Roman"/>
          <w:sz w:val="24"/>
          <w:szCs w:val="24"/>
        </w:rPr>
      </w:pPr>
      <w:bookmarkStart w:id="7" w:name="_Hlk122808834"/>
      <w:r w:rsidRPr="0065228D">
        <w:rPr>
          <w:rFonts w:ascii="Times New Roman" w:hAnsi="Times New Roman" w:cs="Times New Roman"/>
          <w:sz w:val="24"/>
          <w:szCs w:val="24"/>
        </w:rPr>
        <w:t>Our findings have significant portfolio management implications since they show that</w:t>
      </w:r>
      <w:r w:rsidR="005645CB">
        <w:rPr>
          <w:rFonts w:ascii="Times New Roman" w:hAnsi="Times New Roman" w:cs="Times New Roman"/>
          <w:sz w:val="24"/>
          <w:szCs w:val="24"/>
        </w:rPr>
        <w:t>,</w:t>
      </w:r>
      <w:r w:rsidRPr="0065228D">
        <w:rPr>
          <w:rFonts w:ascii="Times New Roman" w:hAnsi="Times New Roman" w:cs="Times New Roman"/>
          <w:sz w:val="24"/>
          <w:szCs w:val="24"/>
        </w:rPr>
        <w:t xml:space="preserve"> during a </w:t>
      </w:r>
      <w:r w:rsidR="00545D99" w:rsidRPr="0065228D">
        <w:rPr>
          <w:rFonts w:ascii="Times New Roman" w:hAnsi="Times New Roman" w:cs="Times New Roman"/>
          <w:sz w:val="24"/>
          <w:szCs w:val="24"/>
        </w:rPr>
        <w:t xml:space="preserve">short squeeze </w:t>
      </w:r>
      <w:r w:rsidRPr="0065228D">
        <w:rPr>
          <w:rFonts w:ascii="Times New Roman" w:hAnsi="Times New Roman" w:cs="Times New Roman"/>
          <w:sz w:val="24"/>
          <w:szCs w:val="24"/>
        </w:rPr>
        <w:t>period, the</w:t>
      </w:r>
      <w:r w:rsidR="0020591C" w:rsidRPr="0065228D">
        <w:rPr>
          <w:rFonts w:ascii="Times New Roman" w:hAnsi="Times New Roman" w:cs="Times New Roman"/>
          <w:sz w:val="24"/>
          <w:szCs w:val="24"/>
        </w:rPr>
        <w:t xml:space="preserve">re </w:t>
      </w:r>
      <w:r w:rsidR="002A5721" w:rsidRPr="0065228D">
        <w:rPr>
          <w:rFonts w:ascii="Times New Roman" w:hAnsi="Times New Roman" w:cs="Times New Roman"/>
          <w:sz w:val="24"/>
          <w:szCs w:val="24"/>
        </w:rPr>
        <w:t>are contagious</w:t>
      </w:r>
      <w:r w:rsidRPr="0065228D">
        <w:rPr>
          <w:rFonts w:ascii="Times New Roman" w:hAnsi="Times New Roman" w:cs="Times New Roman"/>
          <w:sz w:val="24"/>
          <w:szCs w:val="24"/>
        </w:rPr>
        <w:t xml:space="preserve"> effects </w:t>
      </w:r>
      <w:r w:rsidR="0020591C" w:rsidRPr="0065228D">
        <w:rPr>
          <w:rFonts w:ascii="Times New Roman" w:hAnsi="Times New Roman" w:cs="Times New Roman"/>
          <w:sz w:val="24"/>
          <w:szCs w:val="24"/>
        </w:rPr>
        <w:t>of DEX</w:t>
      </w:r>
      <w:r w:rsidR="005645CB">
        <w:rPr>
          <w:rFonts w:ascii="Times New Roman" w:hAnsi="Times New Roman" w:cs="Times New Roman"/>
          <w:sz w:val="24"/>
          <w:szCs w:val="24"/>
        </w:rPr>
        <w:t>–</w:t>
      </w:r>
      <w:r w:rsidR="0020591C" w:rsidRPr="0065228D">
        <w:rPr>
          <w:rFonts w:ascii="Times New Roman" w:hAnsi="Times New Roman" w:cs="Times New Roman"/>
          <w:sz w:val="24"/>
          <w:szCs w:val="24"/>
        </w:rPr>
        <w:t xml:space="preserve">CEX tokens </w:t>
      </w:r>
      <w:r w:rsidRPr="0065228D">
        <w:rPr>
          <w:rFonts w:ascii="Times New Roman" w:hAnsi="Times New Roman" w:cs="Times New Roman"/>
          <w:sz w:val="24"/>
          <w:szCs w:val="24"/>
        </w:rPr>
        <w:t xml:space="preserve">on traditional assets, </w:t>
      </w:r>
      <w:r w:rsidR="00545D99" w:rsidRPr="0065228D">
        <w:rPr>
          <w:rFonts w:ascii="Times New Roman" w:hAnsi="Times New Roman" w:cs="Times New Roman"/>
          <w:sz w:val="24"/>
          <w:szCs w:val="24"/>
        </w:rPr>
        <w:t xml:space="preserve">thus </w:t>
      </w:r>
      <w:r w:rsidRPr="0065228D">
        <w:rPr>
          <w:rFonts w:ascii="Times New Roman" w:hAnsi="Times New Roman" w:cs="Times New Roman"/>
          <w:sz w:val="24"/>
          <w:szCs w:val="24"/>
        </w:rPr>
        <w:t xml:space="preserve">decreasing the </w:t>
      </w:r>
      <w:r w:rsidR="0020591C" w:rsidRPr="0065228D">
        <w:rPr>
          <w:rFonts w:ascii="Times New Roman" w:hAnsi="Times New Roman" w:cs="Times New Roman"/>
          <w:sz w:val="24"/>
          <w:szCs w:val="24"/>
        </w:rPr>
        <w:t xml:space="preserve">effectiveness of portfolio strategies and </w:t>
      </w:r>
      <w:r w:rsidRPr="0065228D">
        <w:rPr>
          <w:rFonts w:ascii="Times New Roman" w:hAnsi="Times New Roman" w:cs="Times New Roman"/>
          <w:sz w:val="24"/>
          <w:szCs w:val="24"/>
        </w:rPr>
        <w:t>risk management. Also, our findings imply that</w:t>
      </w:r>
      <w:r w:rsidR="005645CB">
        <w:rPr>
          <w:rFonts w:ascii="Times New Roman" w:hAnsi="Times New Roman" w:cs="Times New Roman"/>
          <w:sz w:val="24"/>
          <w:szCs w:val="24"/>
        </w:rPr>
        <w:t>,</w:t>
      </w:r>
      <w:r w:rsidRPr="0065228D">
        <w:rPr>
          <w:rFonts w:ascii="Times New Roman" w:hAnsi="Times New Roman" w:cs="Times New Roman"/>
          <w:sz w:val="24"/>
          <w:szCs w:val="24"/>
        </w:rPr>
        <w:t xml:space="preserve"> during tumultuous times like COVID-19, there is a higher degree of interconnectedness between DEX</w:t>
      </w:r>
      <w:r w:rsidR="005645CB">
        <w:rPr>
          <w:rFonts w:ascii="Times New Roman" w:hAnsi="Times New Roman" w:cs="Times New Roman"/>
          <w:sz w:val="24"/>
          <w:szCs w:val="24"/>
        </w:rPr>
        <w:t>–</w:t>
      </w:r>
      <w:r w:rsidRPr="0065228D">
        <w:rPr>
          <w:rFonts w:ascii="Times New Roman" w:hAnsi="Times New Roman" w:cs="Times New Roman"/>
          <w:sz w:val="24"/>
          <w:szCs w:val="24"/>
        </w:rPr>
        <w:t>CEX tokens and other assets. Additionally, based on our analysis, DEX</w:t>
      </w:r>
      <w:r w:rsidR="005645CB">
        <w:rPr>
          <w:rFonts w:ascii="Times New Roman" w:hAnsi="Times New Roman" w:cs="Times New Roman"/>
          <w:sz w:val="24"/>
          <w:szCs w:val="24"/>
        </w:rPr>
        <w:t>–</w:t>
      </w:r>
      <w:r w:rsidRPr="0065228D">
        <w:rPr>
          <w:rFonts w:ascii="Times New Roman" w:hAnsi="Times New Roman" w:cs="Times New Roman"/>
          <w:sz w:val="24"/>
          <w:szCs w:val="24"/>
        </w:rPr>
        <w:t xml:space="preserve">CEX tokens are the least expensive alternative for hedging </w:t>
      </w:r>
      <w:r w:rsidR="00810FBA">
        <w:rPr>
          <w:rFonts w:ascii="Times New Roman" w:hAnsi="Times New Roman" w:cs="Times New Roman"/>
          <w:sz w:val="24"/>
          <w:szCs w:val="24"/>
        </w:rPr>
        <w:t>G</w:t>
      </w:r>
      <w:r w:rsidRPr="0065228D">
        <w:rPr>
          <w:rFonts w:ascii="Times New Roman" w:hAnsi="Times New Roman" w:cs="Times New Roman"/>
          <w:sz w:val="24"/>
          <w:szCs w:val="24"/>
        </w:rPr>
        <w:t xml:space="preserve">old and the USD </w:t>
      </w:r>
      <w:r w:rsidR="004274D3">
        <w:rPr>
          <w:rFonts w:ascii="Times New Roman" w:hAnsi="Times New Roman" w:cs="Times New Roman"/>
          <w:sz w:val="24"/>
          <w:szCs w:val="24"/>
        </w:rPr>
        <w:t>I</w:t>
      </w:r>
      <w:r w:rsidRPr="0065228D">
        <w:rPr>
          <w:rFonts w:ascii="Times New Roman" w:hAnsi="Times New Roman" w:cs="Times New Roman"/>
          <w:sz w:val="24"/>
          <w:szCs w:val="24"/>
        </w:rPr>
        <w:t xml:space="preserve">ndex while being the greatest option for hedging </w:t>
      </w:r>
      <w:r w:rsidR="00037A5A" w:rsidRPr="0065228D">
        <w:rPr>
          <w:rFonts w:ascii="Times New Roman" w:hAnsi="Times New Roman" w:cs="Times New Roman"/>
          <w:sz w:val="24"/>
          <w:szCs w:val="24"/>
        </w:rPr>
        <w:t>oil</w:t>
      </w:r>
      <w:r w:rsidRPr="0065228D">
        <w:rPr>
          <w:rFonts w:ascii="Times New Roman" w:hAnsi="Times New Roman" w:cs="Times New Roman"/>
          <w:sz w:val="24"/>
          <w:szCs w:val="24"/>
        </w:rPr>
        <w:t>.</w:t>
      </w:r>
      <w:bookmarkEnd w:id="7"/>
    </w:p>
    <w:p w14:paraId="55A72E86" w14:textId="75B3A569" w:rsidR="001A31E7" w:rsidRDefault="006D7754" w:rsidP="0086092F">
      <w:pPr>
        <w:spacing w:line="360" w:lineRule="auto"/>
        <w:ind w:firstLine="720"/>
        <w:contextualSpacing/>
        <w:jc w:val="both"/>
        <w:rPr>
          <w:rFonts w:ascii="Times New Roman" w:hAnsi="Times New Roman" w:cs="Times New Roman"/>
          <w:sz w:val="24"/>
          <w:szCs w:val="24"/>
        </w:rPr>
      </w:pPr>
      <w:r w:rsidRPr="006D7754">
        <w:rPr>
          <w:rFonts w:ascii="Times New Roman" w:hAnsi="Times New Roman" w:cs="Times New Roman"/>
          <w:sz w:val="24"/>
          <w:szCs w:val="24"/>
        </w:rPr>
        <w:t>The remaining sections of the paper are structured as follows. Literature review is presented in Section 2, data and methodology are covered in Section 3, results and conclusions are presented in Section 4, and the paper is concluded in Section 5.</w:t>
      </w:r>
    </w:p>
    <w:p w14:paraId="51DF9D53" w14:textId="77777777" w:rsidR="000C10CB" w:rsidRDefault="000C10CB" w:rsidP="0086092F">
      <w:pPr>
        <w:spacing w:line="360" w:lineRule="auto"/>
        <w:ind w:firstLine="720"/>
        <w:contextualSpacing/>
        <w:jc w:val="both"/>
        <w:rPr>
          <w:rFonts w:ascii="Times New Roman" w:hAnsi="Times New Roman" w:cs="Times New Roman"/>
          <w:sz w:val="24"/>
          <w:szCs w:val="24"/>
        </w:rPr>
      </w:pPr>
    </w:p>
    <w:p w14:paraId="5A873E43" w14:textId="075CAF83" w:rsidR="001A31E7" w:rsidRDefault="001A31E7" w:rsidP="00410890">
      <w:pPr>
        <w:numPr>
          <w:ilvl w:val="0"/>
          <w:numId w:val="1"/>
        </w:numPr>
        <w:spacing w:line="360" w:lineRule="auto"/>
        <w:contextualSpacing/>
        <w:jc w:val="both"/>
        <w:rPr>
          <w:rFonts w:ascii="Times New Roman" w:hAnsi="Times New Roman" w:cs="Times New Roman"/>
          <w:b/>
          <w:bCs/>
          <w:sz w:val="24"/>
          <w:szCs w:val="24"/>
        </w:rPr>
      </w:pPr>
      <w:bookmarkStart w:id="8" w:name="_Hlk145450649"/>
      <w:r>
        <w:rPr>
          <w:rFonts w:ascii="Times New Roman" w:hAnsi="Times New Roman" w:cs="Times New Roman"/>
          <w:b/>
          <w:bCs/>
          <w:sz w:val="24"/>
          <w:szCs w:val="24"/>
        </w:rPr>
        <w:t>Literature Review</w:t>
      </w:r>
    </w:p>
    <w:p w14:paraId="7B1E3A63" w14:textId="77777777" w:rsidR="00DF191E" w:rsidRDefault="00DF191E" w:rsidP="00DF191E">
      <w:pPr>
        <w:spacing w:line="360" w:lineRule="auto"/>
        <w:ind w:left="360"/>
        <w:contextualSpacing/>
        <w:jc w:val="both"/>
        <w:rPr>
          <w:rFonts w:ascii="Times New Roman" w:hAnsi="Times New Roman" w:cs="Times New Roman"/>
          <w:b/>
          <w:bCs/>
          <w:sz w:val="24"/>
          <w:szCs w:val="24"/>
        </w:rPr>
      </w:pPr>
    </w:p>
    <w:p w14:paraId="4B223FB8" w14:textId="593C4FC7" w:rsidR="00456A5A" w:rsidRDefault="00642756" w:rsidP="00DF191E">
      <w:pPr>
        <w:spacing w:line="360" w:lineRule="auto"/>
        <w:contextualSpacing/>
        <w:jc w:val="both"/>
        <w:rPr>
          <w:rFonts w:ascii="Times New Roman" w:hAnsi="Times New Roman" w:cs="Times New Roman"/>
          <w:sz w:val="24"/>
          <w:szCs w:val="24"/>
        </w:rPr>
      </w:pPr>
      <w:r w:rsidRPr="00642756">
        <w:rPr>
          <w:rFonts w:ascii="Times New Roman" w:hAnsi="Times New Roman" w:cs="Times New Roman"/>
          <w:sz w:val="24"/>
          <w:szCs w:val="24"/>
        </w:rPr>
        <w:t>The division of digital assets into three categories—currencies, protocols, and centralized applications (</w:t>
      </w:r>
      <w:proofErr w:type="spellStart"/>
      <w:r w:rsidRPr="00642756">
        <w:rPr>
          <w:rFonts w:ascii="Times New Roman" w:hAnsi="Times New Roman" w:cs="Times New Roman"/>
          <w:sz w:val="24"/>
          <w:szCs w:val="24"/>
        </w:rPr>
        <w:t>dApps</w:t>
      </w:r>
      <w:proofErr w:type="spellEnd"/>
      <w:r w:rsidRPr="00642756">
        <w:rPr>
          <w:rFonts w:ascii="Times New Roman" w:hAnsi="Times New Roman" w:cs="Times New Roman"/>
          <w:sz w:val="24"/>
          <w:szCs w:val="24"/>
        </w:rPr>
        <w:t xml:space="preserve">)—by Corbet et al. (2020) and </w:t>
      </w:r>
      <w:proofErr w:type="spellStart"/>
      <w:r w:rsidRPr="00642756">
        <w:rPr>
          <w:rFonts w:ascii="Times New Roman" w:hAnsi="Times New Roman" w:cs="Times New Roman"/>
          <w:sz w:val="24"/>
          <w:szCs w:val="24"/>
        </w:rPr>
        <w:t>Katsiampa</w:t>
      </w:r>
      <w:proofErr w:type="spellEnd"/>
      <w:r w:rsidRPr="00642756">
        <w:rPr>
          <w:rFonts w:ascii="Times New Roman" w:hAnsi="Times New Roman" w:cs="Times New Roman"/>
          <w:sz w:val="24"/>
          <w:szCs w:val="24"/>
        </w:rPr>
        <w:t xml:space="preserve"> et al. (2022) analysis of the co-movements between assets before and during the COVID-19 pandemic are two examples of standard classification </w:t>
      </w:r>
      <w:r w:rsidR="00D01227" w:rsidRPr="00642756">
        <w:rPr>
          <w:rFonts w:ascii="Times New Roman" w:hAnsi="Times New Roman" w:cs="Times New Roman"/>
          <w:sz w:val="24"/>
          <w:szCs w:val="24"/>
        </w:rPr>
        <w:t>techniques.</w:t>
      </w:r>
      <w:r w:rsidR="00D01227">
        <w:rPr>
          <w:rFonts w:ascii="Times New Roman" w:hAnsi="Times New Roman" w:cs="Times New Roman"/>
          <w:sz w:val="24"/>
          <w:szCs w:val="24"/>
        </w:rPr>
        <w:t xml:space="preserve"> The</w:t>
      </w:r>
      <w:r w:rsidR="00DF191E">
        <w:rPr>
          <w:rFonts w:ascii="Times New Roman" w:hAnsi="Times New Roman" w:cs="Times New Roman"/>
          <w:sz w:val="24"/>
          <w:szCs w:val="24"/>
        </w:rPr>
        <w:t xml:space="preserve"> results reveled the increased role of Ethereum after the COVID-19 crisis in comparison to Bitcoin, driven by the decentralized finance (DeFi) boom and the increased pace of adoption of smart contracts, non-fungible tokens, and other DeFi assets built on Ethereum blockchain (</w:t>
      </w:r>
      <w:proofErr w:type="spellStart"/>
      <w:r w:rsidR="00DF191E">
        <w:rPr>
          <w:rFonts w:ascii="Times New Roman" w:hAnsi="Times New Roman" w:cs="Times New Roman"/>
          <w:sz w:val="24"/>
          <w:szCs w:val="24"/>
        </w:rPr>
        <w:t>Katsiampa</w:t>
      </w:r>
      <w:proofErr w:type="spellEnd"/>
      <w:r w:rsidR="00DF191E">
        <w:rPr>
          <w:rFonts w:ascii="Times New Roman" w:hAnsi="Times New Roman" w:cs="Times New Roman"/>
          <w:sz w:val="24"/>
          <w:szCs w:val="24"/>
        </w:rPr>
        <w:t xml:space="preserve"> et el., 2022). These results demonstrated the evolution of blockchain ecosystem from the early stages Bitcoin dominance and limited adoption of smart contracts (Drummer and Neumann, 2020; </w:t>
      </w:r>
      <w:proofErr w:type="spellStart"/>
      <w:r w:rsidR="00DF191E">
        <w:rPr>
          <w:rFonts w:ascii="Times New Roman" w:hAnsi="Times New Roman" w:cs="Times New Roman"/>
          <w:sz w:val="24"/>
          <w:szCs w:val="24"/>
        </w:rPr>
        <w:t>Lacity</w:t>
      </w:r>
      <w:proofErr w:type="spellEnd"/>
      <w:r w:rsidR="00DF191E">
        <w:rPr>
          <w:rFonts w:ascii="Times New Roman" w:hAnsi="Times New Roman" w:cs="Times New Roman"/>
          <w:sz w:val="24"/>
          <w:szCs w:val="24"/>
        </w:rPr>
        <w:t xml:space="preserve">, 2022) to the current stage of development of highly integrated DeFi information transmission system. The analysis of technological aspects of crypto assets is particularly important to enhance understanding of the risk-return characteristics of the assets, however, empirical finance scholars often ignore these aspects. </w:t>
      </w:r>
    </w:p>
    <w:p w14:paraId="5913F943" w14:textId="7BF34C75" w:rsidR="00DF191E" w:rsidRDefault="00DF191E" w:rsidP="00456A5A">
      <w:pPr>
        <w:spacing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Furthermore, technological characteristics of blockchain-based innovations, such as degree of decentralization and anonymity, can help to explain the pace of adoption of blockchain-based assets by various users in cryptocurrency community. The research in this area is growing rapidly but still scarce. Renwick and </w:t>
      </w:r>
      <w:proofErr w:type="spellStart"/>
      <w:r>
        <w:rPr>
          <w:rFonts w:ascii="Times New Roman" w:hAnsi="Times New Roman" w:cs="Times New Roman"/>
          <w:sz w:val="24"/>
          <w:szCs w:val="24"/>
        </w:rPr>
        <w:t>Gleasure</w:t>
      </w:r>
      <w:proofErr w:type="spellEnd"/>
      <w:r>
        <w:rPr>
          <w:rFonts w:ascii="Times New Roman" w:hAnsi="Times New Roman" w:cs="Times New Roman"/>
          <w:sz w:val="24"/>
          <w:szCs w:val="24"/>
        </w:rPr>
        <w:t xml:space="preserve"> (2020) characterized the privacy attitudes of the different groups of crypto users using Monero privacy coin as a case study. More recently, Dolata and Schwabe (2023) focused on Metaverse and examined technological and social nexus of this emerging ecosystem.</w:t>
      </w:r>
    </w:p>
    <w:p w14:paraId="2B3316F6" w14:textId="4F6B76B3" w:rsidR="00456A5A" w:rsidRDefault="00456A5A" w:rsidP="00456A5A">
      <w:pPr>
        <w:spacing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Most of</w:t>
      </w:r>
      <w:r w:rsidRPr="0065228D">
        <w:rPr>
          <w:rFonts w:ascii="Times New Roman" w:hAnsi="Times New Roman" w:cs="Times New Roman"/>
          <w:sz w:val="24"/>
          <w:szCs w:val="24"/>
        </w:rPr>
        <w:t xml:space="preserve"> the</w:t>
      </w:r>
      <w:r>
        <w:rPr>
          <w:rFonts w:ascii="Times New Roman" w:hAnsi="Times New Roman" w:cs="Times New Roman"/>
          <w:sz w:val="24"/>
          <w:szCs w:val="24"/>
        </w:rPr>
        <w:t xml:space="preserve"> early</w:t>
      </w:r>
      <w:r w:rsidRPr="0065228D">
        <w:rPr>
          <w:rFonts w:ascii="Times New Roman" w:hAnsi="Times New Roman" w:cs="Times New Roman"/>
          <w:sz w:val="24"/>
          <w:szCs w:val="24"/>
        </w:rPr>
        <w:t xml:space="preserve"> cryptocurrency </w:t>
      </w:r>
      <w:r>
        <w:rPr>
          <w:rFonts w:ascii="Times New Roman" w:hAnsi="Times New Roman" w:cs="Times New Roman"/>
          <w:sz w:val="24"/>
          <w:szCs w:val="24"/>
        </w:rPr>
        <w:t>papers</w:t>
      </w:r>
      <w:r w:rsidRPr="0065228D">
        <w:rPr>
          <w:rFonts w:ascii="Times New Roman" w:hAnsi="Times New Roman" w:cs="Times New Roman"/>
          <w:sz w:val="24"/>
          <w:szCs w:val="24"/>
        </w:rPr>
        <w:t xml:space="preserve"> ha</w:t>
      </w:r>
      <w:r>
        <w:rPr>
          <w:rFonts w:ascii="Times New Roman" w:hAnsi="Times New Roman" w:cs="Times New Roman"/>
          <w:sz w:val="24"/>
          <w:szCs w:val="24"/>
        </w:rPr>
        <w:t>ve</w:t>
      </w:r>
      <w:r w:rsidRPr="0065228D">
        <w:rPr>
          <w:rFonts w:ascii="Times New Roman" w:hAnsi="Times New Roman" w:cs="Times New Roman"/>
          <w:sz w:val="24"/>
          <w:szCs w:val="24"/>
        </w:rPr>
        <w:t xml:space="preserve"> focused on important transactional currencies like Bitcoin, which </w:t>
      </w:r>
      <w:r>
        <w:rPr>
          <w:rFonts w:ascii="Times New Roman" w:hAnsi="Times New Roman" w:cs="Times New Roman"/>
          <w:sz w:val="24"/>
          <w:szCs w:val="24"/>
        </w:rPr>
        <w:t>still dominates i</w:t>
      </w:r>
      <w:r w:rsidRPr="0065228D">
        <w:rPr>
          <w:rFonts w:ascii="Times New Roman" w:hAnsi="Times New Roman" w:cs="Times New Roman"/>
          <w:sz w:val="24"/>
          <w:szCs w:val="24"/>
        </w:rPr>
        <w:t>n terms of acceptance, price discovery, and trading value in the market</w:t>
      </w:r>
      <w:r>
        <w:rPr>
          <w:rFonts w:ascii="Times New Roman" w:hAnsi="Times New Roman" w:cs="Times New Roman"/>
          <w:sz w:val="24"/>
          <w:szCs w:val="24"/>
        </w:rPr>
        <w:t xml:space="preserve"> </w:t>
      </w:r>
      <w:r w:rsidRPr="00B2148E">
        <w:rPr>
          <w:rFonts w:ascii="Times New Roman" w:hAnsi="Times New Roman" w:cs="Times New Roman"/>
          <w:sz w:val="24"/>
          <w:szCs w:val="24"/>
        </w:rPr>
        <w:t>(</w:t>
      </w:r>
      <w:r w:rsidRPr="001437B9">
        <w:rPr>
          <w:rFonts w:ascii="Times New Roman" w:hAnsi="Times New Roman" w:cs="Times New Roman"/>
          <w:sz w:val="24"/>
          <w:szCs w:val="24"/>
        </w:rPr>
        <w:t>Dwyer, 2015; Dyhrberg</w:t>
      </w:r>
      <w:r w:rsidRPr="00B2148E">
        <w:rPr>
          <w:rFonts w:ascii="Times New Roman" w:hAnsi="Times New Roman" w:cs="Times New Roman"/>
          <w:sz w:val="24"/>
          <w:szCs w:val="24"/>
        </w:rPr>
        <w:t xml:space="preserve"> et al., 2018; Hu et al., 2019; Wang and Geoffrey; 2020). Alexander and Heck (2020</w:t>
      </w:r>
      <w:r>
        <w:rPr>
          <w:rFonts w:ascii="Times New Roman" w:hAnsi="Times New Roman" w:cs="Times New Roman"/>
          <w:sz w:val="24"/>
          <w:szCs w:val="24"/>
        </w:rPr>
        <w:t xml:space="preserve">) were among the first to consider the impact of derivative trading on unregulated crypto exchanges on Bitcoin price discovery. Their findings indicate the </w:t>
      </w:r>
      <w:r w:rsidRPr="00577D02">
        <w:rPr>
          <w:rFonts w:ascii="Times New Roman" w:hAnsi="Times New Roman" w:cs="Times New Roman"/>
          <w:sz w:val="24"/>
          <w:szCs w:val="24"/>
        </w:rPr>
        <w:t>insufficient stability and resistance of the bitcoin market against manipulatio</w:t>
      </w:r>
      <w:r>
        <w:rPr>
          <w:rFonts w:ascii="Times New Roman" w:hAnsi="Times New Roman" w:cs="Times New Roman"/>
          <w:sz w:val="24"/>
          <w:szCs w:val="24"/>
        </w:rPr>
        <w:t>n which is one of the main obstacles in the cryptocurrency markets’ development towards a mainstream asset class</w:t>
      </w:r>
      <w:r w:rsidRPr="00B2148E">
        <w:rPr>
          <w:rFonts w:ascii="Times New Roman" w:hAnsi="Times New Roman" w:cs="Times New Roman"/>
          <w:sz w:val="24"/>
          <w:szCs w:val="24"/>
        </w:rPr>
        <w:t>.</w:t>
      </w:r>
      <w:r w:rsidR="000C10CB">
        <w:rPr>
          <w:rFonts w:ascii="Times New Roman" w:hAnsi="Times New Roman" w:cs="Times New Roman"/>
          <w:sz w:val="24"/>
          <w:szCs w:val="24"/>
        </w:rPr>
        <w:t xml:space="preserve"> </w:t>
      </w:r>
      <w:r w:rsidRPr="00B2148E">
        <w:rPr>
          <w:rFonts w:ascii="Times New Roman" w:hAnsi="Times New Roman" w:cs="Times New Roman"/>
          <w:sz w:val="24"/>
          <w:szCs w:val="24"/>
        </w:rPr>
        <w:t xml:space="preserve"> </w:t>
      </w:r>
    </w:p>
    <w:p w14:paraId="6204A279" w14:textId="503036A9" w:rsidR="00456A5A" w:rsidRDefault="00360722" w:rsidP="00360722">
      <w:pPr>
        <w:spacing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T</w:t>
      </w:r>
      <w:r w:rsidR="00456A5A" w:rsidRPr="0065228D">
        <w:rPr>
          <w:rFonts w:ascii="Times New Roman" w:hAnsi="Times New Roman" w:cs="Times New Roman"/>
          <w:sz w:val="24"/>
          <w:szCs w:val="24"/>
        </w:rPr>
        <w:t>he exponential growth of tokens that may be traded on DEXs suggest</w:t>
      </w:r>
      <w:r w:rsidR="00456A5A">
        <w:rPr>
          <w:rFonts w:ascii="Times New Roman" w:hAnsi="Times New Roman" w:cs="Times New Roman"/>
          <w:sz w:val="24"/>
          <w:szCs w:val="24"/>
        </w:rPr>
        <w:t>s</w:t>
      </w:r>
      <w:r w:rsidR="00456A5A" w:rsidRPr="0065228D">
        <w:rPr>
          <w:rFonts w:ascii="Times New Roman" w:hAnsi="Times New Roman" w:cs="Times New Roman"/>
          <w:sz w:val="24"/>
          <w:szCs w:val="24"/>
        </w:rPr>
        <w:t xml:space="preserve"> a much larger market than is currently recognized</w:t>
      </w:r>
      <w:r w:rsidR="00456A5A">
        <w:rPr>
          <w:rFonts w:ascii="Times New Roman" w:hAnsi="Times New Roman" w:cs="Times New Roman"/>
          <w:sz w:val="24"/>
          <w:szCs w:val="24"/>
        </w:rPr>
        <w:t>, which creates an opportunity to further explore the DEX and CEX impacts on crypto space and beyond. For example, Uniswap</w:t>
      </w:r>
      <w:r w:rsidR="00456A5A" w:rsidRPr="0065228D">
        <w:rPr>
          <w:rFonts w:ascii="Times New Roman" w:hAnsi="Times New Roman" w:cs="Times New Roman"/>
          <w:sz w:val="24"/>
          <w:szCs w:val="24"/>
        </w:rPr>
        <w:t xml:space="preserve">, an automated market </w:t>
      </w:r>
      <w:r w:rsidR="00456A5A" w:rsidRPr="0065228D">
        <w:rPr>
          <w:rFonts w:ascii="Times New Roman" w:hAnsi="Times New Roman" w:cs="Times New Roman"/>
          <w:sz w:val="24"/>
          <w:szCs w:val="24"/>
        </w:rPr>
        <w:lastRenderedPageBreak/>
        <w:t xml:space="preserve">maker (AMM) is a prominent DEX, having a trading volume that is four times higher than </w:t>
      </w:r>
      <w:proofErr w:type="spellStart"/>
      <w:r w:rsidR="00456A5A" w:rsidRPr="0065228D">
        <w:rPr>
          <w:rFonts w:ascii="Times New Roman" w:hAnsi="Times New Roman" w:cs="Times New Roman"/>
          <w:sz w:val="24"/>
          <w:szCs w:val="24"/>
        </w:rPr>
        <w:t>Binance</w:t>
      </w:r>
      <w:proofErr w:type="spellEnd"/>
      <w:r w:rsidR="00456A5A" w:rsidRPr="0065228D">
        <w:rPr>
          <w:rFonts w:ascii="Times New Roman" w:hAnsi="Times New Roman" w:cs="Times New Roman"/>
          <w:sz w:val="24"/>
          <w:szCs w:val="24"/>
        </w:rPr>
        <w:t>, the leading CEX.</w:t>
      </w:r>
      <w:r w:rsidR="00456A5A">
        <w:rPr>
          <w:rFonts w:ascii="Times New Roman" w:hAnsi="Times New Roman" w:cs="Times New Roman"/>
          <w:sz w:val="24"/>
          <w:szCs w:val="24"/>
        </w:rPr>
        <w:t xml:space="preserve"> </w:t>
      </w:r>
      <w:r w:rsidR="00456A5A" w:rsidRPr="0065228D">
        <w:rPr>
          <w:rFonts w:ascii="Times New Roman" w:hAnsi="Times New Roman" w:cs="Times New Roman"/>
          <w:sz w:val="24"/>
          <w:szCs w:val="24"/>
        </w:rPr>
        <w:t xml:space="preserve">In just a short span of time, DEXs have moved from the </w:t>
      </w:r>
      <w:r w:rsidR="00456A5A">
        <w:rPr>
          <w:rFonts w:ascii="Times New Roman" w:hAnsi="Times New Roman" w:cs="Times New Roman"/>
          <w:sz w:val="24"/>
          <w:szCs w:val="24"/>
        </w:rPr>
        <w:t>B</w:t>
      </w:r>
      <w:r w:rsidR="00456A5A" w:rsidRPr="0065228D">
        <w:rPr>
          <w:rFonts w:ascii="Times New Roman" w:hAnsi="Times New Roman" w:cs="Times New Roman"/>
          <w:sz w:val="24"/>
          <w:szCs w:val="24"/>
        </w:rPr>
        <w:t xml:space="preserve">itcoin peripheral to the mainstream. The functioning of the traditional order-book was commonly copied in early attempts to establish a decentralized market; however, this environment has been considerably altered by the advent of liquidity pools, sometimes known as automated market makers. The operational elements of these decentralized protocols, such as registration, verification, execution, and settlement, are well retained even during different stages in the development life cycle. According to </w:t>
      </w:r>
      <w:r w:rsidR="00456A5A" w:rsidRPr="00B2148E">
        <w:rPr>
          <w:rFonts w:ascii="Times New Roman" w:hAnsi="Times New Roman" w:cs="Times New Roman"/>
          <w:sz w:val="24"/>
          <w:szCs w:val="24"/>
        </w:rPr>
        <w:t>Lin (2019),</w:t>
      </w:r>
      <w:r w:rsidR="00456A5A" w:rsidRPr="0065228D">
        <w:rPr>
          <w:rFonts w:ascii="Times New Roman" w:hAnsi="Times New Roman" w:cs="Times New Roman"/>
          <w:sz w:val="24"/>
          <w:szCs w:val="24"/>
        </w:rPr>
        <w:t xml:space="preserve"> DEXs may be less liquid and riskier because of the greater variety of transaction pairings they can offer.</w:t>
      </w:r>
    </w:p>
    <w:p w14:paraId="3F075B0D" w14:textId="3F23CDD7" w:rsidR="0006012A" w:rsidRDefault="0006012A" w:rsidP="00360722">
      <w:pPr>
        <w:spacing w:line="360" w:lineRule="auto"/>
        <w:ind w:firstLine="720"/>
        <w:contextualSpacing/>
        <w:jc w:val="both"/>
        <w:rPr>
          <w:rFonts w:ascii="Times New Roman" w:hAnsi="Times New Roman" w:cs="Times New Roman"/>
          <w:sz w:val="24"/>
          <w:szCs w:val="24"/>
        </w:rPr>
      </w:pPr>
      <w:r w:rsidRPr="0006012A">
        <w:rPr>
          <w:rFonts w:ascii="Times New Roman" w:hAnsi="Times New Roman" w:cs="Times New Roman"/>
          <w:sz w:val="24"/>
          <w:szCs w:val="24"/>
        </w:rPr>
        <w:t>Some of the prior studies also compare CEX and DEX platforms in terms of their trading volume, liquidity capacity, convenience, transaction costs</w:t>
      </w:r>
      <w:r>
        <w:rPr>
          <w:rFonts w:ascii="Times New Roman" w:hAnsi="Times New Roman" w:cs="Times New Roman"/>
          <w:sz w:val="24"/>
          <w:szCs w:val="24"/>
        </w:rPr>
        <w:t>, and security</w:t>
      </w:r>
      <w:r w:rsidRPr="0006012A">
        <w:rPr>
          <w:rFonts w:ascii="Times New Roman" w:hAnsi="Times New Roman" w:cs="Times New Roman"/>
          <w:sz w:val="24"/>
          <w:szCs w:val="24"/>
        </w:rPr>
        <w:t xml:space="preserve"> etc. Among the notable ones are </w:t>
      </w:r>
      <w:proofErr w:type="spellStart"/>
      <w:r w:rsidRPr="0006012A">
        <w:rPr>
          <w:rFonts w:ascii="Times New Roman" w:hAnsi="Times New Roman" w:cs="Times New Roman"/>
          <w:sz w:val="24"/>
          <w:szCs w:val="24"/>
        </w:rPr>
        <w:t>Aspris</w:t>
      </w:r>
      <w:proofErr w:type="spellEnd"/>
      <w:r w:rsidRPr="0006012A">
        <w:rPr>
          <w:rFonts w:ascii="Times New Roman" w:hAnsi="Times New Roman" w:cs="Times New Roman"/>
          <w:sz w:val="24"/>
          <w:szCs w:val="24"/>
        </w:rPr>
        <w:t xml:space="preserve"> et al. (2021), who analyzed the decentralized exchanges and provided a comparative analysis between CEX and DEX. They report that cryptocurrency investors showed a preference for the convenience and liquidity of CEXs over the anonymity and security of DEXs.</w:t>
      </w:r>
    </w:p>
    <w:p w14:paraId="67AABC6A" w14:textId="17389CAA" w:rsidR="002D63CC" w:rsidRDefault="002D63CC" w:rsidP="00360722">
      <w:pPr>
        <w:spacing w:line="360" w:lineRule="auto"/>
        <w:ind w:firstLine="720"/>
        <w:contextualSpacing/>
        <w:jc w:val="both"/>
        <w:rPr>
          <w:rFonts w:ascii="Times New Roman" w:hAnsi="Times New Roman" w:cs="Times New Roman"/>
          <w:sz w:val="24"/>
          <w:szCs w:val="24"/>
        </w:rPr>
      </w:pPr>
      <w:r w:rsidRPr="002D63CC">
        <w:rPr>
          <w:rFonts w:ascii="Times New Roman" w:hAnsi="Times New Roman" w:cs="Times New Roman"/>
          <w:sz w:val="24"/>
          <w:szCs w:val="24"/>
        </w:rPr>
        <w:t>Pereira et al. (2019) compare the DEX and CEX platforms based on three criteria: transaction costs, technology costs, and community involvement. They discover that DEX platforms are preferable to centralized platforms from a transactional perspective when gains from lower opportunism and uncertainty costs outweigh losses from a higher cost of coordination and complexity. Additionally, they stress that because Artificial Intelligence is an emerging technology, advancements in blockchain protocols and associated complementary innovations have improved the technological infrastructure, lowering the cost and complexity of adopting blockchain protocols. Finally, they show that blockchain-based platforms are preferable to centralized platforms when the intrinsic benefits of the community members outweigh their scanty extrinsic benefits in the short term. With time and community expansion, extrinsic benefits would increase while intrinsic benefits would decrease. If intrinsic and extrinsic benefits are balanced, blockchain-based platforms would be the most beneficial way to organize.</w:t>
      </w:r>
    </w:p>
    <w:p w14:paraId="3786D7A5" w14:textId="1F129406" w:rsidR="00C843AB" w:rsidRDefault="00360722" w:rsidP="00456A5A">
      <w:pPr>
        <w:spacing w:line="360" w:lineRule="auto"/>
        <w:ind w:firstLine="720"/>
        <w:contextualSpacing/>
        <w:jc w:val="both"/>
        <w:rPr>
          <w:rFonts w:ascii="Times New Roman" w:hAnsi="Times New Roman" w:cs="Times New Roman"/>
          <w:sz w:val="24"/>
          <w:szCs w:val="24"/>
        </w:rPr>
      </w:pPr>
      <w:r w:rsidRPr="00360722">
        <w:rPr>
          <w:rFonts w:ascii="Times New Roman" w:hAnsi="Times New Roman" w:cs="Times New Roman"/>
          <w:sz w:val="24"/>
          <w:szCs w:val="24"/>
        </w:rPr>
        <w:t>Barbon and Ranaldo (202</w:t>
      </w:r>
      <w:r w:rsidR="0006012A">
        <w:rPr>
          <w:rFonts w:ascii="Times New Roman" w:hAnsi="Times New Roman" w:cs="Times New Roman"/>
          <w:sz w:val="24"/>
          <w:szCs w:val="24"/>
        </w:rPr>
        <w:t>3</w:t>
      </w:r>
      <w:r w:rsidRPr="00360722">
        <w:rPr>
          <w:rFonts w:ascii="Times New Roman" w:hAnsi="Times New Roman" w:cs="Times New Roman"/>
          <w:sz w:val="24"/>
          <w:szCs w:val="24"/>
        </w:rPr>
        <w:t xml:space="preserve">) compare the CEX and DEX platforms in terms of market quality. The authors point out that although DEX prices are less efficient than CEX prices, their analysis of transaction costs and departures from the no-arbitrage condition suggests that liquidity in CEXs and DEXs is similar. High exchange fees and the gas costs associated with blockchain transactions are the main obstacles for DEXs, whereas CEXs have significant risks and latency related to delegated custody. Moreover, they quantify conditions for DEXs to </w:t>
      </w:r>
      <w:r w:rsidRPr="00360722">
        <w:rPr>
          <w:rFonts w:ascii="Times New Roman" w:hAnsi="Times New Roman" w:cs="Times New Roman"/>
          <w:sz w:val="24"/>
          <w:szCs w:val="24"/>
        </w:rPr>
        <w:lastRenderedPageBreak/>
        <w:t>surpass CEXs and suggest a stylized model of DEX liquidity provision that maintains an equilibrium between volume, charges, and liquidity.</w:t>
      </w:r>
    </w:p>
    <w:p w14:paraId="0831DD64" w14:textId="0F5F57B6" w:rsidR="001E7AFE" w:rsidRDefault="001E7AFE" w:rsidP="00456A5A">
      <w:pPr>
        <w:spacing w:line="360" w:lineRule="auto"/>
        <w:ind w:firstLine="720"/>
        <w:contextualSpacing/>
        <w:jc w:val="both"/>
        <w:rPr>
          <w:rFonts w:ascii="Times New Roman" w:hAnsi="Times New Roman" w:cs="Times New Roman"/>
          <w:sz w:val="24"/>
          <w:szCs w:val="24"/>
        </w:rPr>
      </w:pPr>
      <w:r w:rsidRPr="001E7AFE">
        <w:rPr>
          <w:rFonts w:ascii="Times New Roman" w:hAnsi="Times New Roman" w:cs="Times New Roman"/>
          <w:sz w:val="24"/>
          <w:szCs w:val="24"/>
        </w:rPr>
        <w:t xml:space="preserve">Alves, P. M. (2023) investigates the price dynamics of Ethereum across CEX and DEX platforms by assessing the size of spillovers between the </w:t>
      </w:r>
      <w:r>
        <w:rPr>
          <w:rFonts w:ascii="Times New Roman" w:hAnsi="Times New Roman" w:cs="Times New Roman"/>
          <w:sz w:val="24"/>
          <w:szCs w:val="24"/>
        </w:rPr>
        <w:t xml:space="preserve">one of the </w:t>
      </w:r>
      <w:r w:rsidRPr="001E7AFE">
        <w:rPr>
          <w:rFonts w:ascii="Times New Roman" w:hAnsi="Times New Roman" w:cs="Times New Roman"/>
          <w:sz w:val="24"/>
          <w:szCs w:val="24"/>
        </w:rPr>
        <w:t>DEX (Uniswap V2) and three CEX platforms (</w:t>
      </w:r>
      <w:proofErr w:type="spellStart"/>
      <w:r w:rsidRPr="001E7AFE">
        <w:rPr>
          <w:rFonts w:ascii="Times New Roman" w:hAnsi="Times New Roman" w:cs="Times New Roman"/>
          <w:sz w:val="24"/>
          <w:szCs w:val="24"/>
        </w:rPr>
        <w:t>Binance</w:t>
      </w:r>
      <w:proofErr w:type="spellEnd"/>
      <w:r w:rsidRPr="001E7AFE">
        <w:rPr>
          <w:rFonts w:ascii="Times New Roman" w:hAnsi="Times New Roman" w:cs="Times New Roman"/>
          <w:sz w:val="24"/>
          <w:szCs w:val="24"/>
        </w:rPr>
        <w:t xml:space="preserve">, Gemini, and </w:t>
      </w:r>
      <w:proofErr w:type="spellStart"/>
      <w:r w:rsidRPr="001E7AFE">
        <w:rPr>
          <w:rFonts w:ascii="Times New Roman" w:hAnsi="Times New Roman" w:cs="Times New Roman"/>
          <w:sz w:val="24"/>
          <w:szCs w:val="24"/>
        </w:rPr>
        <w:t>Bitstamp</w:t>
      </w:r>
      <w:proofErr w:type="spellEnd"/>
      <w:r w:rsidRPr="001E7AFE">
        <w:rPr>
          <w:rFonts w:ascii="Times New Roman" w:hAnsi="Times New Roman" w:cs="Times New Roman"/>
          <w:sz w:val="24"/>
          <w:szCs w:val="24"/>
        </w:rPr>
        <w:t xml:space="preserve">). According to </w:t>
      </w:r>
      <w:r>
        <w:rPr>
          <w:rFonts w:ascii="Times New Roman" w:hAnsi="Times New Roman" w:cs="Times New Roman"/>
          <w:sz w:val="24"/>
          <w:szCs w:val="24"/>
        </w:rPr>
        <w:t>his</w:t>
      </w:r>
      <w:r w:rsidRPr="001E7AFE">
        <w:rPr>
          <w:rFonts w:ascii="Times New Roman" w:hAnsi="Times New Roman" w:cs="Times New Roman"/>
          <w:sz w:val="24"/>
          <w:szCs w:val="24"/>
        </w:rPr>
        <w:t xml:space="preserve"> analysis, </w:t>
      </w:r>
      <w:proofErr w:type="spellStart"/>
      <w:r w:rsidRPr="001E7AFE">
        <w:rPr>
          <w:rFonts w:ascii="Times New Roman" w:hAnsi="Times New Roman" w:cs="Times New Roman"/>
          <w:sz w:val="24"/>
          <w:szCs w:val="24"/>
        </w:rPr>
        <w:t>Binance</w:t>
      </w:r>
      <w:proofErr w:type="spellEnd"/>
      <w:r w:rsidRPr="001E7AFE">
        <w:rPr>
          <w:rFonts w:ascii="Times New Roman" w:hAnsi="Times New Roman" w:cs="Times New Roman"/>
          <w:sz w:val="24"/>
          <w:szCs w:val="24"/>
        </w:rPr>
        <w:t xml:space="preserve"> is a key player in the inter-market price discovery process and has a higher level of gross spillover to other exchanges than Uniswap, </w:t>
      </w:r>
      <w:proofErr w:type="spellStart"/>
      <w:r w:rsidRPr="001E7AFE">
        <w:rPr>
          <w:rFonts w:ascii="Times New Roman" w:hAnsi="Times New Roman" w:cs="Times New Roman"/>
          <w:sz w:val="24"/>
          <w:szCs w:val="24"/>
        </w:rPr>
        <w:t>Bitstamp</w:t>
      </w:r>
      <w:proofErr w:type="spellEnd"/>
      <w:r w:rsidRPr="001E7AFE">
        <w:rPr>
          <w:rFonts w:ascii="Times New Roman" w:hAnsi="Times New Roman" w:cs="Times New Roman"/>
          <w:sz w:val="24"/>
          <w:szCs w:val="24"/>
        </w:rPr>
        <w:t>, and Gemini. Uniswap, on the other hand, significantly reduces the amount of spillover it provides to other exchanges compared to the other centralized exchanges, and it is significantly more influenced by the other centralized exchanges than they are by it.</w:t>
      </w:r>
    </w:p>
    <w:p w14:paraId="44F131CB" w14:textId="77777777" w:rsidR="00BD485F" w:rsidRPr="00BD485F" w:rsidRDefault="00BD485F" w:rsidP="00BD485F">
      <w:pPr>
        <w:spacing w:line="360" w:lineRule="auto"/>
        <w:ind w:firstLine="720"/>
        <w:contextualSpacing/>
        <w:jc w:val="both"/>
        <w:rPr>
          <w:rFonts w:ascii="Times New Roman" w:hAnsi="Times New Roman" w:cs="Times New Roman"/>
          <w:iCs/>
          <w:sz w:val="24"/>
          <w:szCs w:val="24"/>
        </w:rPr>
      </w:pPr>
      <w:r w:rsidRPr="00BD485F">
        <w:rPr>
          <w:rFonts w:ascii="Times New Roman" w:hAnsi="Times New Roman" w:cs="Times New Roman"/>
          <w:iCs/>
          <w:sz w:val="24"/>
          <w:szCs w:val="24"/>
        </w:rPr>
        <w:t xml:space="preserve">Moreover, Pandey, D. (2022) examines the potential for obtaining information from both cryptocurrency exchanges including two DEX (Uniswap and </w:t>
      </w:r>
      <w:proofErr w:type="spellStart"/>
      <w:r w:rsidRPr="00BD485F">
        <w:rPr>
          <w:rFonts w:ascii="Times New Roman" w:hAnsi="Times New Roman" w:cs="Times New Roman"/>
          <w:iCs/>
          <w:sz w:val="24"/>
          <w:szCs w:val="24"/>
        </w:rPr>
        <w:t>PancakeSwap</w:t>
      </w:r>
      <w:proofErr w:type="spellEnd"/>
      <w:r w:rsidRPr="00BD485F">
        <w:rPr>
          <w:rFonts w:ascii="Times New Roman" w:hAnsi="Times New Roman" w:cs="Times New Roman"/>
          <w:iCs/>
          <w:sz w:val="24"/>
          <w:szCs w:val="24"/>
        </w:rPr>
        <w:t>), and one CEX (</w:t>
      </w:r>
      <w:proofErr w:type="spellStart"/>
      <w:r w:rsidRPr="00BD485F">
        <w:rPr>
          <w:rFonts w:ascii="Times New Roman" w:hAnsi="Times New Roman" w:cs="Times New Roman"/>
          <w:iCs/>
          <w:sz w:val="24"/>
          <w:szCs w:val="24"/>
        </w:rPr>
        <w:t>Binance</w:t>
      </w:r>
      <w:proofErr w:type="spellEnd"/>
      <w:r w:rsidRPr="00BD485F">
        <w:rPr>
          <w:rFonts w:ascii="Times New Roman" w:hAnsi="Times New Roman" w:cs="Times New Roman"/>
          <w:iCs/>
          <w:sz w:val="24"/>
          <w:szCs w:val="24"/>
        </w:rPr>
        <w:t xml:space="preserve">) platforms. The author looks at the benefits of each on-site resource and third-party tool that was investigated for data collection. The collected data was then used to examine the pricing, transaction costs, and trading pair management of these exchanges' markets. The results show that while managing </w:t>
      </w:r>
      <w:bookmarkStart w:id="9" w:name="_Hlk145357599"/>
      <w:r w:rsidRPr="00BD485F">
        <w:rPr>
          <w:rFonts w:ascii="Times New Roman" w:hAnsi="Times New Roman" w:cs="Times New Roman"/>
          <w:iCs/>
          <w:sz w:val="24"/>
          <w:szCs w:val="24"/>
        </w:rPr>
        <w:t xml:space="preserve">on-site resources </w:t>
      </w:r>
      <w:bookmarkEnd w:id="9"/>
      <w:r w:rsidRPr="00BD485F">
        <w:rPr>
          <w:rFonts w:ascii="Times New Roman" w:hAnsi="Times New Roman" w:cs="Times New Roman"/>
          <w:iCs/>
          <w:sz w:val="24"/>
          <w:szCs w:val="24"/>
        </w:rPr>
        <w:t xml:space="preserve">can be time-consuming and challenging, they also provide a tremendous amount of speed and flexibility. In contrast, third-party resources work well when the required data is available, despite being slower and more expensive. Additionally, the analyses show that while </w:t>
      </w:r>
      <w:proofErr w:type="spellStart"/>
      <w:r w:rsidRPr="00BD485F">
        <w:rPr>
          <w:rFonts w:ascii="Times New Roman" w:hAnsi="Times New Roman" w:cs="Times New Roman"/>
          <w:iCs/>
          <w:sz w:val="24"/>
          <w:szCs w:val="24"/>
        </w:rPr>
        <w:t>Binance</w:t>
      </w:r>
      <w:proofErr w:type="spellEnd"/>
      <w:r w:rsidRPr="00BD485F">
        <w:rPr>
          <w:rFonts w:ascii="Times New Roman" w:hAnsi="Times New Roman" w:cs="Times New Roman"/>
          <w:iCs/>
          <w:sz w:val="24"/>
          <w:szCs w:val="24"/>
        </w:rPr>
        <w:t xml:space="preserve"> performs better than Uniswap and </w:t>
      </w:r>
      <w:proofErr w:type="spellStart"/>
      <w:r w:rsidRPr="00BD485F">
        <w:rPr>
          <w:rFonts w:ascii="Times New Roman" w:hAnsi="Times New Roman" w:cs="Times New Roman"/>
          <w:iCs/>
          <w:sz w:val="24"/>
          <w:szCs w:val="24"/>
        </w:rPr>
        <w:t>PancakeSwap</w:t>
      </w:r>
      <w:proofErr w:type="spellEnd"/>
      <w:r w:rsidRPr="00BD485F">
        <w:rPr>
          <w:rFonts w:ascii="Times New Roman" w:hAnsi="Times New Roman" w:cs="Times New Roman"/>
          <w:iCs/>
          <w:sz w:val="24"/>
          <w:szCs w:val="24"/>
        </w:rPr>
        <w:t xml:space="preserve"> in some areas, such as usability and fees, it is comparatively less reliable in others, such as transparency and availability.</w:t>
      </w:r>
    </w:p>
    <w:p w14:paraId="74101940" w14:textId="306E49EE" w:rsidR="00BD485F" w:rsidRPr="00BD485F" w:rsidRDefault="008A0471" w:rsidP="00BD485F">
      <w:pPr>
        <w:spacing w:line="360" w:lineRule="auto"/>
        <w:ind w:firstLine="720"/>
        <w:contextualSpacing/>
        <w:jc w:val="both"/>
        <w:rPr>
          <w:rFonts w:ascii="Times New Roman" w:hAnsi="Times New Roman" w:cs="Times New Roman"/>
          <w:iCs/>
          <w:sz w:val="24"/>
          <w:szCs w:val="24"/>
        </w:rPr>
      </w:pPr>
      <w:proofErr w:type="spellStart"/>
      <w:r w:rsidRPr="008A0471">
        <w:rPr>
          <w:rFonts w:ascii="Times New Roman" w:hAnsi="Times New Roman" w:cs="Times New Roman"/>
          <w:iCs/>
          <w:sz w:val="24"/>
          <w:szCs w:val="24"/>
        </w:rPr>
        <w:t>Kreppmeier</w:t>
      </w:r>
      <w:proofErr w:type="spellEnd"/>
      <w:r w:rsidRPr="008A0471">
        <w:rPr>
          <w:rFonts w:ascii="Times New Roman" w:hAnsi="Times New Roman" w:cs="Times New Roman"/>
          <w:iCs/>
          <w:sz w:val="24"/>
          <w:szCs w:val="24"/>
        </w:rPr>
        <w:t xml:space="preserve"> and </w:t>
      </w:r>
      <w:proofErr w:type="spellStart"/>
      <w:r w:rsidRPr="008A0471">
        <w:rPr>
          <w:rFonts w:ascii="Times New Roman" w:hAnsi="Times New Roman" w:cs="Times New Roman"/>
          <w:iCs/>
          <w:sz w:val="24"/>
          <w:szCs w:val="24"/>
        </w:rPr>
        <w:t>Laschinger</w:t>
      </w:r>
      <w:proofErr w:type="spellEnd"/>
      <w:r w:rsidRPr="008A0471">
        <w:rPr>
          <w:rFonts w:ascii="Times New Roman" w:hAnsi="Times New Roman" w:cs="Times New Roman"/>
          <w:iCs/>
          <w:sz w:val="24"/>
          <w:szCs w:val="24"/>
        </w:rPr>
        <w:t xml:space="preserve"> (2023) examine 108 security tokens traded on centralized and decentralized exchanges related to the rapidly evolving area of decentralized finance. There is hardly any underpricing in the market, and it is positively associated with the crypto market sentiment as an external signal. When traded on the secondary market, security tokens generate both extremely positive and negative returns over various short-term time horizons. By disentangling the liquidity situation in the market between centralized and decentralized exchanges, their findings indicate that decentralized marketplaces are less liquid and offer lower barriers to entry, indicating slow market completion.</w:t>
      </w:r>
    </w:p>
    <w:p w14:paraId="03D26E84" w14:textId="77777777" w:rsidR="002F06F3" w:rsidRDefault="002F06F3" w:rsidP="002F06F3">
      <w:pPr>
        <w:spacing w:line="360" w:lineRule="auto"/>
        <w:ind w:firstLine="720"/>
        <w:contextualSpacing/>
        <w:jc w:val="both"/>
        <w:rPr>
          <w:rFonts w:ascii="Times New Roman" w:hAnsi="Times New Roman" w:cs="Times New Roman"/>
          <w:iCs/>
          <w:sz w:val="24"/>
          <w:szCs w:val="24"/>
        </w:rPr>
      </w:pPr>
      <w:r w:rsidRPr="002F06F3">
        <w:rPr>
          <w:rFonts w:ascii="Times New Roman" w:hAnsi="Times New Roman" w:cs="Times New Roman"/>
          <w:iCs/>
          <w:sz w:val="24"/>
          <w:szCs w:val="24"/>
        </w:rPr>
        <w:t xml:space="preserve">According to </w:t>
      </w:r>
      <w:proofErr w:type="spellStart"/>
      <w:r w:rsidRPr="002F06F3">
        <w:rPr>
          <w:rFonts w:ascii="Times New Roman" w:hAnsi="Times New Roman" w:cs="Times New Roman"/>
          <w:iCs/>
          <w:sz w:val="24"/>
          <w:szCs w:val="24"/>
        </w:rPr>
        <w:t>Aspris</w:t>
      </w:r>
      <w:proofErr w:type="spellEnd"/>
      <w:r w:rsidRPr="002F06F3">
        <w:rPr>
          <w:rFonts w:ascii="Times New Roman" w:hAnsi="Times New Roman" w:cs="Times New Roman"/>
          <w:iCs/>
          <w:sz w:val="24"/>
          <w:szCs w:val="24"/>
        </w:rPr>
        <w:t xml:space="preserve"> et al. (2022), there are differences in the trading costs of three market types: centralized exchange (CEX), decentralized exchange (DEX), and automated market makers (AMM), which use liquidity pools and bonding curves to facilitate transactions. According to their research, trading costs on cryptocurrency exchanges are generally higher than those on traditional equity markets. Centralized exchanges are the most affordable place </w:t>
      </w:r>
      <w:r w:rsidRPr="002F06F3">
        <w:rPr>
          <w:rFonts w:ascii="Times New Roman" w:hAnsi="Times New Roman" w:cs="Times New Roman"/>
          <w:iCs/>
          <w:sz w:val="24"/>
          <w:szCs w:val="24"/>
        </w:rPr>
        <w:lastRenderedPageBreak/>
        <w:t>to trade cryptocurrencies, where transactions cost 32bps (basis points) on average (roughly four times as much as stock trading). AMMs are the most expensive; typical trading costs are 130bps. CEXs are roughly half as expensive as DEXs. These alternative asset classes also have significantly higher exchange fees. Trading fees on CEXs range from 2 to 26 bps.</w:t>
      </w:r>
    </w:p>
    <w:p w14:paraId="3A28395F" w14:textId="7385C9C9" w:rsidR="0006012A" w:rsidRDefault="00625104" w:rsidP="00456A5A">
      <w:pPr>
        <w:spacing w:line="360" w:lineRule="auto"/>
        <w:ind w:firstLine="720"/>
        <w:contextualSpacing/>
        <w:jc w:val="both"/>
        <w:rPr>
          <w:rFonts w:ascii="Times New Roman" w:hAnsi="Times New Roman" w:cs="Times New Roman"/>
          <w:sz w:val="24"/>
          <w:szCs w:val="24"/>
        </w:rPr>
      </w:pPr>
      <w:r w:rsidRPr="00625104">
        <w:rPr>
          <w:rFonts w:ascii="Times New Roman" w:hAnsi="Times New Roman" w:cs="Times New Roman"/>
          <w:sz w:val="24"/>
          <w:szCs w:val="24"/>
        </w:rPr>
        <w:t xml:space="preserve">The most recent of several severe crises that impacted cryptocurrency exchanges in recent years was Terra's failure and the subsequent collapse of FTX. According to Jalan et al. (2023), contrary to popular belief, the FTX crisis had little effect on the market's systemic and liquidity risks. This </w:t>
      </w:r>
      <w:proofErr w:type="gramStart"/>
      <w:r w:rsidRPr="00625104">
        <w:rPr>
          <w:rFonts w:ascii="Times New Roman" w:hAnsi="Times New Roman" w:cs="Times New Roman"/>
          <w:sz w:val="24"/>
          <w:szCs w:val="24"/>
        </w:rPr>
        <w:t>is in contrast to</w:t>
      </w:r>
      <w:proofErr w:type="gramEnd"/>
      <w:r w:rsidRPr="00625104">
        <w:rPr>
          <w:rFonts w:ascii="Times New Roman" w:hAnsi="Times New Roman" w:cs="Times New Roman"/>
          <w:sz w:val="24"/>
          <w:szCs w:val="24"/>
        </w:rPr>
        <w:t xml:space="preserve"> earlier negative shocks, which were widely believed to signal the end of the cryptocurrency era. In a similar vein, there has been a much smaller increase in illiquidity than in the past. Overall, the FTX crisis can be seen as the result of a breakdown in corporate governance and regulatory oversight rather than cryptos themselves.</w:t>
      </w:r>
    </w:p>
    <w:p w14:paraId="7C54AC46" w14:textId="3FDBDE22" w:rsidR="0006012A" w:rsidRDefault="00B63155" w:rsidP="00456A5A">
      <w:pPr>
        <w:spacing w:line="360" w:lineRule="auto"/>
        <w:ind w:firstLine="720"/>
        <w:contextualSpacing/>
        <w:jc w:val="both"/>
        <w:rPr>
          <w:rFonts w:ascii="Times New Roman" w:hAnsi="Times New Roman" w:cs="Times New Roman"/>
          <w:sz w:val="24"/>
          <w:szCs w:val="24"/>
        </w:rPr>
      </w:pPr>
      <w:r w:rsidRPr="00B63155">
        <w:rPr>
          <w:rFonts w:ascii="Times New Roman" w:hAnsi="Times New Roman" w:cs="Times New Roman"/>
          <w:sz w:val="24"/>
          <w:szCs w:val="24"/>
        </w:rPr>
        <w:t xml:space="preserve">Briola et al. (2023) identify four breakpoints for the crash to analyze the mechanisms that caused the Terra project to fail. According to the authors, the existence of strong selling pressure on this crypto asset on May 5, 2022, may have been the ignition source for the failure of the Terra project. Additionally, the weakening state of the world economy </w:t>
      </w:r>
      <w:proofErr w:type="gramStart"/>
      <w:r w:rsidRPr="00B63155">
        <w:rPr>
          <w:rFonts w:ascii="Times New Roman" w:hAnsi="Times New Roman" w:cs="Times New Roman"/>
          <w:sz w:val="24"/>
          <w:szCs w:val="24"/>
        </w:rPr>
        <w:t>at the moment</w:t>
      </w:r>
      <w:proofErr w:type="gramEnd"/>
      <w:r w:rsidRPr="00B63155">
        <w:rPr>
          <w:rFonts w:ascii="Times New Roman" w:hAnsi="Times New Roman" w:cs="Times New Roman"/>
          <w:sz w:val="24"/>
          <w:szCs w:val="24"/>
        </w:rPr>
        <w:t xml:space="preserve"> (caused by the conflict between Russia and Ukraine), bear markets in the major financial indices, and higher federal funds rates may have contributed to "the perfect storm" in the cryptocurrency market. In addition, the Terra project's symbiotic dependence on the Anchor protocol may have increased its exposure to diverse speculative strategies that happened simultaneously by chance. Finally, their result confirms the absence of any herding during bear market conditions.</w:t>
      </w:r>
    </w:p>
    <w:p w14:paraId="5AB9E29F" w14:textId="1D8FD836" w:rsidR="00BD485F" w:rsidRDefault="00B63155" w:rsidP="00456A5A">
      <w:pPr>
        <w:spacing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In similar line,</w:t>
      </w:r>
      <w:r w:rsidR="0089006B" w:rsidRPr="0089006B">
        <w:t xml:space="preserve"> </w:t>
      </w:r>
      <w:proofErr w:type="gramStart"/>
      <w:r w:rsidR="0089006B" w:rsidRPr="0089006B">
        <w:rPr>
          <w:rFonts w:ascii="Times New Roman" w:hAnsi="Times New Roman" w:cs="Times New Roman"/>
          <w:sz w:val="24"/>
          <w:szCs w:val="24"/>
        </w:rPr>
        <w:t>Yousaf</w:t>
      </w:r>
      <w:proofErr w:type="gramEnd"/>
      <w:r w:rsidR="0089006B" w:rsidRPr="0089006B">
        <w:rPr>
          <w:rFonts w:ascii="Times New Roman" w:hAnsi="Times New Roman" w:cs="Times New Roman"/>
          <w:sz w:val="24"/>
          <w:szCs w:val="24"/>
        </w:rPr>
        <w:t xml:space="preserve"> and Goodell (2023) examine </w:t>
      </w:r>
      <w:r w:rsidR="0089006B">
        <w:rPr>
          <w:rFonts w:ascii="Times New Roman" w:hAnsi="Times New Roman" w:cs="Times New Roman"/>
          <w:sz w:val="24"/>
          <w:szCs w:val="24"/>
        </w:rPr>
        <w:t>how</w:t>
      </w:r>
      <w:r w:rsidR="0089006B" w:rsidRPr="0089006B">
        <w:rPr>
          <w:rFonts w:ascii="Times New Roman" w:hAnsi="Times New Roman" w:cs="Times New Roman"/>
          <w:sz w:val="24"/>
          <w:szCs w:val="24"/>
        </w:rPr>
        <w:t xml:space="preserve"> the FTX scandal and its link to FTT have negatively affected the reputation of other tokens such as DEX, CEX, NFTs, Defi, Memes, Energy, and Tourism, even tokens with only a tenuous link to FTT. According to their research, almost all token returns on the event day</w:t>
      </w:r>
      <w:r w:rsidR="0089006B">
        <w:rPr>
          <w:rFonts w:ascii="Times New Roman" w:hAnsi="Times New Roman" w:cs="Times New Roman"/>
          <w:sz w:val="24"/>
          <w:szCs w:val="24"/>
        </w:rPr>
        <w:t xml:space="preserve"> of </w:t>
      </w:r>
      <w:r w:rsidR="0089006B" w:rsidRPr="0089006B">
        <w:rPr>
          <w:rFonts w:ascii="Times New Roman" w:hAnsi="Times New Roman" w:cs="Times New Roman"/>
          <w:sz w:val="24"/>
          <w:szCs w:val="24"/>
        </w:rPr>
        <w:t>November 8, 2022</w:t>
      </w:r>
      <w:r w:rsidR="0089006B">
        <w:rPr>
          <w:rFonts w:ascii="Times New Roman" w:hAnsi="Times New Roman" w:cs="Times New Roman"/>
          <w:sz w:val="24"/>
          <w:szCs w:val="24"/>
        </w:rPr>
        <w:t>,</w:t>
      </w:r>
      <w:r w:rsidR="0089006B" w:rsidRPr="0089006B">
        <w:rPr>
          <w:rFonts w:ascii="Times New Roman" w:hAnsi="Times New Roman" w:cs="Times New Roman"/>
          <w:sz w:val="24"/>
          <w:szCs w:val="24"/>
        </w:rPr>
        <w:t xml:space="preserve"> were negative. While CEX tokens had mixed results on the event day, DEX, NFT</w:t>
      </w:r>
      <w:r w:rsidR="00542D8C">
        <w:rPr>
          <w:rFonts w:ascii="Times New Roman" w:hAnsi="Times New Roman" w:cs="Times New Roman"/>
          <w:sz w:val="24"/>
          <w:szCs w:val="24"/>
        </w:rPr>
        <w:t>s</w:t>
      </w:r>
      <w:r w:rsidR="0089006B" w:rsidRPr="0089006B">
        <w:rPr>
          <w:rFonts w:ascii="Times New Roman" w:hAnsi="Times New Roman" w:cs="Times New Roman"/>
          <w:sz w:val="24"/>
          <w:szCs w:val="24"/>
        </w:rPr>
        <w:t>, and memes tokens have abnormal returns that are all negative.</w:t>
      </w:r>
    </w:p>
    <w:bookmarkEnd w:id="8"/>
    <w:p w14:paraId="016C740A" w14:textId="2C343BFE" w:rsidR="00BD485F" w:rsidRDefault="00BD485F" w:rsidP="00456A5A">
      <w:pPr>
        <w:spacing w:line="360" w:lineRule="auto"/>
        <w:ind w:firstLine="720"/>
        <w:contextualSpacing/>
        <w:jc w:val="both"/>
        <w:rPr>
          <w:rFonts w:ascii="Times New Roman" w:hAnsi="Times New Roman" w:cs="Times New Roman"/>
          <w:sz w:val="24"/>
          <w:szCs w:val="24"/>
        </w:rPr>
      </w:pPr>
    </w:p>
    <w:p w14:paraId="4803AE6C" w14:textId="77777777" w:rsidR="00BD485F" w:rsidRDefault="00BD485F" w:rsidP="00456A5A">
      <w:pPr>
        <w:spacing w:line="360" w:lineRule="auto"/>
        <w:ind w:firstLine="720"/>
        <w:contextualSpacing/>
        <w:jc w:val="both"/>
        <w:rPr>
          <w:rFonts w:ascii="Times New Roman" w:hAnsi="Times New Roman" w:cs="Times New Roman"/>
          <w:sz w:val="24"/>
          <w:szCs w:val="24"/>
        </w:rPr>
      </w:pPr>
    </w:p>
    <w:p w14:paraId="77C619B7" w14:textId="77777777" w:rsidR="00B63155" w:rsidRDefault="00B63155" w:rsidP="00456A5A">
      <w:pPr>
        <w:spacing w:line="360" w:lineRule="auto"/>
        <w:ind w:firstLine="720"/>
        <w:contextualSpacing/>
        <w:jc w:val="both"/>
        <w:rPr>
          <w:rFonts w:ascii="Times New Roman" w:hAnsi="Times New Roman" w:cs="Times New Roman"/>
          <w:sz w:val="24"/>
          <w:szCs w:val="24"/>
        </w:rPr>
      </w:pPr>
    </w:p>
    <w:p w14:paraId="6A69ED7E" w14:textId="77777777" w:rsidR="00B63155" w:rsidRDefault="00B63155" w:rsidP="00456A5A">
      <w:pPr>
        <w:spacing w:line="360" w:lineRule="auto"/>
        <w:ind w:firstLine="720"/>
        <w:contextualSpacing/>
        <w:jc w:val="both"/>
        <w:rPr>
          <w:rFonts w:ascii="Times New Roman" w:hAnsi="Times New Roman" w:cs="Times New Roman"/>
          <w:sz w:val="24"/>
          <w:szCs w:val="24"/>
        </w:rPr>
      </w:pPr>
    </w:p>
    <w:p w14:paraId="7306EA82" w14:textId="77777777" w:rsidR="0006012A" w:rsidRDefault="0006012A" w:rsidP="00456A5A">
      <w:pPr>
        <w:spacing w:line="360" w:lineRule="auto"/>
        <w:ind w:firstLine="720"/>
        <w:contextualSpacing/>
        <w:jc w:val="both"/>
        <w:rPr>
          <w:rFonts w:ascii="Times New Roman" w:hAnsi="Times New Roman" w:cs="Times New Roman"/>
          <w:sz w:val="24"/>
          <w:szCs w:val="24"/>
        </w:rPr>
      </w:pPr>
    </w:p>
    <w:p w14:paraId="461CFC28" w14:textId="77777777" w:rsidR="0006012A" w:rsidRPr="0065228D" w:rsidRDefault="0006012A" w:rsidP="00456A5A">
      <w:pPr>
        <w:spacing w:line="360" w:lineRule="auto"/>
        <w:ind w:firstLine="720"/>
        <w:contextualSpacing/>
        <w:jc w:val="both"/>
        <w:rPr>
          <w:rFonts w:ascii="Times New Roman" w:hAnsi="Times New Roman" w:cs="Times New Roman"/>
          <w:sz w:val="24"/>
          <w:szCs w:val="24"/>
        </w:rPr>
      </w:pPr>
    </w:p>
    <w:p w14:paraId="204C84AC" w14:textId="77777777" w:rsidR="00DF191E" w:rsidRDefault="00DF191E" w:rsidP="00DF191E">
      <w:pPr>
        <w:spacing w:line="360" w:lineRule="auto"/>
        <w:ind w:left="360"/>
        <w:contextualSpacing/>
        <w:jc w:val="both"/>
        <w:rPr>
          <w:rFonts w:ascii="Times New Roman" w:hAnsi="Times New Roman" w:cs="Times New Roman"/>
          <w:b/>
          <w:bCs/>
          <w:sz w:val="24"/>
          <w:szCs w:val="24"/>
        </w:rPr>
      </w:pPr>
    </w:p>
    <w:p w14:paraId="67D85DC3" w14:textId="77777777" w:rsidR="006D7754" w:rsidRPr="0065228D" w:rsidRDefault="006D7754" w:rsidP="006D7754">
      <w:pPr>
        <w:numPr>
          <w:ilvl w:val="0"/>
          <w:numId w:val="1"/>
        </w:numPr>
        <w:spacing w:line="360" w:lineRule="auto"/>
        <w:contextualSpacing/>
        <w:jc w:val="both"/>
        <w:rPr>
          <w:rFonts w:ascii="Times New Roman" w:hAnsi="Times New Roman" w:cs="Times New Roman"/>
          <w:b/>
          <w:bCs/>
          <w:sz w:val="24"/>
          <w:szCs w:val="24"/>
        </w:rPr>
      </w:pPr>
      <w:r w:rsidRPr="0065228D">
        <w:rPr>
          <w:rFonts w:ascii="Times New Roman" w:hAnsi="Times New Roman" w:cs="Times New Roman"/>
          <w:b/>
          <w:bCs/>
          <w:sz w:val="24"/>
          <w:szCs w:val="24"/>
        </w:rPr>
        <w:lastRenderedPageBreak/>
        <w:t>Data and Methodology</w:t>
      </w:r>
    </w:p>
    <w:p w14:paraId="53B99C2E" w14:textId="0EE7B2CE" w:rsidR="00410890" w:rsidRDefault="006D7754" w:rsidP="006D7754">
      <w:pPr>
        <w:pStyle w:val="ListParagraph"/>
        <w:numPr>
          <w:ilvl w:val="1"/>
          <w:numId w:val="9"/>
        </w:numPr>
        <w:spacing w:line="360" w:lineRule="auto"/>
        <w:jc w:val="both"/>
        <w:rPr>
          <w:rFonts w:ascii="Times New Roman" w:hAnsi="Times New Roman" w:cs="Times New Roman"/>
          <w:b/>
          <w:bCs/>
          <w:sz w:val="24"/>
          <w:szCs w:val="24"/>
        </w:rPr>
      </w:pPr>
      <w:bookmarkStart w:id="10" w:name="_Hlk145246351"/>
      <w:bookmarkStart w:id="11" w:name="_Hlk145246105"/>
      <w:r>
        <w:rPr>
          <w:rFonts w:ascii="Times New Roman" w:hAnsi="Times New Roman" w:cs="Times New Roman"/>
          <w:b/>
          <w:bCs/>
          <w:sz w:val="24"/>
          <w:szCs w:val="24"/>
        </w:rPr>
        <w:t>Data</w:t>
      </w:r>
    </w:p>
    <w:p w14:paraId="2D650BCB" w14:textId="736ED4D1" w:rsidR="00107E6E" w:rsidRDefault="006D7754" w:rsidP="00107E6E">
      <w:pPr>
        <w:spacing w:line="360" w:lineRule="auto"/>
        <w:jc w:val="both"/>
        <w:rPr>
          <w:rFonts w:ascii="Times New Roman" w:hAnsi="Times New Roman" w:cs="Times New Roman"/>
          <w:sz w:val="24"/>
          <w:szCs w:val="24"/>
        </w:rPr>
      </w:pPr>
      <w:bookmarkStart w:id="12" w:name="_Hlk145249485"/>
      <w:r w:rsidRPr="006D7754">
        <w:rPr>
          <w:rFonts w:ascii="Times New Roman" w:hAnsi="Times New Roman" w:cs="Times New Roman"/>
          <w:sz w:val="24"/>
          <w:szCs w:val="24"/>
        </w:rPr>
        <w:t xml:space="preserve">We </w:t>
      </w:r>
      <w:r w:rsidR="00C06808">
        <w:rPr>
          <w:rFonts w:ascii="Times New Roman" w:hAnsi="Times New Roman" w:cs="Times New Roman"/>
          <w:sz w:val="24"/>
          <w:szCs w:val="24"/>
        </w:rPr>
        <w:t>collect</w:t>
      </w:r>
      <w:r w:rsidRPr="006D7754">
        <w:rPr>
          <w:rFonts w:ascii="Times New Roman" w:hAnsi="Times New Roman" w:cs="Times New Roman"/>
          <w:sz w:val="24"/>
          <w:szCs w:val="24"/>
        </w:rPr>
        <w:t xml:space="preserve"> the daily data of three DEX tokens (RUNE-</w:t>
      </w:r>
      <w:proofErr w:type="spellStart"/>
      <w:r w:rsidRPr="006D7754">
        <w:rPr>
          <w:rFonts w:ascii="Times New Roman" w:hAnsi="Times New Roman" w:cs="Times New Roman"/>
          <w:sz w:val="24"/>
          <w:szCs w:val="24"/>
        </w:rPr>
        <w:t>THORChain</w:t>
      </w:r>
      <w:proofErr w:type="spellEnd"/>
      <w:r w:rsidRPr="006D7754">
        <w:rPr>
          <w:rFonts w:ascii="Times New Roman" w:hAnsi="Times New Roman" w:cs="Times New Roman"/>
          <w:sz w:val="24"/>
          <w:szCs w:val="24"/>
        </w:rPr>
        <w:t>, LRC-</w:t>
      </w:r>
      <w:proofErr w:type="spellStart"/>
      <w:r w:rsidRPr="006D7754">
        <w:rPr>
          <w:rFonts w:ascii="Times New Roman" w:hAnsi="Times New Roman" w:cs="Times New Roman"/>
          <w:sz w:val="24"/>
          <w:szCs w:val="24"/>
        </w:rPr>
        <w:t>Loopring</w:t>
      </w:r>
      <w:proofErr w:type="spellEnd"/>
      <w:r w:rsidRPr="006D7754">
        <w:rPr>
          <w:rFonts w:ascii="Times New Roman" w:hAnsi="Times New Roman" w:cs="Times New Roman"/>
          <w:sz w:val="24"/>
          <w:szCs w:val="24"/>
        </w:rPr>
        <w:t>, GNO-Gnosis,), three CEX tokens (BNB-</w:t>
      </w:r>
      <w:proofErr w:type="spellStart"/>
      <w:r w:rsidRPr="006D7754">
        <w:rPr>
          <w:rFonts w:ascii="Times New Roman" w:hAnsi="Times New Roman" w:cs="Times New Roman"/>
          <w:sz w:val="24"/>
          <w:szCs w:val="24"/>
        </w:rPr>
        <w:t>Binance</w:t>
      </w:r>
      <w:proofErr w:type="spellEnd"/>
      <w:r w:rsidRPr="006D7754">
        <w:rPr>
          <w:rFonts w:ascii="Times New Roman" w:hAnsi="Times New Roman" w:cs="Times New Roman"/>
          <w:sz w:val="24"/>
          <w:szCs w:val="24"/>
        </w:rPr>
        <w:t xml:space="preserve"> Coin, LEO-UNUS SED LEO, FTT-FTX Token), and seven other assets (Gold, Oil (WTI), BTC (Bitcoin), REIT (Dow Jones Equity All REIT Index), Equity (MSCI World index), Bond (PIMCO Investment Grade Corporate Bond Index Exchange-Traded Fund), US dollar index) in this study. Prior studies of Aharon and Demir (2021) and Bouri et al. (2021) also use similar other assets and their respective proxies. The sample period started from </w:t>
      </w:r>
      <w:r w:rsidRPr="00542D8C">
        <w:rPr>
          <w:rFonts w:ascii="Times New Roman" w:hAnsi="Times New Roman" w:cs="Times New Roman"/>
          <w:sz w:val="24"/>
          <w:szCs w:val="24"/>
        </w:rPr>
        <w:t xml:space="preserve">31 July 2019 and ended on 25 April </w:t>
      </w:r>
      <w:r w:rsidR="00107E6E" w:rsidRPr="00542D8C">
        <w:rPr>
          <w:rFonts w:ascii="Times New Roman" w:hAnsi="Times New Roman" w:cs="Times New Roman"/>
          <w:sz w:val="24"/>
          <w:szCs w:val="24"/>
        </w:rPr>
        <w:t>2022</w:t>
      </w:r>
      <w:r w:rsidRPr="006D7754">
        <w:rPr>
          <w:rFonts w:ascii="Times New Roman" w:hAnsi="Times New Roman" w:cs="Times New Roman"/>
          <w:sz w:val="24"/>
          <w:szCs w:val="24"/>
        </w:rPr>
        <w:t xml:space="preserve">. </w:t>
      </w:r>
      <w:r w:rsidR="00107E6E" w:rsidRPr="006D7754">
        <w:rPr>
          <w:rFonts w:ascii="Times New Roman" w:hAnsi="Times New Roman" w:cs="Times New Roman"/>
          <w:sz w:val="24"/>
          <w:szCs w:val="24"/>
        </w:rPr>
        <w:t xml:space="preserve">The data of DEX tokens, CEX tokens, and Bitcoin are taken from the website of capitalmarketcap.com, whereas the data of the rest of the assets </w:t>
      </w:r>
      <w:r w:rsidR="00107E6E">
        <w:rPr>
          <w:rFonts w:ascii="Times New Roman" w:hAnsi="Times New Roman" w:cs="Times New Roman"/>
          <w:sz w:val="24"/>
          <w:szCs w:val="24"/>
        </w:rPr>
        <w:t>is</w:t>
      </w:r>
      <w:r w:rsidR="00107E6E" w:rsidRPr="006D7754">
        <w:rPr>
          <w:rFonts w:ascii="Times New Roman" w:hAnsi="Times New Roman" w:cs="Times New Roman"/>
          <w:sz w:val="24"/>
          <w:szCs w:val="24"/>
        </w:rPr>
        <w:t xml:space="preserve"> extracted from the Bloomberg and S&amp;P Global databases.</w:t>
      </w:r>
    </w:p>
    <w:p w14:paraId="14BE1B08" w14:textId="2C4E883C" w:rsidR="006D7754" w:rsidRDefault="00C73220" w:rsidP="006D7754">
      <w:pPr>
        <w:spacing w:line="360" w:lineRule="auto"/>
        <w:jc w:val="both"/>
        <w:rPr>
          <w:rFonts w:ascii="Times New Roman" w:hAnsi="Times New Roman" w:cs="Times New Roman"/>
          <w:sz w:val="24"/>
          <w:szCs w:val="24"/>
        </w:rPr>
      </w:pPr>
      <w:r w:rsidRPr="00542D8C">
        <w:rPr>
          <w:rFonts w:ascii="Times New Roman" w:hAnsi="Times New Roman" w:cs="Times New Roman"/>
          <w:sz w:val="24"/>
          <w:szCs w:val="24"/>
          <w:highlight w:val="cyan"/>
        </w:rPr>
        <w:t xml:space="preserve">One of the limitations of our study is that it requires data from both exchanges and the data must be collected concurrently. </w:t>
      </w:r>
      <w:r w:rsidR="00C06808" w:rsidRPr="00542D8C">
        <w:rPr>
          <w:rFonts w:ascii="Times New Roman" w:hAnsi="Times New Roman" w:cs="Times New Roman"/>
          <w:sz w:val="24"/>
          <w:szCs w:val="24"/>
          <w:highlight w:val="cyan"/>
        </w:rPr>
        <w:t xml:space="preserve">The earliest date for which data for these tokens will be available is July 31, 2019, as we need to incorporate </w:t>
      </w:r>
      <w:r w:rsidR="00107E6E" w:rsidRPr="00542D8C">
        <w:rPr>
          <w:rFonts w:ascii="Times New Roman" w:hAnsi="Times New Roman" w:cs="Times New Roman"/>
          <w:sz w:val="24"/>
          <w:szCs w:val="24"/>
          <w:highlight w:val="cyan"/>
        </w:rPr>
        <w:t xml:space="preserve">the data for </w:t>
      </w:r>
      <w:r w:rsidR="00C06808" w:rsidRPr="00542D8C">
        <w:rPr>
          <w:rFonts w:ascii="Times New Roman" w:hAnsi="Times New Roman" w:cs="Times New Roman"/>
          <w:sz w:val="24"/>
          <w:szCs w:val="24"/>
          <w:highlight w:val="cyan"/>
        </w:rPr>
        <w:t xml:space="preserve">three </w:t>
      </w:r>
      <w:r w:rsidR="00107E6E" w:rsidRPr="00542D8C">
        <w:rPr>
          <w:rFonts w:ascii="Times New Roman" w:hAnsi="Times New Roman" w:cs="Times New Roman"/>
          <w:sz w:val="24"/>
          <w:szCs w:val="24"/>
          <w:highlight w:val="cyan"/>
        </w:rPr>
        <w:t xml:space="preserve">DEX </w:t>
      </w:r>
      <w:r w:rsidR="00C06808" w:rsidRPr="00542D8C">
        <w:rPr>
          <w:rFonts w:ascii="Times New Roman" w:hAnsi="Times New Roman" w:cs="Times New Roman"/>
          <w:sz w:val="24"/>
          <w:szCs w:val="24"/>
          <w:highlight w:val="cyan"/>
        </w:rPr>
        <w:t xml:space="preserve">tokens and three </w:t>
      </w:r>
      <w:r w:rsidR="00107E6E" w:rsidRPr="00542D8C">
        <w:rPr>
          <w:rFonts w:ascii="Times New Roman" w:hAnsi="Times New Roman" w:cs="Times New Roman"/>
          <w:sz w:val="24"/>
          <w:szCs w:val="24"/>
          <w:highlight w:val="cyan"/>
        </w:rPr>
        <w:t xml:space="preserve">CEX </w:t>
      </w:r>
      <w:r w:rsidR="00C06808" w:rsidRPr="00542D8C">
        <w:rPr>
          <w:rFonts w:ascii="Times New Roman" w:hAnsi="Times New Roman" w:cs="Times New Roman"/>
          <w:sz w:val="24"/>
          <w:szCs w:val="24"/>
          <w:highlight w:val="cyan"/>
        </w:rPr>
        <w:t>tokens</w:t>
      </w:r>
      <w:r w:rsidR="00107E6E" w:rsidRPr="00542D8C">
        <w:rPr>
          <w:rFonts w:ascii="Times New Roman" w:hAnsi="Times New Roman" w:cs="Times New Roman"/>
          <w:sz w:val="24"/>
          <w:szCs w:val="24"/>
          <w:highlight w:val="cyan"/>
        </w:rPr>
        <w:t xml:space="preserve"> used in our analysis from the parallel timeframe</w:t>
      </w:r>
      <w:r w:rsidR="00C06808" w:rsidRPr="00542D8C">
        <w:rPr>
          <w:rFonts w:ascii="Times New Roman" w:hAnsi="Times New Roman" w:cs="Times New Roman"/>
          <w:sz w:val="24"/>
          <w:szCs w:val="24"/>
          <w:highlight w:val="cyan"/>
        </w:rPr>
        <w:t>. Second, since the decentralized exchanges didn't start functioning until the end of 2018, we are unable to extract data for DEX tokens before that year.</w:t>
      </w:r>
      <w:r w:rsidR="00C06808" w:rsidRPr="00107E6E">
        <w:rPr>
          <w:rFonts w:ascii="Times New Roman" w:hAnsi="Times New Roman" w:cs="Times New Roman"/>
          <w:sz w:val="24"/>
          <w:szCs w:val="24"/>
        </w:rPr>
        <w:t xml:space="preserve"> </w:t>
      </w:r>
    </w:p>
    <w:p w14:paraId="31EAA9D5" w14:textId="77777777" w:rsidR="00B87A26" w:rsidRPr="00107E6E" w:rsidRDefault="00B87A26" w:rsidP="006D7754">
      <w:pPr>
        <w:spacing w:line="360" w:lineRule="auto"/>
        <w:jc w:val="both"/>
        <w:rPr>
          <w:rFonts w:ascii="Times New Roman" w:hAnsi="Times New Roman" w:cs="Times New Roman"/>
          <w:sz w:val="24"/>
          <w:szCs w:val="24"/>
        </w:rPr>
      </w:pPr>
    </w:p>
    <w:bookmarkEnd w:id="10"/>
    <w:bookmarkEnd w:id="12"/>
    <w:p w14:paraId="3F231607" w14:textId="77777777" w:rsidR="006D7754" w:rsidRDefault="006D7754" w:rsidP="006D7754">
      <w:pPr>
        <w:pStyle w:val="ListParagraph"/>
        <w:numPr>
          <w:ilvl w:val="1"/>
          <w:numId w:val="9"/>
        </w:numPr>
        <w:spacing w:line="360" w:lineRule="auto"/>
        <w:jc w:val="both"/>
        <w:rPr>
          <w:rFonts w:ascii="Times New Roman" w:hAnsi="Times New Roman" w:cs="Times New Roman"/>
          <w:b/>
          <w:bCs/>
          <w:sz w:val="24"/>
          <w:szCs w:val="24"/>
        </w:rPr>
      </w:pPr>
      <w:r w:rsidRPr="006D7754">
        <w:rPr>
          <w:rFonts w:ascii="Times New Roman" w:hAnsi="Times New Roman" w:cs="Times New Roman"/>
          <w:b/>
          <w:bCs/>
          <w:sz w:val="24"/>
          <w:szCs w:val="24"/>
        </w:rPr>
        <w:t>Methodology</w:t>
      </w:r>
    </w:p>
    <w:bookmarkEnd w:id="11"/>
    <w:p w14:paraId="12A9733F" w14:textId="478A8476" w:rsidR="00410890" w:rsidRPr="0065228D" w:rsidRDefault="00410890" w:rsidP="00BB762A">
      <w:pPr>
        <w:spacing w:line="360" w:lineRule="auto"/>
        <w:contextualSpacing/>
        <w:jc w:val="both"/>
        <w:rPr>
          <w:rFonts w:ascii="Times New Roman" w:hAnsi="Times New Roman" w:cs="Times New Roman"/>
          <w:sz w:val="24"/>
          <w:szCs w:val="24"/>
        </w:rPr>
      </w:pPr>
      <w:proofErr w:type="gramStart"/>
      <w:r w:rsidRPr="0065228D">
        <w:rPr>
          <w:rFonts w:ascii="Times New Roman" w:hAnsi="Times New Roman" w:cs="Times New Roman"/>
          <w:sz w:val="24"/>
          <w:szCs w:val="24"/>
        </w:rPr>
        <w:t>In order to</w:t>
      </w:r>
      <w:proofErr w:type="gramEnd"/>
      <w:r w:rsidRPr="0065228D">
        <w:rPr>
          <w:rFonts w:ascii="Times New Roman" w:hAnsi="Times New Roman" w:cs="Times New Roman"/>
          <w:sz w:val="24"/>
          <w:szCs w:val="24"/>
        </w:rPr>
        <w:t xml:space="preserve"> examine the quantile-based interconnectedness between DEX tokens, CEX tokens, and other assets, this study </w:t>
      </w:r>
      <w:bookmarkStart w:id="13" w:name="_Hlk120470478"/>
      <w:r w:rsidRPr="0065228D">
        <w:rPr>
          <w:rFonts w:ascii="Times New Roman" w:hAnsi="Times New Roman" w:cs="Times New Roman"/>
          <w:sz w:val="24"/>
          <w:szCs w:val="24"/>
        </w:rPr>
        <w:t>use</w:t>
      </w:r>
      <w:r w:rsidR="00CE7CEA">
        <w:rPr>
          <w:rFonts w:ascii="Times New Roman" w:hAnsi="Times New Roman" w:cs="Times New Roman"/>
          <w:sz w:val="24"/>
          <w:szCs w:val="24"/>
        </w:rPr>
        <w:t>s</w:t>
      </w:r>
      <w:r w:rsidRPr="0065228D">
        <w:rPr>
          <w:rFonts w:ascii="Times New Roman" w:hAnsi="Times New Roman" w:cs="Times New Roman"/>
          <w:sz w:val="24"/>
          <w:szCs w:val="24"/>
        </w:rPr>
        <w:t xml:space="preserve"> the quantile-based-connectedness technique of </w:t>
      </w:r>
      <w:bookmarkEnd w:id="13"/>
      <w:r w:rsidRPr="0065228D">
        <w:rPr>
          <w:rFonts w:ascii="Times New Roman" w:hAnsi="Times New Roman" w:cs="Times New Roman"/>
          <w:sz w:val="24"/>
          <w:szCs w:val="24"/>
        </w:rPr>
        <w:t xml:space="preserve">Ando et al. (2022).  To compute </w:t>
      </w:r>
      <w:r w:rsidR="00CE7CEA">
        <w:rPr>
          <w:rFonts w:ascii="Times New Roman" w:hAnsi="Times New Roman" w:cs="Times New Roman"/>
          <w:sz w:val="24"/>
          <w:szCs w:val="24"/>
        </w:rPr>
        <w:t xml:space="preserve">the </w:t>
      </w:r>
      <w:r w:rsidRPr="0065228D">
        <w:rPr>
          <w:rFonts w:ascii="Times New Roman" w:hAnsi="Times New Roman" w:cs="Times New Roman"/>
          <w:sz w:val="24"/>
          <w:szCs w:val="24"/>
        </w:rPr>
        <w:t>metrices of the quantile connectedness, the infinite order-based vector</w:t>
      </w:r>
      <w:r w:rsidR="00CE7CEA">
        <w:rPr>
          <w:rFonts w:ascii="Times New Roman" w:hAnsi="Times New Roman" w:cs="Times New Roman"/>
          <w:sz w:val="24"/>
          <w:szCs w:val="24"/>
        </w:rPr>
        <w:t>-</w:t>
      </w:r>
      <w:r w:rsidRPr="0065228D">
        <w:rPr>
          <w:rFonts w:ascii="Times New Roman" w:hAnsi="Times New Roman" w:cs="Times New Roman"/>
          <w:sz w:val="24"/>
          <w:szCs w:val="24"/>
        </w:rPr>
        <w:t>moving average specifications of quantile VAR (QVAR) are specified as follow</w:t>
      </w:r>
      <w:r w:rsidR="00CE7CEA">
        <w:rPr>
          <w:rFonts w:ascii="Times New Roman" w:hAnsi="Times New Roman" w:cs="Times New Roman"/>
          <w:sz w:val="24"/>
          <w:szCs w:val="24"/>
        </w:rPr>
        <w:t>s</w:t>
      </w:r>
      <w:r w:rsidRPr="0065228D">
        <w:rPr>
          <w:rFonts w:ascii="Times New Roman" w:hAnsi="Times New Roman" w:cs="Times New Roman"/>
          <w:sz w:val="24"/>
          <w:szCs w:val="24"/>
        </w:rPr>
        <w:t xml:space="preserve">: </w:t>
      </w:r>
    </w:p>
    <w:p w14:paraId="09B6E5E5" w14:textId="5F57E896" w:rsidR="00410890" w:rsidRPr="0065228D" w:rsidRDefault="00410890" w:rsidP="00BB762A">
      <w:pPr>
        <w:spacing w:line="360" w:lineRule="auto"/>
        <w:ind w:firstLine="720"/>
        <w:contextualSpacing/>
        <w:jc w:val="both"/>
        <w:rPr>
          <w:rFonts w:ascii="Times New Roman" w:hAnsi="Times New Roman" w:cs="Times New Roman"/>
          <w:sz w:val="24"/>
          <w:szCs w:val="24"/>
        </w:rPr>
      </w:pPr>
      <w:r w:rsidRPr="0065228D">
        <w:rPr>
          <w:rFonts w:ascii="Times New Roman" w:hAnsi="Times New Roman" w:cs="Times New Roman" w:hint="eastAsia"/>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r>
          <w:rPr>
            <w:rFonts w:ascii="Cambria Math" w:hAnsi="Cambria Math" w:cs="Times New Roman"/>
            <w:sz w:val="24"/>
            <w:szCs w:val="24"/>
          </w:rPr>
          <m:t>=μ</m:t>
        </m:r>
        <m:d>
          <m:dPr>
            <m:ctrlPr>
              <w:rPr>
                <w:rFonts w:ascii="Cambria Math" w:hAnsi="Cambria Math" w:cs="Times New Roman"/>
                <w:i/>
                <w:sz w:val="24"/>
                <w:szCs w:val="24"/>
              </w:rPr>
            </m:ctrlPr>
          </m:dPr>
          <m:e>
            <m:r>
              <w:rPr>
                <w:rFonts w:ascii="Cambria Math" w:hAnsi="Cambria Math" w:cs="Times New Roman"/>
                <w:sz w:val="24"/>
                <w:szCs w:val="24"/>
              </w:rPr>
              <m:t>τ</m:t>
            </m:r>
          </m:e>
        </m:d>
        <m:r>
          <w:rPr>
            <w:rFonts w:ascii="Cambria Math" w:hAnsi="Cambria Math" w:cs="Times New Roman"/>
            <w:sz w:val="24"/>
            <w:szCs w:val="24"/>
          </w:rPr>
          <m:t>+</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m:t>
            </m:r>
          </m:sub>
          <m:sup>
            <m:r>
              <w:rPr>
                <w:rFonts w:ascii="Cambria Math" w:hAnsi="Cambria Math" w:cs="Times New Roman"/>
                <w:sz w:val="24"/>
                <w:szCs w:val="24"/>
              </w:rPr>
              <m:t>p</m:t>
            </m:r>
          </m:sup>
          <m:e>
            <m:sSub>
              <m:sSubPr>
                <m:ctrlPr>
                  <w:rPr>
                    <w:rFonts w:ascii="Cambria Math" w:hAnsi="Cambria Math" w:cs="Times New Roman"/>
                    <w:i/>
                    <w:sz w:val="24"/>
                    <w:szCs w:val="24"/>
                  </w:rPr>
                </m:ctrlPr>
              </m:sSubPr>
              <m:e>
                <m:r>
                  <m:rPr>
                    <m:sty m:val="p"/>
                  </m:rPr>
                  <w:rPr>
                    <w:rFonts w:ascii="Cambria Math" w:hAnsi="Cambria Math" w:cs="Times New Roman"/>
                    <w:sz w:val="24"/>
                    <w:szCs w:val="24"/>
                  </w:rPr>
                  <m:t>Φ</m:t>
                </m:r>
              </m:e>
              <m:sub>
                <m: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rPr>
                  <m:t>τ</m:t>
                </m:r>
              </m:e>
            </m:d>
          </m:e>
        </m:nary>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t</m:t>
            </m:r>
          </m:sub>
        </m:sSub>
        <m:d>
          <m:dPr>
            <m:ctrlPr>
              <w:rPr>
                <w:rFonts w:ascii="Cambria Math" w:hAnsi="Cambria Math" w:cs="Times New Roman"/>
                <w:i/>
                <w:sz w:val="24"/>
                <w:szCs w:val="24"/>
              </w:rPr>
            </m:ctrlPr>
          </m:dPr>
          <m:e>
            <m:r>
              <w:rPr>
                <w:rFonts w:ascii="Cambria Math" w:hAnsi="Cambria Math" w:cs="Times New Roman"/>
                <w:sz w:val="24"/>
                <w:szCs w:val="24"/>
              </w:rPr>
              <m:t>τ</m:t>
            </m:r>
          </m:e>
        </m:d>
        <m:r>
          <w:rPr>
            <w:rFonts w:ascii="Cambria Math" w:hAnsi="Cambria Math" w:cs="Times New Roman"/>
            <w:sz w:val="24"/>
            <w:szCs w:val="24"/>
          </w:rPr>
          <m:t>=μ</m:t>
        </m:r>
        <m:d>
          <m:dPr>
            <m:ctrlPr>
              <w:rPr>
                <w:rFonts w:ascii="Cambria Math" w:hAnsi="Cambria Math" w:cs="Times New Roman"/>
                <w:i/>
                <w:sz w:val="24"/>
                <w:szCs w:val="24"/>
              </w:rPr>
            </m:ctrlPr>
          </m:dPr>
          <m:e>
            <m:r>
              <w:rPr>
                <w:rFonts w:ascii="Cambria Math" w:hAnsi="Cambria Math" w:cs="Times New Roman"/>
                <w:sz w:val="24"/>
                <w:szCs w:val="24"/>
              </w:rPr>
              <m:t>τ</m:t>
            </m:r>
          </m:e>
        </m:d>
        <m:r>
          <w:rPr>
            <w:rFonts w:ascii="Cambria Math" w:hAnsi="Cambria Math" w:cs="Times New Roman"/>
            <w:sz w:val="24"/>
            <w:szCs w:val="24"/>
          </w:rPr>
          <m:t>+</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i=0</m:t>
            </m:r>
          </m:sub>
          <m:sup>
            <m:r>
              <w:rPr>
                <w:rFonts w:ascii="Cambria Math" w:hAnsi="Cambria Math" w:cs="Times New Roman"/>
                <w:sz w:val="24"/>
                <w:szCs w:val="24"/>
              </w:rPr>
              <m:t>∞</m:t>
            </m:r>
          </m:sup>
          <m:e>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τ</m:t>
                </m:r>
              </m:e>
            </m:d>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t-i</m:t>
                </m:r>
              </m:sub>
            </m:sSub>
          </m:e>
        </m:nary>
      </m:oMath>
      <w:r w:rsidRPr="0065228D">
        <w:rPr>
          <w:rFonts w:ascii="Times New Roman" w:hAnsi="Times New Roman" w:cs="Times New Roman" w:hint="eastAsia"/>
          <w:sz w:val="24"/>
          <w:szCs w:val="24"/>
        </w:rPr>
        <w:t xml:space="preserve"> </w:t>
      </w:r>
      <w:r w:rsidR="00CE7CEA">
        <w:rPr>
          <w:rFonts w:ascii="Times New Roman" w:hAnsi="Times New Roman" w:cs="Times New Roman"/>
          <w:sz w:val="24"/>
          <w:szCs w:val="24"/>
        </w:rPr>
        <w:t>.</w:t>
      </w:r>
      <w:r w:rsidRPr="0065228D">
        <w:rPr>
          <w:rFonts w:ascii="Times New Roman" w:hAnsi="Times New Roman" w:cs="Times New Roman"/>
          <w:sz w:val="24"/>
          <w:szCs w:val="24"/>
        </w:rPr>
        <w:t xml:space="preserve">        </w:t>
      </w:r>
      <w:r w:rsidR="00E063A1">
        <w:rPr>
          <w:rFonts w:ascii="Times New Roman" w:hAnsi="Times New Roman" w:cs="Times New Roman"/>
          <w:sz w:val="24"/>
          <w:szCs w:val="24"/>
        </w:rPr>
        <w:t xml:space="preserve">                     </w:t>
      </w:r>
      <w:r w:rsidRPr="0065228D">
        <w:rPr>
          <w:rFonts w:ascii="Times New Roman" w:hAnsi="Times New Roman" w:cs="Times New Roman"/>
          <w:sz w:val="24"/>
          <w:szCs w:val="24"/>
        </w:rPr>
        <w:t xml:space="preserve">     (1)</w:t>
      </w:r>
    </w:p>
    <w:p w14:paraId="489E49E6" w14:textId="776B7CF0" w:rsidR="00410890" w:rsidRPr="0065228D" w:rsidRDefault="00410890" w:rsidP="00BB762A">
      <w:pPr>
        <w:spacing w:line="360" w:lineRule="auto"/>
        <w:contextualSpacing/>
        <w:jc w:val="both"/>
        <w:rPr>
          <w:rFonts w:ascii="Times New Roman" w:hAnsi="Times New Roman" w:cs="Times New Roman"/>
          <w:sz w:val="24"/>
          <w:szCs w:val="24"/>
        </w:rPr>
      </w:pPr>
      <w:r w:rsidRPr="0065228D">
        <w:rPr>
          <w:rFonts w:ascii="Times New Roman" w:hAnsi="Times New Roman" w:cs="Times New Roman"/>
          <w:sz w:val="24"/>
          <w:szCs w:val="24"/>
        </w:rPr>
        <w:t xml:space="preserve">We </w:t>
      </w:r>
      <w:r w:rsidRPr="00FB1658">
        <w:rPr>
          <w:rFonts w:ascii="Times New Roman" w:hAnsi="Times New Roman" w:cs="Times New Roman"/>
          <w:sz w:val="24"/>
          <w:szCs w:val="24"/>
        </w:rPr>
        <w:t xml:space="preserve">follow </w:t>
      </w:r>
      <w:r w:rsidRPr="00FB1658">
        <w:rPr>
          <w:rFonts w:ascii="Times New Roman" w:hAnsi="Times New Roman" w:cs="Times New Roman" w:hint="eastAsia"/>
          <w:sz w:val="24"/>
          <w:szCs w:val="24"/>
        </w:rPr>
        <w:t>Koop et al. (1996)</w:t>
      </w:r>
      <w:r w:rsidRPr="00FB1658">
        <w:rPr>
          <w:rFonts w:ascii="Times New Roman" w:hAnsi="Times New Roman" w:cs="Times New Roman"/>
          <w:sz w:val="24"/>
          <w:szCs w:val="24"/>
        </w:rPr>
        <w:t xml:space="preserve"> and </w:t>
      </w:r>
      <w:proofErr w:type="spellStart"/>
      <w:r w:rsidRPr="00FB1658">
        <w:rPr>
          <w:rFonts w:ascii="Times New Roman" w:hAnsi="Times New Roman" w:cs="Times New Roman" w:hint="eastAsia"/>
          <w:sz w:val="24"/>
          <w:szCs w:val="24"/>
        </w:rPr>
        <w:t>Pesaran</w:t>
      </w:r>
      <w:proofErr w:type="spellEnd"/>
      <w:r w:rsidRPr="00FB1658">
        <w:rPr>
          <w:rFonts w:ascii="Times New Roman" w:hAnsi="Times New Roman" w:cs="Times New Roman" w:hint="eastAsia"/>
          <w:sz w:val="24"/>
          <w:szCs w:val="24"/>
        </w:rPr>
        <w:t xml:space="preserve"> and Shin</w:t>
      </w:r>
      <w:r w:rsidRPr="00FB1658">
        <w:rPr>
          <w:rFonts w:ascii="Times New Roman" w:hAnsi="Times New Roman" w:cs="Times New Roman"/>
          <w:sz w:val="24"/>
          <w:szCs w:val="24"/>
        </w:rPr>
        <w:t xml:space="preserve"> (1998) for</w:t>
      </w:r>
      <w:r w:rsidRPr="0065228D">
        <w:rPr>
          <w:rFonts w:ascii="Times New Roman" w:hAnsi="Times New Roman" w:cs="Times New Roman"/>
          <w:sz w:val="24"/>
          <w:szCs w:val="24"/>
        </w:rPr>
        <w:t xml:space="preserve"> the “generalized forecast error variance decomposition (GFEVD) with </w:t>
      </w:r>
      <w:r w:rsidR="00CE7CEA">
        <w:rPr>
          <w:rFonts w:ascii="Times New Roman" w:hAnsi="Times New Roman" w:cs="Times New Roman"/>
          <w:sz w:val="24"/>
          <w:szCs w:val="24"/>
        </w:rPr>
        <w:t xml:space="preserve">a </w:t>
      </w:r>
      <w:r w:rsidRPr="0065228D">
        <w:rPr>
          <w:rFonts w:ascii="Times New Roman" w:hAnsi="Times New Roman" w:cs="Times New Roman"/>
          <w:sz w:val="24"/>
          <w:szCs w:val="24"/>
        </w:rPr>
        <w:t xml:space="preserve">forecast horizon of </w:t>
      </w:r>
      <m:oMath>
        <m:r>
          <m:rPr>
            <m:sty m:val="p"/>
          </m:rPr>
          <w:rPr>
            <w:rFonts w:ascii="Cambria Math" w:hAnsi="Cambria Math" w:cs="Times New Roman"/>
            <w:sz w:val="24"/>
            <w:szCs w:val="24"/>
          </w:rPr>
          <m:t>H</m:t>
        </m:r>
      </m:oMath>
      <w:r w:rsidRPr="0065228D">
        <w:rPr>
          <w:rFonts w:ascii="Times New Roman" w:hAnsi="Times New Roman" w:cs="Times New Roman"/>
          <w:sz w:val="24"/>
          <w:szCs w:val="24"/>
        </w:rPr>
        <w:t>”, which is specified as:</w:t>
      </w:r>
    </w:p>
    <w:p w14:paraId="7B85CFDF" w14:textId="0EBE008F" w:rsidR="00410890" w:rsidRPr="0065228D" w:rsidRDefault="00AD4A90" w:rsidP="00BB762A">
      <w:pPr>
        <w:spacing w:line="360" w:lineRule="auto"/>
        <w:ind w:firstLine="720"/>
        <w:contextualSpacing/>
        <w:jc w:val="both"/>
        <w:rPr>
          <w:rFonts w:ascii="Times New Roman" w:hAnsi="Times New Roman" w:cs="Times New Roman"/>
          <w:sz w:val="24"/>
          <w:szCs w:val="24"/>
        </w:rPr>
      </w:pP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Θ</m:t>
            </m:r>
          </m:e>
          <m:sub>
            <m:r>
              <w:rPr>
                <w:rFonts w:ascii="Cambria Math" w:hAnsi="Cambria Math" w:cs="Times New Roman"/>
                <w:sz w:val="24"/>
                <w:szCs w:val="24"/>
              </w:rPr>
              <m:t>ij</m:t>
            </m:r>
          </m:sub>
          <m:sup>
            <m:r>
              <w:rPr>
                <w:rFonts w:ascii="Cambria Math" w:hAnsi="Cambria Math" w:cs="Times New Roman"/>
                <w:sz w:val="24"/>
                <w:szCs w:val="24"/>
              </w:rPr>
              <m:t>g</m:t>
            </m:r>
          </m:sup>
        </m:sSubSup>
        <m:d>
          <m:dPr>
            <m:ctrlPr>
              <w:rPr>
                <w:rFonts w:ascii="Cambria Math" w:hAnsi="Cambria Math" w:cs="Times New Roman"/>
                <w:i/>
                <w:sz w:val="24"/>
                <w:szCs w:val="24"/>
              </w:rPr>
            </m:ctrlPr>
          </m:dPr>
          <m:e>
            <m:r>
              <w:rPr>
                <w:rFonts w:ascii="Cambria Math" w:hAnsi="Cambria Math" w:cs="Times New Roman"/>
                <w:sz w:val="24"/>
                <w:szCs w:val="24"/>
              </w:rPr>
              <m:t>H</m:t>
            </m:r>
          </m:e>
        </m:d>
        <m:r>
          <w:rPr>
            <w:rFonts w:ascii="Cambria Math" w:hAnsi="Cambria Math" w:cs="Times New Roman"/>
            <w:sz w:val="24"/>
            <w:szCs w:val="24"/>
          </w:rPr>
          <m:t xml:space="preserve"> = </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d>
                      <m:dPr>
                        <m:ctrlPr>
                          <w:rPr>
                            <w:rFonts w:ascii="Cambria Math" w:hAnsi="Cambria Math" w:cs="Times New Roman"/>
                            <w:i/>
                            <w:sz w:val="24"/>
                            <w:szCs w:val="24"/>
                          </w:rPr>
                        </m:ctrlPr>
                      </m:dPr>
                      <m:e>
                        <m:r>
                          <w:rPr>
                            <w:rFonts w:ascii="Cambria Math" w:hAnsi="Cambria Math" w:cs="Times New Roman"/>
                            <w:sz w:val="24"/>
                            <w:szCs w:val="24"/>
                          </w:rPr>
                          <m:t>τ</m:t>
                        </m:r>
                      </m:e>
                    </m:d>
                  </m:e>
                  <m:sub>
                    <m:r>
                      <w:rPr>
                        <w:rFonts w:ascii="Cambria Math" w:hAnsi="Cambria Math" w:cs="Times New Roman"/>
                        <w:sz w:val="24"/>
                        <w:szCs w:val="24"/>
                      </w:rPr>
                      <m:t>jj</m:t>
                    </m:r>
                  </m:sub>
                  <m:sup>
                    <m:r>
                      <w:rPr>
                        <w:rFonts w:ascii="Cambria Math" w:hAnsi="Cambria Math" w:cs="Times New Roman"/>
                        <w:sz w:val="24"/>
                        <w:szCs w:val="24"/>
                      </w:rPr>
                      <m:t>-</m:t>
                    </m:r>
                    <m:r>
                      <w:rPr>
                        <w:rFonts w:ascii="Cambria Math" w:hAnsi="Cambria Math" w:cs="Times New Roman"/>
                        <w:sz w:val="24"/>
                        <w:szCs w:val="24"/>
                      </w:rPr>
                      <m:t>1</m:t>
                    </m:r>
                  </m:sup>
                </m:sSubSup>
                <m:nary>
                  <m:naryPr>
                    <m:chr m:val="∑"/>
                    <m:limLoc m:val="subSup"/>
                    <m:ctrlPr>
                      <w:rPr>
                        <w:rFonts w:ascii="Cambria Math" w:hAnsi="Cambria Math" w:cs="Times New Roman"/>
                        <w:i/>
                        <w:sz w:val="24"/>
                        <w:szCs w:val="24"/>
                      </w:rPr>
                    </m:ctrlPr>
                  </m:naryPr>
                  <m:sub>
                    <m:r>
                      <w:rPr>
                        <w:rFonts w:ascii="Cambria Math" w:hAnsi="Cambria Math" w:cs="Times New Roman"/>
                        <w:sz w:val="24"/>
                        <w:szCs w:val="24"/>
                      </w:rPr>
                      <m:t>h</m:t>
                    </m:r>
                    <m:r>
                      <w:rPr>
                        <w:rFonts w:ascii="Cambria Math" w:hAnsi="Cambria Math" w:cs="Times New Roman"/>
                        <w:sz w:val="24"/>
                        <w:szCs w:val="24"/>
                      </w:rPr>
                      <m:t>=0</m:t>
                    </m:r>
                  </m:sub>
                  <m:sup>
                    <m:r>
                      <w:rPr>
                        <w:rFonts w:ascii="Cambria Math" w:hAnsi="Cambria Math" w:cs="Times New Roman"/>
                        <w:sz w:val="24"/>
                        <w:szCs w:val="24"/>
                      </w:rPr>
                      <m:t>H</m:t>
                    </m:r>
                    <m:r>
                      <w:rPr>
                        <w:rFonts w:ascii="Cambria Math" w:hAnsi="Cambria Math" w:cs="Times New Roman"/>
                        <w:sz w:val="24"/>
                        <w:szCs w:val="24"/>
                      </w:rPr>
                      <m:t>-</m:t>
                    </m:r>
                    <m:r>
                      <w:rPr>
                        <w:rFonts w:ascii="Cambria Math" w:hAnsi="Cambria Math" w:cs="Times New Roman"/>
                        <w:sz w:val="24"/>
                        <w:szCs w:val="24"/>
                      </w:rPr>
                      <m:t>1</m:t>
                    </m:r>
                  </m:sup>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i</m:t>
                                </m:r>
                              </m:sub>
                              <m:sup>
                                <m:r>
                                  <w:rPr>
                                    <w:rFonts w:ascii="Cambria Math" w:hAnsi="Cambria Math" w:cs="Times New Roman"/>
                                    <w:sz w:val="24"/>
                                    <w:szCs w:val="24"/>
                                  </w:rPr>
                                  <m:t>'</m:t>
                                </m:r>
                              </m:sup>
                            </m:sSubSup>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h</m:t>
                                </m:r>
                              </m:sub>
                            </m:sSub>
                            <m:d>
                              <m:dPr>
                                <m:ctrlPr>
                                  <w:rPr>
                                    <w:rFonts w:ascii="Cambria Math" w:hAnsi="Cambria Math" w:cs="Times New Roman"/>
                                    <w:i/>
                                    <w:sz w:val="24"/>
                                    <w:szCs w:val="24"/>
                                  </w:rPr>
                                </m:ctrlPr>
                              </m:dPr>
                              <m:e>
                                <m:r>
                                  <w:rPr>
                                    <w:rFonts w:ascii="Cambria Math" w:hAnsi="Cambria Math" w:cs="Times New Roman"/>
                                    <w:sz w:val="24"/>
                                    <w:szCs w:val="24"/>
                                  </w:rPr>
                                  <m:t>τ</m:t>
                                </m:r>
                              </m:e>
                            </m:d>
                            <m:nary>
                              <m:naryPr>
                                <m:chr m:val="∑"/>
                                <m:limLoc m:val="undOvr"/>
                                <m:subHide m:val="1"/>
                                <m:supHide m:val="1"/>
                                <m:ctrlPr>
                                  <w:rPr>
                                    <w:rFonts w:ascii="Cambria Math" w:hAnsi="Cambria Math" w:cs="Times New Roman"/>
                                    <w:i/>
                                    <w:sz w:val="24"/>
                                    <w:szCs w:val="24"/>
                                  </w:rPr>
                                </m:ctrlPr>
                              </m:naryPr>
                              <m:sub/>
                              <m:sup/>
                              <m:e>
                                <m:d>
                                  <m:dPr>
                                    <m:ctrlPr>
                                      <w:rPr>
                                        <w:rFonts w:ascii="Cambria Math" w:hAnsi="Cambria Math" w:cs="Times New Roman"/>
                                        <w:i/>
                                        <w:sz w:val="24"/>
                                        <w:szCs w:val="24"/>
                                      </w:rPr>
                                    </m:ctrlPr>
                                  </m:dPr>
                                  <m:e>
                                    <m:r>
                                      <w:rPr>
                                        <w:rFonts w:ascii="Cambria Math" w:hAnsi="Cambria Math" w:cs="Times New Roman"/>
                                        <w:sz w:val="24"/>
                                        <w:szCs w:val="24"/>
                                      </w:rPr>
                                      <m:t>τ</m:t>
                                    </m:r>
                                  </m:e>
                                </m:d>
                              </m:e>
                            </m:nary>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j</m:t>
                                </m:r>
                              </m:sub>
                            </m:sSub>
                          </m:e>
                        </m:d>
                      </m:e>
                      <m:sup>
                        <m:r>
                          <w:rPr>
                            <w:rFonts w:ascii="Cambria Math" w:hAnsi="Cambria Math" w:cs="Times New Roman"/>
                            <w:sz w:val="24"/>
                            <w:szCs w:val="24"/>
                          </w:rPr>
                          <m:t>2</m:t>
                        </m:r>
                      </m:sup>
                    </m:sSup>
                  </m:e>
                </m:nary>
              </m:e>
            </m:nary>
          </m:num>
          <m:den>
            <m:nary>
              <m:naryPr>
                <m:chr m:val="∑"/>
                <m:limLoc m:val="subSup"/>
                <m:ctrlPr>
                  <w:rPr>
                    <w:rFonts w:ascii="Cambria Math" w:hAnsi="Cambria Math" w:cs="Times New Roman"/>
                    <w:i/>
                    <w:sz w:val="24"/>
                    <w:szCs w:val="24"/>
                  </w:rPr>
                </m:ctrlPr>
              </m:naryPr>
              <m:sub>
                <m:r>
                  <w:rPr>
                    <w:rFonts w:ascii="Cambria Math" w:hAnsi="Cambria Math" w:cs="Times New Roman"/>
                    <w:sz w:val="24"/>
                    <w:szCs w:val="24"/>
                  </w:rPr>
                  <m:t>h</m:t>
                </m:r>
                <m:r>
                  <w:rPr>
                    <w:rFonts w:ascii="Cambria Math" w:hAnsi="Cambria Math" w:cs="Times New Roman"/>
                    <w:sz w:val="24"/>
                    <w:szCs w:val="24"/>
                  </w:rPr>
                  <m:t xml:space="preserve"> =0</m:t>
                </m:r>
              </m:sub>
              <m:sup>
                <m:r>
                  <w:rPr>
                    <w:rFonts w:ascii="Cambria Math" w:hAnsi="Cambria Math" w:cs="Times New Roman"/>
                    <w:sz w:val="24"/>
                    <w:szCs w:val="24"/>
                  </w:rPr>
                  <m:t>H</m:t>
                </m:r>
                <m:r>
                  <w:rPr>
                    <w:rFonts w:ascii="Cambria Math" w:hAnsi="Cambria Math" w:cs="Times New Roman"/>
                    <w:sz w:val="24"/>
                    <w:szCs w:val="24"/>
                  </w:rPr>
                  <m:t xml:space="preserve"> -1</m:t>
                </m:r>
              </m:sup>
              <m:e>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i</m:t>
                        </m:r>
                      </m:sub>
                      <m:sup>
                        <m:r>
                          <w:rPr>
                            <w:rFonts w:ascii="Cambria Math" w:hAnsi="Cambria Math" w:cs="Times New Roman"/>
                            <w:sz w:val="24"/>
                            <w:szCs w:val="24"/>
                          </w:rPr>
                          <m:t>'</m:t>
                        </m:r>
                      </m:sup>
                    </m:sSubSup>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h</m:t>
                        </m:r>
                      </m:sub>
                    </m:sSub>
                    <m:d>
                      <m:dPr>
                        <m:ctrlPr>
                          <w:rPr>
                            <w:rFonts w:ascii="Cambria Math" w:hAnsi="Cambria Math" w:cs="Times New Roman"/>
                            <w:i/>
                            <w:sz w:val="24"/>
                            <w:szCs w:val="24"/>
                          </w:rPr>
                        </m:ctrlPr>
                      </m:dPr>
                      <m:e>
                        <m:r>
                          <w:rPr>
                            <w:rFonts w:ascii="Cambria Math" w:hAnsi="Cambria Math" w:cs="Times New Roman"/>
                            <w:sz w:val="24"/>
                            <w:szCs w:val="24"/>
                          </w:rPr>
                          <m:t>τ</m:t>
                        </m:r>
                      </m:e>
                    </m:d>
                    <m:nary>
                      <m:naryPr>
                        <m:chr m:val="∑"/>
                        <m:limLoc m:val="undOvr"/>
                        <m:subHide m:val="1"/>
                        <m:supHide m:val="1"/>
                        <m:ctrlPr>
                          <w:rPr>
                            <w:rFonts w:ascii="Cambria Math" w:hAnsi="Cambria Math" w:cs="Times New Roman"/>
                            <w:i/>
                            <w:sz w:val="24"/>
                            <w:szCs w:val="24"/>
                          </w:rPr>
                        </m:ctrlPr>
                      </m:naryPr>
                      <m:sub/>
                      <m:sup/>
                      <m:e>
                        <m:d>
                          <m:dPr>
                            <m:ctrlPr>
                              <w:rPr>
                                <w:rFonts w:ascii="Cambria Math" w:hAnsi="Cambria Math" w:cs="Times New Roman"/>
                                <w:i/>
                                <w:sz w:val="24"/>
                                <w:szCs w:val="24"/>
                              </w:rPr>
                            </m:ctrlPr>
                          </m:dPr>
                          <m:e>
                            <m:r>
                              <w:rPr>
                                <w:rFonts w:ascii="Cambria Math" w:hAnsi="Cambria Math" w:cs="Times New Roman"/>
                                <w:sz w:val="24"/>
                                <w:szCs w:val="24"/>
                              </w:rPr>
                              <m:t>τ</m:t>
                            </m:r>
                          </m:e>
                        </m:d>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h</m:t>
                            </m:r>
                          </m:sub>
                        </m:sSub>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τ</m:t>
                                </m:r>
                              </m:e>
                            </m:d>
                          </m:e>
                          <m:sup>
                            <m:r>
                              <w:rPr>
                                <w:rFonts w:ascii="Cambria Math" w:hAnsi="Cambria Math" w:cs="Times New Roman"/>
                                <w:sz w:val="24"/>
                                <w:szCs w:val="24"/>
                              </w:rPr>
                              <m:t>'</m:t>
                            </m:r>
                          </m:sup>
                        </m:sSup>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e>
                    </m:nary>
                  </m:e>
                </m:d>
              </m:e>
            </m:nary>
          </m:den>
        </m:f>
      </m:oMath>
      <w:r w:rsidR="00410890" w:rsidRPr="0065228D">
        <w:rPr>
          <w:rFonts w:ascii="Times New Roman" w:hAnsi="Times New Roman" w:cs="Times New Roman" w:hint="eastAsia"/>
          <w:sz w:val="24"/>
          <w:szCs w:val="24"/>
        </w:rPr>
        <w:t xml:space="preserve"> </w:t>
      </w:r>
      <w:r w:rsidR="00410890" w:rsidRPr="0065228D">
        <w:rPr>
          <w:rFonts w:ascii="Times New Roman" w:hAnsi="Times New Roman" w:cs="Times New Roman"/>
          <w:sz w:val="24"/>
          <w:szCs w:val="24"/>
        </w:rPr>
        <w:t xml:space="preserve">    </w:t>
      </w:r>
      <w:r w:rsidR="00CE7CEA">
        <w:rPr>
          <w:rFonts w:ascii="Times New Roman" w:hAnsi="Times New Roman" w:cs="Times New Roman"/>
          <w:sz w:val="24"/>
          <w:szCs w:val="24"/>
        </w:rPr>
        <w:t>.</w:t>
      </w:r>
      <w:r w:rsidR="00410890" w:rsidRPr="0065228D">
        <w:rPr>
          <w:rFonts w:ascii="Times New Roman" w:hAnsi="Times New Roman" w:cs="Times New Roman"/>
          <w:sz w:val="24"/>
          <w:szCs w:val="24"/>
        </w:rPr>
        <w:t xml:space="preserve">                                 </w:t>
      </w:r>
      <w:r w:rsidR="00E063A1">
        <w:rPr>
          <w:rFonts w:ascii="Times New Roman" w:hAnsi="Times New Roman" w:cs="Times New Roman"/>
          <w:sz w:val="24"/>
          <w:szCs w:val="24"/>
        </w:rPr>
        <w:t xml:space="preserve">                      </w:t>
      </w:r>
      <w:r w:rsidR="00410890" w:rsidRPr="0065228D">
        <w:rPr>
          <w:rFonts w:ascii="Times New Roman" w:hAnsi="Times New Roman" w:cs="Times New Roman"/>
          <w:sz w:val="24"/>
          <w:szCs w:val="24"/>
        </w:rPr>
        <w:t xml:space="preserve">                   (2)</w:t>
      </w:r>
    </w:p>
    <w:p w14:paraId="57849D9D" w14:textId="4DDC4EF8" w:rsidR="00410890" w:rsidRPr="0065228D" w:rsidRDefault="00410890" w:rsidP="00BB762A">
      <w:pPr>
        <w:spacing w:line="360" w:lineRule="auto"/>
        <w:contextualSpacing/>
        <w:jc w:val="both"/>
        <w:rPr>
          <w:rFonts w:ascii="Times New Roman" w:hAnsi="Times New Roman" w:cs="Times New Roman"/>
          <w:sz w:val="24"/>
          <w:szCs w:val="24"/>
        </w:rPr>
      </w:pPr>
      <w:r w:rsidRPr="0065228D">
        <w:rPr>
          <w:rFonts w:ascii="Times New Roman" w:hAnsi="Times New Roman" w:cs="Times New Roman"/>
          <w:sz w:val="24"/>
          <w:szCs w:val="24"/>
        </w:rPr>
        <w:t xml:space="preserve">The </w:t>
      </w:r>
      <w:r w:rsidR="0020591C" w:rsidRPr="0065228D">
        <w:rPr>
          <w:rFonts w:ascii="Times New Roman" w:hAnsi="Times New Roman" w:cs="Times New Roman"/>
          <w:sz w:val="24"/>
          <w:szCs w:val="24"/>
        </w:rPr>
        <w:t xml:space="preserve">unity on </w:t>
      </w:r>
      <w:r w:rsidR="00CE7CEA">
        <w:rPr>
          <w:rFonts w:ascii="Times New Roman" w:hAnsi="Times New Roman" w:cs="Times New Roman"/>
          <w:sz w:val="24"/>
          <w:szCs w:val="24"/>
        </w:rPr>
        <w:t xml:space="preserve">the </w:t>
      </w:r>
      <w:proofErr w:type="spellStart"/>
      <w:r w:rsidR="0020591C" w:rsidRPr="0065228D">
        <w:rPr>
          <w:rFonts w:ascii="Times New Roman" w:hAnsi="Times New Roman" w:cs="Times New Roman"/>
          <w:sz w:val="24"/>
          <w:szCs w:val="24"/>
        </w:rPr>
        <w:t>ith</w:t>
      </w:r>
      <w:proofErr w:type="spellEnd"/>
      <w:r w:rsidR="0020591C" w:rsidRPr="0065228D">
        <w:rPr>
          <w:rFonts w:ascii="Times New Roman" w:hAnsi="Times New Roman" w:cs="Times New Roman"/>
          <w:sz w:val="24"/>
          <w:szCs w:val="24"/>
        </w:rPr>
        <w:t xml:space="preserve"> position</w:t>
      </w:r>
      <m:oMath>
        <m:r>
          <w:rPr>
            <w:rFonts w:ascii="Cambria Math" w:hAnsi="Cambria Math" w:cs="Times New Roman"/>
            <w:sz w:val="24"/>
            <w:szCs w:val="24"/>
          </w:rPr>
          <m:t xml:space="preserve"> </m:t>
        </m:r>
      </m:oMath>
      <w:r w:rsidR="0020591C" w:rsidRPr="0065228D">
        <w:rPr>
          <w:rFonts w:ascii="Times New Roman" w:eastAsiaTheme="minorEastAsia" w:hAnsi="Times New Roman" w:cs="Times New Roman"/>
          <w:sz w:val="24"/>
          <w:szCs w:val="24"/>
        </w:rPr>
        <w:t xml:space="preserve">is </w:t>
      </w:r>
      <w:r w:rsidR="0020591C" w:rsidRPr="0065228D">
        <w:rPr>
          <w:rFonts w:ascii="Times New Roman" w:hAnsi="Times New Roman" w:cs="Times New Roman"/>
          <w:sz w:val="24"/>
          <w:szCs w:val="24"/>
        </w:rPr>
        <w:t xml:space="preserve">denoted by </w:t>
      </w:r>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oMath>
      <w:r w:rsidR="0020591C" w:rsidRPr="0065228D">
        <w:rPr>
          <w:rFonts w:ascii="Times New Roman" w:eastAsiaTheme="minorEastAsia" w:hAnsi="Times New Roman" w:cs="Times New Roman"/>
          <w:sz w:val="24"/>
          <w:szCs w:val="24"/>
        </w:rPr>
        <w:t xml:space="preserve"> along with </w:t>
      </w:r>
      <w:r w:rsidR="0020591C" w:rsidRPr="0065228D">
        <w:rPr>
          <w:rFonts w:ascii="Times New Roman" w:hAnsi="Times New Roman" w:cs="Times New Roman"/>
          <w:sz w:val="24"/>
          <w:szCs w:val="24"/>
        </w:rPr>
        <w:t>the zero-vector. T</w:t>
      </w:r>
      <w:r w:rsidRPr="0065228D">
        <w:rPr>
          <w:rFonts w:ascii="Times New Roman" w:hAnsi="Times New Roman" w:cs="Times New Roman"/>
          <w:sz w:val="24"/>
          <w:szCs w:val="24"/>
        </w:rPr>
        <w:t>he normalization of elements</w:t>
      </w:r>
      <w:r w:rsidR="0020591C" w:rsidRPr="0065228D">
        <w:rPr>
          <w:rFonts w:ascii="Times New Roman" w:hAnsi="Times New Roman" w:cs="Times New Roman"/>
          <w:sz w:val="24"/>
          <w:szCs w:val="24"/>
        </w:rPr>
        <w:t xml:space="preserve"> in </w:t>
      </w:r>
      <w:r w:rsidR="00CE7CEA">
        <w:rPr>
          <w:rFonts w:ascii="Times New Roman" w:hAnsi="Times New Roman" w:cs="Times New Roman"/>
          <w:sz w:val="24"/>
          <w:szCs w:val="24"/>
        </w:rPr>
        <w:t xml:space="preserve">the </w:t>
      </w:r>
      <w:r w:rsidR="0020591C" w:rsidRPr="0065228D">
        <w:rPr>
          <w:rFonts w:ascii="Times New Roman" w:hAnsi="Times New Roman" w:cs="Times New Roman"/>
          <w:sz w:val="24"/>
          <w:szCs w:val="24"/>
        </w:rPr>
        <w:t xml:space="preserve">de-composition matrix </w:t>
      </w:r>
      <w:r w:rsidRPr="0065228D">
        <w:rPr>
          <w:rFonts w:ascii="Times New Roman" w:hAnsi="Times New Roman" w:cs="Times New Roman"/>
          <w:sz w:val="24"/>
          <w:szCs w:val="24"/>
        </w:rPr>
        <w:t xml:space="preserve">is </w:t>
      </w:r>
      <w:r w:rsidR="0060659B" w:rsidRPr="0065228D">
        <w:rPr>
          <w:rFonts w:ascii="Times New Roman" w:hAnsi="Times New Roman" w:cs="Times New Roman"/>
          <w:sz w:val="24"/>
          <w:szCs w:val="24"/>
        </w:rPr>
        <w:t>given below</w:t>
      </w:r>
      <w:r w:rsidRPr="0065228D">
        <w:rPr>
          <w:rFonts w:ascii="Times New Roman" w:hAnsi="Times New Roman" w:cs="Times New Roman"/>
          <w:sz w:val="24"/>
          <w:szCs w:val="24"/>
        </w:rPr>
        <w:t>:</w:t>
      </w:r>
    </w:p>
    <w:p w14:paraId="159F76C4" w14:textId="462AC341" w:rsidR="00410890" w:rsidRPr="0065228D" w:rsidRDefault="00AD4A90" w:rsidP="00BB762A">
      <w:pPr>
        <w:spacing w:line="360" w:lineRule="auto"/>
        <w:ind w:firstLine="720"/>
        <w:contextualSpacing/>
        <w:jc w:val="both"/>
        <w:rPr>
          <w:rFonts w:ascii="Times New Roman" w:hAnsi="Times New Roman" w:cs="Times New Roman"/>
          <w:sz w:val="24"/>
          <w:szCs w:val="24"/>
        </w:rPr>
      </w:pPr>
      <m:oMath>
        <m:sSubSup>
          <m:sSubSupPr>
            <m:ctrlPr>
              <w:rPr>
                <w:rFonts w:ascii="Cambria Math" w:hAnsi="Cambria Math" w:cs="Times New Roman"/>
                <w:sz w:val="24"/>
                <w:szCs w:val="24"/>
              </w:rPr>
            </m:ctrlPr>
          </m:sSubSupPr>
          <m:e>
            <m:acc>
              <m:accPr>
                <m:chr m:val="̃"/>
                <m:ctrlPr>
                  <w:rPr>
                    <w:rFonts w:ascii="Cambria Math" w:hAnsi="Cambria Math" w:cs="Times New Roman"/>
                    <w:i/>
                    <w:sz w:val="24"/>
                    <w:szCs w:val="24"/>
                  </w:rPr>
                </m:ctrlPr>
              </m:accPr>
              <m:e>
                <m:r>
                  <m:rPr>
                    <m:sty m:val="p"/>
                  </m:rPr>
                  <w:rPr>
                    <w:rFonts w:ascii="Cambria Math" w:hAnsi="Cambria Math" w:cs="Times New Roman"/>
                    <w:sz w:val="24"/>
                    <w:szCs w:val="24"/>
                  </w:rPr>
                  <m:t>Θ</m:t>
                </m:r>
              </m:e>
            </m:acc>
          </m:e>
          <m:sub>
            <m:r>
              <w:rPr>
                <w:rFonts w:ascii="Cambria Math" w:hAnsi="Cambria Math" w:cs="Times New Roman"/>
                <w:sz w:val="24"/>
                <w:szCs w:val="24"/>
              </w:rPr>
              <m:t>ij</m:t>
            </m:r>
          </m:sub>
          <m:sup>
            <m:r>
              <w:rPr>
                <w:rFonts w:ascii="Cambria Math" w:hAnsi="Cambria Math" w:cs="Times New Roman"/>
                <w:sz w:val="24"/>
                <w:szCs w:val="24"/>
              </w:rPr>
              <m:t>g</m:t>
            </m:r>
          </m:sup>
        </m:sSubSup>
        <m:d>
          <m:dPr>
            <m:ctrlPr>
              <w:rPr>
                <w:rFonts w:ascii="Cambria Math" w:hAnsi="Cambria Math" w:cs="Times New Roman"/>
                <w:i/>
                <w:sz w:val="24"/>
                <w:szCs w:val="24"/>
              </w:rPr>
            </m:ctrlPr>
          </m:dPr>
          <m:e>
            <m:r>
              <w:rPr>
                <w:rFonts w:ascii="Cambria Math" w:hAnsi="Cambria Math" w:cs="Times New Roman"/>
                <w:sz w:val="24"/>
                <w:szCs w:val="24"/>
              </w:rPr>
              <m:t>H</m:t>
            </m:r>
          </m:e>
        </m:d>
        <m:r>
          <w:rPr>
            <w:rFonts w:ascii="Cambria Math" w:hAnsi="Cambria Math" w:cs="Times New Roman"/>
            <w:sz w:val="24"/>
            <w:szCs w:val="24"/>
          </w:rPr>
          <m:t xml:space="preserve"> = </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m:rPr>
                    <m:sty m:val="p"/>
                  </m:rPr>
                  <w:rPr>
                    <w:rFonts w:ascii="Cambria Math" w:hAnsi="Cambria Math" w:cs="Times New Roman"/>
                    <w:sz w:val="24"/>
                    <w:szCs w:val="24"/>
                  </w:rPr>
                  <m:t>Θ</m:t>
                </m:r>
              </m:e>
              <m:sub>
                <m:r>
                  <w:rPr>
                    <w:rFonts w:ascii="Cambria Math" w:hAnsi="Cambria Math" w:cs="Times New Roman"/>
                    <w:sz w:val="24"/>
                    <w:szCs w:val="24"/>
                  </w:rPr>
                  <m:t>ij</m:t>
                </m:r>
              </m:sub>
              <m:sup>
                <m:r>
                  <w:rPr>
                    <w:rFonts w:ascii="Cambria Math" w:hAnsi="Cambria Math" w:cs="Times New Roman"/>
                    <w:sz w:val="24"/>
                    <w:szCs w:val="24"/>
                  </w:rPr>
                  <m:t>g</m:t>
                </m:r>
              </m:sup>
            </m:sSubSup>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H</m:t>
                </m:r>
              </m:e>
            </m:d>
          </m:num>
          <m:den>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m:t>
                </m:r>
                <m:r>
                  <w:rPr>
                    <w:rFonts w:ascii="Cambria Math" w:hAnsi="Cambria Math" w:cs="Times New Roman"/>
                    <w:sz w:val="24"/>
                    <w:szCs w:val="24"/>
                  </w:rPr>
                  <m:t xml:space="preserve"> = 1</m:t>
                </m:r>
              </m:sub>
              <m:sup>
                <m:r>
                  <w:rPr>
                    <w:rFonts w:ascii="Cambria Math" w:hAnsi="Cambria Math" w:cs="Times New Roman"/>
                    <w:sz w:val="24"/>
                    <w:szCs w:val="24"/>
                  </w:rPr>
                  <m:t>k</m:t>
                </m:r>
              </m:sup>
              <m:e>
                <m:sSubSup>
                  <m:sSubSupPr>
                    <m:ctrlPr>
                      <w:rPr>
                        <w:rFonts w:ascii="Cambria Math" w:hAnsi="Cambria Math" w:cs="Times New Roman"/>
                        <w:i/>
                        <w:sz w:val="24"/>
                        <w:szCs w:val="24"/>
                      </w:rPr>
                    </m:ctrlPr>
                  </m:sSubSupPr>
                  <m:e>
                    <m:r>
                      <m:rPr>
                        <m:sty m:val="p"/>
                      </m:rPr>
                      <w:rPr>
                        <w:rFonts w:ascii="Cambria Math" w:hAnsi="Cambria Math" w:cs="Times New Roman"/>
                        <w:sz w:val="24"/>
                        <w:szCs w:val="24"/>
                      </w:rPr>
                      <m:t>Θ</m:t>
                    </m:r>
                  </m:e>
                  <m:sub>
                    <m:r>
                      <w:rPr>
                        <w:rFonts w:ascii="Cambria Math" w:hAnsi="Cambria Math" w:cs="Times New Roman"/>
                        <w:sz w:val="24"/>
                        <w:szCs w:val="24"/>
                      </w:rPr>
                      <m:t>ij</m:t>
                    </m:r>
                  </m:sub>
                  <m:sup>
                    <m:r>
                      <w:rPr>
                        <w:rFonts w:ascii="Cambria Math" w:hAnsi="Cambria Math" w:cs="Times New Roman"/>
                        <w:sz w:val="24"/>
                        <w:szCs w:val="24"/>
                      </w:rPr>
                      <m:t>g</m:t>
                    </m:r>
                  </m:sup>
                </m:sSubSup>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H</m:t>
                    </m:r>
                  </m:e>
                </m:d>
              </m:e>
            </m:nary>
          </m:den>
        </m:f>
      </m:oMath>
      <w:r w:rsidR="00410890" w:rsidRPr="0065228D">
        <w:rPr>
          <w:rFonts w:ascii="Times New Roman" w:hAnsi="Times New Roman" w:cs="Times New Roman" w:hint="eastAsia"/>
          <w:sz w:val="24"/>
          <w:szCs w:val="24"/>
        </w:rPr>
        <w:t xml:space="preserve"> , </w:t>
      </w:r>
      <w:r w:rsidR="00410890" w:rsidRPr="0065228D">
        <w:rPr>
          <w:rFonts w:ascii="Times New Roman" w:hAnsi="Times New Roman" w:cs="Times New Roman"/>
          <w:sz w:val="24"/>
          <w:szCs w:val="24"/>
        </w:rPr>
        <w:t xml:space="preserve">with </w:t>
      </w:r>
      <m:oMath>
        <m:nary>
          <m:naryPr>
            <m:chr m:val="∑"/>
            <m:limLoc m:val="subSup"/>
            <m:ctrlPr>
              <w:rPr>
                <w:rFonts w:ascii="Cambria Math" w:hAnsi="Cambria Math" w:cs="Times New Roman"/>
                <w:sz w:val="24"/>
                <w:szCs w:val="24"/>
              </w:rPr>
            </m:ctrlPr>
          </m:naryPr>
          <m:sub>
            <m:r>
              <w:rPr>
                <w:rFonts w:ascii="Cambria Math" w:hAnsi="Cambria Math" w:cs="Times New Roman"/>
                <w:sz w:val="24"/>
                <w:szCs w:val="24"/>
              </w:rPr>
              <m:t>j</m:t>
            </m:r>
            <m:r>
              <w:rPr>
                <w:rFonts w:ascii="Cambria Math" w:hAnsi="Cambria Math" w:cs="Times New Roman"/>
                <w:sz w:val="24"/>
                <w:szCs w:val="24"/>
              </w:rPr>
              <m:t>=1</m:t>
            </m:r>
          </m:sub>
          <m:sup>
            <m:r>
              <w:rPr>
                <w:rFonts w:ascii="Cambria Math" w:hAnsi="Cambria Math" w:cs="Times New Roman"/>
                <w:sz w:val="24"/>
                <w:szCs w:val="24"/>
              </w:rPr>
              <m:t>k</m:t>
            </m:r>
          </m:sup>
          <m:e>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m:rPr>
                        <m:sty m:val="p"/>
                      </m:rPr>
                      <w:rPr>
                        <w:rFonts w:ascii="Cambria Math" w:hAnsi="Cambria Math" w:cs="Times New Roman"/>
                        <w:sz w:val="24"/>
                        <w:szCs w:val="24"/>
                      </w:rPr>
                      <m:t>Θ</m:t>
                    </m:r>
                  </m:e>
                </m:acc>
              </m:e>
              <m:sub>
                <m:r>
                  <w:rPr>
                    <w:rFonts w:ascii="Cambria Math" w:hAnsi="Cambria Math" w:cs="Times New Roman"/>
                    <w:sz w:val="24"/>
                    <w:szCs w:val="24"/>
                  </w:rPr>
                  <m:t>ij</m:t>
                </m:r>
              </m:sub>
              <m:sup>
                <m:r>
                  <w:rPr>
                    <w:rFonts w:ascii="Cambria Math" w:hAnsi="Cambria Math" w:cs="Times New Roman"/>
                    <w:sz w:val="24"/>
                    <w:szCs w:val="24"/>
                  </w:rPr>
                  <m:t>g</m:t>
                </m:r>
              </m:sup>
            </m:sSubSup>
            <m:r>
              <w:rPr>
                <w:rFonts w:ascii="Cambria Math" w:hAnsi="Cambria Math" w:cs="Times New Roman"/>
                <w:sz w:val="24"/>
                <w:szCs w:val="24"/>
              </w:rPr>
              <m:t>.1</m:t>
            </m:r>
          </m:e>
        </m:nary>
      </m:oMath>
      <w:r w:rsidR="00410890" w:rsidRPr="0065228D">
        <w:rPr>
          <w:rFonts w:ascii="Times New Roman" w:hAnsi="Times New Roman" w:cs="Times New Roman" w:hint="eastAsia"/>
          <w:sz w:val="24"/>
          <w:szCs w:val="24"/>
        </w:rPr>
        <w:t xml:space="preserve"> and </w:t>
      </w:r>
      <m:oMath>
        <m:nary>
          <m:naryPr>
            <m:chr m:val="∑"/>
            <m:limLoc m:val="subSup"/>
            <m:ctrlPr>
              <w:rPr>
                <w:rFonts w:ascii="Cambria Math" w:hAnsi="Cambria Math" w:cs="Times New Roman"/>
                <w:sz w:val="24"/>
                <w:szCs w:val="24"/>
              </w:rPr>
            </m:ctrlPr>
          </m:naryPr>
          <m:sub>
            <m:r>
              <w:rPr>
                <w:rFonts w:ascii="Cambria Math" w:hAnsi="Cambria Math" w:cs="Times New Roman"/>
                <w:sz w:val="24"/>
                <w:szCs w:val="24"/>
              </w:rPr>
              <m:t>i</m:t>
            </m:r>
            <m:r>
              <w:rPr>
                <w:rFonts w:ascii="Cambria Math" w:hAnsi="Cambria Math" w:cs="Times New Roman"/>
                <w:sz w:val="24"/>
                <w:szCs w:val="24"/>
              </w:rPr>
              <m:t>,</m:t>
            </m:r>
            <m:r>
              <w:rPr>
                <w:rFonts w:ascii="Cambria Math" w:hAnsi="Cambria Math" w:cs="Times New Roman"/>
                <w:sz w:val="24"/>
                <w:szCs w:val="24"/>
              </w:rPr>
              <m:t>j</m:t>
            </m:r>
            <m:r>
              <w:rPr>
                <w:rFonts w:ascii="Cambria Math" w:hAnsi="Cambria Math" w:cs="Times New Roman"/>
                <w:sz w:val="24"/>
                <w:szCs w:val="24"/>
              </w:rPr>
              <m:t>=1</m:t>
            </m:r>
          </m:sub>
          <m:sup>
            <m:r>
              <w:rPr>
                <w:rFonts w:ascii="Cambria Math" w:hAnsi="Cambria Math" w:cs="Times New Roman"/>
                <w:sz w:val="24"/>
                <w:szCs w:val="24"/>
              </w:rPr>
              <m:t>k</m:t>
            </m:r>
          </m:sup>
          <m:e>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m:rPr>
                        <m:sty m:val="p"/>
                      </m:rPr>
                      <w:rPr>
                        <w:rFonts w:ascii="Cambria Math" w:hAnsi="Cambria Math" w:cs="Times New Roman"/>
                        <w:sz w:val="24"/>
                        <w:szCs w:val="24"/>
                      </w:rPr>
                      <m:t xml:space="preserve"> Θ</m:t>
                    </m:r>
                  </m:e>
                </m:acc>
              </m:e>
              <m:sub>
                <m:r>
                  <w:rPr>
                    <w:rFonts w:ascii="Cambria Math" w:hAnsi="Cambria Math" w:cs="Times New Roman"/>
                    <w:sz w:val="24"/>
                    <w:szCs w:val="24"/>
                  </w:rPr>
                  <m:t>ij</m:t>
                </m:r>
              </m:sub>
              <m:sup>
                <m:r>
                  <w:rPr>
                    <w:rFonts w:ascii="Cambria Math" w:hAnsi="Cambria Math" w:cs="Times New Roman"/>
                    <w:sz w:val="24"/>
                    <w:szCs w:val="24"/>
                  </w:rPr>
                  <m:t>g</m:t>
                </m:r>
              </m:sup>
            </m:sSubSup>
            <m:d>
              <m:dPr>
                <m:ctrlPr>
                  <w:rPr>
                    <w:rFonts w:ascii="Cambria Math" w:hAnsi="Cambria Math" w:cs="Times New Roman"/>
                    <w:i/>
                    <w:sz w:val="24"/>
                    <w:szCs w:val="24"/>
                  </w:rPr>
                </m:ctrlPr>
              </m:dPr>
              <m:e>
                <m:r>
                  <w:rPr>
                    <w:rFonts w:ascii="Cambria Math" w:hAnsi="Cambria Math" w:cs="Times New Roman"/>
                    <w:sz w:val="24"/>
                    <w:szCs w:val="24"/>
                  </w:rPr>
                  <m:t>H</m:t>
                </m:r>
              </m:e>
            </m:d>
            <m:r>
              <w:rPr>
                <w:rFonts w:ascii="Cambria Math" w:hAnsi="Cambria Math" w:cs="Times New Roman"/>
                <w:sz w:val="24"/>
                <w:szCs w:val="24"/>
              </w:rPr>
              <m:t>=1</m:t>
            </m:r>
          </m:e>
        </m:nary>
        <m:r>
          <w:rPr>
            <w:rFonts w:ascii="Cambria Math" w:hAnsi="Cambria Math" w:cs="Times New Roman"/>
            <w:sz w:val="24"/>
            <w:szCs w:val="24"/>
          </w:rPr>
          <m:t xml:space="preserve"> . </m:t>
        </m:r>
      </m:oMath>
      <w:r w:rsidR="00410890" w:rsidRPr="0065228D">
        <w:rPr>
          <w:rFonts w:ascii="Times New Roman" w:hAnsi="Times New Roman" w:cs="Times New Roman" w:hint="eastAsia"/>
          <w:sz w:val="24"/>
          <w:szCs w:val="24"/>
        </w:rPr>
        <w:t xml:space="preserve">   </w:t>
      </w:r>
      <w:r w:rsidR="00E063A1">
        <w:rPr>
          <w:rFonts w:ascii="Times New Roman" w:hAnsi="Times New Roman" w:cs="Times New Roman"/>
          <w:sz w:val="24"/>
          <w:szCs w:val="24"/>
        </w:rPr>
        <w:t xml:space="preserve">                      </w:t>
      </w:r>
      <w:r w:rsidR="00410890" w:rsidRPr="0065228D">
        <w:rPr>
          <w:rFonts w:ascii="Times New Roman" w:hAnsi="Times New Roman" w:cs="Times New Roman" w:hint="eastAsia"/>
          <w:sz w:val="24"/>
          <w:szCs w:val="24"/>
        </w:rPr>
        <w:t xml:space="preserve">    </w:t>
      </w:r>
      <w:r w:rsidR="009D1E34" w:rsidRPr="0065228D">
        <w:rPr>
          <w:rFonts w:ascii="Times New Roman" w:hAnsi="Times New Roman" w:cs="Times New Roman"/>
          <w:sz w:val="24"/>
          <w:szCs w:val="24"/>
        </w:rPr>
        <w:t xml:space="preserve"> </w:t>
      </w:r>
      <w:proofErr w:type="gramStart"/>
      <w:r w:rsidR="009D1E34" w:rsidRPr="0065228D">
        <w:rPr>
          <w:rFonts w:ascii="Times New Roman" w:hAnsi="Times New Roman" w:cs="Times New Roman"/>
          <w:sz w:val="24"/>
          <w:szCs w:val="24"/>
        </w:rPr>
        <w:t xml:space="preserve">   (</w:t>
      </w:r>
      <w:proofErr w:type="gramEnd"/>
      <w:r w:rsidR="00410890" w:rsidRPr="0065228D">
        <w:rPr>
          <w:rFonts w:ascii="Times New Roman" w:hAnsi="Times New Roman" w:cs="Times New Roman" w:hint="eastAsia"/>
          <w:sz w:val="24"/>
          <w:szCs w:val="24"/>
        </w:rPr>
        <w:t>3)</w:t>
      </w:r>
    </w:p>
    <w:p w14:paraId="219BF1CE" w14:textId="003AF0A2" w:rsidR="00410890" w:rsidRPr="0065228D" w:rsidRDefault="00410890" w:rsidP="00BB762A">
      <w:pPr>
        <w:spacing w:line="360" w:lineRule="auto"/>
        <w:contextualSpacing/>
        <w:jc w:val="both"/>
        <w:rPr>
          <w:rFonts w:ascii="Times New Roman" w:hAnsi="Times New Roman" w:cs="Times New Roman"/>
          <w:sz w:val="24"/>
          <w:szCs w:val="24"/>
        </w:rPr>
      </w:pPr>
      <w:r w:rsidRPr="0065228D">
        <w:rPr>
          <w:rFonts w:ascii="Times New Roman" w:hAnsi="Times New Roman" w:cs="Times New Roman"/>
          <w:sz w:val="24"/>
          <w:szCs w:val="24"/>
        </w:rPr>
        <w:t>The GFEVD</w:t>
      </w:r>
      <w:r w:rsidR="00CE7CEA">
        <w:rPr>
          <w:rFonts w:ascii="Times New Roman" w:hAnsi="Times New Roman" w:cs="Times New Roman"/>
          <w:sz w:val="24"/>
          <w:szCs w:val="24"/>
        </w:rPr>
        <w:t>-</w:t>
      </w:r>
      <w:r w:rsidRPr="0065228D">
        <w:rPr>
          <w:rFonts w:ascii="Times New Roman" w:hAnsi="Times New Roman" w:cs="Times New Roman"/>
          <w:sz w:val="24"/>
          <w:szCs w:val="24"/>
        </w:rPr>
        <w:t>based spillover-measures are given below following the Diebold and Yilmaz (2012)</w:t>
      </w:r>
      <w:r w:rsidR="00380965">
        <w:rPr>
          <w:rFonts w:ascii="Times New Roman" w:hAnsi="Times New Roman" w:cs="Times New Roman"/>
          <w:sz w:val="24"/>
          <w:szCs w:val="24"/>
        </w:rPr>
        <w:t xml:space="preserve"> model</w:t>
      </w:r>
      <w:r w:rsidRPr="0065228D">
        <w:rPr>
          <w:rFonts w:ascii="Times New Roman" w:hAnsi="Times New Roman" w:cs="Times New Roman" w:hint="eastAsia"/>
          <w:sz w:val="24"/>
          <w:szCs w:val="24"/>
        </w:rPr>
        <w:t>:</w:t>
      </w:r>
    </w:p>
    <w:p w14:paraId="769832F1" w14:textId="1297CEFB" w:rsidR="00410890" w:rsidRPr="0065228D" w:rsidRDefault="00410890" w:rsidP="00BB762A">
      <w:pPr>
        <w:spacing w:line="360" w:lineRule="auto"/>
        <w:ind w:firstLine="720"/>
        <w:contextualSpacing/>
        <w:jc w:val="both"/>
        <w:rPr>
          <w:rFonts w:ascii="Times New Roman" w:hAnsi="Times New Roman" w:cs="Times New Roman"/>
          <w:sz w:val="24"/>
          <w:szCs w:val="24"/>
        </w:rPr>
      </w:pPr>
      <w:r w:rsidRPr="0065228D">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TO</m:t>
            </m:r>
          </m:e>
          <m:sub>
            <m:r>
              <w:rPr>
                <w:rFonts w:ascii="Cambria Math" w:hAnsi="Cambria Math" w:cs="Times New Roman"/>
                <w:sz w:val="24"/>
                <w:szCs w:val="24"/>
              </w:rPr>
              <m:t>j,t</m:t>
            </m:r>
          </m:sub>
        </m:sSub>
        <m:r>
          <w:rPr>
            <w:rFonts w:ascii="Cambria Math" w:hAnsi="Cambria Math" w:cs="Times New Roman"/>
            <w:sz w:val="24"/>
            <w:szCs w:val="24"/>
          </w:rPr>
          <m:t xml:space="preserve"> = </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 , i≠j</m:t>
            </m:r>
          </m:sub>
          <m:sup>
            <m:r>
              <w:rPr>
                <w:rFonts w:ascii="Cambria Math" w:hAnsi="Cambria Math" w:cs="Times New Roman"/>
                <w:sz w:val="24"/>
                <w:szCs w:val="24"/>
              </w:rPr>
              <m:t>k</m:t>
            </m:r>
          </m:sup>
          <m:e>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m:rPr>
                        <m:sty m:val="p"/>
                      </m:rPr>
                      <w:rPr>
                        <w:rFonts w:ascii="Cambria Math" w:hAnsi="Cambria Math" w:cs="Times New Roman"/>
                        <w:sz w:val="24"/>
                        <w:szCs w:val="24"/>
                      </w:rPr>
                      <m:t>Θ</m:t>
                    </m:r>
                  </m:e>
                </m:acc>
              </m:e>
              <m:sub>
                <m:r>
                  <w:rPr>
                    <w:rFonts w:ascii="Cambria Math" w:hAnsi="Cambria Math" w:cs="Times New Roman"/>
                    <w:sz w:val="24"/>
                    <w:szCs w:val="24"/>
                  </w:rPr>
                  <m:t>ij,t</m:t>
                </m:r>
              </m:sub>
              <m:sup>
                <m:r>
                  <w:rPr>
                    <w:rFonts w:ascii="Cambria Math" w:hAnsi="Cambria Math" w:cs="Times New Roman"/>
                    <w:sz w:val="24"/>
                    <w:szCs w:val="24"/>
                  </w:rPr>
                  <m:t>g</m:t>
                </m:r>
              </m:sup>
            </m:sSubSup>
          </m:e>
        </m:nary>
        <m:d>
          <m:dPr>
            <m:ctrlPr>
              <w:rPr>
                <w:rFonts w:ascii="Cambria Math" w:hAnsi="Cambria Math" w:cs="Times New Roman"/>
                <w:i/>
                <w:sz w:val="24"/>
                <w:szCs w:val="24"/>
              </w:rPr>
            </m:ctrlPr>
          </m:dPr>
          <m:e>
            <m:r>
              <w:rPr>
                <w:rFonts w:ascii="Cambria Math" w:hAnsi="Cambria Math" w:cs="Times New Roman"/>
                <w:sz w:val="24"/>
                <w:szCs w:val="24"/>
              </w:rPr>
              <m:t>H</m:t>
            </m:r>
          </m:e>
        </m:d>
        <m:r>
          <w:rPr>
            <w:rFonts w:ascii="Cambria Math" w:hAnsi="Cambria Math" w:cs="Times New Roman"/>
            <w:sz w:val="24"/>
            <w:szCs w:val="24"/>
          </w:rPr>
          <m:t xml:space="preserve">  </m:t>
        </m:r>
      </m:oMath>
      <w:r w:rsidRPr="0065228D">
        <w:rPr>
          <w:rFonts w:ascii="Times New Roman" w:hAnsi="Times New Roman" w:cs="Times New Roman" w:hint="eastAsia"/>
          <w:sz w:val="24"/>
          <w:szCs w:val="24"/>
        </w:rPr>
        <w:t xml:space="preserve">                                       </w:t>
      </w:r>
      <w:r w:rsidRPr="0065228D">
        <w:rPr>
          <w:rFonts w:ascii="Times New Roman" w:hAnsi="Times New Roman" w:cs="Times New Roman"/>
          <w:sz w:val="24"/>
          <w:szCs w:val="24"/>
        </w:rPr>
        <w:t xml:space="preserve">           </w:t>
      </w:r>
      <w:r w:rsidR="00E063A1">
        <w:rPr>
          <w:rFonts w:ascii="Times New Roman" w:hAnsi="Times New Roman" w:cs="Times New Roman"/>
          <w:sz w:val="24"/>
          <w:szCs w:val="24"/>
        </w:rPr>
        <w:t xml:space="preserve">                    </w:t>
      </w:r>
      <w:r w:rsidRPr="0065228D">
        <w:rPr>
          <w:rFonts w:ascii="Times New Roman" w:hAnsi="Times New Roman" w:cs="Times New Roman"/>
          <w:sz w:val="24"/>
          <w:szCs w:val="24"/>
        </w:rPr>
        <w:t xml:space="preserve">            </w:t>
      </w:r>
      <w:r w:rsidRPr="0065228D">
        <w:rPr>
          <w:rFonts w:ascii="Times New Roman" w:hAnsi="Times New Roman" w:cs="Times New Roman" w:hint="eastAsia"/>
          <w:sz w:val="24"/>
          <w:szCs w:val="24"/>
        </w:rPr>
        <w:t xml:space="preserve">        (4)</w:t>
      </w:r>
    </w:p>
    <w:p w14:paraId="47E72FDA" w14:textId="3ABB3FB9" w:rsidR="00410890" w:rsidRPr="0065228D" w:rsidRDefault="00410890" w:rsidP="00BB762A">
      <w:pPr>
        <w:spacing w:line="360" w:lineRule="auto"/>
        <w:ind w:firstLine="720"/>
        <w:contextualSpacing/>
        <w:jc w:val="both"/>
        <w:rPr>
          <w:rFonts w:ascii="Times New Roman" w:hAnsi="Times New Roman" w:cs="Times New Roman"/>
          <w:sz w:val="24"/>
          <w:szCs w:val="24"/>
        </w:rPr>
      </w:pPr>
      <w:r w:rsidRPr="0065228D">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FROM</m:t>
            </m:r>
          </m:e>
          <m:sub>
            <m:r>
              <w:rPr>
                <w:rFonts w:ascii="Cambria Math" w:hAnsi="Cambria Math" w:cs="Times New Roman"/>
                <w:sz w:val="24"/>
                <w:szCs w:val="24"/>
              </w:rPr>
              <m:t>j,t</m:t>
            </m:r>
          </m:sub>
        </m:sSub>
        <m:r>
          <w:rPr>
            <w:rFonts w:ascii="Cambria Math" w:hAnsi="Cambria Math" w:cs="Times New Roman"/>
            <w:sz w:val="24"/>
            <w:szCs w:val="24"/>
          </w:rPr>
          <m:t xml:space="preserve"> = </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 i≠j</m:t>
            </m:r>
          </m:sub>
          <m:sup>
            <m:r>
              <w:rPr>
                <w:rFonts w:ascii="Cambria Math" w:hAnsi="Cambria Math" w:cs="Times New Roman"/>
                <w:sz w:val="24"/>
                <w:szCs w:val="24"/>
              </w:rPr>
              <m:t>k</m:t>
            </m:r>
          </m:sup>
          <m:e>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m:rPr>
                        <m:sty m:val="p"/>
                      </m:rPr>
                      <w:rPr>
                        <w:rFonts w:ascii="Cambria Math" w:hAnsi="Cambria Math" w:cs="Times New Roman"/>
                        <w:sz w:val="24"/>
                        <w:szCs w:val="24"/>
                      </w:rPr>
                      <m:t xml:space="preserve"> Θ</m:t>
                    </m:r>
                  </m:e>
                </m:acc>
              </m:e>
              <m:sub>
                <m:r>
                  <w:rPr>
                    <w:rFonts w:ascii="Cambria Math" w:hAnsi="Cambria Math" w:cs="Times New Roman"/>
                    <w:sz w:val="24"/>
                    <w:szCs w:val="24"/>
                  </w:rPr>
                  <m:t>ji,t</m:t>
                </m:r>
              </m:sub>
              <m:sup>
                <m:r>
                  <w:rPr>
                    <w:rFonts w:ascii="Cambria Math" w:hAnsi="Cambria Math" w:cs="Times New Roman"/>
                    <w:sz w:val="24"/>
                    <w:szCs w:val="24"/>
                  </w:rPr>
                  <m:t>g</m:t>
                </m:r>
              </m:sup>
            </m:sSubSup>
          </m:e>
        </m:nary>
        <m:d>
          <m:dPr>
            <m:ctrlPr>
              <w:rPr>
                <w:rFonts w:ascii="Cambria Math" w:hAnsi="Cambria Math" w:cs="Times New Roman"/>
                <w:i/>
                <w:sz w:val="24"/>
                <w:szCs w:val="24"/>
              </w:rPr>
            </m:ctrlPr>
          </m:dPr>
          <m:e>
            <m:r>
              <w:rPr>
                <w:rFonts w:ascii="Cambria Math" w:hAnsi="Cambria Math" w:cs="Times New Roman"/>
                <w:sz w:val="24"/>
                <w:szCs w:val="24"/>
              </w:rPr>
              <m:t>H</m:t>
            </m:r>
          </m:e>
        </m:d>
      </m:oMath>
      <w:r w:rsidRPr="0065228D">
        <w:rPr>
          <w:rFonts w:ascii="Times New Roman" w:hAnsi="Times New Roman" w:cs="Times New Roman"/>
          <w:sz w:val="24"/>
          <w:szCs w:val="24"/>
        </w:rPr>
        <w:t xml:space="preserve">  </w:t>
      </w:r>
      <w:r w:rsidRPr="0065228D">
        <w:rPr>
          <w:rFonts w:ascii="Times New Roman" w:hAnsi="Times New Roman" w:cs="Times New Roman" w:hint="eastAsia"/>
          <w:sz w:val="24"/>
          <w:szCs w:val="24"/>
        </w:rPr>
        <w:t xml:space="preserve">                                              </w:t>
      </w:r>
      <w:r w:rsidR="00E063A1">
        <w:rPr>
          <w:rFonts w:ascii="Times New Roman" w:hAnsi="Times New Roman" w:cs="Times New Roman"/>
          <w:sz w:val="24"/>
          <w:szCs w:val="24"/>
        </w:rPr>
        <w:t xml:space="preserve">                </w:t>
      </w:r>
      <w:r w:rsidRPr="0065228D">
        <w:rPr>
          <w:rFonts w:ascii="Times New Roman" w:hAnsi="Times New Roman" w:cs="Times New Roman" w:hint="eastAsia"/>
          <w:sz w:val="24"/>
          <w:szCs w:val="24"/>
        </w:rPr>
        <w:t xml:space="preserve">                   (5)</w:t>
      </w:r>
    </w:p>
    <w:p w14:paraId="0B23920B" w14:textId="1E003FF6" w:rsidR="00410890" w:rsidRPr="0065228D" w:rsidRDefault="00410890" w:rsidP="00BB762A">
      <w:pPr>
        <w:spacing w:line="360" w:lineRule="auto"/>
        <w:ind w:firstLine="720"/>
        <w:contextualSpacing/>
        <w:jc w:val="both"/>
        <w:rPr>
          <w:rFonts w:ascii="Times New Roman" w:hAnsi="Times New Roman" w:cs="Times New Roman"/>
          <w:sz w:val="24"/>
          <w:szCs w:val="24"/>
        </w:rPr>
      </w:pPr>
      <w:r w:rsidRPr="0065228D">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NET</m:t>
            </m:r>
          </m:e>
          <m:sub>
            <m:r>
              <w:rPr>
                <w:rFonts w:ascii="Cambria Math" w:hAnsi="Cambria Math" w:cs="Times New Roman"/>
                <w:sz w:val="24"/>
                <w:szCs w:val="24"/>
              </w:rPr>
              <m:t>j,t</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TO</m:t>
            </m:r>
          </m:e>
          <m:sub>
            <m:r>
              <w:rPr>
                <w:rFonts w:ascii="Cambria Math" w:hAnsi="Cambria Math" w:cs="Times New Roman"/>
                <w:sz w:val="24"/>
                <w:szCs w:val="24"/>
              </w:rPr>
              <m:t>j,t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 xml:space="preserve"> FROM</m:t>
            </m:r>
          </m:e>
          <m:sub>
            <m:r>
              <w:rPr>
                <w:rFonts w:ascii="Cambria Math" w:hAnsi="Cambria Math" w:cs="Times New Roman"/>
                <w:sz w:val="24"/>
                <w:szCs w:val="24"/>
              </w:rPr>
              <m:t>j,t</m:t>
            </m:r>
          </m:sub>
        </m:sSub>
        <m:r>
          <w:rPr>
            <w:rFonts w:ascii="Cambria Math" w:hAnsi="Cambria Math" w:cs="Times New Roman"/>
            <w:sz w:val="24"/>
            <w:szCs w:val="24"/>
          </w:rPr>
          <m:t xml:space="preserve"> </m:t>
        </m:r>
      </m:oMath>
      <w:r w:rsidRPr="0065228D">
        <w:rPr>
          <w:rFonts w:ascii="Times New Roman" w:hAnsi="Times New Roman" w:cs="Times New Roman" w:hint="eastAsia"/>
          <w:sz w:val="24"/>
          <w:szCs w:val="24"/>
        </w:rPr>
        <w:t xml:space="preserve">   </w:t>
      </w:r>
      <w:r w:rsidRPr="0065228D">
        <w:rPr>
          <w:rFonts w:ascii="Times New Roman" w:hAnsi="Times New Roman" w:cs="Times New Roman"/>
          <w:sz w:val="24"/>
          <w:szCs w:val="24"/>
        </w:rPr>
        <w:t xml:space="preserve"> </w:t>
      </w:r>
      <w:r w:rsidRPr="0065228D">
        <w:rPr>
          <w:rFonts w:ascii="Times New Roman" w:hAnsi="Times New Roman" w:cs="Times New Roman" w:hint="eastAsia"/>
          <w:sz w:val="24"/>
          <w:szCs w:val="24"/>
        </w:rPr>
        <w:t xml:space="preserve">                                          </w:t>
      </w:r>
      <w:r w:rsidR="00E063A1">
        <w:rPr>
          <w:rFonts w:ascii="Times New Roman" w:hAnsi="Times New Roman" w:cs="Times New Roman"/>
          <w:sz w:val="24"/>
          <w:szCs w:val="24"/>
        </w:rPr>
        <w:t xml:space="preserve">                  </w:t>
      </w:r>
      <w:r w:rsidRPr="0065228D">
        <w:rPr>
          <w:rFonts w:ascii="Times New Roman" w:hAnsi="Times New Roman" w:cs="Times New Roman" w:hint="eastAsia"/>
          <w:sz w:val="24"/>
          <w:szCs w:val="24"/>
        </w:rPr>
        <w:t xml:space="preserve">                        (6)</w:t>
      </w:r>
    </w:p>
    <w:p w14:paraId="6EA66D49" w14:textId="025C101C" w:rsidR="00410890" w:rsidRPr="0065228D" w:rsidRDefault="00410890" w:rsidP="00BB762A">
      <w:pPr>
        <w:spacing w:line="360" w:lineRule="auto"/>
        <w:ind w:firstLine="720"/>
        <w:contextualSpacing/>
        <w:jc w:val="both"/>
        <w:rPr>
          <w:rFonts w:ascii="Times New Roman" w:hAnsi="Times New Roman" w:cs="Times New Roman"/>
          <w:sz w:val="24"/>
          <w:szCs w:val="24"/>
        </w:rPr>
      </w:pPr>
      <w:r w:rsidRPr="0065228D">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TCI</m:t>
            </m:r>
          </m:e>
          <m:sub>
            <m:r>
              <w:rPr>
                <w:rFonts w:ascii="Cambria Math" w:hAnsi="Cambria Math" w:cs="Times New Roman"/>
                <w:sz w:val="24"/>
                <w:szCs w:val="24"/>
              </w:rPr>
              <m:t>t</m:t>
            </m:r>
          </m:sub>
        </m:sSub>
        <m:r>
          <w:rPr>
            <w:rFonts w:ascii="Cambria Math" w:hAnsi="Cambria Math" w:cs="Times New Roman"/>
            <w:sz w:val="24"/>
            <w:szCs w:val="24"/>
          </w:rPr>
          <m:t xml:space="preserve"> = </m:t>
        </m:r>
        <m:f>
          <m:fPr>
            <m:ctrlPr>
              <w:rPr>
                <w:rFonts w:ascii="Cambria Math" w:hAnsi="Cambria Math" w:cs="Times New Roman"/>
                <w:i/>
                <w:sz w:val="24"/>
                <w:szCs w:val="24"/>
              </w:rPr>
            </m:ctrlPr>
          </m:fPr>
          <m:num>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i,j=1,, i≠j</m:t>
                </m:r>
              </m:sub>
              <m:sup>
                <m:r>
                  <w:rPr>
                    <w:rFonts w:ascii="Cambria Math" w:hAnsi="Cambria Math" w:cs="Times New Roman"/>
                    <w:sz w:val="24"/>
                    <w:szCs w:val="24"/>
                  </w:rPr>
                  <m:t>k</m:t>
                </m:r>
              </m:sup>
              <m:e>
                <m:sSubSup>
                  <m:sSubSupPr>
                    <m:ctrlPr>
                      <w:rPr>
                        <w:rFonts w:ascii="Cambria Math" w:hAnsi="Cambria Math" w:cs="Times New Roman"/>
                        <w:i/>
                        <w:sz w:val="24"/>
                        <w:szCs w:val="24"/>
                      </w:rPr>
                    </m:ctrlPr>
                  </m:sSubSupPr>
                  <m:e>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m:rPr>
                            <m:sty m:val="p"/>
                          </m:rPr>
                          <w:rPr>
                            <w:rFonts w:ascii="Cambria Math" w:hAnsi="Cambria Math" w:cs="Times New Roman"/>
                            <w:sz w:val="24"/>
                            <w:szCs w:val="24"/>
                          </w:rPr>
                          <m:t>Θ</m:t>
                        </m:r>
                      </m:e>
                    </m:acc>
                  </m:e>
                  <m:sub>
                    <m:r>
                      <w:rPr>
                        <w:rFonts w:ascii="Cambria Math" w:hAnsi="Cambria Math" w:cs="Times New Roman"/>
                        <w:sz w:val="24"/>
                        <w:szCs w:val="24"/>
                      </w:rPr>
                      <m:t>ij</m:t>
                    </m:r>
                  </m:sub>
                  <m:sup>
                    <m:r>
                      <w:rPr>
                        <w:rFonts w:ascii="Cambria Math" w:hAnsi="Cambria Math" w:cs="Times New Roman"/>
                        <w:sz w:val="24"/>
                        <w:szCs w:val="24"/>
                      </w:rPr>
                      <m:t>g</m:t>
                    </m:r>
                  </m:sup>
                </m:sSubSup>
                <m:d>
                  <m:dPr>
                    <m:ctrlPr>
                      <w:rPr>
                        <w:rFonts w:ascii="Cambria Math" w:hAnsi="Cambria Math" w:cs="Times New Roman"/>
                        <w:i/>
                        <w:sz w:val="24"/>
                        <w:szCs w:val="24"/>
                      </w:rPr>
                    </m:ctrlPr>
                  </m:dPr>
                  <m:e>
                    <m:r>
                      <w:rPr>
                        <w:rFonts w:ascii="Cambria Math" w:hAnsi="Cambria Math" w:cs="Times New Roman"/>
                        <w:sz w:val="24"/>
                        <w:szCs w:val="24"/>
                      </w:rPr>
                      <m:t>H</m:t>
                    </m:r>
                  </m:e>
                </m:d>
              </m:e>
            </m:nary>
          </m:num>
          <m:den>
            <m:r>
              <w:rPr>
                <w:rFonts w:ascii="Cambria Math" w:hAnsi="Cambria Math" w:cs="Times New Roman"/>
                <w:sz w:val="24"/>
                <w:szCs w:val="24"/>
              </w:rPr>
              <m:t>k-1</m:t>
            </m:r>
          </m:den>
        </m:f>
      </m:oMath>
      <w:r w:rsidRPr="0065228D">
        <w:rPr>
          <w:rFonts w:ascii="Times New Roman" w:hAnsi="Times New Roman" w:cs="Times New Roman" w:hint="eastAsia"/>
          <w:sz w:val="24"/>
          <w:szCs w:val="24"/>
        </w:rPr>
        <w:t xml:space="preserve"> </w:t>
      </w:r>
      <w:r w:rsidRPr="0065228D">
        <w:rPr>
          <w:rFonts w:ascii="Times New Roman" w:hAnsi="Times New Roman" w:cs="Times New Roman"/>
          <w:sz w:val="24"/>
          <w:szCs w:val="24"/>
        </w:rPr>
        <w:t xml:space="preserve"> </w:t>
      </w:r>
      <w:r w:rsidRPr="0065228D">
        <w:rPr>
          <w:rFonts w:ascii="Times New Roman" w:hAnsi="Times New Roman" w:cs="Times New Roman" w:hint="eastAsia"/>
          <w:sz w:val="24"/>
          <w:szCs w:val="24"/>
        </w:rPr>
        <w:t xml:space="preserve">      </w:t>
      </w:r>
      <w:r w:rsidR="00380965">
        <w:rPr>
          <w:rFonts w:ascii="Times New Roman" w:hAnsi="Times New Roman" w:cs="Times New Roman"/>
          <w:sz w:val="24"/>
          <w:szCs w:val="24"/>
        </w:rPr>
        <w:t>.</w:t>
      </w:r>
      <w:r w:rsidRPr="0065228D">
        <w:rPr>
          <w:rFonts w:ascii="Times New Roman" w:hAnsi="Times New Roman" w:cs="Times New Roman" w:hint="eastAsia"/>
          <w:sz w:val="24"/>
          <w:szCs w:val="24"/>
        </w:rPr>
        <w:t xml:space="preserve">                                            </w:t>
      </w:r>
      <w:r w:rsidR="00E063A1">
        <w:rPr>
          <w:rFonts w:ascii="Times New Roman" w:hAnsi="Times New Roman" w:cs="Times New Roman"/>
          <w:sz w:val="24"/>
          <w:szCs w:val="24"/>
        </w:rPr>
        <w:t xml:space="preserve">                  </w:t>
      </w:r>
      <w:r w:rsidRPr="0065228D">
        <w:rPr>
          <w:rFonts w:ascii="Times New Roman" w:hAnsi="Times New Roman" w:cs="Times New Roman" w:hint="eastAsia"/>
          <w:sz w:val="24"/>
          <w:szCs w:val="24"/>
        </w:rPr>
        <w:t xml:space="preserve">                           (7)</w:t>
      </w:r>
    </w:p>
    <w:p w14:paraId="01BB79B1" w14:textId="701D73E7" w:rsidR="00410890" w:rsidRDefault="00AD4A90" w:rsidP="00BB762A">
      <w:pPr>
        <w:spacing w:line="360" w:lineRule="auto"/>
        <w:contextualSpacing/>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TO</m:t>
            </m:r>
          </m:e>
          <m:sub>
            <m:r>
              <w:rPr>
                <w:rFonts w:ascii="Cambria Math" w:hAnsi="Cambria Math" w:cs="Times New Roman"/>
                <w:sz w:val="24"/>
                <w:szCs w:val="24"/>
              </w:rPr>
              <m:t>j</m:t>
            </m:r>
            <m:r>
              <w:rPr>
                <w:rFonts w:ascii="Cambria Math" w:hAnsi="Cambria Math" w:cs="Times New Roman"/>
                <w:sz w:val="24"/>
                <w:szCs w:val="24"/>
              </w:rPr>
              <m:t>,,</m:t>
            </m:r>
            <m:r>
              <w:rPr>
                <w:rFonts w:ascii="Cambria Math" w:hAnsi="Cambria Math" w:cs="Times New Roman"/>
                <w:sz w:val="24"/>
                <w:szCs w:val="24"/>
              </w:rPr>
              <m:t>t</m:t>
            </m:r>
          </m:sub>
        </m:sSub>
      </m:oMath>
      <w:r w:rsidR="00410890" w:rsidRPr="0065228D">
        <w:rPr>
          <w:rFonts w:ascii="Times New Roman" w:hAnsi="Times New Roman" w:cs="Times New Roman"/>
          <w:sz w:val="24"/>
          <w:szCs w:val="24"/>
        </w:rPr>
        <w:t xml:space="preserve"> shows the effect of variable </w:t>
      </w:r>
      <m:oMath>
        <m:r>
          <w:rPr>
            <w:rFonts w:ascii="Cambria Math" w:hAnsi="Cambria Math" w:cs="Times New Roman"/>
            <w:sz w:val="24"/>
            <w:szCs w:val="24"/>
          </w:rPr>
          <m:t>j</m:t>
        </m:r>
      </m:oMath>
      <w:r w:rsidR="00410890" w:rsidRPr="0065228D">
        <w:rPr>
          <w:rFonts w:ascii="Times New Roman" w:hAnsi="Times New Roman" w:cs="Times New Roman"/>
          <w:sz w:val="24"/>
          <w:szCs w:val="24"/>
        </w:rPr>
        <w:t xml:space="preserve"> on variable </w:t>
      </w:r>
      <w:r w:rsidR="00380965">
        <w:rPr>
          <w:rFonts w:ascii="Times New Roman" w:hAnsi="Times New Roman" w:cs="Times New Roman"/>
          <w:i/>
          <w:iCs/>
          <w:sz w:val="24"/>
          <w:szCs w:val="24"/>
        </w:rPr>
        <w:t>I</w:t>
      </w:r>
      <w:r w:rsidR="00380965">
        <w:rPr>
          <w:rFonts w:ascii="Times New Roman" w:hAnsi="Times New Roman" w:cs="Times New Roman"/>
          <w:sz w:val="24"/>
          <w:szCs w:val="24"/>
        </w:rPr>
        <w:t>, and</w:t>
      </w:r>
      <w:r w:rsidR="00410890" w:rsidRPr="0065228D">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FROM</m:t>
            </m:r>
          </m:e>
          <m:sub>
            <m:r>
              <w:rPr>
                <w:rFonts w:ascii="Cambria Math" w:hAnsi="Cambria Math" w:cs="Times New Roman"/>
                <w:sz w:val="24"/>
                <w:szCs w:val="24"/>
              </w:rPr>
              <m:t>j</m:t>
            </m:r>
            <m:r>
              <w:rPr>
                <w:rFonts w:ascii="Cambria Math" w:hAnsi="Cambria Math" w:cs="Times New Roman"/>
                <w:sz w:val="24"/>
                <w:szCs w:val="24"/>
              </w:rPr>
              <m:t>,,</m:t>
            </m:r>
            <m:r>
              <w:rPr>
                <w:rFonts w:ascii="Cambria Math" w:hAnsi="Cambria Math" w:cs="Times New Roman"/>
                <w:sz w:val="24"/>
                <w:szCs w:val="24"/>
              </w:rPr>
              <m:t>t</m:t>
            </m:r>
          </m:sub>
        </m:sSub>
      </m:oMath>
      <w:r w:rsidR="00410890" w:rsidRPr="0065228D">
        <w:rPr>
          <w:rFonts w:ascii="Times New Roman" w:hAnsi="Times New Roman" w:cs="Times New Roman"/>
          <w:sz w:val="24"/>
          <w:szCs w:val="24"/>
        </w:rPr>
        <w:t xml:space="preserve"> indicates the impact of </w:t>
      </w:r>
      <w:proofErr w:type="spellStart"/>
      <w:r w:rsidR="00410890" w:rsidRPr="0065228D">
        <w:rPr>
          <w:rFonts w:ascii="Times New Roman" w:hAnsi="Times New Roman" w:cs="Times New Roman"/>
          <w:i/>
          <w:iCs/>
          <w:sz w:val="24"/>
          <w:szCs w:val="24"/>
        </w:rPr>
        <w:t>i</w:t>
      </w:r>
      <w:proofErr w:type="spellEnd"/>
      <w:r w:rsidR="00410890" w:rsidRPr="0065228D">
        <w:rPr>
          <w:rFonts w:ascii="Times New Roman" w:hAnsi="Times New Roman" w:cs="Times New Roman"/>
          <w:sz w:val="24"/>
          <w:szCs w:val="24"/>
        </w:rPr>
        <w:t xml:space="preserve"> on </w:t>
      </w:r>
      <m:oMath>
        <m:r>
          <w:rPr>
            <w:rFonts w:ascii="Cambria Math" w:hAnsi="Cambria Math" w:cs="Times New Roman"/>
            <w:sz w:val="24"/>
            <w:szCs w:val="24"/>
          </w:rPr>
          <m:t>j</m:t>
        </m:r>
      </m:oMath>
      <w:r w:rsidR="00410890" w:rsidRPr="0065228D">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NET</m:t>
            </m:r>
          </m:e>
          <m:sub>
            <m:r>
              <w:rPr>
                <w:rFonts w:ascii="Cambria Math" w:hAnsi="Cambria Math" w:cs="Times New Roman"/>
                <w:sz w:val="24"/>
                <w:szCs w:val="24"/>
              </w:rPr>
              <m:t>j</m:t>
            </m:r>
            <m:r>
              <w:rPr>
                <w:rFonts w:ascii="Cambria Math" w:hAnsi="Cambria Math" w:cs="Times New Roman"/>
                <w:sz w:val="24"/>
                <w:szCs w:val="24"/>
              </w:rPr>
              <m:t>,</m:t>
            </m:r>
            <m:r>
              <w:rPr>
                <w:rFonts w:ascii="Cambria Math" w:hAnsi="Cambria Math" w:cs="Times New Roman"/>
                <w:sz w:val="24"/>
                <w:szCs w:val="24"/>
              </w:rPr>
              <m:t>t</m:t>
            </m:r>
          </m:sub>
        </m:sSub>
      </m:oMath>
      <w:r w:rsidR="00410890" w:rsidRPr="0065228D">
        <w:rPr>
          <w:rFonts w:ascii="Times New Roman" w:hAnsi="Times New Roman" w:cs="Times New Roman"/>
          <w:sz w:val="24"/>
          <w:szCs w:val="24"/>
        </w:rPr>
        <w:t xml:space="preserve"> represents</w:t>
      </w:r>
      <w:r w:rsidR="00410890" w:rsidRPr="0065228D">
        <w:rPr>
          <w:rFonts w:ascii="Times New Roman" w:hAnsi="Times New Roman" w:cs="Times New Roman"/>
          <w:iCs/>
          <w:sz w:val="24"/>
          <w:szCs w:val="24"/>
        </w:rPr>
        <w:t xml:space="preserve"> the disparity between “</w:t>
      </w:r>
      <w:r w:rsidR="00410890" w:rsidRPr="00920BA4">
        <w:rPr>
          <w:rFonts w:ascii="Times New Roman" w:hAnsi="Times New Roman" w:cs="Times New Roman"/>
          <w:i/>
          <w:sz w:val="24"/>
          <w:szCs w:val="24"/>
        </w:rPr>
        <w:t>TO</w:t>
      </w:r>
      <w:r w:rsidR="00410890" w:rsidRPr="0065228D">
        <w:rPr>
          <w:rFonts w:ascii="Times New Roman" w:hAnsi="Times New Roman" w:cs="Times New Roman"/>
          <w:iCs/>
          <w:sz w:val="24"/>
          <w:szCs w:val="24"/>
        </w:rPr>
        <w:t>” and “</w:t>
      </w:r>
      <w:r w:rsidR="00410890" w:rsidRPr="00920BA4">
        <w:rPr>
          <w:rFonts w:ascii="Times New Roman" w:hAnsi="Times New Roman" w:cs="Times New Roman"/>
          <w:i/>
          <w:sz w:val="24"/>
          <w:szCs w:val="24"/>
        </w:rPr>
        <w:t>FROM</w:t>
      </w:r>
      <w:r w:rsidR="00410890" w:rsidRPr="0065228D">
        <w:rPr>
          <w:rFonts w:ascii="Times New Roman" w:hAnsi="Times New Roman" w:cs="Times New Roman"/>
          <w:iCs/>
          <w:sz w:val="24"/>
          <w:szCs w:val="24"/>
        </w:rPr>
        <w:t>”</w:t>
      </w:r>
      <w:r w:rsidR="00380965">
        <w:rPr>
          <w:rFonts w:ascii="Times New Roman" w:hAnsi="Times New Roman" w:cs="Times New Roman"/>
          <w:iCs/>
          <w:sz w:val="24"/>
          <w:szCs w:val="24"/>
        </w:rPr>
        <w:t>, and</w:t>
      </w:r>
      <w:r w:rsidR="00410890" w:rsidRPr="0065228D">
        <w:rPr>
          <w:rFonts w:ascii="Times New Roman" w:hAnsi="Times New Roman" w:cs="Times New Roman"/>
          <w:iCs/>
          <w:sz w:val="24"/>
          <w:szCs w:val="24"/>
        </w:rPr>
        <w:t xml:space="preserve"> the negative (positive) value refers to the net recipient (transmitter) of spillover. </w:t>
      </w: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T</m:t>
            </m:r>
            <m:r>
              <w:rPr>
                <w:rFonts w:ascii="Cambria Math" w:hAnsi="Cambria Math" w:cs="Times New Roman"/>
                <w:sz w:val="24"/>
                <w:szCs w:val="24"/>
              </w:rPr>
              <m:t>C</m:t>
            </m:r>
            <m:r>
              <w:rPr>
                <w:rFonts w:ascii="Cambria Math" w:hAnsi="Cambria Math" w:cs="Times New Roman"/>
                <w:sz w:val="24"/>
                <w:szCs w:val="24"/>
              </w:rPr>
              <m:t>I</m:t>
            </m:r>
          </m:e>
          <m:sub>
            <m:r>
              <w:rPr>
                <w:rFonts w:ascii="Cambria Math" w:hAnsi="Cambria Math" w:cs="Times New Roman"/>
                <w:sz w:val="24"/>
                <w:szCs w:val="24"/>
              </w:rPr>
              <m:t>t</m:t>
            </m:r>
          </m:sub>
        </m:sSub>
      </m:oMath>
      <w:r w:rsidR="00410890" w:rsidRPr="0065228D">
        <w:rPr>
          <w:rFonts w:ascii="Times New Roman" w:hAnsi="Times New Roman" w:cs="Times New Roman"/>
          <w:sz w:val="24"/>
          <w:szCs w:val="24"/>
        </w:rPr>
        <w:t xml:space="preserve"> denotes the average level of total connectedness. </w:t>
      </w:r>
      <w:r w:rsidR="00553AD4" w:rsidRPr="0065228D">
        <w:rPr>
          <w:rFonts w:ascii="Times New Roman" w:hAnsi="Times New Roman" w:cs="Times New Roman"/>
          <w:sz w:val="24"/>
          <w:szCs w:val="24"/>
        </w:rPr>
        <w:t>Additionally,</w:t>
      </w:r>
      <w:r w:rsidR="00410890" w:rsidRPr="0065228D">
        <w:rPr>
          <w:rFonts w:ascii="Times New Roman" w:hAnsi="Times New Roman" w:cs="Times New Roman"/>
          <w:sz w:val="24"/>
          <w:szCs w:val="24"/>
        </w:rPr>
        <w:t xml:space="preserve"> </w:t>
      </w:r>
      <w:bookmarkStart w:id="14" w:name="_Hlk120470767"/>
      <w:r w:rsidR="00410890" w:rsidRPr="0065228D">
        <w:rPr>
          <w:rFonts w:ascii="Times New Roman" w:hAnsi="Times New Roman" w:cs="Times New Roman"/>
          <w:sz w:val="24"/>
          <w:szCs w:val="24"/>
        </w:rPr>
        <w:t xml:space="preserve">we </w:t>
      </w:r>
      <w:r w:rsidR="00553AD4" w:rsidRPr="0065228D">
        <w:rPr>
          <w:rFonts w:ascii="Times New Roman" w:hAnsi="Times New Roman" w:cs="Times New Roman"/>
          <w:sz w:val="24"/>
          <w:szCs w:val="24"/>
        </w:rPr>
        <w:t>calculate</w:t>
      </w:r>
      <w:r w:rsidR="00410890" w:rsidRPr="0065228D">
        <w:rPr>
          <w:rFonts w:ascii="Times New Roman" w:hAnsi="Times New Roman" w:cs="Times New Roman"/>
          <w:sz w:val="24"/>
          <w:szCs w:val="24"/>
        </w:rPr>
        <w:t xml:space="preserve"> the optimal weights, hedge ratios, and hedging effectiveness </w:t>
      </w:r>
      <w:r w:rsidR="00553AD4" w:rsidRPr="0065228D">
        <w:rPr>
          <w:rFonts w:ascii="Times New Roman" w:hAnsi="Times New Roman" w:cs="Times New Roman"/>
          <w:sz w:val="24"/>
          <w:szCs w:val="24"/>
        </w:rPr>
        <w:t>by using the BEKK</w:t>
      </w:r>
      <w:r w:rsidR="00380965">
        <w:rPr>
          <w:rFonts w:ascii="Times New Roman" w:hAnsi="Times New Roman" w:cs="Times New Roman"/>
          <w:sz w:val="24"/>
          <w:szCs w:val="24"/>
        </w:rPr>
        <w:t>–</w:t>
      </w:r>
      <w:r w:rsidR="00553AD4" w:rsidRPr="0065228D">
        <w:rPr>
          <w:rFonts w:ascii="Times New Roman" w:hAnsi="Times New Roman" w:cs="Times New Roman"/>
          <w:sz w:val="24"/>
          <w:szCs w:val="24"/>
        </w:rPr>
        <w:t xml:space="preserve">GARCH model </w:t>
      </w:r>
      <w:r w:rsidR="00410890" w:rsidRPr="0065228D">
        <w:rPr>
          <w:rFonts w:ascii="Times New Roman" w:hAnsi="Times New Roman" w:cs="Times New Roman"/>
          <w:sz w:val="24"/>
          <w:szCs w:val="24"/>
        </w:rPr>
        <w:t xml:space="preserve">for the </w:t>
      </w:r>
      <w:r w:rsidR="00553AD4" w:rsidRPr="0065228D">
        <w:rPr>
          <w:rFonts w:ascii="Times New Roman" w:hAnsi="Times New Roman" w:cs="Times New Roman"/>
          <w:sz w:val="24"/>
          <w:szCs w:val="24"/>
        </w:rPr>
        <w:t xml:space="preserve">combinations of various </w:t>
      </w:r>
      <w:r w:rsidR="00410890" w:rsidRPr="0065228D">
        <w:rPr>
          <w:rFonts w:ascii="Times New Roman" w:hAnsi="Times New Roman" w:cs="Times New Roman"/>
          <w:sz w:val="24"/>
          <w:szCs w:val="24"/>
        </w:rPr>
        <w:t>DEX</w:t>
      </w:r>
      <w:r w:rsidR="00380965">
        <w:rPr>
          <w:rFonts w:ascii="Times New Roman" w:hAnsi="Times New Roman" w:cs="Times New Roman"/>
          <w:sz w:val="24"/>
          <w:szCs w:val="24"/>
        </w:rPr>
        <w:t>–</w:t>
      </w:r>
      <w:r w:rsidR="00553AD4" w:rsidRPr="0065228D">
        <w:rPr>
          <w:rFonts w:ascii="Times New Roman" w:hAnsi="Times New Roman" w:cs="Times New Roman"/>
          <w:sz w:val="24"/>
          <w:szCs w:val="24"/>
        </w:rPr>
        <w:t xml:space="preserve">other assets </w:t>
      </w:r>
      <w:r w:rsidR="00410890" w:rsidRPr="0065228D">
        <w:rPr>
          <w:rFonts w:ascii="Times New Roman" w:hAnsi="Times New Roman" w:cs="Times New Roman"/>
          <w:sz w:val="24"/>
          <w:szCs w:val="24"/>
        </w:rPr>
        <w:t>and CEX</w:t>
      </w:r>
      <w:r w:rsidR="00380965">
        <w:rPr>
          <w:rFonts w:ascii="Times New Roman" w:hAnsi="Times New Roman" w:cs="Times New Roman"/>
          <w:sz w:val="24"/>
          <w:szCs w:val="24"/>
        </w:rPr>
        <w:t>–</w:t>
      </w:r>
      <w:r w:rsidR="00553AD4" w:rsidRPr="0065228D">
        <w:rPr>
          <w:rFonts w:ascii="Times New Roman" w:hAnsi="Times New Roman" w:cs="Times New Roman"/>
          <w:sz w:val="24"/>
          <w:szCs w:val="24"/>
        </w:rPr>
        <w:t>other assets</w:t>
      </w:r>
      <w:r w:rsidR="00410890" w:rsidRPr="0065228D">
        <w:rPr>
          <w:rFonts w:ascii="Times New Roman" w:hAnsi="Times New Roman" w:cs="Times New Roman"/>
          <w:sz w:val="24"/>
          <w:szCs w:val="24"/>
        </w:rPr>
        <w:t xml:space="preserve">. </w:t>
      </w:r>
      <w:r w:rsidR="00553AD4" w:rsidRPr="0065228D">
        <w:rPr>
          <w:rFonts w:ascii="Times New Roman" w:hAnsi="Times New Roman" w:cs="Times New Roman"/>
          <w:sz w:val="24"/>
          <w:szCs w:val="24"/>
        </w:rPr>
        <w:t>T</w:t>
      </w:r>
      <w:r w:rsidR="00410890" w:rsidRPr="0065228D">
        <w:rPr>
          <w:rFonts w:ascii="Times New Roman" w:hAnsi="Times New Roman" w:cs="Times New Roman"/>
          <w:sz w:val="24"/>
          <w:szCs w:val="24"/>
        </w:rPr>
        <w:t>he variance and covariances</w:t>
      </w:r>
      <w:r w:rsidR="00553AD4" w:rsidRPr="0065228D">
        <w:rPr>
          <w:rFonts w:ascii="Times New Roman" w:hAnsi="Times New Roman" w:cs="Times New Roman"/>
          <w:sz w:val="24"/>
          <w:szCs w:val="24"/>
        </w:rPr>
        <w:t xml:space="preserve"> are first determined through</w:t>
      </w:r>
      <w:r w:rsidR="00410890" w:rsidRPr="0065228D">
        <w:rPr>
          <w:rFonts w:ascii="Times New Roman" w:hAnsi="Times New Roman" w:cs="Times New Roman"/>
          <w:sz w:val="24"/>
          <w:szCs w:val="24"/>
        </w:rPr>
        <w:t xml:space="preserve"> BEKK</w:t>
      </w:r>
      <w:r w:rsidR="00380965">
        <w:rPr>
          <w:rFonts w:ascii="Times New Roman" w:hAnsi="Times New Roman" w:cs="Times New Roman"/>
          <w:sz w:val="24"/>
          <w:szCs w:val="24"/>
        </w:rPr>
        <w:t>–</w:t>
      </w:r>
      <w:r w:rsidR="00410890" w:rsidRPr="0065228D">
        <w:rPr>
          <w:rFonts w:ascii="Times New Roman" w:hAnsi="Times New Roman" w:cs="Times New Roman"/>
          <w:sz w:val="24"/>
          <w:szCs w:val="24"/>
        </w:rPr>
        <w:t xml:space="preserve">GARCH models for all </w:t>
      </w:r>
      <w:r w:rsidR="00553AD4" w:rsidRPr="0065228D">
        <w:rPr>
          <w:rFonts w:ascii="Times New Roman" w:hAnsi="Times New Roman" w:cs="Times New Roman"/>
          <w:sz w:val="24"/>
          <w:szCs w:val="24"/>
        </w:rPr>
        <w:t>the combinations of DEX</w:t>
      </w:r>
      <w:r w:rsidR="00380965">
        <w:rPr>
          <w:rFonts w:ascii="Times New Roman" w:hAnsi="Times New Roman" w:cs="Times New Roman"/>
          <w:sz w:val="24"/>
          <w:szCs w:val="24"/>
        </w:rPr>
        <w:t>–</w:t>
      </w:r>
      <w:r w:rsidR="00553AD4" w:rsidRPr="0065228D">
        <w:rPr>
          <w:rFonts w:ascii="Times New Roman" w:hAnsi="Times New Roman" w:cs="Times New Roman"/>
          <w:sz w:val="24"/>
          <w:szCs w:val="24"/>
        </w:rPr>
        <w:t xml:space="preserve">CEX tokens and other assets. Second, following Kroner and Ng (1998), Kroner and Sultan (1993), </w:t>
      </w:r>
      <w:r w:rsidR="00380965">
        <w:rPr>
          <w:rFonts w:ascii="Times New Roman" w:hAnsi="Times New Roman" w:cs="Times New Roman"/>
          <w:sz w:val="24"/>
          <w:szCs w:val="24"/>
        </w:rPr>
        <w:t xml:space="preserve">and </w:t>
      </w:r>
      <w:r w:rsidR="00553AD4" w:rsidRPr="0065228D">
        <w:rPr>
          <w:rFonts w:ascii="Times New Roman" w:hAnsi="Times New Roman" w:cs="Times New Roman"/>
          <w:sz w:val="24"/>
          <w:szCs w:val="24"/>
        </w:rPr>
        <w:t xml:space="preserve">Ku et al. (2007), </w:t>
      </w:r>
      <w:r w:rsidR="00410890" w:rsidRPr="0065228D">
        <w:rPr>
          <w:rFonts w:ascii="Times New Roman" w:hAnsi="Times New Roman" w:cs="Times New Roman"/>
          <w:sz w:val="24"/>
          <w:szCs w:val="24"/>
        </w:rPr>
        <w:t>we calculate the optimal weights, hedge ratios, and hedging effectiveness</w:t>
      </w:r>
      <w:r w:rsidR="00380965">
        <w:rPr>
          <w:rFonts w:ascii="Times New Roman" w:hAnsi="Times New Roman" w:cs="Times New Roman"/>
          <w:sz w:val="24"/>
          <w:szCs w:val="24"/>
        </w:rPr>
        <w:t>,</w:t>
      </w:r>
      <w:r w:rsidR="00410890" w:rsidRPr="0065228D">
        <w:rPr>
          <w:rFonts w:ascii="Times New Roman" w:hAnsi="Times New Roman" w:cs="Times New Roman"/>
          <w:sz w:val="24"/>
          <w:szCs w:val="24"/>
        </w:rPr>
        <w:t xml:space="preserve"> respectively</w:t>
      </w:r>
      <w:r w:rsidR="00380965">
        <w:rPr>
          <w:rFonts w:ascii="Times New Roman" w:hAnsi="Times New Roman" w:cs="Times New Roman"/>
          <w:sz w:val="24"/>
          <w:szCs w:val="24"/>
        </w:rPr>
        <w:t>,</w:t>
      </w:r>
      <w:r w:rsidR="00553AD4" w:rsidRPr="0065228D">
        <w:rPr>
          <w:rFonts w:ascii="Times New Roman" w:hAnsi="Times New Roman" w:cs="Times New Roman"/>
          <w:sz w:val="24"/>
          <w:szCs w:val="24"/>
        </w:rPr>
        <w:t xml:space="preserve"> for all the combinations</w:t>
      </w:r>
      <w:r w:rsidR="00410890" w:rsidRPr="0065228D">
        <w:rPr>
          <w:rFonts w:ascii="Times New Roman" w:hAnsi="Times New Roman" w:cs="Times New Roman"/>
          <w:sz w:val="24"/>
          <w:szCs w:val="24"/>
        </w:rPr>
        <w:t>.</w:t>
      </w:r>
    </w:p>
    <w:p w14:paraId="1D285085" w14:textId="77777777" w:rsidR="00C94F54" w:rsidRPr="0065228D" w:rsidRDefault="00C94F54" w:rsidP="00BB762A">
      <w:pPr>
        <w:spacing w:line="360" w:lineRule="auto"/>
        <w:contextualSpacing/>
        <w:jc w:val="both"/>
        <w:rPr>
          <w:rFonts w:ascii="Times New Roman" w:hAnsi="Times New Roman" w:cs="Times New Roman"/>
          <w:sz w:val="24"/>
          <w:szCs w:val="24"/>
        </w:rPr>
      </w:pPr>
    </w:p>
    <w:bookmarkEnd w:id="14"/>
    <w:p w14:paraId="7B98E8D2" w14:textId="14D3BABA" w:rsidR="002A7E1A" w:rsidRPr="00E063A1" w:rsidRDefault="00A05AF4" w:rsidP="00E063A1">
      <w:pPr>
        <w:pStyle w:val="ListParagraph"/>
        <w:numPr>
          <w:ilvl w:val="0"/>
          <w:numId w:val="2"/>
        </w:numPr>
        <w:spacing w:line="360" w:lineRule="auto"/>
        <w:jc w:val="both"/>
        <w:rPr>
          <w:rFonts w:ascii="Times New Roman" w:hAnsi="Times New Roman" w:cs="Times New Roman"/>
          <w:b/>
          <w:bCs/>
          <w:sz w:val="24"/>
          <w:szCs w:val="24"/>
        </w:rPr>
      </w:pPr>
      <w:r w:rsidRPr="00E063A1">
        <w:rPr>
          <w:rFonts w:ascii="Times New Roman" w:hAnsi="Times New Roman" w:cs="Times New Roman"/>
          <w:b/>
          <w:bCs/>
          <w:sz w:val="24"/>
          <w:szCs w:val="24"/>
        </w:rPr>
        <w:t>Empirical Results</w:t>
      </w:r>
    </w:p>
    <w:p w14:paraId="700B4686" w14:textId="7FB9821E" w:rsidR="00D5552A" w:rsidRDefault="00C94F54" w:rsidP="00A05AF4">
      <w:pPr>
        <w:numPr>
          <w:ilvl w:val="1"/>
          <w:numId w:val="2"/>
        </w:numPr>
        <w:spacing w:line="360" w:lineRule="auto"/>
        <w:contextualSpacing/>
        <w:jc w:val="both"/>
        <w:rPr>
          <w:rFonts w:ascii="Times New Roman" w:hAnsi="Times New Roman" w:cs="Times New Roman"/>
          <w:b/>
          <w:bCs/>
          <w:i/>
          <w:iCs/>
          <w:sz w:val="24"/>
          <w:szCs w:val="24"/>
        </w:rPr>
      </w:pPr>
      <w:bookmarkStart w:id="15" w:name="_Hlk145246482"/>
      <w:r>
        <w:rPr>
          <w:rFonts w:ascii="Times New Roman" w:hAnsi="Times New Roman" w:cs="Times New Roman"/>
          <w:b/>
          <w:bCs/>
          <w:sz w:val="24"/>
          <w:szCs w:val="24"/>
        </w:rPr>
        <w:t>D</w:t>
      </w:r>
      <w:r w:rsidRPr="0065228D">
        <w:rPr>
          <w:rFonts w:ascii="Times New Roman" w:hAnsi="Times New Roman" w:cs="Times New Roman"/>
          <w:b/>
          <w:bCs/>
          <w:sz w:val="24"/>
          <w:szCs w:val="24"/>
        </w:rPr>
        <w:t>escriptive statistics</w:t>
      </w:r>
    </w:p>
    <w:p w14:paraId="4BF23C55" w14:textId="627AC79B" w:rsidR="00C94F54" w:rsidRPr="0065228D" w:rsidRDefault="00C94F54" w:rsidP="00C94F54">
      <w:pPr>
        <w:spacing w:line="360" w:lineRule="auto"/>
        <w:contextualSpacing/>
        <w:jc w:val="both"/>
        <w:rPr>
          <w:rFonts w:ascii="Times New Roman" w:hAnsi="Times New Roman" w:cs="Times New Roman"/>
          <w:sz w:val="24"/>
          <w:szCs w:val="24"/>
        </w:rPr>
      </w:pPr>
      <w:bookmarkStart w:id="16" w:name="_Hlk145246427"/>
      <w:r w:rsidRPr="0065228D">
        <w:rPr>
          <w:rFonts w:ascii="Times New Roman" w:hAnsi="Times New Roman" w:cs="Times New Roman"/>
          <w:sz w:val="24"/>
          <w:szCs w:val="24"/>
        </w:rPr>
        <w:t xml:space="preserve">We use the daily data of three </w:t>
      </w:r>
      <w:bookmarkStart w:id="17" w:name="_Hlk120467780"/>
      <w:r w:rsidRPr="0065228D">
        <w:rPr>
          <w:rFonts w:ascii="Times New Roman" w:hAnsi="Times New Roman" w:cs="Times New Roman"/>
          <w:sz w:val="24"/>
          <w:szCs w:val="24"/>
        </w:rPr>
        <w:t>DEX tokens (RUNE-</w:t>
      </w:r>
      <w:proofErr w:type="spellStart"/>
      <w:r w:rsidRPr="0065228D">
        <w:rPr>
          <w:rFonts w:ascii="Times New Roman" w:hAnsi="Times New Roman" w:cs="Times New Roman"/>
          <w:sz w:val="24"/>
          <w:szCs w:val="24"/>
        </w:rPr>
        <w:t>THORChain</w:t>
      </w:r>
      <w:proofErr w:type="spellEnd"/>
      <w:r w:rsidRPr="0065228D">
        <w:rPr>
          <w:rFonts w:ascii="Times New Roman" w:hAnsi="Times New Roman" w:cs="Times New Roman"/>
          <w:sz w:val="24"/>
          <w:szCs w:val="24"/>
        </w:rPr>
        <w:t>, LRC-</w:t>
      </w:r>
      <w:proofErr w:type="spellStart"/>
      <w:r w:rsidRPr="0065228D">
        <w:rPr>
          <w:rFonts w:ascii="Times New Roman" w:hAnsi="Times New Roman" w:cs="Times New Roman"/>
          <w:sz w:val="24"/>
          <w:szCs w:val="24"/>
        </w:rPr>
        <w:t>Loopring</w:t>
      </w:r>
      <w:proofErr w:type="spellEnd"/>
      <w:r w:rsidRPr="0065228D">
        <w:rPr>
          <w:rFonts w:ascii="Times New Roman" w:hAnsi="Times New Roman" w:cs="Times New Roman"/>
          <w:sz w:val="24"/>
          <w:szCs w:val="24"/>
        </w:rPr>
        <w:t xml:space="preserve">, GNO-Gnosis,), </w:t>
      </w:r>
      <w:r>
        <w:rPr>
          <w:rFonts w:ascii="Times New Roman" w:hAnsi="Times New Roman" w:cs="Times New Roman"/>
          <w:sz w:val="24"/>
          <w:szCs w:val="24"/>
        </w:rPr>
        <w:t xml:space="preserve">three </w:t>
      </w:r>
      <w:r w:rsidRPr="0065228D">
        <w:rPr>
          <w:rFonts w:ascii="Times New Roman" w:hAnsi="Times New Roman" w:cs="Times New Roman"/>
          <w:sz w:val="24"/>
          <w:szCs w:val="24"/>
        </w:rPr>
        <w:t>CEX tokens (BNB-</w:t>
      </w:r>
      <w:proofErr w:type="spellStart"/>
      <w:r w:rsidRPr="0065228D">
        <w:rPr>
          <w:rFonts w:ascii="Times New Roman" w:hAnsi="Times New Roman" w:cs="Times New Roman"/>
          <w:sz w:val="24"/>
          <w:szCs w:val="24"/>
        </w:rPr>
        <w:t>Binance</w:t>
      </w:r>
      <w:proofErr w:type="spellEnd"/>
      <w:r w:rsidRPr="0065228D">
        <w:rPr>
          <w:rFonts w:ascii="Times New Roman" w:hAnsi="Times New Roman" w:cs="Times New Roman"/>
          <w:sz w:val="24"/>
          <w:szCs w:val="24"/>
        </w:rPr>
        <w:t xml:space="preserve"> Coin, LEO-UNUS SED LEO, FTT-FTX Token)</w:t>
      </w:r>
      <w:bookmarkEnd w:id="17"/>
      <w:r w:rsidRPr="0065228D">
        <w:rPr>
          <w:rFonts w:ascii="Times New Roman" w:hAnsi="Times New Roman" w:cs="Times New Roman"/>
          <w:sz w:val="24"/>
          <w:szCs w:val="24"/>
        </w:rPr>
        <w:t>, and seven other assets</w:t>
      </w:r>
      <w:r>
        <w:rPr>
          <w:rFonts w:ascii="Times New Roman" w:hAnsi="Times New Roman" w:cs="Times New Roman"/>
          <w:sz w:val="24"/>
          <w:szCs w:val="24"/>
        </w:rPr>
        <w:t xml:space="preserve"> </w:t>
      </w:r>
      <w:bookmarkStart w:id="18" w:name="_Hlk120468198"/>
      <w:r>
        <w:rPr>
          <w:rFonts w:ascii="Times New Roman" w:hAnsi="Times New Roman" w:cs="Times New Roman"/>
          <w:sz w:val="24"/>
          <w:szCs w:val="24"/>
        </w:rPr>
        <w:t>(</w:t>
      </w:r>
      <w:r w:rsidRPr="0065228D">
        <w:rPr>
          <w:rFonts w:ascii="Times New Roman" w:hAnsi="Times New Roman" w:cs="Times New Roman"/>
          <w:sz w:val="24"/>
          <w:szCs w:val="24"/>
        </w:rPr>
        <w:t>Gold, Oil (WTI), BTC (Bitcoin), REIT (Dow Jones Equity All REIT Index), Equity (MSCI World index), Bond (PIMCO Investment Grade Corporate Bond Index Exchange-Traded Fund), US dollar index</w:t>
      </w:r>
      <w:bookmarkEnd w:id="18"/>
      <w:r>
        <w:rPr>
          <w:rFonts w:ascii="Times New Roman" w:hAnsi="Times New Roman" w:cs="Times New Roman"/>
          <w:sz w:val="24"/>
          <w:szCs w:val="24"/>
        </w:rPr>
        <w:t>)</w:t>
      </w:r>
      <w:r w:rsidRPr="0065228D">
        <w:rPr>
          <w:rFonts w:ascii="Times New Roman" w:hAnsi="Times New Roman" w:cs="Times New Roman"/>
          <w:sz w:val="24"/>
          <w:szCs w:val="24"/>
        </w:rPr>
        <w:t xml:space="preserve"> in this study. Prior studies </w:t>
      </w:r>
      <w:r>
        <w:rPr>
          <w:rFonts w:ascii="Times New Roman" w:hAnsi="Times New Roman" w:cs="Times New Roman"/>
          <w:sz w:val="24"/>
          <w:szCs w:val="24"/>
        </w:rPr>
        <w:t xml:space="preserve">of </w:t>
      </w:r>
      <w:r w:rsidRPr="00F0191A">
        <w:rPr>
          <w:rFonts w:ascii="Times New Roman" w:hAnsi="Times New Roman" w:cs="Times New Roman"/>
          <w:sz w:val="24"/>
          <w:szCs w:val="24"/>
        </w:rPr>
        <w:t xml:space="preserve">Aharon and Demir (2021) and Bouri et al. (2021) also use similar other assets and their respective proxies. The sample period started from </w:t>
      </w:r>
      <w:r w:rsidRPr="00542D8C">
        <w:rPr>
          <w:rFonts w:ascii="Times New Roman" w:hAnsi="Times New Roman" w:cs="Times New Roman"/>
          <w:sz w:val="24"/>
          <w:szCs w:val="24"/>
        </w:rPr>
        <w:t>31 July 2019 and ended on 25 April</w:t>
      </w:r>
      <w:r w:rsidR="007B3EC1" w:rsidRPr="00542D8C">
        <w:rPr>
          <w:rFonts w:ascii="Times New Roman" w:hAnsi="Times New Roman" w:cs="Times New Roman"/>
          <w:sz w:val="24"/>
          <w:szCs w:val="24"/>
        </w:rPr>
        <w:t xml:space="preserve"> 2022</w:t>
      </w:r>
      <w:r w:rsidRPr="00542D8C">
        <w:rPr>
          <w:rFonts w:ascii="Times New Roman" w:hAnsi="Times New Roman" w:cs="Times New Roman"/>
          <w:sz w:val="24"/>
          <w:szCs w:val="24"/>
          <w:vertAlign w:val="superscript"/>
        </w:rPr>
        <w:footnoteReference w:id="3"/>
      </w:r>
      <w:r w:rsidR="007B3EC1" w:rsidRPr="00542D8C">
        <w:rPr>
          <w:rFonts w:ascii="Times New Roman" w:hAnsi="Times New Roman" w:cs="Times New Roman"/>
          <w:sz w:val="24"/>
          <w:szCs w:val="24"/>
        </w:rPr>
        <w:t>.</w:t>
      </w:r>
      <w:r w:rsidRPr="00542D8C">
        <w:rPr>
          <w:rFonts w:ascii="Times New Roman" w:hAnsi="Times New Roman" w:cs="Times New Roman"/>
          <w:sz w:val="24"/>
          <w:szCs w:val="24"/>
        </w:rPr>
        <w:t xml:space="preserve"> The d</w:t>
      </w:r>
      <w:r w:rsidRPr="00F0191A">
        <w:rPr>
          <w:rFonts w:ascii="Times New Roman" w:hAnsi="Times New Roman" w:cs="Times New Roman"/>
          <w:sz w:val="24"/>
          <w:szCs w:val="24"/>
        </w:rPr>
        <w:t>ata of DEX tokens</w:t>
      </w:r>
      <w:r w:rsidRPr="0065228D">
        <w:rPr>
          <w:rFonts w:ascii="Times New Roman" w:hAnsi="Times New Roman" w:cs="Times New Roman"/>
          <w:sz w:val="24"/>
          <w:szCs w:val="24"/>
        </w:rPr>
        <w:t xml:space="preserve">, CEX tokens, and Bitcoin are taken from the website of capitalmarketcap.com, whereas the data of the rest of the assets are extracted </w:t>
      </w:r>
      <w:r>
        <w:rPr>
          <w:rFonts w:ascii="Times New Roman" w:hAnsi="Times New Roman" w:cs="Times New Roman"/>
          <w:sz w:val="24"/>
          <w:szCs w:val="24"/>
        </w:rPr>
        <w:t xml:space="preserve">from the </w:t>
      </w:r>
      <w:r w:rsidRPr="0065228D">
        <w:rPr>
          <w:rFonts w:ascii="Times New Roman" w:hAnsi="Times New Roman" w:cs="Times New Roman"/>
          <w:sz w:val="24"/>
          <w:szCs w:val="24"/>
        </w:rPr>
        <w:t xml:space="preserve">Bloomberg and S&amp;P Global databases.  </w:t>
      </w:r>
    </w:p>
    <w:bookmarkEnd w:id="16"/>
    <w:p w14:paraId="27016AE3" w14:textId="77777777" w:rsidR="00C94F54" w:rsidRDefault="00C94F54" w:rsidP="00C94F54">
      <w:pPr>
        <w:spacing w:line="360" w:lineRule="auto"/>
        <w:ind w:firstLine="720"/>
        <w:contextualSpacing/>
        <w:jc w:val="both"/>
        <w:rPr>
          <w:rFonts w:ascii="Times New Roman" w:hAnsi="Times New Roman" w:cs="Times New Roman"/>
          <w:sz w:val="24"/>
          <w:szCs w:val="24"/>
        </w:rPr>
      </w:pPr>
      <w:r w:rsidRPr="0065228D">
        <w:rPr>
          <w:rFonts w:ascii="Times New Roman" w:hAnsi="Times New Roman" w:cs="Times New Roman"/>
          <w:sz w:val="24"/>
          <w:szCs w:val="24"/>
        </w:rPr>
        <w:lastRenderedPageBreak/>
        <w:t>Table 1 shows the descriptive statistics of all the variables used in the analysis: DEX tokens, CEX tokens, and other assets. The average returns show that the DEX and CEX tokens outperform the Gold, Oil, BTC, REIT, Equity, Bond, and USD</w:t>
      </w:r>
      <w:r>
        <w:rPr>
          <w:rFonts w:ascii="Times New Roman" w:hAnsi="Times New Roman" w:cs="Times New Roman"/>
          <w:sz w:val="24"/>
          <w:szCs w:val="24"/>
        </w:rPr>
        <w:t xml:space="preserve"> </w:t>
      </w:r>
      <w:r w:rsidRPr="0065228D">
        <w:rPr>
          <w:rFonts w:ascii="Times New Roman" w:hAnsi="Times New Roman" w:cs="Times New Roman"/>
          <w:sz w:val="24"/>
          <w:szCs w:val="24"/>
        </w:rPr>
        <w:t>Index. This is hardly unexpected considering that 2021 is seen as the "DEX take</w:t>
      </w:r>
      <w:r>
        <w:rPr>
          <w:rFonts w:ascii="Times New Roman" w:hAnsi="Times New Roman" w:cs="Times New Roman"/>
          <w:sz w:val="24"/>
          <w:szCs w:val="24"/>
        </w:rPr>
        <w:t>-</w:t>
      </w:r>
      <w:r w:rsidRPr="0065228D">
        <w:rPr>
          <w:rFonts w:ascii="Times New Roman" w:hAnsi="Times New Roman" w:cs="Times New Roman"/>
          <w:sz w:val="24"/>
          <w:szCs w:val="24"/>
        </w:rPr>
        <w:t>off" phase, with reported trading of over USD150 billion exceeding that of competing centralized exchanges (</w:t>
      </w:r>
      <w:proofErr w:type="spellStart"/>
      <w:r w:rsidRPr="0065228D">
        <w:rPr>
          <w:rFonts w:ascii="Times New Roman" w:hAnsi="Times New Roman" w:cs="Times New Roman"/>
          <w:sz w:val="24"/>
          <w:szCs w:val="24"/>
        </w:rPr>
        <w:t>Aspris</w:t>
      </w:r>
      <w:proofErr w:type="spellEnd"/>
      <w:r w:rsidRPr="0065228D">
        <w:rPr>
          <w:rFonts w:ascii="Times New Roman" w:hAnsi="Times New Roman" w:cs="Times New Roman"/>
          <w:sz w:val="24"/>
          <w:szCs w:val="24"/>
        </w:rPr>
        <w:t xml:space="preserve"> et al., 2021). However, compared to the DEX and CEX tokens, the unconditional volatilities of Gold, BTC, REIT, Equity, Bond, and USD Index are lower.</w:t>
      </w:r>
    </w:p>
    <w:p w14:paraId="7C6E506A" w14:textId="77777777" w:rsidR="00C94F54" w:rsidRDefault="00C94F54" w:rsidP="00C94F54">
      <w:pPr>
        <w:spacing w:line="360" w:lineRule="auto"/>
        <w:ind w:firstLine="720"/>
        <w:contextualSpacing/>
        <w:jc w:val="both"/>
        <w:rPr>
          <w:rFonts w:ascii="Times New Roman" w:hAnsi="Times New Roman" w:cs="Times New Roman"/>
          <w:sz w:val="24"/>
          <w:szCs w:val="24"/>
        </w:rPr>
      </w:pPr>
    </w:p>
    <w:p w14:paraId="2F0FFD6D" w14:textId="77777777" w:rsidR="00C94F54" w:rsidRDefault="00C94F54" w:rsidP="00C94F54">
      <w:pPr>
        <w:spacing w:line="360" w:lineRule="auto"/>
        <w:contextualSpacing/>
        <w:jc w:val="center"/>
        <w:rPr>
          <w:rFonts w:ascii="Times New Roman" w:hAnsi="Times New Roman" w:cs="Times New Roman"/>
          <w:sz w:val="24"/>
          <w:szCs w:val="24"/>
        </w:rPr>
      </w:pPr>
      <w:r w:rsidRPr="0065228D">
        <w:rPr>
          <w:rFonts w:ascii="Times New Roman" w:hAnsi="Times New Roman" w:cs="Times New Roman"/>
          <w:sz w:val="24"/>
          <w:szCs w:val="24"/>
        </w:rPr>
        <w:t>[Table 1 here]</w:t>
      </w:r>
      <w:bookmarkStart w:id="19" w:name="_Hlk122460126"/>
    </w:p>
    <w:p w14:paraId="137A0F73" w14:textId="77777777" w:rsidR="00C94F54" w:rsidRPr="0065228D" w:rsidRDefault="00C94F54" w:rsidP="00C94F54">
      <w:pPr>
        <w:spacing w:line="360" w:lineRule="auto"/>
        <w:contextualSpacing/>
        <w:jc w:val="center"/>
        <w:rPr>
          <w:rFonts w:ascii="Times New Roman" w:hAnsi="Times New Roman" w:cs="Times New Roman"/>
          <w:sz w:val="24"/>
          <w:szCs w:val="24"/>
        </w:rPr>
      </w:pPr>
    </w:p>
    <w:bookmarkEnd w:id="19"/>
    <w:p w14:paraId="7F4AC9EE" w14:textId="0434A0F9" w:rsidR="00C94F54" w:rsidRPr="0065228D" w:rsidRDefault="00C94F54" w:rsidP="00C94F54">
      <w:pPr>
        <w:spacing w:line="360" w:lineRule="auto"/>
        <w:ind w:firstLine="720"/>
        <w:contextualSpacing/>
        <w:jc w:val="both"/>
        <w:rPr>
          <w:rFonts w:ascii="Times New Roman" w:hAnsi="Times New Roman" w:cs="Times New Roman"/>
          <w:sz w:val="24"/>
          <w:szCs w:val="24"/>
        </w:rPr>
      </w:pPr>
      <w:r w:rsidRPr="0065228D">
        <w:rPr>
          <w:rFonts w:ascii="Times New Roman" w:hAnsi="Times New Roman" w:cs="Times New Roman"/>
          <w:sz w:val="24"/>
          <w:szCs w:val="24"/>
        </w:rPr>
        <w:t xml:space="preserve">The RUNE tokens have the highest average returns out of all markets, while the BOND has the lowest; nevertheless, Oil has the most unconditional volatility, while USD Index has the lowest. When compared to the other assets </w:t>
      </w:r>
      <w:proofErr w:type="gramStart"/>
      <w:r w:rsidRPr="0065228D">
        <w:rPr>
          <w:rFonts w:ascii="Times New Roman" w:hAnsi="Times New Roman" w:cs="Times New Roman"/>
          <w:sz w:val="24"/>
          <w:szCs w:val="24"/>
        </w:rPr>
        <w:t>taken into account</w:t>
      </w:r>
      <w:proofErr w:type="gramEnd"/>
      <w:r w:rsidRPr="0065228D">
        <w:rPr>
          <w:rFonts w:ascii="Times New Roman" w:hAnsi="Times New Roman" w:cs="Times New Roman"/>
          <w:sz w:val="24"/>
          <w:szCs w:val="24"/>
        </w:rPr>
        <w:t xml:space="preserve"> in the analysis, DEX and CEX tokens offer better rewards at a higher risk. The profiles of risk and returns of the DEX and CEX tokens compared to conventional assets like Gold, Oil, BTC, REIT, Equity, Bonds, and US dollar index are very different.</w:t>
      </w:r>
      <w:r>
        <w:rPr>
          <w:rFonts w:ascii="Times New Roman" w:hAnsi="Times New Roman" w:cs="Times New Roman"/>
          <w:sz w:val="24"/>
          <w:szCs w:val="24"/>
        </w:rPr>
        <w:t xml:space="preserve"> </w:t>
      </w:r>
      <w:r w:rsidRPr="0065228D">
        <w:rPr>
          <w:rFonts w:ascii="Times New Roman" w:hAnsi="Times New Roman" w:cs="Times New Roman"/>
          <w:sz w:val="24"/>
          <w:szCs w:val="24"/>
        </w:rPr>
        <w:t>The skewness is positive for all DEX and CEX tokens</w:t>
      </w:r>
      <w:r>
        <w:rPr>
          <w:rFonts w:ascii="Times New Roman" w:hAnsi="Times New Roman" w:cs="Times New Roman"/>
          <w:sz w:val="24"/>
          <w:szCs w:val="24"/>
        </w:rPr>
        <w:t>;</w:t>
      </w:r>
      <w:r w:rsidRPr="0065228D">
        <w:rPr>
          <w:rFonts w:ascii="Times New Roman" w:hAnsi="Times New Roman" w:cs="Times New Roman"/>
          <w:sz w:val="24"/>
          <w:szCs w:val="24"/>
        </w:rPr>
        <w:t xml:space="preserve"> however, Gold, Oil, BTC, and REITs have a negative skewness. The kurtosis is higher than 3 for all DEX tokens, CEX tokens, and other assets. The Jarque</w:t>
      </w:r>
      <w:r>
        <w:rPr>
          <w:rFonts w:ascii="Times New Roman" w:hAnsi="Times New Roman" w:cs="Times New Roman"/>
          <w:sz w:val="24"/>
          <w:szCs w:val="24"/>
        </w:rPr>
        <w:t>–</w:t>
      </w:r>
      <w:r w:rsidRPr="0065228D">
        <w:rPr>
          <w:rFonts w:ascii="Times New Roman" w:hAnsi="Times New Roman" w:cs="Times New Roman"/>
          <w:sz w:val="24"/>
          <w:szCs w:val="24"/>
        </w:rPr>
        <w:t>Berra statistics indicate the non</w:t>
      </w:r>
      <w:r>
        <w:rPr>
          <w:rFonts w:ascii="Times New Roman" w:hAnsi="Times New Roman" w:cs="Times New Roman"/>
          <w:sz w:val="24"/>
          <w:szCs w:val="24"/>
        </w:rPr>
        <w:t>-</w:t>
      </w:r>
      <w:r w:rsidRPr="0065228D">
        <w:rPr>
          <w:rFonts w:ascii="Times New Roman" w:hAnsi="Times New Roman" w:cs="Times New Roman"/>
          <w:sz w:val="24"/>
          <w:szCs w:val="24"/>
        </w:rPr>
        <w:t>normality of the series. Also, there are no traces of a unit root in any of the series as shown by the Augmented Dickey Fuller test</w:t>
      </w:r>
      <w:bookmarkStart w:id="20" w:name="_Hlk122608635"/>
      <w:r w:rsidRPr="0065228D">
        <w:rPr>
          <w:rFonts w:ascii="Times New Roman" w:hAnsi="Times New Roman" w:cs="Times New Roman"/>
          <w:sz w:val="24"/>
          <w:szCs w:val="24"/>
        </w:rPr>
        <w:t>.</w:t>
      </w:r>
    </w:p>
    <w:bookmarkEnd w:id="20"/>
    <w:p w14:paraId="73319D74" w14:textId="77777777" w:rsidR="00C94F54" w:rsidRPr="0065228D" w:rsidRDefault="00C94F54" w:rsidP="00C94F54">
      <w:pPr>
        <w:spacing w:line="360" w:lineRule="auto"/>
        <w:ind w:firstLine="720"/>
        <w:contextualSpacing/>
        <w:jc w:val="both"/>
        <w:rPr>
          <w:rFonts w:ascii="Times New Roman" w:hAnsi="Times New Roman" w:cs="Times New Roman"/>
          <w:sz w:val="24"/>
          <w:szCs w:val="24"/>
        </w:rPr>
      </w:pPr>
      <w:r w:rsidRPr="0065228D">
        <w:rPr>
          <w:rFonts w:ascii="Times New Roman" w:hAnsi="Times New Roman" w:cs="Times New Roman"/>
          <w:sz w:val="24"/>
          <w:szCs w:val="24"/>
        </w:rPr>
        <w:t xml:space="preserve">The daily closing prices of </w:t>
      </w:r>
      <w:r>
        <w:rPr>
          <w:rFonts w:ascii="Times New Roman" w:hAnsi="Times New Roman" w:cs="Times New Roman"/>
          <w:sz w:val="24"/>
          <w:szCs w:val="24"/>
        </w:rPr>
        <w:t xml:space="preserve">the </w:t>
      </w:r>
      <w:r w:rsidRPr="0065228D">
        <w:rPr>
          <w:rFonts w:ascii="Times New Roman" w:hAnsi="Times New Roman" w:cs="Times New Roman"/>
          <w:sz w:val="24"/>
          <w:szCs w:val="24"/>
        </w:rPr>
        <w:t>DEX tokens, CEX tokens, and all other assets during the entire sample period are shown in Figure 1. We analyze th</w:t>
      </w:r>
      <w:r>
        <w:rPr>
          <w:rFonts w:ascii="Times New Roman" w:hAnsi="Times New Roman" w:cs="Times New Roman"/>
          <w:sz w:val="24"/>
          <w:szCs w:val="24"/>
        </w:rPr>
        <w:t>e</w:t>
      </w:r>
      <w:r w:rsidRPr="0065228D">
        <w:rPr>
          <w:rFonts w:ascii="Times New Roman" w:hAnsi="Times New Roman" w:cs="Times New Roman"/>
          <w:sz w:val="24"/>
          <w:szCs w:val="24"/>
        </w:rPr>
        <w:t xml:space="preserve"> peaks and troughs in prices of all DEX and CEX tokens during the first quarter of 2021 </w:t>
      </w:r>
      <w:r>
        <w:rPr>
          <w:rFonts w:ascii="Times New Roman" w:hAnsi="Times New Roman" w:cs="Times New Roman"/>
          <w:sz w:val="24"/>
          <w:szCs w:val="24"/>
        </w:rPr>
        <w:t xml:space="preserve">until the first </w:t>
      </w:r>
      <w:r w:rsidRPr="0065228D">
        <w:rPr>
          <w:rFonts w:ascii="Times New Roman" w:hAnsi="Times New Roman" w:cs="Times New Roman"/>
          <w:sz w:val="24"/>
          <w:szCs w:val="24"/>
        </w:rPr>
        <w:t>quarter of 2022 as this period represent</w:t>
      </w:r>
      <w:r>
        <w:rPr>
          <w:rFonts w:ascii="Times New Roman" w:hAnsi="Times New Roman" w:cs="Times New Roman"/>
          <w:sz w:val="24"/>
          <w:szCs w:val="24"/>
        </w:rPr>
        <w:t>s</w:t>
      </w:r>
      <w:r w:rsidRPr="0065228D">
        <w:rPr>
          <w:rFonts w:ascii="Times New Roman" w:hAnsi="Times New Roman" w:cs="Times New Roman"/>
          <w:sz w:val="24"/>
          <w:szCs w:val="24"/>
        </w:rPr>
        <w:t xml:space="preserve"> the </w:t>
      </w:r>
      <w:r>
        <w:rPr>
          <w:rFonts w:ascii="Times New Roman" w:hAnsi="Times New Roman" w:cs="Times New Roman"/>
          <w:sz w:val="24"/>
          <w:szCs w:val="24"/>
        </w:rPr>
        <w:t>high trading activity</w:t>
      </w:r>
      <w:r w:rsidRPr="0065228D">
        <w:rPr>
          <w:rFonts w:ascii="Times New Roman" w:hAnsi="Times New Roman" w:cs="Times New Roman"/>
          <w:sz w:val="24"/>
          <w:szCs w:val="24"/>
        </w:rPr>
        <w:t xml:space="preserve"> in these exchanges. We also </w:t>
      </w:r>
      <w:r>
        <w:rPr>
          <w:rFonts w:ascii="Times New Roman" w:hAnsi="Times New Roman" w:cs="Times New Roman"/>
          <w:sz w:val="24"/>
          <w:szCs w:val="24"/>
        </w:rPr>
        <w:t xml:space="preserve">find </w:t>
      </w:r>
      <w:r w:rsidRPr="0065228D">
        <w:rPr>
          <w:rFonts w:ascii="Times New Roman" w:hAnsi="Times New Roman" w:cs="Times New Roman"/>
          <w:sz w:val="24"/>
          <w:szCs w:val="24"/>
        </w:rPr>
        <w:t xml:space="preserve">a sharp decline in the prices of all other assets except for </w:t>
      </w:r>
      <w:bookmarkStart w:id="21" w:name="_Hlk121659362"/>
      <w:r w:rsidRPr="0065228D">
        <w:rPr>
          <w:rFonts w:ascii="Times New Roman" w:hAnsi="Times New Roman" w:cs="Times New Roman"/>
          <w:sz w:val="24"/>
          <w:szCs w:val="24"/>
        </w:rPr>
        <w:t>the USD</w:t>
      </w:r>
      <w:r>
        <w:rPr>
          <w:rFonts w:ascii="Times New Roman" w:hAnsi="Times New Roman" w:cs="Times New Roman"/>
          <w:sz w:val="24"/>
          <w:szCs w:val="24"/>
        </w:rPr>
        <w:t xml:space="preserve"> </w:t>
      </w:r>
      <w:bookmarkEnd w:id="21"/>
      <w:r>
        <w:rPr>
          <w:rFonts w:ascii="Times New Roman" w:hAnsi="Times New Roman" w:cs="Times New Roman"/>
          <w:sz w:val="24"/>
          <w:szCs w:val="24"/>
        </w:rPr>
        <w:t>I</w:t>
      </w:r>
      <w:r w:rsidRPr="0065228D">
        <w:rPr>
          <w:rFonts w:ascii="Times New Roman" w:hAnsi="Times New Roman" w:cs="Times New Roman"/>
          <w:sz w:val="24"/>
          <w:szCs w:val="24"/>
        </w:rPr>
        <w:t xml:space="preserve">ndex during year the first and second quarters of 2020 corroborating the </w:t>
      </w:r>
      <w:r>
        <w:rPr>
          <w:rFonts w:ascii="Times New Roman" w:hAnsi="Times New Roman" w:cs="Times New Roman"/>
          <w:sz w:val="24"/>
          <w:szCs w:val="24"/>
        </w:rPr>
        <w:t>first</w:t>
      </w:r>
      <w:r w:rsidRPr="0065228D">
        <w:rPr>
          <w:rFonts w:ascii="Times New Roman" w:hAnsi="Times New Roman" w:cs="Times New Roman"/>
          <w:sz w:val="24"/>
          <w:szCs w:val="24"/>
        </w:rPr>
        <w:t xml:space="preserve"> and second waves of the COVID-19 pandemic. Similarly </w:t>
      </w:r>
      <w:r>
        <w:rPr>
          <w:rFonts w:ascii="Times New Roman" w:hAnsi="Times New Roman" w:cs="Times New Roman"/>
          <w:sz w:val="24"/>
          <w:szCs w:val="24"/>
        </w:rPr>
        <w:t>of note</w:t>
      </w:r>
      <w:r w:rsidRPr="0065228D">
        <w:rPr>
          <w:rFonts w:ascii="Times New Roman" w:hAnsi="Times New Roman" w:cs="Times New Roman"/>
          <w:sz w:val="24"/>
          <w:szCs w:val="24"/>
        </w:rPr>
        <w:t xml:space="preserve"> is the excessive increase in prices of the BTC during 2021 that is in line with the </w:t>
      </w:r>
      <w:r>
        <w:rPr>
          <w:rFonts w:ascii="Times New Roman" w:hAnsi="Times New Roman" w:cs="Times New Roman"/>
          <w:sz w:val="24"/>
          <w:szCs w:val="24"/>
        </w:rPr>
        <w:t xml:space="preserve">2021 </w:t>
      </w:r>
      <w:r w:rsidRPr="0065228D">
        <w:rPr>
          <w:rFonts w:ascii="Times New Roman" w:hAnsi="Times New Roman" w:cs="Times New Roman"/>
          <w:sz w:val="24"/>
          <w:szCs w:val="24"/>
        </w:rPr>
        <w:t>cryptocurrency market bubble timeline (Flitter, 2022). The price of USD</w:t>
      </w:r>
      <w:r>
        <w:rPr>
          <w:rFonts w:ascii="Times New Roman" w:hAnsi="Times New Roman" w:cs="Times New Roman"/>
          <w:sz w:val="24"/>
          <w:szCs w:val="24"/>
        </w:rPr>
        <w:t xml:space="preserve"> </w:t>
      </w:r>
      <w:r w:rsidRPr="0065228D">
        <w:rPr>
          <w:rFonts w:ascii="Times New Roman" w:hAnsi="Times New Roman" w:cs="Times New Roman"/>
          <w:sz w:val="24"/>
          <w:szCs w:val="24"/>
        </w:rPr>
        <w:t xml:space="preserve">Index exhibited a falling trend, while the prices of all other assets witnessed an uptick until the last quarter of 2021. </w:t>
      </w:r>
      <w:proofErr w:type="gramStart"/>
      <w:r w:rsidRPr="0065228D">
        <w:rPr>
          <w:rFonts w:ascii="Times New Roman" w:hAnsi="Times New Roman" w:cs="Times New Roman"/>
          <w:sz w:val="24"/>
          <w:szCs w:val="24"/>
        </w:rPr>
        <w:t>The majority of</w:t>
      </w:r>
      <w:proofErr w:type="gramEnd"/>
      <w:r w:rsidRPr="0065228D">
        <w:rPr>
          <w:rFonts w:ascii="Times New Roman" w:hAnsi="Times New Roman" w:cs="Times New Roman"/>
          <w:sz w:val="24"/>
          <w:szCs w:val="24"/>
        </w:rPr>
        <w:t xml:space="preserve"> asset prices increased during this time period, reflecting the market's response to the potential pandemic recovery</w:t>
      </w:r>
      <w:r>
        <w:rPr>
          <w:rFonts w:ascii="Times New Roman" w:hAnsi="Times New Roman" w:cs="Times New Roman"/>
          <w:sz w:val="24"/>
          <w:szCs w:val="24"/>
        </w:rPr>
        <w:t>;</w:t>
      </w:r>
      <w:r w:rsidRPr="0065228D">
        <w:rPr>
          <w:rFonts w:ascii="Times New Roman" w:hAnsi="Times New Roman" w:cs="Times New Roman"/>
          <w:sz w:val="24"/>
          <w:szCs w:val="24"/>
        </w:rPr>
        <w:t xml:space="preserve"> however, higher </w:t>
      </w:r>
      <w:r>
        <w:rPr>
          <w:rFonts w:ascii="Times New Roman" w:hAnsi="Times New Roman" w:cs="Times New Roman"/>
          <w:sz w:val="24"/>
          <w:szCs w:val="24"/>
        </w:rPr>
        <w:t xml:space="preserve">oil </w:t>
      </w:r>
      <w:r w:rsidRPr="0065228D">
        <w:rPr>
          <w:rFonts w:ascii="Times New Roman" w:hAnsi="Times New Roman" w:cs="Times New Roman"/>
          <w:sz w:val="24"/>
          <w:szCs w:val="24"/>
        </w:rPr>
        <w:t>prices during this period indicate the surplus oil demand during this time. During the first quarter of 2022, the prices of all assets depict a volatile behavior in response to the Russia</w:t>
      </w:r>
      <w:r>
        <w:rPr>
          <w:rFonts w:ascii="Times New Roman" w:hAnsi="Times New Roman" w:cs="Times New Roman"/>
          <w:sz w:val="24"/>
          <w:szCs w:val="24"/>
        </w:rPr>
        <w:t>–</w:t>
      </w:r>
      <w:r w:rsidRPr="0065228D">
        <w:rPr>
          <w:rFonts w:ascii="Times New Roman" w:hAnsi="Times New Roman" w:cs="Times New Roman"/>
          <w:sz w:val="24"/>
          <w:szCs w:val="24"/>
        </w:rPr>
        <w:t xml:space="preserve">Ukraine </w:t>
      </w:r>
      <w:r>
        <w:rPr>
          <w:rFonts w:ascii="Times New Roman" w:hAnsi="Times New Roman" w:cs="Times New Roman"/>
          <w:sz w:val="24"/>
          <w:szCs w:val="24"/>
        </w:rPr>
        <w:t>military conflict</w:t>
      </w:r>
      <w:r w:rsidRPr="0065228D">
        <w:rPr>
          <w:rFonts w:ascii="Times New Roman" w:hAnsi="Times New Roman" w:cs="Times New Roman"/>
          <w:sz w:val="24"/>
          <w:szCs w:val="24"/>
        </w:rPr>
        <w:t>.</w:t>
      </w:r>
    </w:p>
    <w:p w14:paraId="51725DDB" w14:textId="77777777" w:rsidR="00C94F54" w:rsidRPr="0065228D" w:rsidRDefault="00C94F54" w:rsidP="00C94F54">
      <w:pPr>
        <w:spacing w:line="360" w:lineRule="auto"/>
        <w:contextualSpacing/>
        <w:jc w:val="center"/>
        <w:rPr>
          <w:rFonts w:ascii="Times New Roman" w:hAnsi="Times New Roman" w:cs="Times New Roman"/>
          <w:sz w:val="24"/>
          <w:szCs w:val="24"/>
        </w:rPr>
      </w:pPr>
      <w:r w:rsidRPr="0065228D">
        <w:rPr>
          <w:rFonts w:ascii="Times New Roman" w:hAnsi="Times New Roman" w:cs="Times New Roman"/>
          <w:sz w:val="24"/>
          <w:szCs w:val="24"/>
        </w:rPr>
        <w:t>[Figure 1 here]</w:t>
      </w:r>
    </w:p>
    <w:p w14:paraId="07133886" w14:textId="77777777" w:rsidR="00C94F54" w:rsidRPr="0065228D" w:rsidRDefault="00C94F54" w:rsidP="00C94F54">
      <w:pPr>
        <w:spacing w:line="360" w:lineRule="auto"/>
        <w:ind w:firstLine="720"/>
        <w:contextualSpacing/>
        <w:jc w:val="both"/>
        <w:rPr>
          <w:rFonts w:ascii="Times New Roman" w:hAnsi="Times New Roman" w:cs="Times New Roman"/>
          <w:sz w:val="24"/>
          <w:szCs w:val="24"/>
        </w:rPr>
      </w:pPr>
      <w:r w:rsidRPr="0065228D">
        <w:rPr>
          <w:rFonts w:ascii="Times New Roman" w:hAnsi="Times New Roman" w:cs="Times New Roman"/>
          <w:sz w:val="24"/>
          <w:szCs w:val="24"/>
        </w:rPr>
        <w:lastRenderedPageBreak/>
        <w:t>Table 2 provides the correlations among DEX tokens, CEX tokens, and other assets. The correlations among DEX tokens, CEX tokens, and Bitcoin are high as these assets belong to digital assets classes.</w:t>
      </w:r>
      <w:r w:rsidRPr="0065228D">
        <w:t xml:space="preserve"> </w:t>
      </w:r>
      <w:r w:rsidRPr="0065228D">
        <w:rPr>
          <w:rFonts w:ascii="Times New Roman" w:hAnsi="Times New Roman" w:cs="Times New Roman"/>
          <w:sz w:val="24"/>
          <w:szCs w:val="24"/>
        </w:rPr>
        <w:t xml:space="preserve">The weak correlation between the DEX and CEX tokens and other assets, including Gold, BTC, REITs, Equity, Bonds, and USD Index, shows that investors can maximize the benefits of diversification by including the DEX and CEX tokens in their portfolios of Gold, BTC, REITs, Equity, Bonds, and USD Index. The correlation is positive among DEX tokens, CEX tokens, and other assets, except the USD Index, </w:t>
      </w:r>
      <w:r>
        <w:rPr>
          <w:rFonts w:ascii="Times New Roman" w:hAnsi="Times New Roman" w:cs="Times New Roman"/>
          <w:sz w:val="24"/>
          <w:szCs w:val="24"/>
        </w:rPr>
        <w:t>which</w:t>
      </w:r>
      <w:r w:rsidRPr="0065228D">
        <w:rPr>
          <w:rFonts w:ascii="Times New Roman" w:hAnsi="Times New Roman" w:cs="Times New Roman"/>
          <w:sz w:val="24"/>
          <w:szCs w:val="24"/>
        </w:rPr>
        <w:t xml:space="preserve"> has a negative correlation with </w:t>
      </w:r>
      <w:proofErr w:type="gramStart"/>
      <w:r w:rsidRPr="0065228D">
        <w:rPr>
          <w:rFonts w:ascii="Times New Roman" w:hAnsi="Times New Roman" w:cs="Times New Roman"/>
          <w:sz w:val="24"/>
          <w:szCs w:val="24"/>
        </w:rPr>
        <w:t>all of</w:t>
      </w:r>
      <w:proofErr w:type="gramEnd"/>
      <w:r w:rsidRPr="0065228D">
        <w:rPr>
          <w:rFonts w:ascii="Times New Roman" w:hAnsi="Times New Roman" w:cs="Times New Roman"/>
          <w:sz w:val="24"/>
          <w:szCs w:val="24"/>
        </w:rPr>
        <w:t xml:space="preserve"> these other assets.</w:t>
      </w:r>
    </w:p>
    <w:p w14:paraId="076C19B7" w14:textId="77777777" w:rsidR="00C94F54" w:rsidRPr="0065228D" w:rsidRDefault="00C94F54" w:rsidP="00C94F54">
      <w:pPr>
        <w:spacing w:line="360" w:lineRule="auto"/>
        <w:contextualSpacing/>
        <w:jc w:val="center"/>
        <w:rPr>
          <w:rFonts w:ascii="Times New Roman" w:hAnsi="Times New Roman" w:cs="Times New Roman"/>
          <w:sz w:val="24"/>
          <w:szCs w:val="24"/>
        </w:rPr>
      </w:pPr>
      <w:bookmarkStart w:id="22" w:name="_Hlk122873708"/>
      <w:r w:rsidRPr="0065228D">
        <w:rPr>
          <w:rFonts w:ascii="Times New Roman" w:hAnsi="Times New Roman" w:cs="Times New Roman"/>
          <w:sz w:val="24"/>
          <w:szCs w:val="24"/>
        </w:rPr>
        <w:t>[Table 2 here]</w:t>
      </w:r>
    </w:p>
    <w:bookmarkEnd w:id="22"/>
    <w:p w14:paraId="59233B53" w14:textId="77777777" w:rsidR="00C94F54" w:rsidRPr="0065228D" w:rsidRDefault="00C94F54" w:rsidP="00C94F54">
      <w:pPr>
        <w:spacing w:line="360" w:lineRule="auto"/>
        <w:contextualSpacing/>
        <w:jc w:val="both"/>
        <w:rPr>
          <w:rFonts w:ascii="Times New Roman" w:hAnsi="Times New Roman" w:cs="Times New Roman"/>
          <w:sz w:val="24"/>
          <w:szCs w:val="24"/>
        </w:rPr>
      </w:pPr>
      <w:r w:rsidRPr="0065228D">
        <w:rPr>
          <w:rFonts w:ascii="Times New Roman" w:hAnsi="Times New Roman" w:cs="Times New Roman"/>
          <w:sz w:val="24"/>
          <w:szCs w:val="24"/>
        </w:rPr>
        <w:t xml:space="preserve">The time-varying returns are also illustrated in Figure 2, which provides evidence of the volatility clustering in all markets during different timeframes. Moreover, the peaks of volatilities can be observed after </w:t>
      </w:r>
      <w:r>
        <w:rPr>
          <w:rFonts w:ascii="Times New Roman" w:hAnsi="Times New Roman" w:cs="Times New Roman"/>
          <w:sz w:val="24"/>
          <w:szCs w:val="24"/>
        </w:rPr>
        <w:t xml:space="preserve">1 </w:t>
      </w:r>
      <w:r w:rsidRPr="0065228D">
        <w:rPr>
          <w:rFonts w:ascii="Times New Roman" w:hAnsi="Times New Roman" w:cs="Times New Roman"/>
          <w:sz w:val="24"/>
          <w:szCs w:val="24"/>
        </w:rPr>
        <w:t>January 2020 in Gold, BTC, REIT, Equity, Bond, and USD</w:t>
      </w:r>
      <w:r>
        <w:rPr>
          <w:rFonts w:ascii="Times New Roman" w:hAnsi="Times New Roman" w:cs="Times New Roman"/>
          <w:sz w:val="24"/>
          <w:szCs w:val="24"/>
        </w:rPr>
        <w:t xml:space="preserve"> </w:t>
      </w:r>
      <w:r w:rsidRPr="0065228D">
        <w:rPr>
          <w:rFonts w:ascii="Times New Roman" w:hAnsi="Times New Roman" w:cs="Times New Roman"/>
          <w:sz w:val="24"/>
          <w:szCs w:val="24"/>
        </w:rPr>
        <w:t xml:space="preserve">Index, showing that the COVID-19 </w:t>
      </w:r>
      <w:r>
        <w:rPr>
          <w:rFonts w:ascii="Times New Roman" w:hAnsi="Times New Roman" w:cs="Times New Roman"/>
          <w:sz w:val="24"/>
          <w:szCs w:val="24"/>
        </w:rPr>
        <w:t xml:space="preserve">pandemic </w:t>
      </w:r>
      <w:r w:rsidRPr="0065228D">
        <w:rPr>
          <w:rFonts w:ascii="Times New Roman" w:hAnsi="Times New Roman" w:cs="Times New Roman"/>
          <w:sz w:val="24"/>
          <w:szCs w:val="24"/>
        </w:rPr>
        <w:t>considerably affected all assets. However, the DEX and CEX tokens are least affected during the same period.</w:t>
      </w:r>
    </w:p>
    <w:p w14:paraId="37A7C1AF" w14:textId="77777777" w:rsidR="00C94F54" w:rsidRPr="0065228D" w:rsidRDefault="00C94F54" w:rsidP="00C94F54">
      <w:pPr>
        <w:spacing w:line="360" w:lineRule="auto"/>
        <w:contextualSpacing/>
        <w:jc w:val="center"/>
        <w:rPr>
          <w:rFonts w:ascii="Times New Roman" w:hAnsi="Times New Roman" w:cs="Times New Roman"/>
          <w:sz w:val="24"/>
          <w:szCs w:val="24"/>
        </w:rPr>
      </w:pPr>
    </w:p>
    <w:p w14:paraId="39BE2AF2" w14:textId="77777777" w:rsidR="00C94F54" w:rsidRDefault="00C94F54" w:rsidP="00C94F54">
      <w:pPr>
        <w:spacing w:line="360" w:lineRule="auto"/>
        <w:contextualSpacing/>
        <w:jc w:val="center"/>
        <w:rPr>
          <w:rFonts w:ascii="Times New Roman" w:hAnsi="Times New Roman" w:cs="Times New Roman"/>
          <w:sz w:val="24"/>
          <w:szCs w:val="24"/>
        </w:rPr>
      </w:pPr>
      <w:r w:rsidRPr="0065228D">
        <w:rPr>
          <w:rFonts w:ascii="Times New Roman" w:hAnsi="Times New Roman" w:cs="Times New Roman"/>
          <w:sz w:val="24"/>
          <w:szCs w:val="24"/>
        </w:rPr>
        <w:t>[Figure 2 here]</w:t>
      </w:r>
    </w:p>
    <w:p w14:paraId="4FB25126" w14:textId="77777777" w:rsidR="00C94F54" w:rsidRDefault="00C94F54" w:rsidP="00C94F54">
      <w:pPr>
        <w:spacing w:line="360" w:lineRule="auto"/>
        <w:ind w:left="432"/>
        <w:contextualSpacing/>
        <w:jc w:val="both"/>
        <w:rPr>
          <w:rFonts w:ascii="Times New Roman" w:hAnsi="Times New Roman" w:cs="Times New Roman"/>
          <w:b/>
          <w:bCs/>
          <w:i/>
          <w:iCs/>
          <w:sz w:val="24"/>
          <w:szCs w:val="24"/>
        </w:rPr>
      </w:pPr>
    </w:p>
    <w:bookmarkEnd w:id="15"/>
    <w:p w14:paraId="598F72ED" w14:textId="77777777" w:rsidR="00C94F54" w:rsidRDefault="00C94F54" w:rsidP="00C94F54">
      <w:pPr>
        <w:numPr>
          <w:ilvl w:val="1"/>
          <w:numId w:val="2"/>
        </w:numPr>
        <w:spacing w:line="360" w:lineRule="auto"/>
        <w:contextualSpacing/>
        <w:jc w:val="both"/>
        <w:rPr>
          <w:rFonts w:ascii="Times New Roman" w:hAnsi="Times New Roman" w:cs="Times New Roman"/>
          <w:b/>
          <w:bCs/>
          <w:i/>
          <w:iCs/>
          <w:sz w:val="24"/>
          <w:szCs w:val="24"/>
        </w:rPr>
      </w:pPr>
      <w:r w:rsidRPr="0065228D">
        <w:rPr>
          <w:rFonts w:ascii="Times New Roman" w:hAnsi="Times New Roman" w:cs="Times New Roman"/>
          <w:b/>
          <w:bCs/>
          <w:i/>
          <w:iCs/>
          <w:sz w:val="24"/>
          <w:szCs w:val="24"/>
        </w:rPr>
        <w:t>Static spillovers at different quantiles</w:t>
      </w:r>
    </w:p>
    <w:p w14:paraId="45DB19F0" w14:textId="7247B780" w:rsidR="004440F7" w:rsidRPr="0065228D" w:rsidRDefault="00D5552A" w:rsidP="00920BA4">
      <w:pPr>
        <w:spacing w:after="0" w:line="360" w:lineRule="auto"/>
        <w:jc w:val="both"/>
        <w:rPr>
          <w:rFonts w:ascii="Times New Roman" w:hAnsi="Times New Roman" w:cs="Times New Roman"/>
          <w:sz w:val="24"/>
          <w:szCs w:val="24"/>
        </w:rPr>
      </w:pPr>
      <w:r w:rsidRPr="0065228D">
        <w:rPr>
          <w:rFonts w:ascii="Times New Roman" w:hAnsi="Times New Roman" w:cs="Times New Roman"/>
          <w:sz w:val="24"/>
          <w:szCs w:val="24"/>
        </w:rPr>
        <w:t xml:space="preserve">The findings of the static </w:t>
      </w:r>
      <w:r w:rsidR="00156355" w:rsidRPr="0065228D">
        <w:rPr>
          <w:rFonts w:ascii="Times New Roman" w:hAnsi="Times New Roman" w:cs="Times New Roman"/>
          <w:sz w:val="24"/>
          <w:szCs w:val="24"/>
        </w:rPr>
        <w:t>spillovers at different quantiles</w:t>
      </w:r>
      <w:r w:rsidR="00CD42F0">
        <w:rPr>
          <w:rFonts w:ascii="Times New Roman" w:hAnsi="Times New Roman" w:cs="Times New Roman"/>
          <w:sz w:val="24"/>
          <w:szCs w:val="24"/>
        </w:rPr>
        <w:t>—</w:t>
      </w:r>
      <w:r w:rsidRPr="0065228D">
        <w:rPr>
          <w:rFonts w:ascii="Times New Roman" w:hAnsi="Times New Roman" w:cs="Times New Roman"/>
          <w:sz w:val="24"/>
          <w:szCs w:val="24"/>
        </w:rPr>
        <w:t>conditional mean</w:t>
      </w:r>
      <w:r w:rsidR="00156355" w:rsidRPr="0065228D">
        <w:rPr>
          <w:rFonts w:ascii="Times New Roman" w:hAnsi="Times New Roman" w:cs="Times New Roman"/>
          <w:sz w:val="24"/>
          <w:szCs w:val="24"/>
        </w:rPr>
        <w:t>,</w:t>
      </w:r>
      <w:r w:rsidR="001877A6" w:rsidRPr="0065228D">
        <w:rPr>
          <w:rFonts w:ascii="Times New Roman" w:hAnsi="Times New Roman" w:cs="Times New Roman"/>
          <w:sz w:val="24"/>
          <w:szCs w:val="24"/>
        </w:rPr>
        <w:t xml:space="preserve"> </w:t>
      </w:r>
      <w:r w:rsidRPr="0065228D">
        <w:rPr>
          <w:rFonts w:ascii="Times New Roman" w:hAnsi="Times New Roman" w:cs="Times New Roman"/>
          <w:sz w:val="24"/>
          <w:szCs w:val="24"/>
        </w:rPr>
        <w:t xml:space="preserve">conditional </w:t>
      </w:r>
      <w:r w:rsidR="004440F7" w:rsidRPr="0065228D">
        <w:rPr>
          <w:rFonts w:ascii="Times New Roman" w:hAnsi="Times New Roman" w:cs="Times New Roman"/>
          <w:sz w:val="24"/>
          <w:szCs w:val="24"/>
        </w:rPr>
        <w:t>median</w:t>
      </w:r>
      <w:r w:rsidR="00156355" w:rsidRPr="0065228D">
        <w:rPr>
          <w:rFonts w:ascii="Times New Roman" w:hAnsi="Times New Roman" w:cs="Times New Roman"/>
          <w:sz w:val="24"/>
          <w:szCs w:val="24"/>
        </w:rPr>
        <w:t xml:space="preserve">, </w:t>
      </w:r>
      <w:r w:rsidRPr="0065228D">
        <w:rPr>
          <w:rFonts w:ascii="Times New Roman" w:hAnsi="Times New Roman" w:cs="Times New Roman"/>
          <w:sz w:val="24"/>
          <w:szCs w:val="24"/>
        </w:rPr>
        <w:t>extreme lower</w:t>
      </w:r>
      <w:r w:rsidR="00156355" w:rsidRPr="0065228D">
        <w:rPr>
          <w:rFonts w:ascii="Times New Roman" w:hAnsi="Times New Roman" w:cs="Times New Roman"/>
          <w:sz w:val="24"/>
          <w:szCs w:val="24"/>
        </w:rPr>
        <w:t>,</w:t>
      </w:r>
      <w:r w:rsidRPr="0065228D">
        <w:rPr>
          <w:rFonts w:ascii="Times New Roman" w:hAnsi="Times New Roman" w:cs="Times New Roman"/>
          <w:sz w:val="24"/>
          <w:szCs w:val="24"/>
        </w:rPr>
        <w:t xml:space="preserve"> and extreme upper quantiles, respectively</w:t>
      </w:r>
      <w:r w:rsidR="00CD42F0">
        <w:rPr>
          <w:rFonts w:ascii="Times New Roman" w:hAnsi="Times New Roman" w:cs="Times New Roman"/>
          <w:sz w:val="24"/>
          <w:szCs w:val="24"/>
        </w:rPr>
        <w:t>—</w:t>
      </w:r>
      <w:r w:rsidRPr="0065228D">
        <w:rPr>
          <w:rFonts w:ascii="Times New Roman" w:hAnsi="Times New Roman" w:cs="Times New Roman"/>
          <w:sz w:val="24"/>
          <w:szCs w:val="24"/>
        </w:rPr>
        <w:t xml:space="preserve">are </w:t>
      </w:r>
      <w:r w:rsidR="00156355" w:rsidRPr="0065228D">
        <w:rPr>
          <w:rFonts w:ascii="Times New Roman" w:hAnsi="Times New Roman" w:cs="Times New Roman"/>
          <w:sz w:val="24"/>
          <w:szCs w:val="24"/>
        </w:rPr>
        <w:t>reported</w:t>
      </w:r>
      <w:r w:rsidRPr="0065228D">
        <w:rPr>
          <w:rFonts w:ascii="Times New Roman" w:hAnsi="Times New Roman" w:cs="Times New Roman"/>
          <w:sz w:val="24"/>
          <w:szCs w:val="24"/>
        </w:rPr>
        <w:t xml:space="preserve"> in Tables 3</w:t>
      </w:r>
      <w:r w:rsidR="00CD42F0">
        <w:rPr>
          <w:rFonts w:ascii="Times New Roman" w:hAnsi="Times New Roman" w:cs="Times New Roman"/>
          <w:sz w:val="24"/>
          <w:szCs w:val="24"/>
        </w:rPr>
        <w:t>–</w:t>
      </w:r>
      <w:r w:rsidRPr="0065228D">
        <w:rPr>
          <w:rFonts w:ascii="Times New Roman" w:hAnsi="Times New Roman" w:cs="Times New Roman"/>
          <w:sz w:val="24"/>
          <w:szCs w:val="24"/>
        </w:rPr>
        <w:t>6.</w:t>
      </w:r>
      <w:r w:rsidR="00E063A1">
        <w:rPr>
          <w:rFonts w:ascii="Times New Roman" w:hAnsi="Times New Roman" w:cs="Times New Roman"/>
          <w:sz w:val="24"/>
          <w:szCs w:val="24"/>
        </w:rPr>
        <w:t xml:space="preserve"> </w:t>
      </w:r>
      <w:r w:rsidR="00156355" w:rsidRPr="0065228D">
        <w:rPr>
          <w:rFonts w:ascii="Times New Roman" w:hAnsi="Times New Roman" w:cs="Times New Roman"/>
          <w:sz w:val="24"/>
          <w:szCs w:val="24"/>
        </w:rPr>
        <w:t>Following some earlier works, such as Bouri et al. (2020</w:t>
      </w:r>
      <w:r w:rsidR="00CD42F0">
        <w:rPr>
          <w:rFonts w:ascii="Times New Roman" w:hAnsi="Times New Roman" w:cs="Times New Roman"/>
          <w:sz w:val="24"/>
          <w:szCs w:val="24"/>
        </w:rPr>
        <w:t>; 2021</w:t>
      </w:r>
      <w:r w:rsidR="00156355" w:rsidRPr="0065228D">
        <w:rPr>
          <w:rFonts w:ascii="Times New Roman" w:hAnsi="Times New Roman" w:cs="Times New Roman"/>
          <w:sz w:val="24"/>
          <w:szCs w:val="24"/>
        </w:rPr>
        <w:t>)</w:t>
      </w:r>
      <w:r w:rsidR="00CD42F0">
        <w:rPr>
          <w:rFonts w:ascii="Times New Roman" w:hAnsi="Times New Roman" w:cs="Times New Roman"/>
          <w:sz w:val="24"/>
          <w:szCs w:val="24"/>
        </w:rPr>
        <w:t xml:space="preserve"> and</w:t>
      </w:r>
      <w:r w:rsidR="00156355" w:rsidRPr="0065228D">
        <w:rPr>
          <w:rFonts w:ascii="Times New Roman" w:hAnsi="Times New Roman" w:cs="Times New Roman"/>
          <w:sz w:val="24"/>
          <w:szCs w:val="24"/>
        </w:rPr>
        <w:t xml:space="preserve"> Liu et al. (2021</w:t>
      </w:r>
      <w:r w:rsidR="00920BA4" w:rsidRPr="0065228D">
        <w:rPr>
          <w:rFonts w:ascii="Times New Roman" w:hAnsi="Times New Roman" w:cs="Times New Roman"/>
          <w:sz w:val="24"/>
          <w:szCs w:val="24"/>
        </w:rPr>
        <w:t>), among</w:t>
      </w:r>
      <w:r w:rsidR="00156355" w:rsidRPr="0065228D">
        <w:rPr>
          <w:rFonts w:ascii="Times New Roman" w:hAnsi="Times New Roman" w:cs="Times New Roman"/>
          <w:sz w:val="24"/>
          <w:szCs w:val="24"/>
        </w:rPr>
        <w:t xml:space="preserve"> others, and employing the Diebold and Yilmaz (2012) suggested methodology, the conditional mean connectedness is first estimated using a mean-based VAR framework. </w:t>
      </w:r>
      <w:r w:rsidR="004440F7" w:rsidRPr="0065228D">
        <w:rPr>
          <w:rFonts w:ascii="Times New Roman" w:hAnsi="Times New Roman" w:cs="Times New Roman"/>
          <w:sz w:val="24"/>
          <w:szCs w:val="24"/>
        </w:rPr>
        <w:t xml:space="preserve">In relation to this outcome, the connectedness results </w:t>
      </w:r>
      <w:r w:rsidR="00156355" w:rsidRPr="0065228D">
        <w:rPr>
          <w:rFonts w:ascii="Times New Roman" w:hAnsi="Times New Roman" w:cs="Times New Roman"/>
          <w:sz w:val="24"/>
          <w:szCs w:val="24"/>
        </w:rPr>
        <w:t>at different quantiles (Q = .50, Q=0.05 Q=0.95)</w:t>
      </w:r>
      <w:r w:rsidR="004440F7" w:rsidRPr="0065228D">
        <w:rPr>
          <w:rFonts w:ascii="Times New Roman" w:hAnsi="Times New Roman" w:cs="Times New Roman"/>
          <w:sz w:val="24"/>
          <w:szCs w:val="24"/>
        </w:rPr>
        <w:t xml:space="preserve"> are assessed.</w:t>
      </w:r>
    </w:p>
    <w:p w14:paraId="5A092E10" w14:textId="449560FE" w:rsidR="00A05AF4" w:rsidRDefault="00A05AF4" w:rsidP="00920BA4">
      <w:pPr>
        <w:spacing w:after="0" w:line="360" w:lineRule="auto"/>
        <w:ind w:firstLine="720"/>
        <w:contextualSpacing/>
        <w:jc w:val="both"/>
        <w:rPr>
          <w:rFonts w:ascii="Times New Roman" w:hAnsi="Times New Roman" w:cs="Times New Roman"/>
          <w:sz w:val="24"/>
          <w:szCs w:val="24"/>
        </w:rPr>
      </w:pPr>
      <w:r w:rsidRPr="0065228D">
        <w:rPr>
          <w:rFonts w:ascii="Times New Roman" w:hAnsi="Times New Roman" w:cs="Times New Roman"/>
          <w:sz w:val="24"/>
          <w:szCs w:val="24"/>
        </w:rPr>
        <w:t xml:space="preserve">Table 3 provides </w:t>
      </w:r>
      <w:r w:rsidR="001709ED" w:rsidRPr="0065228D">
        <w:rPr>
          <w:rFonts w:ascii="Times New Roman" w:hAnsi="Times New Roman" w:cs="Times New Roman"/>
          <w:sz w:val="24"/>
          <w:szCs w:val="24"/>
        </w:rPr>
        <w:t xml:space="preserve">the </w:t>
      </w:r>
      <w:r w:rsidRPr="0065228D">
        <w:rPr>
          <w:rFonts w:ascii="Times New Roman" w:hAnsi="Times New Roman" w:cs="Times New Roman"/>
          <w:sz w:val="24"/>
          <w:szCs w:val="24"/>
        </w:rPr>
        <w:t xml:space="preserve">static </w:t>
      </w:r>
      <w:r w:rsidR="001709ED" w:rsidRPr="0065228D">
        <w:rPr>
          <w:rFonts w:ascii="Times New Roman" w:hAnsi="Times New Roman" w:cs="Times New Roman"/>
          <w:sz w:val="24"/>
          <w:szCs w:val="24"/>
        </w:rPr>
        <w:t>mean connectedness</w:t>
      </w:r>
      <w:r w:rsidR="004440F7" w:rsidRPr="0065228D">
        <w:rPr>
          <w:rFonts w:ascii="Times New Roman" w:hAnsi="Times New Roman" w:cs="Times New Roman"/>
          <w:sz w:val="24"/>
          <w:szCs w:val="24"/>
        </w:rPr>
        <w:t xml:space="preserve"> results </w:t>
      </w:r>
      <w:r w:rsidRPr="0065228D">
        <w:rPr>
          <w:rFonts w:ascii="Times New Roman" w:hAnsi="Times New Roman" w:cs="Times New Roman"/>
          <w:sz w:val="24"/>
          <w:szCs w:val="24"/>
        </w:rPr>
        <w:t xml:space="preserve">between </w:t>
      </w:r>
      <w:bookmarkStart w:id="23" w:name="_Hlk121670278"/>
      <w:r w:rsidRPr="0065228D">
        <w:rPr>
          <w:rFonts w:ascii="Times New Roman" w:hAnsi="Times New Roman" w:cs="Times New Roman"/>
          <w:sz w:val="24"/>
          <w:szCs w:val="24"/>
        </w:rPr>
        <w:t>DEX tokens, CEX tokens,</w:t>
      </w:r>
      <w:bookmarkEnd w:id="23"/>
      <w:r w:rsidRPr="0065228D">
        <w:rPr>
          <w:rFonts w:ascii="Times New Roman" w:hAnsi="Times New Roman" w:cs="Times New Roman"/>
          <w:sz w:val="24"/>
          <w:szCs w:val="24"/>
        </w:rPr>
        <w:t xml:space="preserve"> and other assets. The</w:t>
      </w:r>
      <w:r w:rsidR="001709ED" w:rsidRPr="0065228D">
        <w:rPr>
          <w:rFonts w:ascii="Times New Roman" w:hAnsi="Times New Roman" w:cs="Times New Roman"/>
          <w:sz w:val="24"/>
          <w:szCs w:val="24"/>
        </w:rPr>
        <w:t>re is a sizeable level of connectedness</w:t>
      </w:r>
      <w:r w:rsidRPr="0065228D">
        <w:rPr>
          <w:rFonts w:ascii="Times New Roman" w:hAnsi="Times New Roman" w:cs="Times New Roman"/>
          <w:sz w:val="24"/>
          <w:szCs w:val="24"/>
        </w:rPr>
        <w:t xml:space="preserve"> </w:t>
      </w:r>
      <w:r w:rsidR="001709ED" w:rsidRPr="0065228D">
        <w:rPr>
          <w:rFonts w:ascii="Times New Roman" w:hAnsi="Times New Roman" w:cs="Times New Roman"/>
          <w:sz w:val="24"/>
          <w:szCs w:val="24"/>
        </w:rPr>
        <w:t>among</w:t>
      </w:r>
      <w:r w:rsidRPr="0065228D">
        <w:rPr>
          <w:rFonts w:ascii="Times New Roman" w:hAnsi="Times New Roman" w:cs="Times New Roman"/>
          <w:sz w:val="24"/>
          <w:szCs w:val="24"/>
        </w:rPr>
        <w:t xml:space="preserve"> DEX tokens, CEX tokens, and other assets </w:t>
      </w:r>
      <w:r w:rsidR="00CD42F0">
        <w:rPr>
          <w:rFonts w:ascii="Times New Roman" w:hAnsi="Times New Roman" w:cs="Times New Roman"/>
          <w:sz w:val="24"/>
          <w:szCs w:val="24"/>
        </w:rPr>
        <w:t>of</w:t>
      </w:r>
      <w:r w:rsidR="00CD42F0" w:rsidRPr="0065228D">
        <w:rPr>
          <w:rFonts w:ascii="Times New Roman" w:hAnsi="Times New Roman" w:cs="Times New Roman"/>
          <w:sz w:val="24"/>
          <w:szCs w:val="24"/>
        </w:rPr>
        <w:t xml:space="preserve"> </w:t>
      </w:r>
      <w:r w:rsidRPr="0065228D">
        <w:rPr>
          <w:rFonts w:ascii="Times New Roman" w:hAnsi="Times New Roman" w:cs="Times New Roman"/>
          <w:sz w:val="24"/>
          <w:szCs w:val="24"/>
        </w:rPr>
        <w:t>5</w:t>
      </w:r>
      <w:r w:rsidR="00F151A3">
        <w:rPr>
          <w:rFonts w:ascii="Times New Roman" w:hAnsi="Times New Roman" w:cs="Times New Roman"/>
          <w:sz w:val="24"/>
          <w:szCs w:val="24"/>
        </w:rPr>
        <w:t>1.04</w:t>
      </w:r>
      <w:r w:rsidRPr="0065228D">
        <w:rPr>
          <w:rFonts w:ascii="Times New Roman" w:hAnsi="Times New Roman" w:cs="Times New Roman"/>
          <w:sz w:val="24"/>
          <w:szCs w:val="24"/>
        </w:rPr>
        <w:t xml:space="preserve">%, </w:t>
      </w:r>
      <w:r w:rsidR="001709ED" w:rsidRPr="0065228D">
        <w:rPr>
          <w:rFonts w:ascii="Times New Roman" w:hAnsi="Times New Roman" w:cs="Times New Roman"/>
          <w:sz w:val="24"/>
          <w:szCs w:val="24"/>
        </w:rPr>
        <w:t xml:space="preserve">as indicated by </w:t>
      </w:r>
      <w:r w:rsidR="00CD42F0">
        <w:rPr>
          <w:rFonts w:ascii="Times New Roman" w:hAnsi="Times New Roman" w:cs="Times New Roman"/>
          <w:sz w:val="24"/>
          <w:szCs w:val="24"/>
        </w:rPr>
        <w:t xml:space="preserve">the </w:t>
      </w:r>
      <w:r w:rsidR="001709ED" w:rsidRPr="0065228D">
        <w:rPr>
          <w:rFonts w:ascii="Times New Roman" w:hAnsi="Times New Roman" w:cs="Times New Roman"/>
          <w:sz w:val="24"/>
          <w:szCs w:val="24"/>
        </w:rPr>
        <w:t>total connectedness index (TCI) in the last column</w:t>
      </w:r>
      <w:r w:rsidRPr="0065228D">
        <w:rPr>
          <w:rFonts w:ascii="Times New Roman" w:hAnsi="Times New Roman" w:cs="Times New Roman"/>
          <w:sz w:val="24"/>
          <w:szCs w:val="24"/>
        </w:rPr>
        <w:t xml:space="preserve">. </w:t>
      </w:r>
      <w:r w:rsidR="001620A3" w:rsidRPr="0065228D">
        <w:rPr>
          <w:rFonts w:ascii="Times New Roman" w:hAnsi="Times New Roman" w:cs="Times New Roman"/>
          <w:sz w:val="24"/>
          <w:szCs w:val="24"/>
        </w:rPr>
        <w:t xml:space="preserve">The return spillovers from each market to the system are shown in the </w:t>
      </w:r>
      <w:r w:rsidR="00AD4771">
        <w:rPr>
          <w:rFonts w:ascii="Times New Roman" w:hAnsi="Times New Roman" w:cs="Times New Roman"/>
          <w:sz w:val="24"/>
          <w:szCs w:val="24"/>
        </w:rPr>
        <w:t>‘</w:t>
      </w:r>
      <w:r w:rsidR="00AD4771">
        <w:rPr>
          <w:rFonts w:ascii="Times New Roman" w:hAnsi="Times New Roman" w:cs="Times New Roman"/>
          <w:i/>
          <w:sz w:val="24"/>
          <w:szCs w:val="24"/>
        </w:rPr>
        <w:t>To O</w:t>
      </w:r>
      <w:r w:rsidR="00AD4771" w:rsidRPr="00AD4771">
        <w:rPr>
          <w:rFonts w:ascii="Times New Roman" w:hAnsi="Times New Roman" w:cs="Times New Roman"/>
          <w:i/>
          <w:sz w:val="24"/>
          <w:szCs w:val="24"/>
        </w:rPr>
        <w:t>thers</w:t>
      </w:r>
      <w:r w:rsidR="00AD4771">
        <w:rPr>
          <w:rFonts w:ascii="Times New Roman" w:hAnsi="Times New Roman" w:cs="Times New Roman"/>
          <w:sz w:val="24"/>
          <w:szCs w:val="24"/>
        </w:rPr>
        <w:t>’ row</w:t>
      </w:r>
      <w:r w:rsidR="001620A3" w:rsidRPr="0065228D">
        <w:rPr>
          <w:rFonts w:ascii="Times New Roman" w:hAnsi="Times New Roman" w:cs="Times New Roman"/>
          <w:sz w:val="24"/>
          <w:szCs w:val="24"/>
        </w:rPr>
        <w:t xml:space="preserve">. The findings indicate that </w:t>
      </w:r>
      <w:r w:rsidR="001709ED" w:rsidRPr="0065228D">
        <w:rPr>
          <w:rFonts w:ascii="Times New Roman" w:hAnsi="Times New Roman" w:cs="Times New Roman"/>
          <w:sz w:val="24"/>
          <w:szCs w:val="24"/>
        </w:rPr>
        <w:t xml:space="preserve">maximum </w:t>
      </w:r>
      <w:r w:rsidR="001620A3" w:rsidRPr="0065228D">
        <w:rPr>
          <w:rFonts w:ascii="Times New Roman" w:hAnsi="Times New Roman" w:cs="Times New Roman"/>
          <w:sz w:val="24"/>
          <w:szCs w:val="24"/>
        </w:rPr>
        <w:t>return transmissions to the system come from</w:t>
      </w:r>
      <w:r w:rsidR="00CC0E8D">
        <w:rPr>
          <w:rFonts w:ascii="Times New Roman" w:hAnsi="Times New Roman" w:cs="Times New Roman"/>
          <w:sz w:val="24"/>
          <w:szCs w:val="24"/>
        </w:rPr>
        <w:t xml:space="preserve"> CEX tokens</w:t>
      </w:r>
      <w:r w:rsidR="00CD42F0">
        <w:rPr>
          <w:rFonts w:ascii="Times New Roman" w:hAnsi="Times New Roman" w:cs="Times New Roman"/>
          <w:sz w:val="24"/>
          <w:szCs w:val="24"/>
        </w:rPr>
        <w:t>—</w:t>
      </w:r>
      <w:r w:rsidR="00A24EE5">
        <w:rPr>
          <w:rFonts w:ascii="Times New Roman" w:hAnsi="Times New Roman" w:cs="Times New Roman"/>
          <w:sz w:val="24"/>
          <w:szCs w:val="24"/>
        </w:rPr>
        <w:t>i.e.,</w:t>
      </w:r>
      <w:r w:rsidR="00CC0E8D">
        <w:rPr>
          <w:rFonts w:ascii="Times New Roman" w:hAnsi="Times New Roman" w:cs="Times New Roman"/>
          <w:sz w:val="24"/>
          <w:szCs w:val="24"/>
        </w:rPr>
        <w:t xml:space="preserve"> BNB (85.67%) and </w:t>
      </w:r>
      <w:r w:rsidR="001620A3" w:rsidRPr="0065228D">
        <w:rPr>
          <w:rFonts w:ascii="Times New Roman" w:hAnsi="Times New Roman" w:cs="Times New Roman"/>
          <w:sz w:val="24"/>
          <w:szCs w:val="24"/>
        </w:rPr>
        <w:t>FTT (78.16%)</w:t>
      </w:r>
      <w:r w:rsidR="00CD42F0">
        <w:rPr>
          <w:rFonts w:ascii="Times New Roman" w:hAnsi="Times New Roman" w:cs="Times New Roman"/>
          <w:sz w:val="24"/>
          <w:szCs w:val="24"/>
        </w:rPr>
        <w:t>—</w:t>
      </w:r>
      <w:r w:rsidR="00CC0E8D">
        <w:rPr>
          <w:rFonts w:ascii="Times New Roman" w:hAnsi="Times New Roman" w:cs="Times New Roman"/>
          <w:sz w:val="24"/>
          <w:szCs w:val="24"/>
        </w:rPr>
        <w:t>which are comparable to cryptocurrency market leader Bitcoin (84.07%).</w:t>
      </w:r>
      <w:r w:rsidR="00CC0E8D" w:rsidRPr="0065228D">
        <w:rPr>
          <w:rFonts w:ascii="Times New Roman" w:hAnsi="Times New Roman" w:cs="Times New Roman"/>
          <w:sz w:val="24"/>
          <w:szCs w:val="24"/>
        </w:rPr>
        <w:t xml:space="preserve"> </w:t>
      </w:r>
      <w:r w:rsidR="00CC0E8D">
        <w:rPr>
          <w:rFonts w:ascii="Times New Roman" w:hAnsi="Times New Roman" w:cs="Times New Roman"/>
          <w:sz w:val="24"/>
          <w:szCs w:val="24"/>
        </w:rPr>
        <w:t>T</w:t>
      </w:r>
      <w:r w:rsidR="001620A3" w:rsidRPr="0065228D">
        <w:rPr>
          <w:rFonts w:ascii="Times New Roman" w:hAnsi="Times New Roman" w:cs="Times New Roman"/>
          <w:sz w:val="24"/>
          <w:szCs w:val="24"/>
        </w:rPr>
        <w:t xml:space="preserve">he lowest return transmissions come from LEO (13.75%), </w:t>
      </w:r>
      <w:r w:rsidR="00037A5A" w:rsidRPr="0065228D">
        <w:rPr>
          <w:rFonts w:ascii="Times New Roman" w:hAnsi="Times New Roman" w:cs="Times New Roman"/>
          <w:sz w:val="24"/>
          <w:szCs w:val="24"/>
        </w:rPr>
        <w:t>Oil</w:t>
      </w:r>
      <w:r w:rsidR="001620A3" w:rsidRPr="0065228D">
        <w:rPr>
          <w:rFonts w:ascii="Times New Roman" w:hAnsi="Times New Roman" w:cs="Times New Roman"/>
          <w:sz w:val="24"/>
          <w:szCs w:val="24"/>
        </w:rPr>
        <w:t xml:space="preserve"> (17.43%), and Bond (28.97%).</w:t>
      </w:r>
      <w:r w:rsidR="00CC0E8D">
        <w:rPr>
          <w:rFonts w:ascii="Times New Roman" w:hAnsi="Times New Roman" w:cs="Times New Roman"/>
          <w:sz w:val="24"/>
          <w:szCs w:val="24"/>
        </w:rPr>
        <w:t xml:space="preserve"> The DEX tokens are net</w:t>
      </w:r>
      <w:r w:rsidR="00CD42F0">
        <w:rPr>
          <w:rFonts w:ascii="Times New Roman" w:hAnsi="Times New Roman" w:cs="Times New Roman"/>
          <w:sz w:val="24"/>
          <w:szCs w:val="24"/>
        </w:rPr>
        <w:t xml:space="preserve"> </w:t>
      </w:r>
      <w:r w:rsidR="00CC0E8D">
        <w:rPr>
          <w:rFonts w:ascii="Times New Roman" w:hAnsi="Times New Roman" w:cs="Times New Roman"/>
          <w:sz w:val="24"/>
          <w:szCs w:val="24"/>
        </w:rPr>
        <w:t xml:space="preserve">recipients of return spillovers, </w:t>
      </w:r>
      <w:proofErr w:type="gramStart"/>
      <w:r w:rsidR="00CC0E8D">
        <w:rPr>
          <w:rFonts w:ascii="Times New Roman" w:hAnsi="Times New Roman" w:cs="Times New Roman"/>
          <w:sz w:val="24"/>
          <w:szCs w:val="24"/>
        </w:rPr>
        <w:t xml:space="preserve">with </w:t>
      </w:r>
      <w:r w:rsidR="00CD42F0">
        <w:rPr>
          <w:rFonts w:ascii="Times New Roman" w:hAnsi="Times New Roman" w:cs="Times New Roman"/>
          <w:sz w:val="24"/>
          <w:szCs w:val="24"/>
        </w:rPr>
        <w:t xml:space="preserve">the </w:t>
      </w:r>
      <w:r w:rsidR="00CC0E8D">
        <w:rPr>
          <w:rFonts w:ascii="Times New Roman" w:hAnsi="Times New Roman" w:cs="Times New Roman"/>
          <w:sz w:val="24"/>
          <w:szCs w:val="24"/>
        </w:rPr>
        <w:t>exception of</w:t>
      </w:r>
      <w:proofErr w:type="gramEnd"/>
      <w:r w:rsidR="00CC0E8D">
        <w:rPr>
          <w:rFonts w:ascii="Times New Roman" w:hAnsi="Times New Roman" w:cs="Times New Roman"/>
          <w:sz w:val="24"/>
          <w:szCs w:val="24"/>
        </w:rPr>
        <w:t xml:space="preserve"> GNO (1.56%</w:t>
      </w:r>
      <w:r w:rsidR="00A24EE5">
        <w:rPr>
          <w:rFonts w:ascii="Times New Roman" w:hAnsi="Times New Roman" w:cs="Times New Roman"/>
          <w:sz w:val="24"/>
          <w:szCs w:val="24"/>
        </w:rPr>
        <w:t>); however</w:t>
      </w:r>
      <w:r w:rsidR="00CC0E8D">
        <w:rPr>
          <w:rFonts w:ascii="Times New Roman" w:hAnsi="Times New Roman" w:cs="Times New Roman"/>
          <w:sz w:val="24"/>
          <w:szCs w:val="24"/>
        </w:rPr>
        <w:t>, the value of the net</w:t>
      </w:r>
      <w:r w:rsidR="00CD42F0">
        <w:rPr>
          <w:rFonts w:ascii="Times New Roman" w:hAnsi="Times New Roman" w:cs="Times New Roman"/>
          <w:sz w:val="24"/>
          <w:szCs w:val="24"/>
        </w:rPr>
        <w:t xml:space="preserve"> </w:t>
      </w:r>
      <w:r w:rsidR="00CC0E8D">
        <w:rPr>
          <w:rFonts w:ascii="Times New Roman" w:hAnsi="Times New Roman" w:cs="Times New Roman"/>
          <w:sz w:val="24"/>
          <w:szCs w:val="24"/>
        </w:rPr>
        <w:t xml:space="preserve">spillover is too marginal to claim </w:t>
      </w:r>
      <w:r w:rsidR="00CC0E8D">
        <w:rPr>
          <w:rFonts w:ascii="Times New Roman" w:hAnsi="Times New Roman" w:cs="Times New Roman"/>
          <w:sz w:val="24"/>
          <w:szCs w:val="24"/>
        </w:rPr>
        <w:lastRenderedPageBreak/>
        <w:t>any influential power on other assets in the system. The results also show</w:t>
      </w:r>
      <w:r w:rsidR="001620A3" w:rsidRPr="0065228D">
        <w:rPr>
          <w:rFonts w:ascii="Times New Roman" w:hAnsi="Times New Roman" w:cs="Times New Roman"/>
          <w:sz w:val="24"/>
          <w:szCs w:val="24"/>
        </w:rPr>
        <w:t xml:space="preserve"> that </w:t>
      </w:r>
      <w:r w:rsidR="003343AA">
        <w:rPr>
          <w:rFonts w:ascii="Times New Roman" w:hAnsi="Times New Roman" w:cs="Times New Roman"/>
          <w:sz w:val="24"/>
          <w:szCs w:val="24"/>
        </w:rPr>
        <w:t xml:space="preserve">the </w:t>
      </w:r>
      <w:r w:rsidR="00037A5A" w:rsidRPr="0065228D">
        <w:rPr>
          <w:rFonts w:ascii="Times New Roman" w:hAnsi="Times New Roman" w:cs="Times New Roman"/>
          <w:sz w:val="24"/>
          <w:szCs w:val="24"/>
        </w:rPr>
        <w:t>oil</w:t>
      </w:r>
      <w:r w:rsidR="001620A3" w:rsidRPr="0065228D">
        <w:rPr>
          <w:rFonts w:ascii="Times New Roman" w:hAnsi="Times New Roman" w:cs="Times New Roman"/>
          <w:sz w:val="24"/>
          <w:szCs w:val="24"/>
        </w:rPr>
        <w:t xml:space="preserve"> and Bond markets are not reliable predictors of DEX tokens and CEX tokens because they only have a minor impact on </w:t>
      </w:r>
      <w:r w:rsidR="00CD42F0">
        <w:rPr>
          <w:rFonts w:ascii="Times New Roman" w:hAnsi="Times New Roman" w:cs="Times New Roman"/>
          <w:sz w:val="24"/>
          <w:szCs w:val="24"/>
        </w:rPr>
        <w:t xml:space="preserve">these </w:t>
      </w:r>
      <w:r w:rsidR="001620A3" w:rsidRPr="0065228D">
        <w:rPr>
          <w:rFonts w:ascii="Times New Roman" w:hAnsi="Times New Roman" w:cs="Times New Roman"/>
          <w:sz w:val="24"/>
          <w:szCs w:val="24"/>
        </w:rPr>
        <w:t xml:space="preserve">tokens, </w:t>
      </w:r>
      <w:proofErr w:type="gramStart"/>
      <w:r w:rsidR="001620A3" w:rsidRPr="0065228D">
        <w:rPr>
          <w:rFonts w:ascii="Times New Roman" w:hAnsi="Times New Roman" w:cs="Times New Roman"/>
          <w:sz w:val="24"/>
          <w:szCs w:val="24"/>
        </w:rPr>
        <w:t>with the exception of</w:t>
      </w:r>
      <w:proofErr w:type="gramEnd"/>
      <w:r w:rsidR="001620A3" w:rsidRPr="0065228D">
        <w:rPr>
          <w:rFonts w:ascii="Times New Roman" w:hAnsi="Times New Roman" w:cs="Times New Roman"/>
          <w:sz w:val="24"/>
          <w:szCs w:val="24"/>
        </w:rPr>
        <w:t xml:space="preserve"> LEO tokens.</w:t>
      </w:r>
      <w:r w:rsidR="00CC0E8D">
        <w:rPr>
          <w:rFonts w:ascii="Times New Roman" w:hAnsi="Times New Roman" w:cs="Times New Roman"/>
          <w:sz w:val="24"/>
          <w:szCs w:val="24"/>
        </w:rPr>
        <w:t xml:space="preserve"> The low connectedness between traditional assets and tokens suggest</w:t>
      </w:r>
      <w:r w:rsidR="00CD42F0">
        <w:rPr>
          <w:rFonts w:ascii="Times New Roman" w:hAnsi="Times New Roman" w:cs="Times New Roman"/>
          <w:sz w:val="24"/>
          <w:szCs w:val="24"/>
        </w:rPr>
        <w:t>s</w:t>
      </w:r>
      <w:r w:rsidR="00CC0E8D">
        <w:rPr>
          <w:rFonts w:ascii="Times New Roman" w:hAnsi="Times New Roman" w:cs="Times New Roman"/>
          <w:sz w:val="24"/>
          <w:szCs w:val="24"/>
        </w:rPr>
        <w:t xml:space="preserve"> some diversification opportunities available for investors. </w:t>
      </w:r>
    </w:p>
    <w:p w14:paraId="0578E5AA" w14:textId="0CC3FCC5" w:rsidR="00812C37" w:rsidRPr="0065228D" w:rsidRDefault="00812C37" w:rsidP="00812C37">
      <w:pPr>
        <w:spacing w:line="360" w:lineRule="auto"/>
        <w:contextualSpacing/>
        <w:jc w:val="center"/>
        <w:rPr>
          <w:rFonts w:ascii="Times New Roman" w:hAnsi="Times New Roman" w:cs="Times New Roman"/>
          <w:sz w:val="24"/>
          <w:szCs w:val="24"/>
        </w:rPr>
      </w:pPr>
      <w:r w:rsidRPr="0065228D">
        <w:rPr>
          <w:rFonts w:ascii="Times New Roman" w:hAnsi="Times New Roman" w:cs="Times New Roman"/>
          <w:sz w:val="24"/>
          <w:szCs w:val="24"/>
        </w:rPr>
        <w:t>[Table 3 here]</w:t>
      </w:r>
    </w:p>
    <w:p w14:paraId="7F7F3EF4" w14:textId="4F9F19B1" w:rsidR="00A05AF4" w:rsidRPr="0065228D" w:rsidRDefault="00A05AF4" w:rsidP="00812C37">
      <w:pPr>
        <w:spacing w:line="360" w:lineRule="auto"/>
        <w:ind w:firstLine="720"/>
        <w:contextualSpacing/>
        <w:jc w:val="both"/>
        <w:rPr>
          <w:rFonts w:ascii="Times New Roman" w:hAnsi="Times New Roman" w:cs="Times New Roman"/>
          <w:sz w:val="24"/>
          <w:szCs w:val="24"/>
        </w:rPr>
      </w:pPr>
    </w:p>
    <w:p w14:paraId="11F200D4" w14:textId="45EFF93C" w:rsidR="001620A3" w:rsidRPr="0065228D" w:rsidRDefault="001620A3" w:rsidP="00812C37">
      <w:pPr>
        <w:spacing w:line="360" w:lineRule="auto"/>
        <w:ind w:firstLine="720"/>
        <w:contextualSpacing/>
        <w:jc w:val="both"/>
        <w:rPr>
          <w:rFonts w:ascii="Times New Roman" w:hAnsi="Times New Roman" w:cs="Times New Roman"/>
          <w:sz w:val="24"/>
          <w:szCs w:val="24"/>
        </w:rPr>
      </w:pPr>
      <w:r w:rsidRPr="0065228D">
        <w:rPr>
          <w:rFonts w:ascii="Times New Roman" w:hAnsi="Times New Roman" w:cs="Times New Roman"/>
          <w:sz w:val="24"/>
          <w:szCs w:val="24"/>
        </w:rPr>
        <w:t xml:space="preserve">The outcomes of return spillovers from </w:t>
      </w:r>
      <w:r w:rsidR="00CD42F0">
        <w:rPr>
          <w:rFonts w:ascii="Times New Roman" w:hAnsi="Times New Roman" w:cs="Times New Roman"/>
          <w:sz w:val="24"/>
          <w:szCs w:val="24"/>
        </w:rPr>
        <w:t xml:space="preserve">the </w:t>
      </w:r>
      <w:r w:rsidRPr="0065228D">
        <w:rPr>
          <w:rFonts w:ascii="Times New Roman" w:hAnsi="Times New Roman" w:cs="Times New Roman"/>
          <w:sz w:val="24"/>
          <w:szCs w:val="24"/>
        </w:rPr>
        <w:t xml:space="preserve">system </w:t>
      </w:r>
      <w:r w:rsidR="00AD4771">
        <w:rPr>
          <w:rFonts w:ascii="Times New Roman" w:hAnsi="Times New Roman" w:cs="Times New Roman"/>
          <w:sz w:val="24"/>
          <w:szCs w:val="24"/>
        </w:rPr>
        <w:t>to each asset are shown in the ‘</w:t>
      </w:r>
      <w:r w:rsidR="00CC0E8D">
        <w:rPr>
          <w:rFonts w:ascii="Times New Roman" w:hAnsi="Times New Roman" w:cs="Times New Roman"/>
          <w:i/>
          <w:sz w:val="24"/>
          <w:szCs w:val="24"/>
        </w:rPr>
        <w:t>From</w:t>
      </w:r>
      <w:r w:rsidR="00AD4771">
        <w:rPr>
          <w:rFonts w:ascii="Times New Roman" w:hAnsi="Times New Roman" w:cs="Times New Roman"/>
          <w:sz w:val="24"/>
          <w:szCs w:val="24"/>
        </w:rPr>
        <w:t>’</w:t>
      </w:r>
      <w:r w:rsidRPr="0065228D">
        <w:rPr>
          <w:rFonts w:ascii="Times New Roman" w:hAnsi="Times New Roman" w:cs="Times New Roman"/>
          <w:sz w:val="24"/>
          <w:szCs w:val="24"/>
        </w:rPr>
        <w:t xml:space="preserve"> column. The results show that BTC (68.68%), BNB (67.52%), and FTT (66.26%) </w:t>
      </w:r>
      <w:r w:rsidR="00531153">
        <w:rPr>
          <w:rFonts w:ascii="Times New Roman" w:hAnsi="Times New Roman" w:cs="Times New Roman"/>
          <w:sz w:val="24"/>
          <w:szCs w:val="24"/>
        </w:rPr>
        <w:t>achieved</w:t>
      </w:r>
      <w:r w:rsidR="00CD42F0" w:rsidRPr="0065228D">
        <w:rPr>
          <w:rFonts w:ascii="Times New Roman" w:hAnsi="Times New Roman" w:cs="Times New Roman"/>
          <w:sz w:val="24"/>
          <w:szCs w:val="24"/>
        </w:rPr>
        <w:t xml:space="preserve"> </w:t>
      </w:r>
      <w:r w:rsidRPr="0065228D">
        <w:rPr>
          <w:rFonts w:ascii="Times New Roman" w:hAnsi="Times New Roman" w:cs="Times New Roman"/>
          <w:sz w:val="24"/>
          <w:szCs w:val="24"/>
        </w:rPr>
        <w:t>the system's highest return effects. The system</w:t>
      </w:r>
      <w:r w:rsidR="00CC0E8D">
        <w:rPr>
          <w:rFonts w:ascii="Times New Roman" w:hAnsi="Times New Roman" w:cs="Times New Roman"/>
          <w:sz w:val="24"/>
          <w:szCs w:val="24"/>
        </w:rPr>
        <w:t xml:space="preserve"> </w:t>
      </w:r>
      <w:r w:rsidRPr="0065228D">
        <w:rPr>
          <w:rFonts w:ascii="Times New Roman" w:hAnsi="Times New Roman" w:cs="Times New Roman"/>
          <w:sz w:val="24"/>
          <w:szCs w:val="24"/>
        </w:rPr>
        <w:t xml:space="preserve">transmits the lowest return effects to the LEO (25.02%), </w:t>
      </w:r>
      <w:r w:rsidR="00037A5A" w:rsidRPr="0065228D">
        <w:rPr>
          <w:rFonts w:ascii="Times New Roman" w:hAnsi="Times New Roman" w:cs="Times New Roman"/>
          <w:sz w:val="24"/>
          <w:szCs w:val="24"/>
        </w:rPr>
        <w:t>Oil</w:t>
      </w:r>
      <w:r w:rsidRPr="0065228D">
        <w:rPr>
          <w:rFonts w:ascii="Times New Roman" w:hAnsi="Times New Roman" w:cs="Times New Roman"/>
          <w:sz w:val="24"/>
          <w:szCs w:val="24"/>
        </w:rPr>
        <w:t xml:space="preserve"> (28.69%), and Bond (32.65%) markets, suggesting that the influence of DEX and CEX tokens on those markets is minimal. Overall, the results of </w:t>
      </w:r>
      <w:r w:rsidR="00037A5A" w:rsidRPr="0065228D">
        <w:rPr>
          <w:rFonts w:ascii="Times New Roman" w:hAnsi="Times New Roman" w:cs="Times New Roman"/>
          <w:sz w:val="24"/>
          <w:szCs w:val="24"/>
        </w:rPr>
        <w:t>oil</w:t>
      </w:r>
      <w:r w:rsidRPr="0065228D">
        <w:rPr>
          <w:rFonts w:ascii="Times New Roman" w:hAnsi="Times New Roman" w:cs="Times New Roman"/>
          <w:sz w:val="24"/>
          <w:szCs w:val="24"/>
        </w:rPr>
        <w:t xml:space="preserve"> and Bond markets</w:t>
      </w:r>
      <w:r w:rsidR="00CD42F0">
        <w:rPr>
          <w:rFonts w:ascii="Times New Roman" w:hAnsi="Times New Roman" w:cs="Times New Roman"/>
          <w:sz w:val="24"/>
          <w:szCs w:val="24"/>
        </w:rPr>
        <w:t>’</w:t>
      </w:r>
      <w:r w:rsidRPr="0065228D">
        <w:rPr>
          <w:rFonts w:ascii="Times New Roman" w:hAnsi="Times New Roman" w:cs="Times New Roman"/>
          <w:sz w:val="24"/>
          <w:szCs w:val="24"/>
        </w:rPr>
        <w:t xml:space="preserve"> </w:t>
      </w:r>
      <w:r w:rsidR="007F4104" w:rsidRPr="0065228D">
        <w:rPr>
          <w:rFonts w:ascii="Times New Roman" w:hAnsi="Times New Roman" w:cs="Times New Roman"/>
          <w:sz w:val="24"/>
          <w:szCs w:val="24"/>
        </w:rPr>
        <w:t xml:space="preserve">return spillovers </w:t>
      </w:r>
      <w:r w:rsidRPr="0065228D">
        <w:rPr>
          <w:rFonts w:ascii="Times New Roman" w:hAnsi="Times New Roman" w:cs="Times New Roman"/>
          <w:sz w:val="24"/>
          <w:szCs w:val="24"/>
        </w:rPr>
        <w:t xml:space="preserve">to the system show </w:t>
      </w:r>
      <w:r w:rsidR="00CE3A53">
        <w:rPr>
          <w:rFonts w:ascii="Times New Roman" w:hAnsi="Times New Roman" w:cs="Times New Roman"/>
          <w:sz w:val="24"/>
          <w:szCs w:val="24"/>
        </w:rPr>
        <w:t xml:space="preserve">that DEX tokens and CEX tokens </w:t>
      </w:r>
      <w:r w:rsidRPr="0065228D">
        <w:rPr>
          <w:rFonts w:ascii="Times New Roman" w:hAnsi="Times New Roman" w:cs="Times New Roman"/>
          <w:sz w:val="24"/>
          <w:szCs w:val="24"/>
        </w:rPr>
        <w:t xml:space="preserve">are poorly tied to the </w:t>
      </w:r>
      <w:r w:rsidR="00037A5A" w:rsidRPr="0065228D">
        <w:rPr>
          <w:rFonts w:ascii="Times New Roman" w:hAnsi="Times New Roman" w:cs="Times New Roman"/>
          <w:sz w:val="24"/>
          <w:szCs w:val="24"/>
        </w:rPr>
        <w:t>oil</w:t>
      </w:r>
      <w:r w:rsidRPr="0065228D">
        <w:rPr>
          <w:rFonts w:ascii="Times New Roman" w:hAnsi="Times New Roman" w:cs="Times New Roman"/>
          <w:sz w:val="24"/>
          <w:szCs w:val="24"/>
        </w:rPr>
        <w:t xml:space="preserve"> and Bond markets, suggesting that these tokens </w:t>
      </w:r>
      <w:r w:rsidR="007F4104" w:rsidRPr="0065228D">
        <w:rPr>
          <w:rFonts w:ascii="Times New Roman" w:hAnsi="Times New Roman" w:cs="Times New Roman"/>
          <w:sz w:val="24"/>
          <w:szCs w:val="24"/>
        </w:rPr>
        <w:t xml:space="preserve">can </w:t>
      </w:r>
      <w:r w:rsidRPr="0065228D">
        <w:rPr>
          <w:rFonts w:ascii="Times New Roman" w:hAnsi="Times New Roman" w:cs="Times New Roman"/>
          <w:sz w:val="24"/>
          <w:szCs w:val="24"/>
        </w:rPr>
        <w:t>be used as a hedge against these markets.</w:t>
      </w:r>
      <w:r w:rsidR="00CE3A53">
        <w:rPr>
          <w:rFonts w:ascii="Times New Roman" w:hAnsi="Times New Roman" w:cs="Times New Roman"/>
          <w:sz w:val="24"/>
          <w:szCs w:val="24"/>
        </w:rPr>
        <w:t xml:space="preserve"> According to these results, </w:t>
      </w:r>
      <w:r w:rsidR="00CD42F0">
        <w:rPr>
          <w:rFonts w:ascii="Times New Roman" w:hAnsi="Times New Roman" w:cs="Times New Roman"/>
          <w:sz w:val="24"/>
          <w:szCs w:val="24"/>
        </w:rPr>
        <w:t xml:space="preserve">the </w:t>
      </w:r>
      <w:r w:rsidR="00CE3A53">
        <w:rPr>
          <w:rFonts w:ascii="Times New Roman" w:hAnsi="Times New Roman" w:cs="Times New Roman"/>
          <w:sz w:val="24"/>
          <w:szCs w:val="24"/>
        </w:rPr>
        <w:t>LEO token seems to be</w:t>
      </w:r>
      <w:r w:rsidR="008C296A">
        <w:rPr>
          <w:rFonts w:ascii="Times New Roman" w:hAnsi="Times New Roman" w:cs="Times New Roman"/>
          <w:sz w:val="24"/>
          <w:szCs w:val="24"/>
        </w:rPr>
        <w:t xml:space="preserve"> relatively</w:t>
      </w:r>
      <w:r w:rsidR="00CE3A53">
        <w:rPr>
          <w:rFonts w:ascii="Times New Roman" w:hAnsi="Times New Roman" w:cs="Times New Roman"/>
          <w:sz w:val="24"/>
          <w:szCs w:val="24"/>
        </w:rPr>
        <w:t xml:space="preserve"> decoupled from other digital and traditional assets, and returns are mainly influenced by its own innovations (74.98%).</w:t>
      </w:r>
    </w:p>
    <w:p w14:paraId="72D46E29" w14:textId="211F155E" w:rsidR="00A05AF4" w:rsidRPr="0065228D" w:rsidRDefault="00AD4771" w:rsidP="00812C37">
      <w:pPr>
        <w:spacing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The row ‘</w:t>
      </w:r>
      <w:r w:rsidR="001620A3" w:rsidRPr="00AD4771">
        <w:rPr>
          <w:rFonts w:ascii="Times New Roman" w:hAnsi="Times New Roman" w:cs="Times New Roman"/>
          <w:i/>
          <w:sz w:val="24"/>
          <w:szCs w:val="24"/>
        </w:rPr>
        <w:t>Net</w:t>
      </w:r>
      <w:r>
        <w:rPr>
          <w:rFonts w:ascii="Times New Roman" w:hAnsi="Times New Roman" w:cs="Times New Roman"/>
          <w:sz w:val="24"/>
          <w:szCs w:val="24"/>
        </w:rPr>
        <w:t>’</w:t>
      </w:r>
      <w:r w:rsidR="001620A3" w:rsidRPr="0065228D">
        <w:rPr>
          <w:rFonts w:ascii="Times New Roman" w:hAnsi="Times New Roman" w:cs="Times New Roman"/>
          <w:sz w:val="24"/>
          <w:szCs w:val="24"/>
        </w:rPr>
        <w:t xml:space="preserve"> describes the results of net return spillovers; a positive (negative) value for net return spillover denotes a net transmitter (recipient). The largest net recipients of the return spillovers are the USD Index (-13.80%), LEO tokens (-11.28%), and </w:t>
      </w:r>
      <w:r w:rsidR="00037A5A" w:rsidRPr="0065228D">
        <w:rPr>
          <w:rFonts w:ascii="Times New Roman" w:hAnsi="Times New Roman" w:cs="Times New Roman"/>
          <w:sz w:val="24"/>
          <w:szCs w:val="24"/>
        </w:rPr>
        <w:t>Oil</w:t>
      </w:r>
      <w:r w:rsidR="001620A3" w:rsidRPr="0065228D">
        <w:rPr>
          <w:rFonts w:ascii="Times New Roman" w:hAnsi="Times New Roman" w:cs="Times New Roman"/>
          <w:sz w:val="24"/>
          <w:szCs w:val="24"/>
        </w:rPr>
        <w:t xml:space="preserve"> (-11.28%), whereas the largest net transmitters of the return effects are BNB (18.16%), BTC (15.38%), and FTT (11.90%).</w:t>
      </w:r>
    </w:p>
    <w:p w14:paraId="553EE563" w14:textId="22EB46E8" w:rsidR="00A05AF4" w:rsidRPr="00812C37" w:rsidRDefault="00A05AF4" w:rsidP="00F84F21">
      <w:pPr>
        <w:spacing w:line="360" w:lineRule="auto"/>
        <w:contextualSpacing/>
        <w:jc w:val="both"/>
        <w:rPr>
          <w:rFonts w:ascii="Times New Roman" w:hAnsi="Times New Roman" w:cs="Times New Roman"/>
          <w:i/>
          <w:iCs/>
          <w:sz w:val="24"/>
          <w:szCs w:val="24"/>
        </w:rPr>
      </w:pPr>
    </w:p>
    <w:p w14:paraId="110AE66A" w14:textId="40B6B7E8" w:rsidR="00E425F7" w:rsidRPr="00E063A1" w:rsidRDefault="001620A3" w:rsidP="00E063A1">
      <w:pPr>
        <w:numPr>
          <w:ilvl w:val="1"/>
          <w:numId w:val="2"/>
        </w:numPr>
        <w:spacing w:line="360" w:lineRule="auto"/>
        <w:contextualSpacing/>
        <w:jc w:val="both"/>
        <w:rPr>
          <w:rFonts w:ascii="Times New Roman" w:hAnsi="Times New Roman" w:cs="Times New Roman"/>
          <w:b/>
          <w:bCs/>
          <w:i/>
          <w:iCs/>
          <w:sz w:val="24"/>
          <w:szCs w:val="24"/>
        </w:rPr>
      </w:pPr>
      <w:r w:rsidRPr="00E063A1">
        <w:rPr>
          <w:rFonts w:ascii="Times New Roman" w:hAnsi="Times New Roman" w:cs="Times New Roman"/>
          <w:b/>
          <w:bCs/>
          <w:i/>
          <w:iCs/>
          <w:sz w:val="24"/>
          <w:szCs w:val="24"/>
        </w:rPr>
        <w:t>Quantile connectedness measures</w:t>
      </w:r>
    </w:p>
    <w:p w14:paraId="3D91196C" w14:textId="77777777" w:rsidR="00812C37" w:rsidRPr="0065228D" w:rsidRDefault="00812C37" w:rsidP="00812C37">
      <w:pPr>
        <w:spacing w:line="360" w:lineRule="auto"/>
        <w:contextualSpacing/>
        <w:jc w:val="both"/>
        <w:rPr>
          <w:rFonts w:ascii="Times New Roman" w:hAnsi="Times New Roman" w:cs="Times New Roman"/>
          <w:sz w:val="24"/>
          <w:szCs w:val="24"/>
        </w:rPr>
      </w:pPr>
    </w:p>
    <w:p w14:paraId="3CC5F3CB" w14:textId="0FA3BB5D" w:rsidR="001620A3" w:rsidRPr="0065228D" w:rsidRDefault="00E425F7" w:rsidP="00F84F21">
      <w:pPr>
        <w:spacing w:line="360" w:lineRule="auto"/>
        <w:contextualSpacing/>
        <w:jc w:val="both"/>
        <w:rPr>
          <w:rFonts w:ascii="Times New Roman" w:hAnsi="Times New Roman" w:cs="Times New Roman"/>
          <w:sz w:val="24"/>
          <w:szCs w:val="24"/>
        </w:rPr>
      </w:pPr>
      <w:r w:rsidRPr="0065228D">
        <w:rPr>
          <w:rFonts w:ascii="Times New Roman" w:hAnsi="Times New Roman" w:cs="Times New Roman"/>
          <w:sz w:val="24"/>
          <w:szCs w:val="24"/>
        </w:rPr>
        <w:t>Table 4 reports th</w:t>
      </w:r>
      <w:r w:rsidR="007F4104" w:rsidRPr="0065228D">
        <w:rPr>
          <w:rFonts w:ascii="Times New Roman" w:hAnsi="Times New Roman" w:cs="Times New Roman"/>
          <w:sz w:val="24"/>
          <w:szCs w:val="24"/>
        </w:rPr>
        <w:t xml:space="preserve">at the </w:t>
      </w:r>
      <w:r w:rsidRPr="0065228D">
        <w:rPr>
          <w:rFonts w:ascii="Times New Roman" w:hAnsi="Times New Roman" w:cs="Times New Roman"/>
          <w:sz w:val="24"/>
          <w:szCs w:val="24"/>
        </w:rPr>
        <w:t>TCI</w:t>
      </w:r>
      <w:r w:rsidR="000A1E51">
        <w:rPr>
          <w:rFonts w:ascii="Times New Roman" w:hAnsi="Times New Roman" w:cs="Times New Roman"/>
          <w:sz w:val="24"/>
          <w:szCs w:val="24"/>
        </w:rPr>
        <w:t xml:space="preserve"> </w:t>
      </w:r>
      <w:r w:rsidRPr="0065228D">
        <w:rPr>
          <w:rFonts w:ascii="Times New Roman" w:hAnsi="Times New Roman" w:cs="Times New Roman"/>
          <w:sz w:val="24"/>
          <w:szCs w:val="24"/>
        </w:rPr>
        <w:t xml:space="preserve">is </w:t>
      </w:r>
      <w:r w:rsidR="00A0470C">
        <w:rPr>
          <w:rFonts w:ascii="Times New Roman" w:hAnsi="Times New Roman" w:cs="Times New Roman"/>
          <w:sz w:val="24"/>
          <w:szCs w:val="24"/>
        </w:rPr>
        <w:t>49.05</w:t>
      </w:r>
      <w:r w:rsidRPr="0065228D">
        <w:rPr>
          <w:rFonts w:ascii="Times New Roman" w:hAnsi="Times New Roman" w:cs="Times New Roman"/>
          <w:sz w:val="24"/>
          <w:szCs w:val="24"/>
        </w:rPr>
        <w:t>%</w:t>
      </w:r>
      <w:r w:rsidR="007F4104" w:rsidRPr="0065228D">
        <w:rPr>
          <w:rFonts w:ascii="Times New Roman" w:hAnsi="Times New Roman" w:cs="Times New Roman"/>
          <w:sz w:val="24"/>
          <w:szCs w:val="24"/>
        </w:rPr>
        <w:t xml:space="preserve"> at the median (Q = 0.50)</w:t>
      </w:r>
      <w:r w:rsidR="009D1E34" w:rsidRPr="0065228D">
        <w:rPr>
          <w:rFonts w:ascii="Times New Roman" w:hAnsi="Times New Roman" w:cs="Times New Roman"/>
          <w:sz w:val="24"/>
          <w:szCs w:val="24"/>
        </w:rPr>
        <w:t xml:space="preserve"> quantile</w:t>
      </w:r>
      <w:r w:rsidR="007F4104" w:rsidRPr="0065228D">
        <w:rPr>
          <w:rFonts w:ascii="Times New Roman" w:hAnsi="Times New Roman" w:cs="Times New Roman"/>
          <w:sz w:val="24"/>
          <w:szCs w:val="24"/>
        </w:rPr>
        <w:t xml:space="preserve">. </w:t>
      </w:r>
      <w:r w:rsidRPr="0065228D">
        <w:rPr>
          <w:rFonts w:ascii="Times New Roman" w:hAnsi="Times New Roman" w:cs="Times New Roman"/>
          <w:sz w:val="24"/>
          <w:szCs w:val="24"/>
        </w:rPr>
        <w:t xml:space="preserve">In terms of TCI, connectedness to and from the system, and net connectedness, the results are </w:t>
      </w:r>
      <w:r w:rsidR="00A24EE5">
        <w:rPr>
          <w:rFonts w:ascii="Times New Roman" w:hAnsi="Times New Roman" w:cs="Times New Roman"/>
          <w:sz w:val="24"/>
          <w:szCs w:val="24"/>
        </w:rPr>
        <w:t>like</w:t>
      </w:r>
      <w:r w:rsidRPr="0065228D">
        <w:rPr>
          <w:rFonts w:ascii="Times New Roman" w:hAnsi="Times New Roman" w:cs="Times New Roman"/>
          <w:sz w:val="24"/>
          <w:szCs w:val="24"/>
        </w:rPr>
        <w:t xml:space="preserve"> those of the mean</w:t>
      </w:r>
      <w:r w:rsidR="007F4104" w:rsidRPr="0065228D">
        <w:rPr>
          <w:rFonts w:ascii="Times New Roman" w:hAnsi="Times New Roman" w:cs="Times New Roman"/>
          <w:sz w:val="24"/>
          <w:szCs w:val="24"/>
        </w:rPr>
        <w:t xml:space="preserve"> </w:t>
      </w:r>
      <w:r w:rsidRPr="0065228D">
        <w:rPr>
          <w:rFonts w:ascii="Times New Roman" w:hAnsi="Times New Roman" w:cs="Times New Roman"/>
          <w:sz w:val="24"/>
          <w:szCs w:val="24"/>
        </w:rPr>
        <w:t xml:space="preserve">connectedness shown in Table 3 and </w:t>
      </w:r>
      <w:r w:rsidR="007F4104" w:rsidRPr="0065228D">
        <w:rPr>
          <w:rFonts w:ascii="Times New Roman" w:hAnsi="Times New Roman" w:cs="Times New Roman"/>
          <w:sz w:val="24"/>
          <w:szCs w:val="24"/>
        </w:rPr>
        <w:t xml:space="preserve">corroborate </w:t>
      </w:r>
      <w:r w:rsidR="00BD3E70">
        <w:rPr>
          <w:rFonts w:ascii="Times New Roman" w:hAnsi="Times New Roman" w:cs="Times New Roman"/>
          <w:sz w:val="24"/>
          <w:szCs w:val="24"/>
        </w:rPr>
        <w:t xml:space="preserve">the findings of </w:t>
      </w:r>
      <w:r w:rsidRPr="0065228D">
        <w:rPr>
          <w:rFonts w:ascii="Times New Roman" w:hAnsi="Times New Roman" w:cs="Times New Roman"/>
          <w:sz w:val="24"/>
          <w:szCs w:val="24"/>
        </w:rPr>
        <w:t xml:space="preserve">previous </w:t>
      </w:r>
      <w:r w:rsidR="00E32532" w:rsidRPr="0065228D">
        <w:rPr>
          <w:rFonts w:ascii="Times New Roman" w:hAnsi="Times New Roman" w:cs="Times New Roman"/>
          <w:sz w:val="24"/>
          <w:szCs w:val="24"/>
        </w:rPr>
        <w:t>studies</w:t>
      </w:r>
      <w:r w:rsidRPr="0065228D">
        <w:rPr>
          <w:rFonts w:ascii="Times New Roman" w:hAnsi="Times New Roman" w:cs="Times New Roman"/>
          <w:sz w:val="24"/>
          <w:szCs w:val="24"/>
        </w:rPr>
        <w:t xml:space="preserve"> by Yousaf et al. (2022), Liu et al. (2021), Bouri et al. (2020), and Ji et al</w:t>
      </w:r>
      <w:r w:rsidR="00163242">
        <w:rPr>
          <w:rFonts w:ascii="Times New Roman" w:hAnsi="Times New Roman" w:cs="Times New Roman"/>
          <w:sz w:val="24"/>
          <w:szCs w:val="24"/>
        </w:rPr>
        <w:t>.</w:t>
      </w:r>
      <w:r w:rsidRPr="0065228D">
        <w:rPr>
          <w:rFonts w:ascii="Times New Roman" w:hAnsi="Times New Roman" w:cs="Times New Roman"/>
          <w:sz w:val="24"/>
          <w:szCs w:val="24"/>
        </w:rPr>
        <w:t xml:space="preserve"> (2019).</w:t>
      </w:r>
    </w:p>
    <w:p w14:paraId="40E11049" w14:textId="74BEA1F0" w:rsidR="00DA0738" w:rsidRDefault="00DA0738" w:rsidP="00E063A1">
      <w:pPr>
        <w:spacing w:line="360" w:lineRule="auto"/>
        <w:contextualSpacing/>
        <w:jc w:val="center"/>
        <w:rPr>
          <w:rFonts w:ascii="Times New Roman" w:hAnsi="Times New Roman" w:cs="Times New Roman"/>
          <w:sz w:val="24"/>
          <w:szCs w:val="24"/>
        </w:rPr>
      </w:pPr>
      <w:bookmarkStart w:id="24" w:name="_Hlk122874095"/>
      <w:r w:rsidRPr="0065228D">
        <w:rPr>
          <w:rFonts w:ascii="Times New Roman" w:hAnsi="Times New Roman" w:cs="Times New Roman"/>
          <w:sz w:val="24"/>
          <w:szCs w:val="24"/>
        </w:rPr>
        <w:t xml:space="preserve">     [Table 4 here]</w:t>
      </w:r>
      <w:bookmarkEnd w:id="24"/>
    </w:p>
    <w:p w14:paraId="50577297" w14:textId="77777777" w:rsidR="00E063A1" w:rsidRPr="0065228D" w:rsidRDefault="00E063A1" w:rsidP="00E063A1">
      <w:pPr>
        <w:spacing w:line="360" w:lineRule="auto"/>
        <w:contextualSpacing/>
        <w:jc w:val="center"/>
        <w:rPr>
          <w:rFonts w:ascii="Times New Roman" w:hAnsi="Times New Roman" w:cs="Times New Roman"/>
          <w:sz w:val="24"/>
          <w:szCs w:val="24"/>
        </w:rPr>
      </w:pPr>
    </w:p>
    <w:p w14:paraId="1C8A483B" w14:textId="7BE2ABC3" w:rsidR="00ED6A55" w:rsidRPr="0065228D" w:rsidRDefault="00ED6A55" w:rsidP="00812C37">
      <w:pPr>
        <w:spacing w:line="360" w:lineRule="auto"/>
        <w:ind w:firstLine="720"/>
        <w:contextualSpacing/>
        <w:jc w:val="both"/>
        <w:rPr>
          <w:rFonts w:ascii="Times New Roman" w:hAnsi="Times New Roman" w:cs="Times New Roman"/>
          <w:sz w:val="24"/>
          <w:szCs w:val="24"/>
        </w:rPr>
      </w:pPr>
      <w:r w:rsidRPr="0065228D">
        <w:rPr>
          <w:rFonts w:ascii="Times New Roman" w:hAnsi="Times New Roman" w:cs="Times New Roman"/>
          <w:sz w:val="24"/>
          <w:szCs w:val="24"/>
        </w:rPr>
        <w:t>After calculating conditional mean and median connectedness, we next calculated the static return connectedness at the extreme lower quantile (Q = 0.050) and extreme upper quantile (Q = 0.95)</w:t>
      </w:r>
      <w:r w:rsidR="00DA0738" w:rsidRPr="0065228D">
        <w:rPr>
          <w:rFonts w:ascii="Times New Roman" w:hAnsi="Times New Roman" w:cs="Times New Roman"/>
          <w:sz w:val="24"/>
          <w:szCs w:val="24"/>
        </w:rPr>
        <w:t xml:space="preserve"> in Tables 5 and 6</w:t>
      </w:r>
      <w:r w:rsidRPr="0065228D">
        <w:rPr>
          <w:rFonts w:ascii="Times New Roman" w:hAnsi="Times New Roman" w:cs="Times New Roman"/>
          <w:sz w:val="24"/>
          <w:szCs w:val="24"/>
        </w:rPr>
        <w:t xml:space="preserve">. The connectivity of the assets improves when there are major market moves, as evidenced by the total connectedness being </w:t>
      </w:r>
      <w:r w:rsidR="00A0470C">
        <w:rPr>
          <w:rFonts w:ascii="Times New Roman" w:hAnsi="Times New Roman" w:cs="Times New Roman"/>
          <w:sz w:val="24"/>
          <w:szCs w:val="24"/>
        </w:rPr>
        <w:t>89.6</w:t>
      </w:r>
      <w:r w:rsidRPr="0065228D">
        <w:rPr>
          <w:rFonts w:ascii="Times New Roman" w:hAnsi="Times New Roman" w:cs="Times New Roman"/>
          <w:sz w:val="24"/>
          <w:szCs w:val="24"/>
        </w:rPr>
        <w:t xml:space="preserve">% at the extreme lower </w:t>
      </w:r>
      <w:r w:rsidRPr="0065228D">
        <w:rPr>
          <w:rFonts w:ascii="Times New Roman" w:hAnsi="Times New Roman" w:cs="Times New Roman"/>
          <w:sz w:val="24"/>
          <w:szCs w:val="24"/>
        </w:rPr>
        <w:lastRenderedPageBreak/>
        <w:t xml:space="preserve">quantile and </w:t>
      </w:r>
      <w:r w:rsidR="00004E22">
        <w:rPr>
          <w:rFonts w:ascii="Times New Roman" w:hAnsi="Times New Roman" w:cs="Times New Roman"/>
          <w:sz w:val="24"/>
          <w:szCs w:val="24"/>
        </w:rPr>
        <w:t>89.26</w:t>
      </w:r>
      <w:r w:rsidRPr="0065228D">
        <w:rPr>
          <w:rFonts w:ascii="Times New Roman" w:hAnsi="Times New Roman" w:cs="Times New Roman"/>
          <w:sz w:val="24"/>
          <w:szCs w:val="24"/>
        </w:rPr>
        <w:t>% at the extreme higher quantile. Figure 3 makes this clear by showing that the left and right quantiles are more related overall than the median quantile.</w:t>
      </w:r>
    </w:p>
    <w:p w14:paraId="28DBABCE" w14:textId="77777777" w:rsidR="00ED6A55" w:rsidRPr="0065228D" w:rsidRDefault="00ED6A55" w:rsidP="00812C37">
      <w:pPr>
        <w:spacing w:line="360" w:lineRule="auto"/>
        <w:ind w:firstLine="720"/>
        <w:contextualSpacing/>
        <w:jc w:val="center"/>
        <w:rPr>
          <w:rFonts w:ascii="Times New Roman" w:hAnsi="Times New Roman" w:cs="Times New Roman"/>
          <w:sz w:val="24"/>
          <w:szCs w:val="24"/>
        </w:rPr>
      </w:pPr>
    </w:p>
    <w:p w14:paraId="60EE6751" w14:textId="72D3407D" w:rsidR="00E425F7" w:rsidRDefault="002C1F3F" w:rsidP="00E063A1">
      <w:pPr>
        <w:spacing w:line="360" w:lineRule="auto"/>
        <w:ind w:firstLine="720"/>
        <w:contextualSpacing/>
        <w:jc w:val="center"/>
        <w:rPr>
          <w:rFonts w:ascii="Times New Roman" w:hAnsi="Times New Roman" w:cs="Times New Roman"/>
          <w:sz w:val="24"/>
          <w:szCs w:val="24"/>
        </w:rPr>
      </w:pPr>
      <w:r w:rsidRPr="0065228D">
        <w:rPr>
          <w:rFonts w:ascii="Times New Roman" w:hAnsi="Times New Roman" w:cs="Times New Roman"/>
          <w:sz w:val="24"/>
          <w:szCs w:val="24"/>
        </w:rPr>
        <w:t>[Figure 3 here]</w:t>
      </w:r>
    </w:p>
    <w:p w14:paraId="2D5DE596" w14:textId="77777777" w:rsidR="00E063A1" w:rsidRPr="0065228D" w:rsidRDefault="00E063A1" w:rsidP="00E063A1">
      <w:pPr>
        <w:spacing w:line="360" w:lineRule="auto"/>
        <w:ind w:firstLine="720"/>
        <w:contextualSpacing/>
        <w:jc w:val="center"/>
        <w:rPr>
          <w:rFonts w:ascii="Times New Roman" w:hAnsi="Times New Roman" w:cs="Times New Roman"/>
          <w:sz w:val="24"/>
          <w:szCs w:val="24"/>
        </w:rPr>
      </w:pPr>
    </w:p>
    <w:p w14:paraId="2777D3DD" w14:textId="0CF14CBC" w:rsidR="00B639DD" w:rsidRPr="0065228D" w:rsidRDefault="00ED6A55" w:rsidP="00812C37">
      <w:pPr>
        <w:spacing w:line="360" w:lineRule="auto"/>
        <w:ind w:firstLine="720"/>
        <w:contextualSpacing/>
        <w:jc w:val="both"/>
        <w:rPr>
          <w:rFonts w:ascii="Times New Roman" w:hAnsi="Times New Roman" w:cs="Times New Roman"/>
          <w:sz w:val="24"/>
          <w:szCs w:val="24"/>
        </w:rPr>
      </w:pPr>
      <w:r w:rsidRPr="0065228D">
        <w:rPr>
          <w:rFonts w:ascii="Times New Roman" w:hAnsi="Times New Roman" w:cs="Times New Roman"/>
          <w:sz w:val="24"/>
          <w:szCs w:val="24"/>
        </w:rPr>
        <w:t xml:space="preserve">Equity and </w:t>
      </w:r>
      <w:r w:rsidR="002D4CD6" w:rsidRPr="0065228D">
        <w:rPr>
          <w:rFonts w:ascii="Times New Roman" w:hAnsi="Times New Roman" w:cs="Times New Roman"/>
          <w:sz w:val="24"/>
          <w:szCs w:val="24"/>
        </w:rPr>
        <w:t>B</w:t>
      </w:r>
      <w:r w:rsidRPr="0065228D">
        <w:rPr>
          <w:rFonts w:ascii="Times New Roman" w:hAnsi="Times New Roman" w:cs="Times New Roman"/>
          <w:sz w:val="24"/>
          <w:szCs w:val="24"/>
        </w:rPr>
        <w:t xml:space="preserve">onds, at the extreme lower quantile, are the largest spillovers' transmitter to the system, according to </w:t>
      </w:r>
      <w:r w:rsidR="00BD3E70">
        <w:rPr>
          <w:rFonts w:ascii="Times New Roman" w:hAnsi="Times New Roman" w:cs="Times New Roman"/>
          <w:sz w:val="24"/>
          <w:szCs w:val="24"/>
        </w:rPr>
        <w:t xml:space="preserve">the </w:t>
      </w:r>
      <w:r w:rsidRPr="0065228D">
        <w:rPr>
          <w:rFonts w:ascii="Times New Roman" w:hAnsi="Times New Roman" w:cs="Times New Roman"/>
          <w:sz w:val="24"/>
          <w:szCs w:val="24"/>
        </w:rPr>
        <w:t>connectedness values of 97.97% and 97.22%, respectively, as re</w:t>
      </w:r>
      <w:r w:rsidR="008C296A">
        <w:rPr>
          <w:rFonts w:ascii="Times New Roman" w:hAnsi="Times New Roman" w:cs="Times New Roman"/>
          <w:sz w:val="24"/>
          <w:szCs w:val="24"/>
        </w:rPr>
        <w:t>presented by ‘</w:t>
      </w:r>
      <w:r w:rsidR="008C296A" w:rsidRPr="008C296A">
        <w:rPr>
          <w:rFonts w:ascii="Times New Roman" w:hAnsi="Times New Roman" w:cs="Times New Roman"/>
          <w:i/>
          <w:sz w:val="24"/>
          <w:szCs w:val="24"/>
        </w:rPr>
        <w:t>To</w:t>
      </w:r>
      <w:r w:rsidR="008C296A">
        <w:rPr>
          <w:rFonts w:ascii="Times New Roman" w:hAnsi="Times New Roman" w:cs="Times New Roman"/>
          <w:sz w:val="24"/>
          <w:szCs w:val="24"/>
        </w:rPr>
        <w:t>’</w:t>
      </w:r>
      <w:r w:rsidRPr="0065228D">
        <w:rPr>
          <w:rFonts w:ascii="Times New Roman" w:hAnsi="Times New Roman" w:cs="Times New Roman"/>
          <w:sz w:val="24"/>
          <w:szCs w:val="24"/>
        </w:rPr>
        <w:t xml:space="preserve"> in the third </w:t>
      </w:r>
      <w:r w:rsidR="00163242">
        <w:rPr>
          <w:rFonts w:ascii="Times New Roman" w:hAnsi="Times New Roman" w:cs="Times New Roman"/>
          <w:sz w:val="24"/>
          <w:szCs w:val="24"/>
        </w:rPr>
        <w:t xml:space="preserve">to </w:t>
      </w:r>
      <w:r w:rsidRPr="0065228D">
        <w:rPr>
          <w:rFonts w:ascii="Times New Roman" w:hAnsi="Times New Roman" w:cs="Times New Roman"/>
          <w:sz w:val="24"/>
          <w:szCs w:val="24"/>
        </w:rPr>
        <w:t xml:space="preserve">last row of Table </w:t>
      </w:r>
      <w:r w:rsidR="00DA0738" w:rsidRPr="0065228D">
        <w:rPr>
          <w:rFonts w:ascii="Times New Roman" w:hAnsi="Times New Roman" w:cs="Times New Roman"/>
          <w:sz w:val="24"/>
          <w:szCs w:val="24"/>
        </w:rPr>
        <w:t>5</w:t>
      </w:r>
      <w:r w:rsidR="00844560" w:rsidRPr="0065228D">
        <w:rPr>
          <w:rFonts w:ascii="Times New Roman" w:hAnsi="Times New Roman" w:cs="Times New Roman"/>
          <w:sz w:val="24"/>
          <w:szCs w:val="24"/>
        </w:rPr>
        <w:t>. These</w:t>
      </w:r>
      <w:r w:rsidR="00E32532" w:rsidRPr="0065228D">
        <w:rPr>
          <w:rFonts w:ascii="Times New Roman" w:hAnsi="Times New Roman" w:cs="Times New Roman"/>
          <w:sz w:val="24"/>
          <w:szCs w:val="24"/>
        </w:rPr>
        <w:t xml:space="preserve"> findings are in line</w:t>
      </w:r>
      <w:r w:rsidR="00E425F7" w:rsidRPr="0065228D">
        <w:rPr>
          <w:rFonts w:ascii="Times New Roman" w:hAnsi="Times New Roman" w:cs="Times New Roman"/>
          <w:sz w:val="24"/>
          <w:szCs w:val="24"/>
        </w:rPr>
        <w:t xml:space="preserve"> with the</w:t>
      </w:r>
      <w:r w:rsidR="00E32532" w:rsidRPr="0065228D">
        <w:rPr>
          <w:rFonts w:ascii="Times New Roman" w:hAnsi="Times New Roman" w:cs="Times New Roman"/>
          <w:sz w:val="24"/>
          <w:szCs w:val="24"/>
        </w:rPr>
        <w:t xml:space="preserve"> literature supporting the fact that </w:t>
      </w:r>
      <w:r w:rsidR="00E425F7" w:rsidRPr="0065228D">
        <w:rPr>
          <w:rFonts w:ascii="Times New Roman" w:hAnsi="Times New Roman" w:cs="Times New Roman"/>
          <w:sz w:val="24"/>
          <w:szCs w:val="24"/>
        </w:rPr>
        <w:t xml:space="preserve">investors </w:t>
      </w:r>
      <w:r w:rsidR="00E32532" w:rsidRPr="0065228D">
        <w:rPr>
          <w:rFonts w:ascii="Times New Roman" w:hAnsi="Times New Roman" w:cs="Times New Roman"/>
          <w:sz w:val="24"/>
          <w:szCs w:val="24"/>
        </w:rPr>
        <w:t xml:space="preserve">switch </w:t>
      </w:r>
      <w:r w:rsidR="00E425F7" w:rsidRPr="0065228D">
        <w:rPr>
          <w:rFonts w:ascii="Times New Roman" w:hAnsi="Times New Roman" w:cs="Times New Roman"/>
          <w:sz w:val="24"/>
          <w:szCs w:val="24"/>
        </w:rPr>
        <w:t xml:space="preserve">to </w:t>
      </w:r>
      <w:r w:rsidR="00E32532" w:rsidRPr="0065228D">
        <w:rPr>
          <w:rFonts w:ascii="Times New Roman" w:hAnsi="Times New Roman" w:cs="Times New Roman"/>
          <w:sz w:val="24"/>
          <w:szCs w:val="24"/>
        </w:rPr>
        <w:t>safety</w:t>
      </w:r>
      <w:r w:rsidR="00E425F7" w:rsidRPr="0065228D">
        <w:rPr>
          <w:rFonts w:ascii="Times New Roman" w:hAnsi="Times New Roman" w:cs="Times New Roman"/>
          <w:sz w:val="24"/>
          <w:szCs w:val="24"/>
        </w:rPr>
        <w:t xml:space="preserve"> and liquidity</w:t>
      </w:r>
      <w:r w:rsidR="00E32532" w:rsidRPr="0065228D">
        <w:rPr>
          <w:rFonts w:ascii="Times New Roman" w:hAnsi="Times New Roman" w:cs="Times New Roman"/>
          <w:sz w:val="24"/>
          <w:szCs w:val="24"/>
        </w:rPr>
        <w:t xml:space="preserve"> options</w:t>
      </w:r>
      <w:r w:rsidR="00E425F7" w:rsidRPr="0065228D">
        <w:rPr>
          <w:rFonts w:ascii="Times New Roman" w:hAnsi="Times New Roman" w:cs="Times New Roman"/>
          <w:sz w:val="24"/>
          <w:szCs w:val="24"/>
        </w:rPr>
        <w:t xml:space="preserve"> in tumultuous market conditions. </w:t>
      </w:r>
      <w:r w:rsidR="00E32532" w:rsidRPr="0065228D">
        <w:rPr>
          <w:rFonts w:ascii="Times New Roman" w:hAnsi="Times New Roman" w:cs="Times New Roman"/>
          <w:sz w:val="24"/>
          <w:szCs w:val="24"/>
        </w:rPr>
        <w:t>The remaining assets in the system</w:t>
      </w:r>
      <w:r w:rsidR="00E425F7" w:rsidRPr="0065228D">
        <w:rPr>
          <w:rFonts w:ascii="Times New Roman" w:hAnsi="Times New Roman" w:cs="Times New Roman"/>
          <w:sz w:val="24"/>
          <w:szCs w:val="24"/>
        </w:rPr>
        <w:t xml:space="preserve"> experience a</w:t>
      </w:r>
      <w:r w:rsidR="00460BD0" w:rsidRPr="0065228D">
        <w:rPr>
          <w:rFonts w:ascii="Times New Roman" w:hAnsi="Times New Roman" w:cs="Times New Roman"/>
          <w:sz w:val="24"/>
          <w:szCs w:val="24"/>
        </w:rPr>
        <w:t>lmost the</w:t>
      </w:r>
      <w:r w:rsidR="00E425F7" w:rsidRPr="0065228D">
        <w:rPr>
          <w:rFonts w:ascii="Times New Roman" w:hAnsi="Times New Roman" w:cs="Times New Roman"/>
          <w:sz w:val="24"/>
          <w:szCs w:val="24"/>
        </w:rPr>
        <w:t xml:space="preserve"> </w:t>
      </w:r>
      <w:r w:rsidR="00460BD0" w:rsidRPr="0065228D">
        <w:rPr>
          <w:rFonts w:ascii="Times New Roman" w:hAnsi="Times New Roman" w:cs="Times New Roman"/>
          <w:sz w:val="24"/>
          <w:szCs w:val="24"/>
        </w:rPr>
        <w:t xml:space="preserve">same </w:t>
      </w:r>
      <w:r w:rsidR="00E425F7" w:rsidRPr="0065228D">
        <w:rPr>
          <w:rFonts w:ascii="Times New Roman" w:hAnsi="Times New Roman" w:cs="Times New Roman"/>
          <w:sz w:val="24"/>
          <w:szCs w:val="24"/>
        </w:rPr>
        <w:t xml:space="preserve">amounts of system spillovers </w:t>
      </w:r>
      <w:r w:rsidR="00460BD0" w:rsidRPr="0065228D">
        <w:rPr>
          <w:rFonts w:ascii="Times New Roman" w:hAnsi="Times New Roman" w:cs="Times New Roman"/>
          <w:sz w:val="24"/>
          <w:szCs w:val="24"/>
        </w:rPr>
        <w:t xml:space="preserve">as the </w:t>
      </w:r>
      <w:r w:rsidR="00E425F7" w:rsidRPr="0065228D">
        <w:rPr>
          <w:rFonts w:ascii="Times New Roman" w:hAnsi="Times New Roman" w:cs="Times New Roman"/>
          <w:sz w:val="24"/>
          <w:szCs w:val="24"/>
        </w:rPr>
        <w:t xml:space="preserve">interconnectedness </w:t>
      </w:r>
      <w:r w:rsidR="008C296A">
        <w:rPr>
          <w:rFonts w:ascii="Times New Roman" w:hAnsi="Times New Roman" w:cs="Times New Roman"/>
          <w:sz w:val="24"/>
          <w:szCs w:val="24"/>
        </w:rPr>
        <w:t xml:space="preserve">shown by </w:t>
      </w:r>
      <w:r w:rsidR="00BD3E70">
        <w:rPr>
          <w:rFonts w:ascii="Times New Roman" w:hAnsi="Times New Roman" w:cs="Times New Roman"/>
          <w:sz w:val="24"/>
          <w:szCs w:val="24"/>
        </w:rPr>
        <w:t xml:space="preserve">the </w:t>
      </w:r>
      <w:r w:rsidR="008C296A">
        <w:rPr>
          <w:rFonts w:ascii="Times New Roman" w:hAnsi="Times New Roman" w:cs="Times New Roman"/>
          <w:sz w:val="24"/>
          <w:szCs w:val="24"/>
        </w:rPr>
        <w:t>last column ‘</w:t>
      </w:r>
      <w:r w:rsidR="008C296A" w:rsidRPr="008C296A">
        <w:rPr>
          <w:rFonts w:ascii="Times New Roman" w:hAnsi="Times New Roman" w:cs="Times New Roman"/>
          <w:i/>
          <w:sz w:val="24"/>
          <w:szCs w:val="24"/>
        </w:rPr>
        <w:t>From</w:t>
      </w:r>
      <w:r w:rsidR="008C296A">
        <w:rPr>
          <w:rFonts w:ascii="Times New Roman" w:hAnsi="Times New Roman" w:cs="Times New Roman"/>
          <w:sz w:val="24"/>
          <w:szCs w:val="24"/>
        </w:rPr>
        <w:t>’</w:t>
      </w:r>
      <w:r w:rsidR="00460BD0" w:rsidRPr="0065228D">
        <w:rPr>
          <w:rFonts w:ascii="Times New Roman" w:hAnsi="Times New Roman" w:cs="Times New Roman"/>
          <w:sz w:val="24"/>
          <w:szCs w:val="24"/>
        </w:rPr>
        <w:t xml:space="preserve"> </w:t>
      </w:r>
      <w:r w:rsidR="00E425F7" w:rsidRPr="0065228D">
        <w:rPr>
          <w:rFonts w:ascii="Times New Roman" w:hAnsi="Times New Roman" w:cs="Times New Roman"/>
          <w:sz w:val="24"/>
          <w:szCs w:val="24"/>
        </w:rPr>
        <w:t>for all assets</w:t>
      </w:r>
      <w:r w:rsidR="00163242">
        <w:rPr>
          <w:rFonts w:ascii="Times New Roman" w:hAnsi="Times New Roman" w:cs="Times New Roman"/>
          <w:sz w:val="24"/>
          <w:szCs w:val="24"/>
        </w:rPr>
        <w:t>’</w:t>
      </w:r>
      <w:r w:rsidR="00E425F7" w:rsidRPr="0065228D">
        <w:rPr>
          <w:rFonts w:ascii="Times New Roman" w:hAnsi="Times New Roman" w:cs="Times New Roman"/>
          <w:sz w:val="24"/>
          <w:szCs w:val="24"/>
        </w:rPr>
        <w:t xml:space="preserve"> ranges between 88.55% and 90.31</w:t>
      </w:r>
      <w:r w:rsidR="00B639DD" w:rsidRPr="0065228D">
        <w:rPr>
          <w:rFonts w:ascii="Times New Roman" w:hAnsi="Times New Roman" w:cs="Times New Roman"/>
          <w:sz w:val="24"/>
          <w:szCs w:val="24"/>
        </w:rPr>
        <w:t xml:space="preserve">%. </w:t>
      </w:r>
      <w:r w:rsidR="00844560" w:rsidRPr="0065228D">
        <w:rPr>
          <w:rFonts w:ascii="Times New Roman" w:hAnsi="Times New Roman" w:cs="Times New Roman"/>
          <w:sz w:val="24"/>
          <w:szCs w:val="24"/>
        </w:rPr>
        <w:t>Our research also reveals that</w:t>
      </w:r>
      <w:r w:rsidR="00BD3E70">
        <w:rPr>
          <w:rFonts w:ascii="Times New Roman" w:hAnsi="Times New Roman" w:cs="Times New Roman"/>
          <w:sz w:val="24"/>
          <w:szCs w:val="24"/>
        </w:rPr>
        <w:t>,</w:t>
      </w:r>
      <w:r w:rsidR="00844560" w:rsidRPr="0065228D">
        <w:rPr>
          <w:rFonts w:ascii="Times New Roman" w:hAnsi="Times New Roman" w:cs="Times New Roman"/>
          <w:sz w:val="24"/>
          <w:szCs w:val="24"/>
        </w:rPr>
        <w:t xml:space="preserve"> at the lower extreme quantile, stock, bonds, and REIT are clearly the biggest net transmitters of spillovers, whilst LRC tokens, </w:t>
      </w:r>
      <w:r w:rsidR="0032685F">
        <w:rPr>
          <w:rFonts w:ascii="Times New Roman" w:hAnsi="Times New Roman" w:cs="Times New Roman"/>
          <w:sz w:val="24"/>
          <w:szCs w:val="24"/>
        </w:rPr>
        <w:t>O</w:t>
      </w:r>
      <w:r w:rsidR="00037A5A" w:rsidRPr="0065228D">
        <w:rPr>
          <w:rFonts w:ascii="Times New Roman" w:hAnsi="Times New Roman" w:cs="Times New Roman"/>
          <w:sz w:val="24"/>
          <w:szCs w:val="24"/>
        </w:rPr>
        <w:t>il</w:t>
      </w:r>
      <w:r w:rsidR="00844560" w:rsidRPr="0065228D">
        <w:rPr>
          <w:rFonts w:ascii="Times New Roman" w:hAnsi="Times New Roman" w:cs="Times New Roman"/>
          <w:sz w:val="24"/>
          <w:szCs w:val="24"/>
        </w:rPr>
        <w:t xml:space="preserve">, and the USD </w:t>
      </w:r>
      <w:r w:rsidR="004274D3">
        <w:rPr>
          <w:rFonts w:ascii="Times New Roman" w:hAnsi="Times New Roman" w:cs="Times New Roman"/>
          <w:sz w:val="24"/>
          <w:szCs w:val="24"/>
        </w:rPr>
        <w:t>I</w:t>
      </w:r>
      <w:r w:rsidR="00844560" w:rsidRPr="0065228D">
        <w:rPr>
          <w:rFonts w:ascii="Times New Roman" w:hAnsi="Times New Roman" w:cs="Times New Roman"/>
          <w:sz w:val="24"/>
          <w:szCs w:val="24"/>
        </w:rPr>
        <w:t>ndex are significantly the biggest net receivers. This</w:t>
      </w:r>
      <w:r w:rsidR="00E425F7" w:rsidRPr="0065228D">
        <w:rPr>
          <w:rFonts w:ascii="Times New Roman" w:hAnsi="Times New Roman" w:cs="Times New Roman"/>
          <w:sz w:val="24"/>
          <w:szCs w:val="24"/>
        </w:rPr>
        <w:t xml:space="preserve"> </w:t>
      </w:r>
      <w:r w:rsidR="001F420D" w:rsidRPr="0065228D">
        <w:rPr>
          <w:rFonts w:ascii="Times New Roman" w:hAnsi="Times New Roman" w:cs="Times New Roman"/>
          <w:sz w:val="24"/>
          <w:szCs w:val="24"/>
        </w:rPr>
        <w:t>is consistent with the findings of Cho</w:t>
      </w:r>
      <w:r w:rsidR="00143D67" w:rsidRPr="0065228D">
        <w:rPr>
          <w:rFonts w:ascii="Times New Roman" w:hAnsi="Times New Roman" w:cs="Times New Roman"/>
          <w:sz w:val="24"/>
          <w:szCs w:val="24"/>
        </w:rPr>
        <w:t xml:space="preserve"> et al. </w:t>
      </w:r>
      <w:r w:rsidR="001F420D" w:rsidRPr="0065228D">
        <w:rPr>
          <w:rFonts w:ascii="Times New Roman" w:hAnsi="Times New Roman" w:cs="Times New Roman"/>
          <w:sz w:val="24"/>
          <w:szCs w:val="24"/>
        </w:rPr>
        <w:t>(2016)</w:t>
      </w:r>
      <w:r w:rsidR="002B548D">
        <w:rPr>
          <w:rFonts w:ascii="Times New Roman" w:hAnsi="Times New Roman" w:cs="Times New Roman"/>
          <w:sz w:val="24"/>
          <w:szCs w:val="24"/>
        </w:rPr>
        <w:t xml:space="preserve"> </w:t>
      </w:r>
      <w:r w:rsidR="001F420D" w:rsidRPr="0065228D">
        <w:rPr>
          <w:rFonts w:ascii="Times New Roman" w:hAnsi="Times New Roman" w:cs="Times New Roman"/>
          <w:sz w:val="24"/>
          <w:szCs w:val="24"/>
        </w:rPr>
        <w:t xml:space="preserve">and Baur and Lucey, (2010), who </w:t>
      </w:r>
      <w:r w:rsidR="00E063A1">
        <w:rPr>
          <w:rFonts w:ascii="Times New Roman" w:hAnsi="Times New Roman" w:cs="Times New Roman"/>
          <w:sz w:val="24"/>
          <w:szCs w:val="24"/>
        </w:rPr>
        <w:t xml:space="preserve">discussed </w:t>
      </w:r>
      <w:r w:rsidR="001F420D" w:rsidRPr="0065228D">
        <w:rPr>
          <w:rFonts w:ascii="Times New Roman" w:hAnsi="Times New Roman" w:cs="Times New Roman"/>
          <w:sz w:val="24"/>
          <w:szCs w:val="24"/>
        </w:rPr>
        <w:t xml:space="preserve">the </w:t>
      </w:r>
      <w:r w:rsidR="008C296A">
        <w:rPr>
          <w:rFonts w:ascii="Times New Roman" w:hAnsi="Times New Roman" w:cs="Times New Roman"/>
          <w:sz w:val="24"/>
          <w:szCs w:val="24"/>
        </w:rPr>
        <w:t>"flights</w:t>
      </w:r>
      <w:r w:rsidR="00E425F7" w:rsidRPr="0065228D">
        <w:rPr>
          <w:rFonts w:ascii="Times New Roman" w:hAnsi="Times New Roman" w:cs="Times New Roman"/>
          <w:sz w:val="24"/>
          <w:szCs w:val="24"/>
        </w:rPr>
        <w:t xml:space="preserve"> to quality</w:t>
      </w:r>
      <w:r w:rsidR="001F420D" w:rsidRPr="0065228D">
        <w:rPr>
          <w:rFonts w:ascii="Times New Roman" w:hAnsi="Times New Roman" w:cs="Times New Roman"/>
          <w:sz w:val="24"/>
          <w:szCs w:val="24"/>
        </w:rPr>
        <w:t>” phenomen</w:t>
      </w:r>
      <w:r w:rsidR="00D85D56">
        <w:rPr>
          <w:rFonts w:ascii="Times New Roman" w:hAnsi="Times New Roman" w:cs="Times New Roman"/>
          <w:sz w:val="24"/>
          <w:szCs w:val="24"/>
        </w:rPr>
        <w:t>on</w:t>
      </w:r>
      <w:r w:rsidR="001F420D" w:rsidRPr="0065228D">
        <w:rPr>
          <w:rFonts w:ascii="Times New Roman" w:hAnsi="Times New Roman" w:cs="Times New Roman"/>
          <w:sz w:val="24"/>
          <w:szCs w:val="24"/>
        </w:rPr>
        <w:t xml:space="preserve"> which occur</w:t>
      </w:r>
      <w:r w:rsidR="00D85D56">
        <w:rPr>
          <w:rFonts w:ascii="Times New Roman" w:hAnsi="Times New Roman" w:cs="Times New Roman"/>
          <w:sz w:val="24"/>
          <w:szCs w:val="24"/>
        </w:rPr>
        <w:t>s</w:t>
      </w:r>
      <w:r w:rsidR="001F420D" w:rsidRPr="0065228D">
        <w:rPr>
          <w:rFonts w:ascii="Times New Roman" w:hAnsi="Times New Roman" w:cs="Times New Roman"/>
          <w:sz w:val="24"/>
          <w:szCs w:val="24"/>
        </w:rPr>
        <w:t xml:space="preserve"> </w:t>
      </w:r>
      <w:r w:rsidR="00E425F7" w:rsidRPr="0065228D">
        <w:rPr>
          <w:rFonts w:ascii="Times New Roman" w:hAnsi="Times New Roman" w:cs="Times New Roman"/>
          <w:sz w:val="24"/>
          <w:szCs w:val="24"/>
        </w:rPr>
        <w:t>when investors transfer funds during down</w:t>
      </w:r>
      <w:r w:rsidR="00D85D56">
        <w:rPr>
          <w:rFonts w:ascii="Times New Roman" w:hAnsi="Times New Roman" w:cs="Times New Roman"/>
          <w:sz w:val="24"/>
          <w:szCs w:val="24"/>
        </w:rPr>
        <w:t>-</w:t>
      </w:r>
      <w:r w:rsidR="00E425F7" w:rsidRPr="0065228D">
        <w:rPr>
          <w:rFonts w:ascii="Times New Roman" w:hAnsi="Times New Roman" w:cs="Times New Roman"/>
          <w:sz w:val="24"/>
          <w:szCs w:val="24"/>
        </w:rPr>
        <w:t>market conditions from riskier assets to safer ones</w:t>
      </w:r>
      <w:r w:rsidR="001F420D" w:rsidRPr="0065228D">
        <w:rPr>
          <w:rFonts w:ascii="Times New Roman" w:hAnsi="Times New Roman" w:cs="Times New Roman"/>
          <w:sz w:val="24"/>
          <w:szCs w:val="24"/>
        </w:rPr>
        <w:t>.</w:t>
      </w:r>
      <w:r w:rsidR="00E425F7" w:rsidRPr="0065228D">
        <w:rPr>
          <w:rFonts w:ascii="Times New Roman" w:hAnsi="Times New Roman" w:cs="Times New Roman"/>
          <w:sz w:val="24"/>
          <w:szCs w:val="24"/>
        </w:rPr>
        <w:t xml:space="preserve"> </w:t>
      </w:r>
    </w:p>
    <w:p w14:paraId="3458A4DD" w14:textId="3D034260" w:rsidR="008A2304" w:rsidRPr="0065228D" w:rsidRDefault="00E063A1" w:rsidP="00E063A1">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DA0738" w:rsidRPr="0065228D">
        <w:rPr>
          <w:rFonts w:ascii="Times New Roman" w:hAnsi="Times New Roman" w:cs="Times New Roman"/>
          <w:sz w:val="24"/>
          <w:szCs w:val="24"/>
        </w:rPr>
        <w:t>[Table 5 here]</w:t>
      </w:r>
    </w:p>
    <w:p w14:paraId="2D8D4A84" w14:textId="74006037" w:rsidR="00B639DD" w:rsidRPr="0065228D" w:rsidRDefault="001F420D" w:rsidP="00812C37">
      <w:pPr>
        <w:spacing w:line="360" w:lineRule="auto"/>
        <w:ind w:firstLine="720"/>
        <w:contextualSpacing/>
        <w:jc w:val="both"/>
        <w:rPr>
          <w:rFonts w:ascii="Times New Roman" w:hAnsi="Times New Roman" w:cs="Times New Roman"/>
          <w:sz w:val="24"/>
          <w:szCs w:val="24"/>
        </w:rPr>
      </w:pPr>
      <w:r w:rsidRPr="0065228D">
        <w:rPr>
          <w:rFonts w:ascii="Times New Roman" w:hAnsi="Times New Roman" w:cs="Times New Roman"/>
          <w:sz w:val="24"/>
          <w:szCs w:val="24"/>
        </w:rPr>
        <w:t>O</w:t>
      </w:r>
      <w:r w:rsidR="00B639DD" w:rsidRPr="0065228D">
        <w:rPr>
          <w:rFonts w:ascii="Times New Roman" w:hAnsi="Times New Roman" w:cs="Times New Roman"/>
          <w:sz w:val="24"/>
          <w:szCs w:val="24"/>
        </w:rPr>
        <w:t>ur findings suggest that the DEX and CEX tokens contributed more to the system</w:t>
      </w:r>
      <w:r w:rsidRPr="0065228D">
        <w:rPr>
          <w:rFonts w:ascii="Times New Roman" w:hAnsi="Times New Roman" w:cs="Times New Roman"/>
          <w:sz w:val="24"/>
          <w:szCs w:val="24"/>
        </w:rPr>
        <w:t xml:space="preserve"> at the </w:t>
      </w:r>
      <w:r w:rsidR="00844560" w:rsidRPr="0065228D">
        <w:rPr>
          <w:rFonts w:ascii="Times New Roman" w:hAnsi="Times New Roman" w:cs="Times New Roman"/>
          <w:sz w:val="24"/>
          <w:szCs w:val="24"/>
        </w:rPr>
        <w:t xml:space="preserve">upper </w:t>
      </w:r>
      <w:r w:rsidRPr="0065228D">
        <w:rPr>
          <w:rFonts w:ascii="Times New Roman" w:hAnsi="Times New Roman" w:cs="Times New Roman"/>
          <w:sz w:val="24"/>
          <w:szCs w:val="24"/>
        </w:rPr>
        <w:t>extreme quantile</w:t>
      </w:r>
      <w:r w:rsidR="00D21AE4" w:rsidRPr="0065228D">
        <w:rPr>
          <w:rFonts w:ascii="Times New Roman" w:hAnsi="Times New Roman" w:cs="Times New Roman"/>
          <w:sz w:val="24"/>
          <w:szCs w:val="24"/>
        </w:rPr>
        <w:t xml:space="preserve">. </w:t>
      </w:r>
      <w:r w:rsidR="00844560" w:rsidRPr="0065228D">
        <w:rPr>
          <w:rFonts w:ascii="Times New Roman" w:hAnsi="Times New Roman" w:cs="Times New Roman"/>
          <w:sz w:val="24"/>
          <w:szCs w:val="24"/>
        </w:rPr>
        <w:t>It is evident from t</w:t>
      </w:r>
      <w:r w:rsidR="00D21AE4" w:rsidRPr="0065228D">
        <w:rPr>
          <w:rFonts w:ascii="Times New Roman" w:hAnsi="Times New Roman" w:cs="Times New Roman"/>
          <w:sz w:val="24"/>
          <w:szCs w:val="24"/>
        </w:rPr>
        <w:t>he results in</w:t>
      </w:r>
      <w:r w:rsidRPr="0065228D">
        <w:rPr>
          <w:rFonts w:ascii="Times New Roman" w:hAnsi="Times New Roman" w:cs="Times New Roman"/>
          <w:sz w:val="24"/>
          <w:szCs w:val="24"/>
        </w:rPr>
        <w:t xml:space="preserve"> </w:t>
      </w:r>
      <w:r w:rsidR="00B639DD" w:rsidRPr="0065228D">
        <w:rPr>
          <w:rFonts w:ascii="Times New Roman" w:hAnsi="Times New Roman" w:cs="Times New Roman"/>
          <w:sz w:val="24"/>
          <w:szCs w:val="24"/>
        </w:rPr>
        <w:t>Table 6 that the BNB and FTT tokens contributed the most spillovers to the system (110.60</w:t>
      </w:r>
      <w:r w:rsidR="008C296A">
        <w:rPr>
          <w:rFonts w:ascii="Times New Roman" w:hAnsi="Times New Roman" w:cs="Times New Roman"/>
          <w:sz w:val="24"/>
          <w:szCs w:val="24"/>
        </w:rPr>
        <w:t>%</w:t>
      </w:r>
      <w:r w:rsidR="00B639DD" w:rsidRPr="0065228D">
        <w:rPr>
          <w:rFonts w:ascii="Times New Roman" w:hAnsi="Times New Roman" w:cs="Times New Roman"/>
          <w:sz w:val="24"/>
          <w:szCs w:val="24"/>
        </w:rPr>
        <w:t xml:space="preserve"> and 106.74%, respectively).</w:t>
      </w:r>
      <w:r w:rsidR="008C296A">
        <w:rPr>
          <w:rFonts w:ascii="Times New Roman" w:hAnsi="Times New Roman" w:cs="Times New Roman"/>
          <w:sz w:val="24"/>
          <w:szCs w:val="24"/>
        </w:rPr>
        <w:t xml:space="preserve"> Both tokens are CEX tokens, and their influential power is substantially higher </w:t>
      </w:r>
      <w:r w:rsidR="00DC6319">
        <w:rPr>
          <w:rFonts w:ascii="Times New Roman" w:hAnsi="Times New Roman" w:cs="Times New Roman"/>
          <w:sz w:val="24"/>
          <w:szCs w:val="24"/>
        </w:rPr>
        <w:t>than that</w:t>
      </w:r>
      <w:r w:rsidR="008C296A">
        <w:rPr>
          <w:rFonts w:ascii="Times New Roman" w:hAnsi="Times New Roman" w:cs="Times New Roman"/>
          <w:sz w:val="24"/>
          <w:szCs w:val="24"/>
        </w:rPr>
        <w:t xml:space="preserve"> of the DEX tokens, which contribute less to </w:t>
      </w:r>
      <w:r w:rsidR="00D85D56">
        <w:rPr>
          <w:rFonts w:ascii="Times New Roman" w:hAnsi="Times New Roman" w:cs="Times New Roman"/>
          <w:sz w:val="24"/>
          <w:szCs w:val="24"/>
        </w:rPr>
        <w:t xml:space="preserve">the </w:t>
      </w:r>
      <w:r w:rsidR="008C296A">
        <w:rPr>
          <w:rFonts w:ascii="Times New Roman" w:hAnsi="Times New Roman" w:cs="Times New Roman"/>
          <w:sz w:val="24"/>
          <w:szCs w:val="24"/>
        </w:rPr>
        <w:t>system.</w:t>
      </w:r>
      <w:r w:rsidR="00F56918" w:rsidRPr="0065228D">
        <w:t xml:space="preserve"> </w:t>
      </w:r>
      <w:r w:rsidR="00815774">
        <w:rPr>
          <w:rFonts w:ascii="Times New Roman" w:hAnsi="Times New Roman" w:cs="Times New Roman"/>
          <w:sz w:val="24"/>
          <w:szCs w:val="24"/>
        </w:rPr>
        <w:t>LEO</w:t>
      </w:r>
      <w:r w:rsidR="008C296A">
        <w:rPr>
          <w:rFonts w:ascii="Times New Roman" w:hAnsi="Times New Roman" w:cs="Times New Roman"/>
          <w:sz w:val="24"/>
          <w:szCs w:val="24"/>
        </w:rPr>
        <w:t xml:space="preserve"> is yet again an exception, and</w:t>
      </w:r>
      <w:r w:rsidR="00D85D56">
        <w:rPr>
          <w:rFonts w:ascii="Times New Roman" w:hAnsi="Times New Roman" w:cs="Times New Roman"/>
          <w:sz w:val="24"/>
          <w:szCs w:val="24"/>
        </w:rPr>
        <w:t>,</w:t>
      </w:r>
      <w:r w:rsidR="008C296A">
        <w:rPr>
          <w:rFonts w:ascii="Times New Roman" w:hAnsi="Times New Roman" w:cs="Times New Roman"/>
          <w:sz w:val="24"/>
          <w:szCs w:val="24"/>
        </w:rPr>
        <w:t xml:space="preserve"> </w:t>
      </w:r>
      <w:proofErr w:type="gramStart"/>
      <w:r w:rsidR="008C296A">
        <w:rPr>
          <w:rFonts w:ascii="Times New Roman" w:hAnsi="Times New Roman" w:cs="Times New Roman"/>
          <w:sz w:val="24"/>
          <w:szCs w:val="24"/>
        </w:rPr>
        <w:t>similar to</w:t>
      </w:r>
      <w:proofErr w:type="gramEnd"/>
      <w:r w:rsidR="008C296A">
        <w:rPr>
          <w:rFonts w:ascii="Times New Roman" w:hAnsi="Times New Roman" w:cs="Times New Roman"/>
          <w:sz w:val="24"/>
          <w:szCs w:val="24"/>
        </w:rPr>
        <w:t xml:space="preserve"> the results reported earlier,</w:t>
      </w:r>
      <w:r w:rsidR="00815774">
        <w:rPr>
          <w:rFonts w:ascii="Times New Roman" w:hAnsi="Times New Roman" w:cs="Times New Roman"/>
          <w:sz w:val="24"/>
          <w:szCs w:val="24"/>
        </w:rPr>
        <w:t xml:space="preserve"> this CEX token</w:t>
      </w:r>
      <w:r w:rsidR="00E063A1">
        <w:rPr>
          <w:rFonts w:ascii="Times New Roman" w:hAnsi="Times New Roman" w:cs="Times New Roman"/>
          <w:sz w:val="24"/>
          <w:szCs w:val="24"/>
        </w:rPr>
        <w:t xml:space="preserve"> </w:t>
      </w:r>
      <w:r w:rsidR="0023093D">
        <w:rPr>
          <w:rFonts w:ascii="Times New Roman" w:hAnsi="Times New Roman" w:cs="Times New Roman"/>
          <w:sz w:val="24"/>
          <w:szCs w:val="24"/>
        </w:rPr>
        <w:t xml:space="preserve">is </w:t>
      </w:r>
      <w:r w:rsidR="00E063A1">
        <w:rPr>
          <w:rFonts w:ascii="Times New Roman" w:hAnsi="Times New Roman" w:cs="Times New Roman"/>
          <w:sz w:val="24"/>
          <w:szCs w:val="24"/>
        </w:rPr>
        <w:t>the biggest net spillo</w:t>
      </w:r>
      <w:r w:rsidR="00F56918" w:rsidRPr="0065228D">
        <w:rPr>
          <w:rFonts w:ascii="Times New Roman" w:hAnsi="Times New Roman" w:cs="Times New Roman"/>
          <w:sz w:val="24"/>
          <w:szCs w:val="24"/>
        </w:rPr>
        <w:t>ver</w:t>
      </w:r>
      <w:r w:rsidR="00D21AE4" w:rsidRPr="0065228D">
        <w:rPr>
          <w:rFonts w:ascii="Times New Roman" w:hAnsi="Times New Roman" w:cs="Times New Roman"/>
          <w:sz w:val="24"/>
          <w:szCs w:val="24"/>
        </w:rPr>
        <w:t xml:space="preserve"> recipient</w:t>
      </w:r>
      <w:r w:rsidR="00F56918" w:rsidRPr="0065228D">
        <w:rPr>
          <w:rFonts w:ascii="Times New Roman" w:hAnsi="Times New Roman" w:cs="Times New Roman"/>
          <w:sz w:val="24"/>
          <w:szCs w:val="24"/>
        </w:rPr>
        <w:t xml:space="preserve">. </w:t>
      </w:r>
      <w:r w:rsidR="00D21AE4" w:rsidRPr="0065228D">
        <w:rPr>
          <w:rFonts w:ascii="Times New Roman" w:hAnsi="Times New Roman" w:cs="Times New Roman"/>
          <w:sz w:val="24"/>
          <w:szCs w:val="24"/>
        </w:rPr>
        <w:t>W</w:t>
      </w:r>
      <w:r w:rsidR="00B639DD" w:rsidRPr="0065228D">
        <w:rPr>
          <w:rFonts w:ascii="Times New Roman" w:hAnsi="Times New Roman" w:cs="Times New Roman"/>
          <w:sz w:val="24"/>
          <w:szCs w:val="24"/>
        </w:rPr>
        <w:t xml:space="preserve">e find that all </w:t>
      </w:r>
      <w:r w:rsidR="00D21AE4" w:rsidRPr="0065228D">
        <w:rPr>
          <w:rFonts w:ascii="Times New Roman" w:hAnsi="Times New Roman" w:cs="Times New Roman"/>
          <w:sz w:val="24"/>
          <w:szCs w:val="24"/>
        </w:rPr>
        <w:t>assets</w:t>
      </w:r>
      <w:r w:rsidR="00B639DD" w:rsidRPr="0065228D">
        <w:rPr>
          <w:rFonts w:ascii="Times New Roman" w:hAnsi="Times New Roman" w:cs="Times New Roman"/>
          <w:sz w:val="24"/>
          <w:szCs w:val="24"/>
        </w:rPr>
        <w:t xml:space="preserve"> experience almost the same amounts of system spillovers, </w:t>
      </w:r>
      <w:r w:rsidR="0023093D">
        <w:rPr>
          <w:rFonts w:ascii="Times New Roman" w:hAnsi="Times New Roman" w:cs="Times New Roman"/>
          <w:sz w:val="24"/>
          <w:szCs w:val="24"/>
        </w:rPr>
        <w:t xml:space="preserve">because, </w:t>
      </w:r>
      <w:r w:rsidR="00B639DD" w:rsidRPr="0065228D">
        <w:rPr>
          <w:rFonts w:ascii="Times New Roman" w:hAnsi="Times New Roman" w:cs="Times New Roman"/>
          <w:sz w:val="24"/>
          <w:szCs w:val="24"/>
        </w:rPr>
        <w:t>as</w:t>
      </w:r>
      <w:r w:rsidR="00815774">
        <w:rPr>
          <w:rFonts w:ascii="Times New Roman" w:hAnsi="Times New Roman" w:cs="Times New Roman"/>
          <w:sz w:val="24"/>
          <w:szCs w:val="24"/>
        </w:rPr>
        <w:t xml:space="preserve"> shown in the last column ‘</w:t>
      </w:r>
      <w:r w:rsidR="00815774" w:rsidRPr="00A24EE5">
        <w:rPr>
          <w:rFonts w:ascii="Times New Roman" w:hAnsi="Times New Roman" w:cs="Times New Roman"/>
          <w:i/>
          <w:iCs/>
          <w:sz w:val="24"/>
          <w:szCs w:val="24"/>
        </w:rPr>
        <w:t>From</w:t>
      </w:r>
      <w:r w:rsidR="00815774">
        <w:rPr>
          <w:rFonts w:ascii="Times New Roman" w:hAnsi="Times New Roman" w:cs="Times New Roman"/>
          <w:sz w:val="24"/>
          <w:szCs w:val="24"/>
        </w:rPr>
        <w:t>’</w:t>
      </w:r>
      <w:r w:rsidR="00D21AE4" w:rsidRPr="0065228D">
        <w:rPr>
          <w:rFonts w:ascii="Times New Roman" w:hAnsi="Times New Roman" w:cs="Times New Roman"/>
          <w:sz w:val="24"/>
          <w:szCs w:val="24"/>
        </w:rPr>
        <w:t>, the</w:t>
      </w:r>
      <w:r w:rsidR="00B639DD" w:rsidRPr="0065228D">
        <w:rPr>
          <w:rFonts w:ascii="Times New Roman" w:hAnsi="Times New Roman" w:cs="Times New Roman"/>
          <w:sz w:val="24"/>
          <w:szCs w:val="24"/>
        </w:rPr>
        <w:t xml:space="preserve"> connectedness rang</w:t>
      </w:r>
      <w:r w:rsidR="0023093D">
        <w:rPr>
          <w:rFonts w:ascii="Times New Roman" w:hAnsi="Times New Roman" w:cs="Times New Roman"/>
          <w:sz w:val="24"/>
          <w:szCs w:val="24"/>
        </w:rPr>
        <w:t>es</w:t>
      </w:r>
      <w:r w:rsidR="00B639DD" w:rsidRPr="0065228D">
        <w:rPr>
          <w:rFonts w:ascii="Times New Roman" w:hAnsi="Times New Roman" w:cs="Times New Roman"/>
          <w:sz w:val="24"/>
          <w:szCs w:val="24"/>
        </w:rPr>
        <w:t xml:space="preserve"> between 86.39% and 90.16</w:t>
      </w:r>
      <w:r w:rsidR="00F56918" w:rsidRPr="0065228D">
        <w:rPr>
          <w:rFonts w:ascii="Times New Roman" w:hAnsi="Times New Roman" w:cs="Times New Roman"/>
          <w:sz w:val="24"/>
          <w:szCs w:val="24"/>
        </w:rPr>
        <w:t>%.</w:t>
      </w:r>
      <w:r w:rsidR="00D21AE4" w:rsidRPr="0065228D">
        <w:t xml:space="preserve"> </w:t>
      </w:r>
      <w:r w:rsidR="00D21AE4" w:rsidRPr="0065228D">
        <w:rPr>
          <w:rFonts w:ascii="Times New Roman" w:hAnsi="Times New Roman" w:cs="Times New Roman"/>
          <w:sz w:val="24"/>
          <w:szCs w:val="24"/>
        </w:rPr>
        <w:t xml:space="preserve">The greater degree of interconnectedness at </w:t>
      </w:r>
      <w:r w:rsidR="006B43E8">
        <w:rPr>
          <w:rFonts w:ascii="Times New Roman" w:hAnsi="Times New Roman" w:cs="Times New Roman"/>
          <w:sz w:val="24"/>
          <w:szCs w:val="24"/>
        </w:rPr>
        <w:t xml:space="preserve">the </w:t>
      </w:r>
      <w:r w:rsidR="00D21AE4" w:rsidRPr="0065228D">
        <w:rPr>
          <w:rFonts w:ascii="Times New Roman" w:hAnsi="Times New Roman" w:cs="Times New Roman"/>
          <w:sz w:val="24"/>
          <w:szCs w:val="24"/>
        </w:rPr>
        <w:t>extreme</w:t>
      </w:r>
      <w:r w:rsidR="00844560" w:rsidRPr="0065228D">
        <w:rPr>
          <w:rFonts w:ascii="Times New Roman" w:hAnsi="Times New Roman" w:cs="Times New Roman"/>
          <w:sz w:val="24"/>
          <w:szCs w:val="24"/>
        </w:rPr>
        <w:t xml:space="preserve"> upper and extreme lower</w:t>
      </w:r>
      <w:r w:rsidR="00D21AE4" w:rsidRPr="0065228D">
        <w:rPr>
          <w:rFonts w:ascii="Times New Roman" w:hAnsi="Times New Roman" w:cs="Times New Roman"/>
          <w:sz w:val="24"/>
          <w:szCs w:val="24"/>
        </w:rPr>
        <w:t xml:space="preserve"> quantiles </w:t>
      </w:r>
      <w:r w:rsidR="00844560" w:rsidRPr="0065228D">
        <w:rPr>
          <w:rFonts w:ascii="Times New Roman" w:hAnsi="Times New Roman" w:cs="Times New Roman"/>
          <w:sz w:val="24"/>
          <w:szCs w:val="24"/>
        </w:rPr>
        <w:t>corroborate</w:t>
      </w:r>
      <w:r w:rsidR="00AE1718">
        <w:rPr>
          <w:rFonts w:ascii="Times New Roman" w:hAnsi="Times New Roman" w:cs="Times New Roman"/>
          <w:sz w:val="24"/>
          <w:szCs w:val="24"/>
        </w:rPr>
        <w:t>s</w:t>
      </w:r>
      <w:r w:rsidR="00D21AE4" w:rsidRPr="0065228D">
        <w:rPr>
          <w:rFonts w:ascii="Times New Roman" w:hAnsi="Times New Roman" w:cs="Times New Roman"/>
          <w:sz w:val="24"/>
          <w:szCs w:val="24"/>
        </w:rPr>
        <w:t xml:space="preserve"> </w:t>
      </w:r>
      <w:r w:rsidR="00844560" w:rsidRPr="0065228D">
        <w:rPr>
          <w:rFonts w:ascii="Times New Roman" w:hAnsi="Times New Roman" w:cs="Times New Roman"/>
          <w:sz w:val="24"/>
          <w:szCs w:val="24"/>
        </w:rPr>
        <w:t>the</w:t>
      </w:r>
      <w:r w:rsidR="00D21AE4" w:rsidRPr="0065228D">
        <w:rPr>
          <w:rFonts w:ascii="Times New Roman" w:hAnsi="Times New Roman" w:cs="Times New Roman"/>
          <w:sz w:val="24"/>
          <w:szCs w:val="24"/>
        </w:rPr>
        <w:t xml:space="preserve"> earlier research demonstrating a rise in financial contagion during extreme market situations (Farid et al</w:t>
      </w:r>
      <w:r w:rsidR="00AE1718">
        <w:rPr>
          <w:rFonts w:ascii="Times New Roman" w:hAnsi="Times New Roman" w:cs="Times New Roman"/>
          <w:sz w:val="24"/>
          <w:szCs w:val="24"/>
        </w:rPr>
        <w:t>.</w:t>
      </w:r>
      <w:r w:rsidR="00D21AE4" w:rsidRPr="0065228D">
        <w:rPr>
          <w:rFonts w:ascii="Times New Roman" w:hAnsi="Times New Roman" w:cs="Times New Roman"/>
          <w:sz w:val="24"/>
          <w:szCs w:val="24"/>
        </w:rPr>
        <w:t>, 2022; Naeem et al</w:t>
      </w:r>
      <w:r w:rsidR="00AE1718">
        <w:rPr>
          <w:rFonts w:ascii="Times New Roman" w:hAnsi="Times New Roman" w:cs="Times New Roman"/>
          <w:sz w:val="24"/>
          <w:szCs w:val="24"/>
        </w:rPr>
        <w:t>.</w:t>
      </w:r>
      <w:r w:rsidR="00D21AE4" w:rsidRPr="0065228D">
        <w:rPr>
          <w:rFonts w:ascii="Times New Roman" w:hAnsi="Times New Roman" w:cs="Times New Roman"/>
          <w:sz w:val="24"/>
          <w:szCs w:val="24"/>
        </w:rPr>
        <w:t>, 2022; Pham et al</w:t>
      </w:r>
      <w:r w:rsidR="003563BF">
        <w:rPr>
          <w:rFonts w:ascii="Times New Roman" w:hAnsi="Times New Roman" w:cs="Times New Roman"/>
          <w:sz w:val="24"/>
          <w:szCs w:val="24"/>
        </w:rPr>
        <w:t>.</w:t>
      </w:r>
      <w:r w:rsidR="00AE1718">
        <w:rPr>
          <w:rFonts w:ascii="Times New Roman" w:hAnsi="Times New Roman" w:cs="Times New Roman"/>
          <w:sz w:val="24"/>
          <w:szCs w:val="24"/>
        </w:rPr>
        <w:t xml:space="preserve">, </w:t>
      </w:r>
      <w:r w:rsidR="00D21AE4" w:rsidRPr="0065228D">
        <w:rPr>
          <w:rFonts w:ascii="Times New Roman" w:hAnsi="Times New Roman" w:cs="Times New Roman"/>
          <w:sz w:val="24"/>
          <w:szCs w:val="24"/>
        </w:rPr>
        <w:t>2022).</w:t>
      </w:r>
      <w:r w:rsidR="00F56918" w:rsidRPr="0065228D">
        <w:t xml:space="preserve"> </w:t>
      </w:r>
    </w:p>
    <w:p w14:paraId="71BF315A" w14:textId="77777777" w:rsidR="00815774" w:rsidRDefault="00815774" w:rsidP="00DA0738">
      <w:pPr>
        <w:spacing w:line="360" w:lineRule="auto"/>
        <w:contextualSpacing/>
        <w:jc w:val="center"/>
        <w:rPr>
          <w:rFonts w:ascii="Times New Roman" w:hAnsi="Times New Roman" w:cs="Times New Roman"/>
          <w:sz w:val="24"/>
          <w:szCs w:val="24"/>
        </w:rPr>
      </w:pPr>
    </w:p>
    <w:p w14:paraId="61ECFA83" w14:textId="1E1A4B15" w:rsidR="00DA0738" w:rsidRPr="0065228D" w:rsidRDefault="00DA0738" w:rsidP="00DA0738">
      <w:pPr>
        <w:spacing w:line="360" w:lineRule="auto"/>
        <w:contextualSpacing/>
        <w:jc w:val="center"/>
        <w:rPr>
          <w:rFonts w:ascii="Times New Roman" w:hAnsi="Times New Roman" w:cs="Times New Roman"/>
          <w:sz w:val="24"/>
          <w:szCs w:val="24"/>
        </w:rPr>
      </w:pPr>
      <w:r w:rsidRPr="0065228D">
        <w:rPr>
          <w:rFonts w:ascii="Times New Roman" w:hAnsi="Times New Roman" w:cs="Times New Roman"/>
          <w:sz w:val="24"/>
          <w:szCs w:val="24"/>
        </w:rPr>
        <w:t>[Table 6 here]</w:t>
      </w:r>
    </w:p>
    <w:p w14:paraId="30F02D23" w14:textId="77777777" w:rsidR="00253838" w:rsidRPr="0065228D" w:rsidRDefault="00253838" w:rsidP="00F84F21">
      <w:pPr>
        <w:spacing w:line="360" w:lineRule="auto"/>
        <w:contextualSpacing/>
        <w:jc w:val="both"/>
        <w:rPr>
          <w:rFonts w:ascii="Times New Roman" w:hAnsi="Times New Roman" w:cs="Times New Roman"/>
          <w:sz w:val="24"/>
          <w:szCs w:val="24"/>
        </w:rPr>
      </w:pPr>
    </w:p>
    <w:p w14:paraId="51FC051B" w14:textId="0CE747C0" w:rsidR="002C1F3F" w:rsidRPr="0065228D" w:rsidRDefault="00DE063F" w:rsidP="00812C37">
      <w:pPr>
        <w:spacing w:line="360" w:lineRule="auto"/>
        <w:ind w:firstLine="720"/>
        <w:contextualSpacing/>
        <w:jc w:val="both"/>
        <w:rPr>
          <w:rFonts w:ascii="Times New Roman" w:hAnsi="Times New Roman" w:cs="Times New Roman"/>
          <w:sz w:val="24"/>
          <w:szCs w:val="24"/>
        </w:rPr>
      </w:pPr>
      <w:r w:rsidRPr="0065228D">
        <w:rPr>
          <w:rFonts w:ascii="Times New Roman" w:hAnsi="Times New Roman" w:cs="Times New Roman"/>
          <w:sz w:val="24"/>
          <w:szCs w:val="24"/>
        </w:rPr>
        <w:t>The</w:t>
      </w:r>
      <w:r w:rsidR="00253838" w:rsidRPr="0065228D">
        <w:rPr>
          <w:rFonts w:ascii="Times New Roman" w:hAnsi="Times New Roman" w:cs="Times New Roman"/>
          <w:sz w:val="24"/>
          <w:szCs w:val="24"/>
        </w:rPr>
        <w:t xml:space="preserve"> network of connectedness across the assets at the extreme </w:t>
      </w:r>
      <w:r w:rsidRPr="0065228D">
        <w:rPr>
          <w:rFonts w:ascii="Times New Roman" w:hAnsi="Times New Roman" w:cs="Times New Roman"/>
          <w:sz w:val="24"/>
          <w:szCs w:val="24"/>
        </w:rPr>
        <w:t>lower quantile is</w:t>
      </w:r>
      <w:r w:rsidR="00253838" w:rsidRPr="0065228D">
        <w:rPr>
          <w:rFonts w:ascii="Times New Roman" w:hAnsi="Times New Roman" w:cs="Times New Roman"/>
          <w:sz w:val="24"/>
          <w:szCs w:val="24"/>
        </w:rPr>
        <w:t xml:space="preserve"> shown in panel C and </w:t>
      </w:r>
      <w:r w:rsidRPr="0065228D">
        <w:rPr>
          <w:rFonts w:ascii="Times New Roman" w:hAnsi="Times New Roman" w:cs="Times New Roman"/>
          <w:sz w:val="24"/>
          <w:szCs w:val="24"/>
        </w:rPr>
        <w:t xml:space="preserve">at the extreme upper quantile is shown in panel </w:t>
      </w:r>
      <w:r w:rsidR="00253838" w:rsidRPr="0065228D">
        <w:rPr>
          <w:rFonts w:ascii="Times New Roman" w:hAnsi="Times New Roman" w:cs="Times New Roman"/>
          <w:sz w:val="24"/>
          <w:szCs w:val="24"/>
        </w:rPr>
        <w:t>D of Fig</w:t>
      </w:r>
      <w:r w:rsidR="00691DC7">
        <w:rPr>
          <w:rFonts w:ascii="Times New Roman" w:hAnsi="Times New Roman" w:cs="Times New Roman"/>
          <w:sz w:val="24"/>
          <w:szCs w:val="24"/>
        </w:rPr>
        <w:t>ure</w:t>
      </w:r>
      <w:r w:rsidR="00253838" w:rsidRPr="0065228D">
        <w:rPr>
          <w:rFonts w:ascii="Times New Roman" w:hAnsi="Times New Roman" w:cs="Times New Roman"/>
          <w:sz w:val="24"/>
          <w:szCs w:val="24"/>
        </w:rPr>
        <w:t xml:space="preserve"> 4. While other assets </w:t>
      </w:r>
      <w:r w:rsidR="00253838" w:rsidRPr="0065228D">
        <w:rPr>
          <w:rFonts w:ascii="Times New Roman" w:hAnsi="Times New Roman" w:cs="Times New Roman"/>
          <w:sz w:val="24"/>
          <w:szCs w:val="24"/>
        </w:rPr>
        <w:lastRenderedPageBreak/>
        <w:t xml:space="preserve">(Equity, Bond, REIT, and Gold) are spillover transmitters, the DEX and CEX tokens (LRC, RUNE, LEO, and BNB) are spillover receivers </w:t>
      </w:r>
      <w:r w:rsidRPr="0065228D">
        <w:rPr>
          <w:rFonts w:ascii="Times New Roman" w:hAnsi="Times New Roman" w:cs="Times New Roman"/>
          <w:sz w:val="24"/>
          <w:szCs w:val="24"/>
        </w:rPr>
        <w:t xml:space="preserve">in </w:t>
      </w:r>
      <w:r w:rsidR="00143187">
        <w:rPr>
          <w:rFonts w:ascii="Times New Roman" w:hAnsi="Times New Roman" w:cs="Times New Roman"/>
          <w:sz w:val="24"/>
          <w:szCs w:val="24"/>
        </w:rPr>
        <w:t xml:space="preserve">the </w:t>
      </w:r>
      <w:r w:rsidRPr="0065228D">
        <w:rPr>
          <w:rFonts w:ascii="Times New Roman" w:hAnsi="Times New Roman" w:cs="Times New Roman"/>
          <w:sz w:val="24"/>
          <w:szCs w:val="24"/>
        </w:rPr>
        <w:t xml:space="preserve">case of </w:t>
      </w:r>
      <w:r w:rsidR="00143187">
        <w:rPr>
          <w:rFonts w:ascii="Times New Roman" w:hAnsi="Times New Roman" w:cs="Times New Roman"/>
          <w:sz w:val="24"/>
          <w:szCs w:val="24"/>
        </w:rPr>
        <w:t xml:space="preserve">the </w:t>
      </w:r>
      <w:r w:rsidR="00253838" w:rsidRPr="0065228D">
        <w:rPr>
          <w:rFonts w:ascii="Times New Roman" w:hAnsi="Times New Roman" w:cs="Times New Roman"/>
          <w:sz w:val="24"/>
          <w:szCs w:val="24"/>
        </w:rPr>
        <w:t xml:space="preserve">lower </w:t>
      </w:r>
      <w:r w:rsidRPr="0065228D">
        <w:rPr>
          <w:rFonts w:ascii="Times New Roman" w:hAnsi="Times New Roman" w:cs="Times New Roman"/>
          <w:sz w:val="24"/>
          <w:szCs w:val="24"/>
        </w:rPr>
        <w:t xml:space="preserve">extreme </w:t>
      </w:r>
      <w:r w:rsidR="00253838" w:rsidRPr="0065228D">
        <w:rPr>
          <w:rFonts w:ascii="Times New Roman" w:hAnsi="Times New Roman" w:cs="Times New Roman"/>
          <w:sz w:val="24"/>
          <w:szCs w:val="24"/>
        </w:rPr>
        <w:t xml:space="preserve">quantile. </w:t>
      </w:r>
      <w:r w:rsidR="00DA0738" w:rsidRPr="0065228D">
        <w:rPr>
          <w:rFonts w:ascii="Times New Roman" w:hAnsi="Times New Roman" w:cs="Times New Roman"/>
          <w:sz w:val="24"/>
          <w:szCs w:val="24"/>
        </w:rPr>
        <w:t>Also,</w:t>
      </w:r>
      <w:r w:rsidR="00253838" w:rsidRPr="0065228D">
        <w:rPr>
          <w:rFonts w:ascii="Times New Roman" w:hAnsi="Times New Roman" w:cs="Times New Roman"/>
          <w:sz w:val="24"/>
          <w:szCs w:val="24"/>
        </w:rPr>
        <w:t xml:space="preserve"> </w:t>
      </w:r>
      <w:r w:rsidRPr="0065228D">
        <w:rPr>
          <w:rFonts w:ascii="Times New Roman" w:hAnsi="Times New Roman" w:cs="Times New Roman"/>
          <w:sz w:val="24"/>
          <w:szCs w:val="24"/>
        </w:rPr>
        <w:t xml:space="preserve">in </w:t>
      </w:r>
      <w:r w:rsidR="00143187">
        <w:rPr>
          <w:rFonts w:ascii="Times New Roman" w:hAnsi="Times New Roman" w:cs="Times New Roman"/>
          <w:sz w:val="24"/>
          <w:szCs w:val="24"/>
        </w:rPr>
        <w:t xml:space="preserve">the </w:t>
      </w:r>
      <w:r w:rsidRPr="0065228D">
        <w:rPr>
          <w:rFonts w:ascii="Times New Roman" w:hAnsi="Times New Roman" w:cs="Times New Roman"/>
          <w:sz w:val="24"/>
          <w:szCs w:val="24"/>
        </w:rPr>
        <w:t xml:space="preserve">case of </w:t>
      </w:r>
      <w:r w:rsidR="00143187">
        <w:rPr>
          <w:rFonts w:ascii="Times New Roman" w:hAnsi="Times New Roman" w:cs="Times New Roman"/>
          <w:sz w:val="24"/>
          <w:szCs w:val="24"/>
        </w:rPr>
        <w:t xml:space="preserve">the </w:t>
      </w:r>
      <w:r w:rsidR="00253838" w:rsidRPr="0065228D">
        <w:rPr>
          <w:rFonts w:ascii="Times New Roman" w:hAnsi="Times New Roman" w:cs="Times New Roman"/>
          <w:sz w:val="24"/>
          <w:szCs w:val="24"/>
        </w:rPr>
        <w:t xml:space="preserve">lower </w:t>
      </w:r>
      <w:r w:rsidRPr="0065228D">
        <w:rPr>
          <w:rFonts w:ascii="Times New Roman" w:hAnsi="Times New Roman" w:cs="Times New Roman"/>
          <w:sz w:val="24"/>
          <w:szCs w:val="24"/>
        </w:rPr>
        <w:t xml:space="preserve">extreme </w:t>
      </w:r>
      <w:r w:rsidR="00253838" w:rsidRPr="0065228D">
        <w:rPr>
          <w:rFonts w:ascii="Times New Roman" w:hAnsi="Times New Roman" w:cs="Times New Roman"/>
          <w:sz w:val="24"/>
          <w:szCs w:val="24"/>
        </w:rPr>
        <w:t xml:space="preserve">quantile, the DEX and CEX tokens are </w:t>
      </w:r>
      <w:r w:rsidR="00531153" w:rsidRPr="0065228D">
        <w:rPr>
          <w:rFonts w:ascii="Times New Roman" w:hAnsi="Times New Roman" w:cs="Times New Roman"/>
          <w:sz w:val="24"/>
          <w:szCs w:val="24"/>
        </w:rPr>
        <w:t>closely related</w:t>
      </w:r>
      <w:r w:rsidR="00253838" w:rsidRPr="0065228D">
        <w:rPr>
          <w:rFonts w:ascii="Times New Roman" w:hAnsi="Times New Roman" w:cs="Times New Roman"/>
          <w:sz w:val="24"/>
          <w:szCs w:val="24"/>
        </w:rPr>
        <w:t>, with FTT transferring the most spillovers to BNB, RUNE, and LRC tokens.</w:t>
      </w:r>
      <w:r w:rsidR="00DA0738" w:rsidRPr="0065228D">
        <w:rPr>
          <w:rFonts w:ascii="Times New Roman" w:hAnsi="Times New Roman" w:cs="Times New Roman"/>
          <w:sz w:val="24"/>
          <w:szCs w:val="24"/>
        </w:rPr>
        <w:t xml:space="preserve"> </w:t>
      </w:r>
      <w:r w:rsidR="00253838" w:rsidRPr="0065228D">
        <w:rPr>
          <w:rFonts w:ascii="Times New Roman" w:hAnsi="Times New Roman" w:cs="Times New Roman"/>
          <w:sz w:val="24"/>
          <w:szCs w:val="24"/>
        </w:rPr>
        <w:t>The DEX and CEX tokens (BNB, FTT, and GNO) are spillover transmitters at the extreme upper quantile, whereas other assets (</w:t>
      </w:r>
      <w:r w:rsidR="002D4CD6" w:rsidRPr="0065228D">
        <w:rPr>
          <w:rFonts w:ascii="Times New Roman" w:hAnsi="Times New Roman" w:cs="Times New Roman"/>
          <w:sz w:val="24"/>
          <w:szCs w:val="24"/>
        </w:rPr>
        <w:t>G</w:t>
      </w:r>
      <w:r w:rsidR="00253838" w:rsidRPr="0065228D">
        <w:rPr>
          <w:rFonts w:ascii="Times New Roman" w:hAnsi="Times New Roman" w:cs="Times New Roman"/>
          <w:sz w:val="24"/>
          <w:szCs w:val="24"/>
        </w:rPr>
        <w:t xml:space="preserve">old, </w:t>
      </w:r>
      <w:r w:rsidR="002D4CD6" w:rsidRPr="0065228D">
        <w:rPr>
          <w:rFonts w:ascii="Times New Roman" w:hAnsi="Times New Roman" w:cs="Times New Roman"/>
          <w:sz w:val="24"/>
          <w:szCs w:val="24"/>
        </w:rPr>
        <w:t>Oil, E</w:t>
      </w:r>
      <w:r w:rsidR="00253838" w:rsidRPr="0065228D">
        <w:rPr>
          <w:rFonts w:ascii="Times New Roman" w:hAnsi="Times New Roman" w:cs="Times New Roman"/>
          <w:sz w:val="24"/>
          <w:szCs w:val="24"/>
        </w:rPr>
        <w:t>quity,</w:t>
      </w:r>
      <w:r w:rsidR="002D4CD6" w:rsidRPr="0065228D">
        <w:rPr>
          <w:rFonts w:ascii="Times New Roman" w:hAnsi="Times New Roman" w:cs="Times New Roman"/>
          <w:sz w:val="24"/>
          <w:szCs w:val="24"/>
        </w:rPr>
        <w:t xml:space="preserve"> Bonds</w:t>
      </w:r>
      <w:r w:rsidR="00253838" w:rsidRPr="0065228D">
        <w:rPr>
          <w:rFonts w:ascii="Times New Roman" w:hAnsi="Times New Roman" w:cs="Times New Roman"/>
          <w:sz w:val="24"/>
          <w:szCs w:val="24"/>
        </w:rPr>
        <w:t xml:space="preserve"> and USD Index) are spillover receivers. Moreover, </w:t>
      </w:r>
      <w:r w:rsidR="00143187">
        <w:rPr>
          <w:rFonts w:ascii="Times New Roman" w:hAnsi="Times New Roman" w:cs="Times New Roman"/>
          <w:sz w:val="24"/>
          <w:szCs w:val="24"/>
        </w:rPr>
        <w:t xml:space="preserve">the </w:t>
      </w:r>
      <w:r w:rsidR="00253838" w:rsidRPr="0065228D">
        <w:rPr>
          <w:rFonts w:ascii="Times New Roman" w:hAnsi="Times New Roman" w:cs="Times New Roman"/>
          <w:sz w:val="24"/>
          <w:szCs w:val="24"/>
        </w:rPr>
        <w:t xml:space="preserve">thicker arrows </w:t>
      </w:r>
      <w:r w:rsidR="00143187">
        <w:rPr>
          <w:rFonts w:ascii="Times New Roman" w:hAnsi="Times New Roman" w:cs="Times New Roman"/>
          <w:sz w:val="24"/>
          <w:szCs w:val="24"/>
        </w:rPr>
        <w:t xml:space="preserve">in </w:t>
      </w:r>
      <w:r w:rsidR="00143187" w:rsidRPr="0065228D">
        <w:rPr>
          <w:rFonts w:ascii="Times New Roman" w:hAnsi="Times New Roman" w:cs="Times New Roman"/>
          <w:sz w:val="24"/>
          <w:szCs w:val="24"/>
        </w:rPr>
        <w:t>Fig</w:t>
      </w:r>
      <w:r w:rsidR="00143187">
        <w:rPr>
          <w:rFonts w:ascii="Times New Roman" w:hAnsi="Times New Roman" w:cs="Times New Roman"/>
          <w:sz w:val="24"/>
          <w:szCs w:val="24"/>
        </w:rPr>
        <w:t>ure</w:t>
      </w:r>
      <w:r w:rsidR="00143187" w:rsidRPr="0065228D">
        <w:rPr>
          <w:rFonts w:ascii="Times New Roman" w:hAnsi="Times New Roman" w:cs="Times New Roman"/>
          <w:sz w:val="24"/>
          <w:szCs w:val="24"/>
        </w:rPr>
        <w:t xml:space="preserve"> 4D </w:t>
      </w:r>
      <w:r w:rsidR="00253838" w:rsidRPr="0065228D">
        <w:rPr>
          <w:rFonts w:ascii="Times New Roman" w:hAnsi="Times New Roman" w:cs="Times New Roman"/>
          <w:sz w:val="24"/>
          <w:szCs w:val="24"/>
        </w:rPr>
        <w:t xml:space="preserve">compared to </w:t>
      </w:r>
      <w:r w:rsidR="00143187">
        <w:rPr>
          <w:rFonts w:ascii="Times New Roman" w:hAnsi="Times New Roman" w:cs="Times New Roman"/>
          <w:sz w:val="24"/>
          <w:szCs w:val="24"/>
        </w:rPr>
        <w:t xml:space="preserve">the </w:t>
      </w:r>
      <w:r w:rsidR="00253838" w:rsidRPr="0065228D">
        <w:rPr>
          <w:rFonts w:ascii="Times New Roman" w:hAnsi="Times New Roman" w:cs="Times New Roman"/>
          <w:sz w:val="24"/>
          <w:szCs w:val="24"/>
        </w:rPr>
        <w:t xml:space="preserve">thin arrows </w:t>
      </w:r>
      <w:r w:rsidR="00143187">
        <w:rPr>
          <w:rFonts w:ascii="Times New Roman" w:hAnsi="Times New Roman" w:cs="Times New Roman"/>
          <w:sz w:val="24"/>
          <w:szCs w:val="24"/>
        </w:rPr>
        <w:t xml:space="preserve">in </w:t>
      </w:r>
      <w:r w:rsidR="00143187" w:rsidRPr="0065228D">
        <w:rPr>
          <w:rFonts w:ascii="Times New Roman" w:hAnsi="Times New Roman" w:cs="Times New Roman"/>
          <w:sz w:val="24"/>
          <w:szCs w:val="24"/>
        </w:rPr>
        <w:t>Fig</w:t>
      </w:r>
      <w:r w:rsidR="00143187">
        <w:rPr>
          <w:rFonts w:ascii="Times New Roman" w:hAnsi="Times New Roman" w:cs="Times New Roman"/>
          <w:sz w:val="24"/>
          <w:szCs w:val="24"/>
        </w:rPr>
        <w:t>ure</w:t>
      </w:r>
      <w:r w:rsidR="00143187" w:rsidRPr="0065228D">
        <w:rPr>
          <w:rFonts w:ascii="Times New Roman" w:hAnsi="Times New Roman" w:cs="Times New Roman"/>
          <w:sz w:val="24"/>
          <w:szCs w:val="24"/>
        </w:rPr>
        <w:t xml:space="preserve"> 4A</w:t>
      </w:r>
      <w:r w:rsidR="00143187">
        <w:rPr>
          <w:rFonts w:ascii="Times New Roman" w:hAnsi="Times New Roman" w:cs="Times New Roman"/>
          <w:sz w:val="24"/>
          <w:szCs w:val="24"/>
        </w:rPr>
        <w:t>–</w:t>
      </w:r>
      <w:r w:rsidR="00143187" w:rsidRPr="0065228D">
        <w:rPr>
          <w:rFonts w:ascii="Times New Roman" w:hAnsi="Times New Roman" w:cs="Times New Roman"/>
          <w:sz w:val="24"/>
          <w:szCs w:val="24"/>
        </w:rPr>
        <w:t xml:space="preserve">C </w:t>
      </w:r>
      <w:r w:rsidR="00253838" w:rsidRPr="0065228D">
        <w:rPr>
          <w:rFonts w:ascii="Times New Roman" w:hAnsi="Times New Roman" w:cs="Times New Roman"/>
          <w:sz w:val="24"/>
          <w:szCs w:val="24"/>
        </w:rPr>
        <w:t>show that the</w:t>
      </w:r>
      <w:r w:rsidR="002D4CD6" w:rsidRPr="0065228D">
        <w:rPr>
          <w:rFonts w:ascii="Times New Roman" w:hAnsi="Times New Roman" w:cs="Times New Roman"/>
          <w:sz w:val="24"/>
          <w:szCs w:val="24"/>
        </w:rPr>
        <w:t>se</w:t>
      </w:r>
      <w:r w:rsidR="00253838" w:rsidRPr="0065228D">
        <w:rPr>
          <w:rFonts w:ascii="Times New Roman" w:hAnsi="Times New Roman" w:cs="Times New Roman"/>
          <w:sz w:val="24"/>
          <w:szCs w:val="24"/>
        </w:rPr>
        <w:t xml:space="preserve"> </w:t>
      </w:r>
      <w:r w:rsidR="006E1719" w:rsidRPr="0065228D">
        <w:rPr>
          <w:rFonts w:ascii="Times New Roman" w:hAnsi="Times New Roman" w:cs="Times New Roman"/>
          <w:sz w:val="24"/>
          <w:szCs w:val="24"/>
        </w:rPr>
        <w:t>assets</w:t>
      </w:r>
      <w:r w:rsidR="00253838" w:rsidRPr="0065228D">
        <w:rPr>
          <w:rFonts w:ascii="Times New Roman" w:hAnsi="Times New Roman" w:cs="Times New Roman"/>
          <w:sz w:val="24"/>
          <w:szCs w:val="24"/>
        </w:rPr>
        <w:t xml:space="preserve"> at the extreme upper quantile</w:t>
      </w:r>
      <w:r w:rsidR="006E1719" w:rsidRPr="0065228D">
        <w:rPr>
          <w:rFonts w:ascii="Times New Roman" w:hAnsi="Times New Roman" w:cs="Times New Roman"/>
          <w:sz w:val="24"/>
          <w:szCs w:val="24"/>
        </w:rPr>
        <w:t xml:space="preserve"> are more interconnected</w:t>
      </w:r>
      <w:r w:rsidR="00253838" w:rsidRPr="0065228D">
        <w:rPr>
          <w:rFonts w:ascii="Times New Roman" w:hAnsi="Times New Roman" w:cs="Times New Roman"/>
          <w:sz w:val="24"/>
          <w:szCs w:val="24"/>
        </w:rPr>
        <w:t xml:space="preserve">. </w:t>
      </w:r>
      <w:r w:rsidR="002D4CD6" w:rsidRPr="0065228D">
        <w:rPr>
          <w:rFonts w:ascii="Times New Roman" w:hAnsi="Times New Roman" w:cs="Times New Roman"/>
          <w:sz w:val="24"/>
          <w:szCs w:val="24"/>
        </w:rPr>
        <w:t>Similarly, acco</w:t>
      </w:r>
      <w:r w:rsidR="00253838" w:rsidRPr="0065228D">
        <w:rPr>
          <w:rFonts w:ascii="Times New Roman" w:hAnsi="Times New Roman" w:cs="Times New Roman"/>
          <w:sz w:val="24"/>
          <w:szCs w:val="24"/>
        </w:rPr>
        <w:t xml:space="preserve">rding to our findings, the DEX and CEX tokens are the primary recipients of spillovers at </w:t>
      </w:r>
      <w:r w:rsidR="00143187">
        <w:rPr>
          <w:rFonts w:ascii="Times New Roman" w:hAnsi="Times New Roman" w:cs="Times New Roman"/>
          <w:sz w:val="24"/>
          <w:szCs w:val="24"/>
        </w:rPr>
        <w:t xml:space="preserve">the </w:t>
      </w:r>
      <w:r w:rsidR="00253838" w:rsidRPr="0065228D">
        <w:rPr>
          <w:rFonts w:ascii="Times New Roman" w:hAnsi="Times New Roman" w:cs="Times New Roman"/>
          <w:sz w:val="24"/>
          <w:szCs w:val="24"/>
        </w:rPr>
        <w:t>lower quantiles, whereas other assets are mostly the transmitters.</w:t>
      </w:r>
      <w:r w:rsidR="0026209E" w:rsidRPr="0065228D">
        <w:rPr>
          <w:rFonts w:ascii="Times New Roman" w:hAnsi="Times New Roman" w:cs="Times New Roman"/>
          <w:sz w:val="24"/>
          <w:szCs w:val="24"/>
        </w:rPr>
        <w:t xml:space="preserve"> </w:t>
      </w:r>
      <w:r w:rsidR="00253838" w:rsidRPr="0065228D">
        <w:rPr>
          <w:rFonts w:ascii="Times New Roman" w:hAnsi="Times New Roman" w:cs="Times New Roman"/>
          <w:sz w:val="24"/>
          <w:szCs w:val="24"/>
        </w:rPr>
        <w:t>Furthermore, during periods of significant upward market movement, such as a market short</w:t>
      </w:r>
      <w:r w:rsidR="00143187">
        <w:rPr>
          <w:rFonts w:ascii="Times New Roman" w:hAnsi="Times New Roman" w:cs="Times New Roman"/>
          <w:sz w:val="24"/>
          <w:szCs w:val="24"/>
        </w:rPr>
        <w:t>-</w:t>
      </w:r>
      <w:r w:rsidR="00253838" w:rsidRPr="0065228D">
        <w:rPr>
          <w:rFonts w:ascii="Times New Roman" w:hAnsi="Times New Roman" w:cs="Times New Roman"/>
          <w:sz w:val="24"/>
          <w:szCs w:val="24"/>
        </w:rPr>
        <w:t>squeeze episode, this connectivity becomes stronger.</w:t>
      </w:r>
    </w:p>
    <w:p w14:paraId="1A132B5F" w14:textId="77777777" w:rsidR="00DA0738" w:rsidRPr="0065228D" w:rsidRDefault="00DA0738" w:rsidP="00812C37">
      <w:pPr>
        <w:spacing w:line="360" w:lineRule="auto"/>
        <w:ind w:firstLine="720"/>
        <w:contextualSpacing/>
        <w:jc w:val="both"/>
        <w:rPr>
          <w:rFonts w:ascii="Times New Roman" w:hAnsi="Times New Roman" w:cs="Times New Roman"/>
          <w:sz w:val="24"/>
          <w:szCs w:val="24"/>
        </w:rPr>
      </w:pPr>
    </w:p>
    <w:p w14:paraId="0056A7E9" w14:textId="3494EB11" w:rsidR="00812C37" w:rsidRDefault="002C1F3F" w:rsidP="00815774">
      <w:pPr>
        <w:spacing w:line="360" w:lineRule="auto"/>
        <w:contextualSpacing/>
        <w:jc w:val="center"/>
        <w:rPr>
          <w:rFonts w:ascii="Times New Roman" w:hAnsi="Times New Roman" w:cs="Times New Roman"/>
          <w:sz w:val="24"/>
          <w:szCs w:val="24"/>
        </w:rPr>
      </w:pPr>
      <w:bookmarkStart w:id="25" w:name="_Hlk122874199"/>
      <w:bookmarkStart w:id="26" w:name="_Hlk122460696"/>
      <w:r w:rsidRPr="0065228D">
        <w:rPr>
          <w:rFonts w:ascii="Times New Roman" w:hAnsi="Times New Roman" w:cs="Times New Roman"/>
          <w:sz w:val="24"/>
          <w:szCs w:val="24"/>
        </w:rPr>
        <w:t>[Figure 4 here]</w:t>
      </w:r>
      <w:bookmarkEnd w:id="25"/>
    </w:p>
    <w:p w14:paraId="33268DFA" w14:textId="77777777" w:rsidR="00812C37" w:rsidRPr="0065228D" w:rsidRDefault="00812C37" w:rsidP="002C1F3F">
      <w:pPr>
        <w:spacing w:line="360" w:lineRule="auto"/>
        <w:contextualSpacing/>
        <w:jc w:val="center"/>
        <w:rPr>
          <w:rFonts w:ascii="Times New Roman" w:hAnsi="Times New Roman" w:cs="Times New Roman"/>
          <w:sz w:val="24"/>
          <w:szCs w:val="24"/>
        </w:rPr>
      </w:pPr>
    </w:p>
    <w:bookmarkEnd w:id="26"/>
    <w:p w14:paraId="2218015F" w14:textId="294B6081" w:rsidR="00253838" w:rsidRPr="0065228D" w:rsidRDefault="00253838" w:rsidP="00F84F21">
      <w:pPr>
        <w:numPr>
          <w:ilvl w:val="1"/>
          <w:numId w:val="2"/>
        </w:numPr>
        <w:spacing w:line="360" w:lineRule="auto"/>
        <w:contextualSpacing/>
        <w:jc w:val="both"/>
        <w:rPr>
          <w:rFonts w:ascii="Times New Roman" w:hAnsi="Times New Roman" w:cs="Times New Roman"/>
          <w:sz w:val="24"/>
          <w:szCs w:val="24"/>
        </w:rPr>
      </w:pPr>
      <w:r w:rsidRPr="0065228D">
        <w:rPr>
          <w:rFonts w:ascii="Times New Roman" w:hAnsi="Times New Roman" w:cs="Times New Roman"/>
          <w:b/>
          <w:bCs/>
          <w:i/>
          <w:iCs/>
          <w:sz w:val="24"/>
          <w:szCs w:val="24"/>
        </w:rPr>
        <w:t xml:space="preserve">Dynamic spillovers at different quantiles </w:t>
      </w:r>
    </w:p>
    <w:p w14:paraId="3D391919" w14:textId="77777777" w:rsidR="00812C37" w:rsidRDefault="00812C37" w:rsidP="00F84F21">
      <w:pPr>
        <w:spacing w:line="360" w:lineRule="auto"/>
        <w:contextualSpacing/>
        <w:jc w:val="both"/>
        <w:rPr>
          <w:rFonts w:ascii="Times New Roman" w:hAnsi="Times New Roman" w:cs="Times New Roman"/>
          <w:sz w:val="24"/>
          <w:szCs w:val="24"/>
        </w:rPr>
      </w:pPr>
    </w:p>
    <w:p w14:paraId="1CC39875" w14:textId="12EB7C80" w:rsidR="002C1F3F" w:rsidRPr="0065228D" w:rsidRDefault="002C1F3F" w:rsidP="00F84F21">
      <w:pPr>
        <w:spacing w:line="360" w:lineRule="auto"/>
        <w:contextualSpacing/>
        <w:jc w:val="both"/>
        <w:rPr>
          <w:rFonts w:ascii="Times New Roman" w:hAnsi="Times New Roman" w:cs="Times New Roman"/>
          <w:sz w:val="24"/>
          <w:szCs w:val="24"/>
        </w:rPr>
      </w:pPr>
      <w:r w:rsidRPr="0065228D">
        <w:rPr>
          <w:rFonts w:ascii="Times New Roman" w:hAnsi="Times New Roman" w:cs="Times New Roman"/>
          <w:sz w:val="24"/>
          <w:szCs w:val="24"/>
        </w:rPr>
        <w:t xml:space="preserve">Next, we </w:t>
      </w:r>
      <w:proofErr w:type="gramStart"/>
      <w:r w:rsidRPr="0065228D">
        <w:rPr>
          <w:rFonts w:ascii="Times New Roman" w:hAnsi="Times New Roman" w:cs="Times New Roman"/>
          <w:sz w:val="24"/>
          <w:szCs w:val="24"/>
        </w:rPr>
        <w:t>look into</w:t>
      </w:r>
      <w:proofErr w:type="gramEnd"/>
      <w:r w:rsidRPr="0065228D">
        <w:rPr>
          <w:rFonts w:ascii="Times New Roman" w:hAnsi="Times New Roman" w:cs="Times New Roman"/>
          <w:sz w:val="24"/>
          <w:szCs w:val="24"/>
        </w:rPr>
        <w:t xml:space="preserve"> time-varying spillovers between DEX</w:t>
      </w:r>
      <w:r w:rsidR="00163242">
        <w:rPr>
          <w:rFonts w:ascii="Times New Roman" w:hAnsi="Times New Roman" w:cs="Times New Roman"/>
          <w:sz w:val="24"/>
          <w:szCs w:val="24"/>
        </w:rPr>
        <w:t>–</w:t>
      </w:r>
      <w:r w:rsidRPr="0065228D">
        <w:rPr>
          <w:rFonts w:ascii="Times New Roman" w:hAnsi="Times New Roman" w:cs="Times New Roman"/>
          <w:sz w:val="24"/>
          <w:szCs w:val="24"/>
        </w:rPr>
        <w:t>CEX</w:t>
      </w:r>
      <w:r w:rsidR="0026209E" w:rsidRPr="0065228D">
        <w:rPr>
          <w:rFonts w:ascii="Times New Roman" w:hAnsi="Times New Roman" w:cs="Times New Roman"/>
          <w:sz w:val="24"/>
          <w:szCs w:val="24"/>
        </w:rPr>
        <w:t xml:space="preserve"> tokens </w:t>
      </w:r>
      <w:r w:rsidRPr="0065228D">
        <w:rPr>
          <w:rFonts w:ascii="Times New Roman" w:hAnsi="Times New Roman" w:cs="Times New Roman"/>
          <w:sz w:val="24"/>
          <w:szCs w:val="24"/>
        </w:rPr>
        <w:t xml:space="preserve">and other </w:t>
      </w:r>
      <w:r w:rsidR="0026209E" w:rsidRPr="0065228D">
        <w:rPr>
          <w:rFonts w:ascii="Times New Roman" w:hAnsi="Times New Roman" w:cs="Times New Roman"/>
          <w:sz w:val="24"/>
          <w:szCs w:val="24"/>
        </w:rPr>
        <w:t>assets</w:t>
      </w:r>
      <w:r w:rsidRPr="0065228D">
        <w:rPr>
          <w:rFonts w:ascii="Times New Roman" w:hAnsi="Times New Roman" w:cs="Times New Roman"/>
          <w:sz w:val="24"/>
          <w:szCs w:val="24"/>
        </w:rPr>
        <w:t xml:space="preserve">. The </w:t>
      </w:r>
      <w:r w:rsidR="006E1719" w:rsidRPr="0065228D">
        <w:rPr>
          <w:rFonts w:ascii="Times New Roman" w:hAnsi="Times New Roman" w:cs="Times New Roman"/>
          <w:sz w:val="24"/>
          <w:szCs w:val="24"/>
        </w:rPr>
        <w:t>dynamic</w:t>
      </w:r>
      <w:r w:rsidRPr="0065228D">
        <w:rPr>
          <w:rFonts w:ascii="Times New Roman" w:hAnsi="Times New Roman" w:cs="Times New Roman"/>
          <w:sz w:val="24"/>
          <w:szCs w:val="24"/>
        </w:rPr>
        <w:t xml:space="preserve"> total spillover at </w:t>
      </w:r>
      <w:r w:rsidR="006E1719" w:rsidRPr="0065228D">
        <w:rPr>
          <w:rFonts w:ascii="Times New Roman" w:hAnsi="Times New Roman" w:cs="Times New Roman"/>
          <w:sz w:val="24"/>
          <w:szCs w:val="24"/>
        </w:rPr>
        <w:t>different</w:t>
      </w:r>
      <w:r w:rsidRPr="0065228D">
        <w:rPr>
          <w:rFonts w:ascii="Times New Roman" w:hAnsi="Times New Roman" w:cs="Times New Roman"/>
          <w:sz w:val="24"/>
          <w:szCs w:val="24"/>
        </w:rPr>
        <w:t xml:space="preserve"> quantiles </w:t>
      </w:r>
      <w:r w:rsidR="00143D67" w:rsidRPr="0065228D">
        <w:rPr>
          <w:rFonts w:ascii="Times New Roman" w:hAnsi="Times New Roman" w:cs="Times New Roman"/>
          <w:sz w:val="24"/>
          <w:szCs w:val="24"/>
        </w:rPr>
        <w:t>is</w:t>
      </w:r>
      <w:r w:rsidRPr="0065228D">
        <w:rPr>
          <w:rFonts w:ascii="Times New Roman" w:hAnsi="Times New Roman" w:cs="Times New Roman"/>
          <w:sz w:val="24"/>
          <w:szCs w:val="24"/>
        </w:rPr>
        <w:t xml:space="preserve"> displayed in Fig</w:t>
      </w:r>
      <w:r w:rsidR="00163242">
        <w:rPr>
          <w:rFonts w:ascii="Times New Roman" w:hAnsi="Times New Roman" w:cs="Times New Roman"/>
          <w:sz w:val="24"/>
          <w:szCs w:val="24"/>
        </w:rPr>
        <w:t>ure</w:t>
      </w:r>
      <w:r w:rsidRPr="0065228D">
        <w:rPr>
          <w:rFonts w:ascii="Times New Roman" w:hAnsi="Times New Roman" w:cs="Times New Roman"/>
          <w:sz w:val="24"/>
          <w:szCs w:val="24"/>
        </w:rPr>
        <w:t xml:space="preserve"> 5. </w:t>
      </w:r>
      <w:proofErr w:type="gramStart"/>
      <w:r w:rsidR="0026209E" w:rsidRPr="0065228D">
        <w:rPr>
          <w:rFonts w:ascii="Times New Roman" w:hAnsi="Times New Roman" w:cs="Times New Roman"/>
          <w:sz w:val="24"/>
          <w:szCs w:val="24"/>
        </w:rPr>
        <w:t>It is clear that a</w:t>
      </w:r>
      <w:r w:rsidRPr="0065228D">
        <w:rPr>
          <w:rFonts w:ascii="Times New Roman" w:hAnsi="Times New Roman" w:cs="Times New Roman"/>
          <w:sz w:val="24"/>
          <w:szCs w:val="24"/>
        </w:rPr>
        <w:t>ll</w:t>
      </w:r>
      <w:proofErr w:type="gramEnd"/>
      <w:r w:rsidRPr="0065228D">
        <w:rPr>
          <w:rFonts w:ascii="Times New Roman" w:hAnsi="Times New Roman" w:cs="Times New Roman"/>
          <w:sz w:val="24"/>
          <w:szCs w:val="24"/>
        </w:rPr>
        <w:t xml:space="preserve"> of the quantiles' total spillover indices change over time. The total spillover ind</w:t>
      </w:r>
      <w:r w:rsidR="00815774">
        <w:rPr>
          <w:rFonts w:ascii="Times New Roman" w:hAnsi="Times New Roman" w:cs="Times New Roman"/>
          <w:sz w:val="24"/>
          <w:szCs w:val="24"/>
        </w:rPr>
        <w:t xml:space="preserve">exes </w:t>
      </w:r>
      <w:r w:rsidRPr="0065228D">
        <w:rPr>
          <w:rFonts w:ascii="Times New Roman" w:hAnsi="Times New Roman" w:cs="Times New Roman"/>
          <w:sz w:val="24"/>
          <w:szCs w:val="24"/>
        </w:rPr>
        <w:t>vary between 45</w:t>
      </w:r>
      <w:r w:rsidR="00E947AA">
        <w:rPr>
          <w:rFonts w:ascii="Times New Roman" w:hAnsi="Times New Roman" w:cs="Times New Roman"/>
          <w:sz w:val="24"/>
          <w:szCs w:val="24"/>
        </w:rPr>
        <w:t xml:space="preserve">% and </w:t>
      </w:r>
      <w:r w:rsidRPr="0065228D">
        <w:rPr>
          <w:rFonts w:ascii="Times New Roman" w:hAnsi="Times New Roman" w:cs="Times New Roman"/>
          <w:sz w:val="24"/>
          <w:szCs w:val="24"/>
        </w:rPr>
        <w:t>75% at the median quantile and between 95</w:t>
      </w:r>
      <w:r w:rsidR="00E947AA" w:rsidRPr="0065228D">
        <w:rPr>
          <w:rFonts w:ascii="Times New Roman" w:hAnsi="Times New Roman" w:cs="Times New Roman"/>
          <w:sz w:val="24"/>
          <w:szCs w:val="24"/>
        </w:rPr>
        <w:t>%</w:t>
      </w:r>
      <w:r w:rsidR="00E947AA">
        <w:rPr>
          <w:rFonts w:ascii="Times New Roman" w:hAnsi="Times New Roman" w:cs="Times New Roman"/>
          <w:sz w:val="24"/>
          <w:szCs w:val="24"/>
        </w:rPr>
        <w:t xml:space="preserve"> and </w:t>
      </w:r>
      <w:r w:rsidRPr="0065228D">
        <w:rPr>
          <w:rFonts w:ascii="Times New Roman" w:hAnsi="Times New Roman" w:cs="Times New Roman"/>
          <w:sz w:val="24"/>
          <w:szCs w:val="24"/>
        </w:rPr>
        <w:t xml:space="preserve">100% at the extreme quantiles over the course of the sample period. This shows a high level of market integration, with spillovers being more pronounced at the extreme </w:t>
      </w:r>
      <w:r w:rsidR="00D43188" w:rsidRPr="0065228D">
        <w:rPr>
          <w:rFonts w:ascii="Times New Roman" w:hAnsi="Times New Roman" w:cs="Times New Roman"/>
          <w:sz w:val="24"/>
          <w:szCs w:val="24"/>
        </w:rPr>
        <w:t xml:space="preserve">upper and lower </w:t>
      </w:r>
      <w:r w:rsidRPr="0065228D">
        <w:rPr>
          <w:rFonts w:ascii="Times New Roman" w:hAnsi="Times New Roman" w:cs="Times New Roman"/>
          <w:sz w:val="24"/>
          <w:szCs w:val="24"/>
        </w:rPr>
        <w:t xml:space="preserve">quantiles </w:t>
      </w:r>
      <w:r w:rsidR="00DE063F" w:rsidRPr="0065228D">
        <w:rPr>
          <w:rFonts w:ascii="Times New Roman" w:hAnsi="Times New Roman" w:cs="Times New Roman"/>
          <w:sz w:val="24"/>
          <w:szCs w:val="24"/>
        </w:rPr>
        <w:t>in comparison to</w:t>
      </w:r>
      <w:r w:rsidRPr="0065228D">
        <w:rPr>
          <w:rFonts w:ascii="Times New Roman" w:hAnsi="Times New Roman" w:cs="Times New Roman"/>
          <w:sz w:val="24"/>
          <w:szCs w:val="24"/>
        </w:rPr>
        <w:t xml:space="preserve"> the mean and median quantiles.</w:t>
      </w:r>
      <w:r w:rsidRPr="0065228D">
        <w:t xml:space="preserve"> </w:t>
      </w:r>
      <w:r w:rsidRPr="0065228D">
        <w:rPr>
          <w:rFonts w:ascii="Times New Roman" w:hAnsi="Times New Roman" w:cs="Times New Roman"/>
          <w:sz w:val="24"/>
          <w:szCs w:val="24"/>
        </w:rPr>
        <w:t xml:space="preserve">Additionally, </w:t>
      </w:r>
      <w:r w:rsidR="00A1215C" w:rsidRPr="0065228D">
        <w:rPr>
          <w:rFonts w:ascii="Times New Roman" w:hAnsi="Times New Roman" w:cs="Times New Roman"/>
          <w:sz w:val="24"/>
          <w:szCs w:val="24"/>
        </w:rPr>
        <w:t xml:space="preserve">in </w:t>
      </w:r>
      <w:r w:rsidR="00143187">
        <w:rPr>
          <w:rFonts w:ascii="Times New Roman" w:hAnsi="Times New Roman" w:cs="Times New Roman"/>
          <w:sz w:val="24"/>
          <w:szCs w:val="24"/>
        </w:rPr>
        <w:t xml:space="preserve">the </w:t>
      </w:r>
      <w:r w:rsidR="00A1215C" w:rsidRPr="0065228D">
        <w:rPr>
          <w:rFonts w:ascii="Times New Roman" w:hAnsi="Times New Roman" w:cs="Times New Roman"/>
          <w:sz w:val="24"/>
          <w:szCs w:val="24"/>
        </w:rPr>
        <w:t xml:space="preserve">case of </w:t>
      </w:r>
      <w:r w:rsidR="00511645" w:rsidRPr="0065228D">
        <w:rPr>
          <w:rFonts w:ascii="Times New Roman" w:hAnsi="Times New Roman" w:cs="Times New Roman"/>
          <w:sz w:val="24"/>
          <w:szCs w:val="24"/>
        </w:rPr>
        <w:t xml:space="preserve">the mean and median </w:t>
      </w:r>
      <w:r w:rsidR="00D43188" w:rsidRPr="0065228D">
        <w:rPr>
          <w:rFonts w:ascii="Times New Roman" w:hAnsi="Times New Roman" w:cs="Times New Roman"/>
          <w:sz w:val="24"/>
          <w:szCs w:val="24"/>
        </w:rPr>
        <w:t xml:space="preserve">quantiles, </w:t>
      </w:r>
      <w:r w:rsidR="00143187" w:rsidRPr="0065228D">
        <w:rPr>
          <w:rFonts w:ascii="Times New Roman" w:hAnsi="Times New Roman" w:cs="Times New Roman"/>
          <w:sz w:val="24"/>
          <w:szCs w:val="24"/>
        </w:rPr>
        <w:t xml:space="preserve">the TCI </w:t>
      </w:r>
      <w:r w:rsidR="00143187">
        <w:rPr>
          <w:rFonts w:ascii="Times New Roman" w:hAnsi="Times New Roman" w:cs="Times New Roman"/>
          <w:sz w:val="24"/>
          <w:szCs w:val="24"/>
        </w:rPr>
        <w:t>increases</w:t>
      </w:r>
      <w:r w:rsidR="00143187" w:rsidRPr="0065228D">
        <w:rPr>
          <w:rFonts w:ascii="Times New Roman" w:hAnsi="Times New Roman" w:cs="Times New Roman"/>
          <w:sz w:val="24"/>
          <w:szCs w:val="24"/>
        </w:rPr>
        <w:t xml:space="preserve"> </w:t>
      </w:r>
      <w:r w:rsidRPr="0065228D">
        <w:rPr>
          <w:rFonts w:ascii="Times New Roman" w:hAnsi="Times New Roman" w:cs="Times New Roman"/>
          <w:sz w:val="24"/>
          <w:szCs w:val="24"/>
        </w:rPr>
        <w:t>by about 60</w:t>
      </w:r>
      <w:r w:rsidR="00143187">
        <w:rPr>
          <w:rFonts w:ascii="Times New Roman" w:hAnsi="Times New Roman" w:cs="Times New Roman"/>
          <w:sz w:val="24"/>
          <w:szCs w:val="24"/>
        </w:rPr>
        <w:t>%</w:t>
      </w:r>
      <w:r w:rsidR="0026209E" w:rsidRPr="0065228D">
        <w:rPr>
          <w:rFonts w:ascii="Times New Roman" w:hAnsi="Times New Roman" w:cs="Times New Roman"/>
          <w:sz w:val="24"/>
          <w:szCs w:val="24"/>
        </w:rPr>
        <w:t xml:space="preserve"> to</w:t>
      </w:r>
      <w:r w:rsidRPr="0065228D">
        <w:rPr>
          <w:rFonts w:ascii="Times New Roman" w:hAnsi="Times New Roman" w:cs="Times New Roman"/>
          <w:sz w:val="24"/>
          <w:szCs w:val="24"/>
        </w:rPr>
        <w:t xml:space="preserve"> 70% from the start to the end of 2020, while </w:t>
      </w:r>
      <w:r w:rsidR="00A1215C" w:rsidRPr="0065228D">
        <w:rPr>
          <w:rFonts w:ascii="Times New Roman" w:hAnsi="Times New Roman" w:cs="Times New Roman"/>
          <w:sz w:val="24"/>
          <w:szCs w:val="24"/>
        </w:rPr>
        <w:t xml:space="preserve">in </w:t>
      </w:r>
      <w:r w:rsidR="00143187">
        <w:rPr>
          <w:rFonts w:ascii="Times New Roman" w:hAnsi="Times New Roman" w:cs="Times New Roman"/>
          <w:sz w:val="24"/>
          <w:szCs w:val="24"/>
        </w:rPr>
        <w:t xml:space="preserve">the </w:t>
      </w:r>
      <w:r w:rsidR="00A1215C" w:rsidRPr="0065228D">
        <w:rPr>
          <w:rFonts w:ascii="Times New Roman" w:hAnsi="Times New Roman" w:cs="Times New Roman"/>
          <w:sz w:val="24"/>
          <w:szCs w:val="24"/>
        </w:rPr>
        <w:t xml:space="preserve">case of both </w:t>
      </w:r>
      <w:r w:rsidR="006E1719" w:rsidRPr="0065228D">
        <w:rPr>
          <w:rFonts w:ascii="Times New Roman" w:hAnsi="Times New Roman" w:cs="Times New Roman"/>
          <w:sz w:val="24"/>
          <w:szCs w:val="24"/>
        </w:rPr>
        <w:t>extreme</w:t>
      </w:r>
      <w:r w:rsidRPr="0065228D">
        <w:rPr>
          <w:rFonts w:ascii="Times New Roman" w:hAnsi="Times New Roman" w:cs="Times New Roman"/>
          <w:sz w:val="24"/>
          <w:szCs w:val="24"/>
        </w:rPr>
        <w:t xml:space="preserve"> quantiles</w:t>
      </w:r>
      <w:r w:rsidR="00A1215C" w:rsidRPr="0065228D">
        <w:rPr>
          <w:rFonts w:ascii="Times New Roman" w:hAnsi="Times New Roman" w:cs="Times New Roman"/>
          <w:sz w:val="24"/>
          <w:szCs w:val="24"/>
        </w:rPr>
        <w:t xml:space="preserve"> (upper and below)</w:t>
      </w:r>
      <w:r w:rsidRPr="0065228D">
        <w:rPr>
          <w:rFonts w:ascii="Times New Roman" w:hAnsi="Times New Roman" w:cs="Times New Roman"/>
          <w:sz w:val="24"/>
          <w:szCs w:val="24"/>
        </w:rPr>
        <w:t xml:space="preserve">, connectedness is still above 90%. This is the </w:t>
      </w:r>
      <w:r w:rsidR="00B946E1" w:rsidRPr="0065228D">
        <w:rPr>
          <w:rFonts w:ascii="Times New Roman" w:hAnsi="Times New Roman" w:cs="Times New Roman"/>
          <w:sz w:val="24"/>
          <w:szCs w:val="24"/>
        </w:rPr>
        <w:t>period</w:t>
      </w:r>
      <w:r w:rsidRPr="0065228D">
        <w:rPr>
          <w:rFonts w:ascii="Times New Roman" w:hAnsi="Times New Roman" w:cs="Times New Roman"/>
          <w:sz w:val="24"/>
          <w:szCs w:val="24"/>
        </w:rPr>
        <w:t xml:space="preserve"> when COVID-19 was at its worst and the World Health Organization </w:t>
      </w:r>
      <w:r w:rsidR="0026209E" w:rsidRPr="0065228D">
        <w:rPr>
          <w:rFonts w:ascii="Times New Roman" w:hAnsi="Times New Roman" w:cs="Times New Roman"/>
          <w:sz w:val="24"/>
          <w:szCs w:val="24"/>
        </w:rPr>
        <w:t xml:space="preserve">(WHO) </w:t>
      </w:r>
      <w:r w:rsidRPr="0065228D">
        <w:rPr>
          <w:rFonts w:ascii="Times New Roman" w:hAnsi="Times New Roman" w:cs="Times New Roman"/>
          <w:sz w:val="24"/>
          <w:szCs w:val="24"/>
        </w:rPr>
        <w:t xml:space="preserve">declared it </w:t>
      </w:r>
      <w:r w:rsidR="00B946E1" w:rsidRPr="0065228D">
        <w:rPr>
          <w:rFonts w:ascii="Times New Roman" w:hAnsi="Times New Roman" w:cs="Times New Roman"/>
          <w:sz w:val="24"/>
          <w:szCs w:val="24"/>
        </w:rPr>
        <w:t>a</w:t>
      </w:r>
      <w:r w:rsidRPr="0065228D">
        <w:rPr>
          <w:rFonts w:ascii="Times New Roman" w:hAnsi="Times New Roman" w:cs="Times New Roman"/>
          <w:sz w:val="24"/>
          <w:szCs w:val="24"/>
        </w:rPr>
        <w:t xml:space="preserve"> pandemic. The</w:t>
      </w:r>
      <w:r w:rsidR="00143187">
        <w:rPr>
          <w:rFonts w:ascii="Times New Roman" w:hAnsi="Times New Roman" w:cs="Times New Roman"/>
          <w:sz w:val="24"/>
          <w:szCs w:val="24"/>
        </w:rPr>
        <w:t>se findings are</w:t>
      </w:r>
      <w:r w:rsidR="0026209E" w:rsidRPr="0065228D">
        <w:rPr>
          <w:rFonts w:ascii="Times New Roman" w:hAnsi="Times New Roman" w:cs="Times New Roman"/>
          <w:sz w:val="24"/>
          <w:szCs w:val="24"/>
        </w:rPr>
        <w:t xml:space="preserve"> supported by the </w:t>
      </w:r>
      <w:r w:rsidRPr="0065228D">
        <w:rPr>
          <w:rFonts w:ascii="Times New Roman" w:hAnsi="Times New Roman" w:cs="Times New Roman"/>
          <w:sz w:val="24"/>
          <w:szCs w:val="24"/>
        </w:rPr>
        <w:t xml:space="preserve">conclusions of Yousaf </w:t>
      </w:r>
      <w:r w:rsidR="00E947AA">
        <w:rPr>
          <w:rFonts w:ascii="Times New Roman" w:hAnsi="Times New Roman" w:cs="Times New Roman"/>
          <w:sz w:val="24"/>
          <w:szCs w:val="24"/>
        </w:rPr>
        <w:t>and</w:t>
      </w:r>
      <w:r w:rsidRPr="0065228D">
        <w:rPr>
          <w:rFonts w:ascii="Times New Roman" w:hAnsi="Times New Roman" w:cs="Times New Roman"/>
          <w:sz w:val="24"/>
          <w:szCs w:val="24"/>
        </w:rPr>
        <w:t xml:space="preserve"> Yarovaya (202</w:t>
      </w:r>
      <w:r w:rsidR="00CA30D2" w:rsidRPr="0065228D">
        <w:rPr>
          <w:rFonts w:ascii="Times New Roman" w:hAnsi="Times New Roman" w:cs="Times New Roman"/>
          <w:sz w:val="24"/>
          <w:szCs w:val="24"/>
        </w:rPr>
        <w:t>2</w:t>
      </w:r>
      <w:r w:rsidRPr="0065228D">
        <w:rPr>
          <w:rFonts w:ascii="Times New Roman" w:hAnsi="Times New Roman" w:cs="Times New Roman"/>
          <w:sz w:val="24"/>
          <w:szCs w:val="24"/>
        </w:rPr>
        <w:t>) and Umar et al.</w:t>
      </w:r>
      <w:r w:rsidR="00143D67" w:rsidRPr="0065228D">
        <w:rPr>
          <w:rFonts w:ascii="Times New Roman" w:hAnsi="Times New Roman" w:cs="Times New Roman"/>
          <w:sz w:val="24"/>
          <w:szCs w:val="24"/>
        </w:rPr>
        <w:t xml:space="preserve"> (2022)</w:t>
      </w:r>
      <w:r w:rsidRPr="0065228D">
        <w:rPr>
          <w:rFonts w:ascii="Times New Roman" w:hAnsi="Times New Roman" w:cs="Times New Roman"/>
          <w:sz w:val="24"/>
          <w:szCs w:val="24"/>
        </w:rPr>
        <w:t xml:space="preserve"> </w:t>
      </w:r>
      <w:r w:rsidR="0026209E" w:rsidRPr="0065228D">
        <w:rPr>
          <w:rFonts w:ascii="Times New Roman" w:hAnsi="Times New Roman" w:cs="Times New Roman"/>
          <w:sz w:val="24"/>
          <w:szCs w:val="24"/>
        </w:rPr>
        <w:t xml:space="preserve">that </w:t>
      </w:r>
      <w:r w:rsidRPr="0065228D">
        <w:rPr>
          <w:rFonts w:ascii="Times New Roman" w:hAnsi="Times New Roman" w:cs="Times New Roman"/>
          <w:sz w:val="24"/>
          <w:szCs w:val="24"/>
        </w:rPr>
        <w:t xml:space="preserve">the increased return connectedness during 2020 </w:t>
      </w:r>
      <w:r w:rsidR="00143187">
        <w:rPr>
          <w:rFonts w:ascii="Times New Roman" w:hAnsi="Times New Roman" w:cs="Times New Roman"/>
          <w:sz w:val="24"/>
          <w:szCs w:val="24"/>
        </w:rPr>
        <w:t>was</w:t>
      </w:r>
      <w:r w:rsidR="00143187" w:rsidRPr="0065228D">
        <w:rPr>
          <w:rFonts w:ascii="Times New Roman" w:hAnsi="Times New Roman" w:cs="Times New Roman"/>
          <w:sz w:val="24"/>
          <w:szCs w:val="24"/>
        </w:rPr>
        <w:t xml:space="preserve"> </w:t>
      </w:r>
      <w:proofErr w:type="gramStart"/>
      <w:r w:rsidRPr="0065228D">
        <w:rPr>
          <w:rFonts w:ascii="Times New Roman" w:hAnsi="Times New Roman" w:cs="Times New Roman"/>
          <w:sz w:val="24"/>
          <w:szCs w:val="24"/>
        </w:rPr>
        <w:t>as a result of</w:t>
      </w:r>
      <w:proofErr w:type="gramEnd"/>
      <w:r w:rsidRPr="0065228D">
        <w:rPr>
          <w:rFonts w:ascii="Times New Roman" w:hAnsi="Times New Roman" w:cs="Times New Roman"/>
          <w:sz w:val="24"/>
          <w:szCs w:val="24"/>
        </w:rPr>
        <w:t xml:space="preserve"> fears related to the </w:t>
      </w:r>
      <w:r w:rsidR="00163242">
        <w:rPr>
          <w:rFonts w:ascii="Times New Roman" w:hAnsi="Times New Roman" w:cs="Times New Roman"/>
          <w:sz w:val="24"/>
          <w:szCs w:val="24"/>
        </w:rPr>
        <w:t>pandemic</w:t>
      </w:r>
      <w:r w:rsidRPr="0065228D">
        <w:rPr>
          <w:rFonts w:ascii="Times New Roman" w:hAnsi="Times New Roman" w:cs="Times New Roman"/>
          <w:sz w:val="24"/>
          <w:szCs w:val="24"/>
        </w:rPr>
        <w:t>, which resulted in lockdowns</w:t>
      </w:r>
      <w:r w:rsidR="00A24EE5">
        <w:rPr>
          <w:rFonts w:ascii="Times New Roman" w:hAnsi="Times New Roman" w:cs="Times New Roman"/>
          <w:sz w:val="24"/>
          <w:szCs w:val="24"/>
        </w:rPr>
        <w:t xml:space="preserve"> throughout the world.</w:t>
      </w:r>
      <w:r w:rsidRPr="0065228D">
        <w:rPr>
          <w:rFonts w:ascii="Times New Roman" w:hAnsi="Times New Roman" w:cs="Times New Roman"/>
          <w:sz w:val="24"/>
          <w:szCs w:val="24"/>
        </w:rPr>
        <w:t xml:space="preserve"> </w:t>
      </w:r>
    </w:p>
    <w:p w14:paraId="25DE250D" w14:textId="77777777" w:rsidR="00DA0738" w:rsidRPr="0065228D" w:rsidRDefault="00DA0738" w:rsidP="00F84F21">
      <w:pPr>
        <w:spacing w:line="360" w:lineRule="auto"/>
        <w:contextualSpacing/>
        <w:jc w:val="both"/>
        <w:rPr>
          <w:rFonts w:ascii="Times New Roman" w:hAnsi="Times New Roman" w:cs="Times New Roman"/>
          <w:sz w:val="24"/>
          <w:szCs w:val="24"/>
        </w:rPr>
      </w:pPr>
    </w:p>
    <w:p w14:paraId="40DECC06" w14:textId="3E8F4E26" w:rsidR="00DA0738" w:rsidRPr="0065228D" w:rsidRDefault="00DA0738" w:rsidP="00DA0738">
      <w:pPr>
        <w:spacing w:line="360" w:lineRule="auto"/>
        <w:contextualSpacing/>
        <w:jc w:val="center"/>
        <w:rPr>
          <w:rFonts w:ascii="Times New Roman" w:hAnsi="Times New Roman" w:cs="Times New Roman"/>
          <w:sz w:val="24"/>
          <w:szCs w:val="24"/>
        </w:rPr>
      </w:pPr>
      <w:r w:rsidRPr="0065228D">
        <w:rPr>
          <w:rFonts w:ascii="Times New Roman" w:hAnsi="Times New Roman" w:cs="Times New Roman"/>
          <w:sz w:val="24"/>
          <w:szCs w:val="24"/>
        </w:rPr>
        <w:t>[Figure 5 here]</w:t>
      </w:r>
    </w:p>
    <w:p w14:paraId="1A19C8A4" w14:textId="77777777" w:rsidR="00A60A1E" w:rsidRPr="0065228D" w:rsidRDefault="00A60A1E" w:rsidP="00F84F21">
      <w:pPr>
        <w:spacing w:line="360" w:lineRule="auto"/>
        <w:contextualSpacing/>
        <w:jc w:val="both"/>
        <w:rPr>
          <w:rFonts w:ascii="Times New Roman" w:hAnsi="Times New Roman" w:cs="Times New Roman"/>
          <w:sz w:val="24"/>
          <w:szCs w:val="24"/>
        </w:rPr>
      </w:pPr>
    </w:p>
    <w:p w14:paraId="3655D5CC" w14:textId="7BA270CA" w:rsidR="00D00A85" w:rsidRDefault="00A411EE" w:rsidP="00812C37">
      <w:pPr>
        <w:spacing w:line="360" w:lineRule="auto"/>
        <w:ind w:firstLine="720"/>
        <w:contextualSpacing/>
        <w:jc w:val="both"/>
        <w:rPr>
          <w:rFonts w:ascii="Times New Roman" w:hAnsi="Times New Roman" w:cs="Times New Roman"/>
          <w:sz w:val="24"/>
          <w:szCs w:val="24"/>
        </w:rPr>
      </w:pPr>
      <w:r w:rsidRPr="0065228D">
        <w:rPr>
          <w:rFonts w:ascii="Times New Roman" w:hAnsi="Times New Roman" w:cs="Times New Roman"/>
          <w:sz w:val="24"/>
          <w:szCs w:val="24"/>
        </w:rPr>
        <w:t>Figures 6</w:t>
      </w:r>
      <w:r w:rsidR="00143187">
        <w:rPr>
          <w:rFonts w:ascii="Times New Roman" w:hAnsi="Times New Roman" w:cs="Times New Roman"/>
          <w:sz w:val="24"/>
          <w:szCs w:val="24"/>
        </w:rPr>
        <w:t xml:space="preserve"> and </w:t>
      </w:r>
      <w:r w:rsidRPr="0065228D">
        <w:rPr>
          <w:rFonts w:ascii="Times New Roman" w:hAnsi="Times New Roman" w:cs="Times New Roman"/>
          <w:sz w:val="24"/>
          <w:szCs w:val="24"/>
        </w:rPr>
        <w:t>7 show the net spillovers of each asset at the mean and median. The</w:t>
      </w:r>
      <w:r w:rsidR="00A477A9" w:rsidRPr="0065228D">
        <w:rPr>
          <w:rFonts w:ascii="Times New Roman" w:hAnsi="Times New Roman" w:cs="Times New Roman"/>
          <w:sz w:val="24"/>
          <w:szCs w:val="24"/>
        </w:rPr>
        <w:t>se</w:t>
      </w:r>
      <w:r w:rsidRPr="0065228D">
        <w:rPr>
          <w:rFonts w:ascii="Times New Roman" w:hAnsi="Times New Roman" w:cs="Times New Roman"/>
          <w:sz w:val="24"/>
          <w:szCs w:val="24"/>
        </w:rPr>
        <w:t xml:space="preserve"> results </w:t>
      </w:r>
      <w:r w:rsidR="00A477A9" w:rsidRPr="0065228D">
        <w:rPr>
          <w:rFonts w:ascii="Times New Roman" w:hAnsi="Times New Roman" w:cs="Times New Roman"/>
          <w:sz w:val="24"/>
          <w:szCs w:val="24"/>
        </w:rPr>
        <w:t>are consistent</w:t>
      </w:r>
      <w:r w:rsidRPr="0065228D">
        <w:rPr>
          <w:rFonts w:ascii="Times New Roman" w:hAnsi="Times New Roman" w:cs="Times New Roman"/>
          <w:sz w:val="24"/>
          <w:szCs w:val="24"/>
        </w:rPr>
        <w:t xml:space="preserve"> with </w:t>
      </w:r>
      <w:r w:rsidR="00A477A9" w:rsidRPr="0065228D">
        <w:rPr>
          <w:rFonts w:ascii="Times New Roman" w:hAnsi="Times New Roman" w:cs="Times New Roman"/>
          <w:sz w:val="24"/>
          <w:szCs w:val="24"/>
        </w:rPr>
        <w:t>the results of Fig</w:t>
      </w:r>
      <w:r w:rsidR="00163242">
        <w:rPr>
          <w:rFonts w:ascii="Times New Roman" w:hAnsi="Times New Roman" w:cs="Times New Roman"/>
          <w:sz w:val="24"/>
          <w:szCs w:val="24"/>
        </w:rPr>
        <w:t>ure</w:t>
      </w:r>
      <w:r w:rsidR="00812C37">
        <w:rPr>
          <w:rFonts w:ascii="Times New Roman" w:hAnsi="Times New Roman" w:cs="Times New Roman"/>
          <w:sz w:val="24"/>
          <w:szCs w:val="24"/>
        </w:rPr>
        <w:t xml:space="preserve"> </w:t>
      </w:r>
      <w:r w:rsidR="00A477A9" w:rsidRPr="0065228D">
        <w:rPr>
          <w:rFonts w:ascii="Times New Roman" w:hAnsi="Times New Roman" w:cs="Times New Roman"/>
          <w:sz w:val="24"/>
          <w:szCs w:val="24"/>
        </w:rPr>
        <w:t>5 in the manner</w:t>
      </w:r>
      <w:r w:rsidRPr="0065228D">
        <w:rPr>
          <w:rFonts w:ascii="Times New Roman" w:hAnsi="Times New Roman" w:cs="Times New Roman"/>
          <w:sz w:val="24"/>
          <w:szCs w:val="24"/>
        </w:rPr>
        <w:t xml:space="preserve"> that the net return spillovers </w:t>
      </w:r>
      <w:r w:rsidR="00A477A9" w:rsidRPr="0065228D">
        <w:rPr>
          <w:rFonts w:ascii="Times New Roman" w:hAnsi="Times New Roman" w:cs="Times New Roman"/>
          <w:sz w:val="24"/>
          <w:szCs w:val="24"/>
        </w:rPr>
        <w:lastRenderedPageBreak/>
        <w:t xml:space="preserve">vary </w:t>
      </w:r>
      <w:r w:rsidRPr="0065228D">
        <w:rPr>
          <w:rFonts w:ascii="Times New Roman" w:hAnsi="Times New Roman" w:cs="Times New Roman"/>
          <w:sz w:val="24"/>
          <w:szCs w:val="24"/>
        </w:rPr>
        <w:t>in every market</w:t>
      </w:r>
      <w:r w:rsidR="00A477A9" w:rsidRPr="0065228D">
        <w:rPr>
          <w:rFonts w:ascii="Times New Roman" w:hAnsi="Times New Roman" w:cs="Times New Roman"/>
          <w:sz w:val="24"/>
          <w:szCs w:val="24"/>
        </w:rPr>
        <w:t xml:space="preserve"> over</w:t>
      </w:r>
      <w:r w:rsidR="00143187">
        <w:rPr>
          <w:rFonts w:ascii="Times New Roman" w:hAnsi="Times New Roman" w:cs="Times New Roman"/>
          <w:sz w:val="24"/>
          <w:szCs w:val="24"/>
        </w:rPr>
        <w:t xml:space="preserve"> </w:t>
      </w:r>
      <w:r w:rsidR="00A477A9" w:rsidRPr="0065228D">
        <w:rPr>
          <w:rFonts w:ascii="Times New Roman" w:hAnsi="Times New Roman" w:cs="Times New Roman"/>
          <w:sz w:val="24"/>
          <w:szCs w:val="24"/>
        </w:rPr>
        <w:t>time</w:t>
      </w:r>
      <w:r w:rsidRPr="0065228D">
        <w:rPr>
          <w:rFonts w:ascii="Times New Roman" w:hAnsi="Times New Roman" w:cs="Times New Roman"/>
          <w:sz w:val="24"/>
          <w:szCs w:val="24"/>
        </w:rPr>
        <w:t xml:space="preserve">. </w:t>
      </w:r>
      <w:r w:rsidR="0026209E" w:rsidRPr="0065228D">
        <w:rPr>
          <w:rFonts w:ascii="Times New Roman" w:hAnsi="Times New Roman" w:cs="Times New Roman"/>
          <w:sz w:val="24"/>
          <w:szCs w:val="24"/>
        </w:rPr>
        <w:t>Moving on to the dynamics of the net spillovers, at the mean level, o</w:t>
      </w:r>
      <w:r w:rsidR="00A477A9" w:rsidRPr="0065228D">
        <w:rPr>
          <w:rFonts w:ascii="Times New Roman" w:hAnsi="Times New Roman" w:cs="Times New Roman"/>
          <w:sz w:val="24"/>
          <w:szCs w:val="24"/>
        </w:rPr>
        <w:t>n average</w:t>
      </w:r>
      <w:r w:rsidR="00143187">
        <w:rPr>
          <w:rFonts w:ascii="Times New Roman" w:hAnsi="Times New Roman" w:cs="Times New Roman"/>
          <w:sz w:val="24"/>
          <w:szCs w:val="24"/>
        </w:rPr>
        <w:t>,</w:t>
      </w:r>
      <w:r w:rsidR="00A477A9" w:rsidRPr="0065228D">
        <w:rPr>
          <w:rFonts w:ascii="Times New Roman" w:hAnsi="Times New Roman" w:cs="Times New Roman"/>
          <w:sz w:val="24"/>
          <w:szCs w:val="24"/>
        </w:rPr>
        <w:t xml:space="preserve"> </w:t>
      </w:r>
      <w:proofErr w:type="gramStart"/>
      <w:r w:rsidR="00A477A9" w:rsidRPr="0065228D">
        <w:rPr>
          <w:rFonts w:ascii="Times New Roman" w:hAnsi="Times New Roman" w:cs="Times New Roman"/>
          <w:sz w:val="24"/>
          <w:szCs w:val="24"/>
        </w:rPr>
        <w:t>t</w:t>
      </w:r>
      <w:r w:rsidRPr="0065228D">
        <w:rPr>
          <w:rFonts w:ascii="Times New Roman" w:hAnsi="Times New Roman" w:cs="Times New Roman"/>
          <w:sz w:val="24"/>
          <w:szCs w:val="24"/>
        </w:rPr>
        <w:t>he majority of</w:t>
      </w:r>
      <w:proofErr w:type="gramEnd"/>
      <w:r w:rsidRPr="0065228D">
        <w:rPr>
          <w:rFonts w:ascii="Times New Roman" w:hAnsi="Times New Roman" w:cs="Times New Roman"/>
          <w:sz w:val="24"/>
          <w:szCs w:val="24"/>
        </w:rPr>
        <w:t xml:space="preserve"> DEX tokens, CEX tokens, Gold, </w:t>
      </w:r>
      <w:r w:rsidR="00037A5A" w:rsidRPr="0065228D">
        <w:rPr>
          <w:rFonts w:ascii="Times New Roman" w:hAnsi="Times New Roman" w:cs="Times New Roman"/>
          <w:sz w:val="24"/>
          <w:szCs w:val="24"/>
        </w:rPr>
        <w:t>Oil</w:t>
      </w:r>
      <w:r w:rsidRPr="0065228D">
        <w:rPr>
          <w:rFonts w:ascii="Times New Roman" w:hAnsi="Times New Roman" w:cs="Times New Roman"/>
          <w:sz w:val="24"/>
          <w:szCs w:val="24"/>
        </w:rPr>
        <w:t xml:space="preserve">, and USD Index are the net recipients of the return spillovers, </w:t>
      </w:r>
      <w:r w:rsidR="00A477A9" w:rsidRPr="0065228D">
        <w:rPr>
          <w:rFonts w:ascii="Times New Roman" w:hAnsi="Times New Roman" w:cs="Times New Roman"/>
          <w:sz w:val="24"/>
          <w:szCs w:val="24"/>
        </w:rPr>
        <w:t xml:space="preserve">as shown in </w:t>
      </w:r>
      <w:r w:rsidRPr="0065228D">
        <w:rPr>
          <w:rFonts w:ascii="Times New Roman" w:hAnsi="Times New Roman" w:cs="Times New Roman"/>
          <w:sz w:val="24"/>
          <w:szCs w:val="24"/>
        </w:rPr>
        <w:t>Fig</w:t>
      </w:r>
      <w:r w:rsidR="00163242">
        <w:rPr>
          <w:rFonts w:ascii="Times New Roman" w:hAnsi="Times New Roman" w:cs="Times New Roman"/>
          <w:sz w:val="24"/>
          <w:szCs w:val="24"/>
        </w:rPr>
        <w:t>ure</w:t>
      </w:r>
      <w:r w:rsidRPr="0065228D">
        <w:rPr>
          <w:rFonts w:ascii="Times New Roman" w:hAnsi="Times New Roman" w:cs="Times New Roman"/>
          <w:sz w:val="24"/>
          <w:szCs w:val="24"/>
        </w:rPr>
        <w:t xml:space="preserve"> 6. In contrast, BTC and Equity are the main net transmitters of spillovers, with a peak in transmission during the COVID-19 </w:t>
      </w:r>
      <w:r w:rsidR="0026209E" w:rsidRPr="0065228D">
        <w:rPr>
          <w:rFonts w:ascii="Times New Roman" w:hAnsi="Times New Roman" w:cs="Times New Roman"/>
          <w:sz w:val="24"/>
          <w:szCs w:val="24"/>
        </w:rPr>
        <w:t>pan</w:t>
      </w:r>
      <w:r w:rsidRPr="0065228D">
        <w:rPr>
          <w:rFonts w:ascii="Times New Roman" w:hAnsi="Times New Roman" w:cs="Times New Roman"/>
          <w:sz w:val="24"/>
          <w:szCs w:val="24"/>
        </w:rPr>
        <w:t>demic.</w:t>
      </w:r>
      <w:r w:rsidR="00DA0738" w:rsidRPr="0065228D">
        <w:rPr>
          <w:rFonts w:ascii="Times New Roman" w:hAnsi="Times New Roman" w:cs="Times New Roman"/>
          <w:sz w:val="24"/>
          <w:szCs w:val="24"/>
        </w:rPr>
        <w:t xml:space="preserve"> </w:t>
      </w:r>
      <w:r w:rsidR="00D00A85" w:rsidRPr="0065228D">
        <w:rPr>
          <w:rFonts w:ascii="Times New Roman" w:hAnsi="Times New Roman" w:cs="Times New Roman"/>
          <w:sz w:val="24"/>
          <w:szCs w:val="24"/>
        </w:rPr>
        <w:t>This shows that there are more spillovers from B</w:t>
      </w:r>
      <w:r w:rsidR="0026209E" w:rsidRPr="0065228D">
        <w:rPr>
          <w:rFonts w:ascii="Times New Roman" w:hAnsi="Times New Roman" w:cs="Times New Roman"/>
          <w:sz w:val="24"/>
          <w:szCs w:val="24"/>
        </w:rPr>
        <w:t>TC</w:t>
      </w:r>
      <w:r w:rsidR="00D00A85" w:rsidRPr="0065228D">
        <w:rPr>
          <w:rFonts w:ascii="Times New Roman" w:hAnsi="Times New Roman" w:cs="Times New Roman"/>
          <w:sz w:val="24"/>
          <w:szCs w:val="24"/>
        </w:rPr>
        <w:t xml:space="preserve"> and Equity to DEX and CEX tokens, Gold, </w:t>
      </w:r>
      <w:r w:rsidR="00037A5A" w:rsidRPr="0065228D">
        <w:rPr>
          <w:rFonts w:ascii="Times New Roman" w:hAnsi="Times New Roman" w:cs="Times New Roman"/>
          <w:sz w:val="24"/>
          <w:szCs w:val="24"/>
        </w:rPr>
        <w:t>Oil</w:t>
      </w:r>
      <w:r w:rsidR="00D00A85" w:rsidRPr="0065228D">
        <w:rPr>
          <w:rFonts w:ascii="Times New Roman" w:hAnsi="Times New Roman" w:cs="Times New Roman"/>
          <w:sz w:val="24"/>
          <w:szCs w:val="24"/>
        </w:rPr>
        <w:t xml:space="preserve">, and </w:t>
      </w:r>
      <w:r w:rsidR="00143187">
        <w:rPr>
          <w:rFonts w:ascii="Times New Roman" w:hAnsi="Times New Roman" w:cs="Times New Roman"/>
          <w:sz w:val="24"/>
          <w:szCs w:val="24"/>
        </w:rPr>
        <w:t xml:space="preserve">the </w:t>
      </w:r>
      <w:r w:rsidR="00D00A85" w:rsidRPr="0065228D">
        <w:rPr>
          <w:rFonts w:ascii="Times New Roman" w:hAnsi="Times New Roman" w:cs="Times New Roman"/>
          <w:sz w:val="24"/>
          <w:szCs w:val="24"/>
        </w:rPr>
        <w:t xml:space="preserve">USD Index than there are in the reverse direction, particularly during the global health crisis. Gold and the USD Index are generally </w:t>
      </w:r>
      <w:r w:rsidR="008E727B">
        <w:rPr>
          <w:rFonts w:ascii="Times New Roman" w:hAnsi="Times New Roman" w:cs="Times New Roman"/>
          <w:sz w:val="24"/>
          <w:szCs w:val="24"/>
        </w:rPr>
        <w:t xml:space="preserve">the </w:t>
      </w:r>
      <w:r w:rsidR="00D00A85" w:rsidRPr="0065228D">
        <w:rPr>
          <w:rFonts w:ascii="Times New Roman" w:hAnsi="Times New Roman" w:cs="Times New Roman"/>
          <w:sz w:val="24"/>
          <w:szCs w:val="24"/>
        </w:rPr>
        <w:t xml:space="preserve">main recipients of </w:t>
      </w:r>
      <w:r w:rsidR="0053567A" w:rsidRPr="0065228D">
        <w:rPr>
          <w:rFonts w:ascii="Times New Roman" w:hAnsi="Times New Roman" w:cs="Times New Roman"/>
          <w:sz w:val="24"/>
          <w:szCs w:val="24"/>
        </w:rPr>
        <w:t>return spillovers</w:t>
      </w:r>
      <w:r w:rsidR="00D00A85" w:rsidRPr="0065228D">
        <w:rPr>
          <w:rFonts w:ascii="Times New Roman" w:hAnsi="Times New Roman" w:cs="Times New Roman"/>
          <w:sz w:val="24"/>
          <w:szCs w:val="24"/>
        </w:rPr>
        <w:t>,</w:t>
      </w:r>
      <w:r w:rsidR="00A60A1E" w:rsidRPr="0065228D">
        <w:rPr>
          <w:rFonts w:ascii="Times New Roman" w:hAnsi="Times New Roman" w:cs="Times New Roman"/>
          <w:sz w:val="24"/>
          <w:szCs w:val="24"/>
        </w:rPr>
        <w:t xml:space="preserve"> </w:t>
      </w:r>
      <w:r w:rsidR="000A1E51">
        <w:rPr>
          <w:rFonts w:ascii="Times New Roman" w:hAnsi="Times New Roman" w:cs="Times New Roman"/>
          <w:sz w:val="24"/>
          <w:szCs w:val="24"/>
        </w:rPr>
        <w:t xml:space="preserve">particularly </w:t>
      </w:r>
      <w:r w:rsidR="00A60A1E" w:rsidRPr="0065228D">
        <w:rPr>
          <w:rFonts w:ascii="Times New Roman" w:hAnsi="Times New Roman" w:cs="Times New Roman"/>
          <w:sz w:val="24"/>
          <w:szCs w:val="24"/>
        </w:rPr>
        <w:t>during t</w:t>
      </w:r>
      <w:r w:rsidR="00D00A85" w:rsidRPr="0065228D">
        <w:rPr>
          <w:rFonts w:ascii="Times New Roman" w:hAnsi="Times New Roman" w:cs="Times New Roman"/>
          <w:sz w:val="24"/>
          <w:szCs w:val="24"/>
        </w:rPr>
        <w:t xml:space="preserve">he </w:t>
      </w:r>
      <w:r w:rsidR="000A1E51">
        <w:rPr>
          <w:rFonts w:ascii="Times New Roman" w:hAnsi="Times New Roman" w:cs="Times New Roman"/>
          <w:sz w:val="24"/>
          <w:szCs w:val="24"/>
        </w:rPr>
        <w:t xml:space="preserve">global </w:t>
      </w:r>
      <w:r w:rsidR="00D00A85" w:rsidRPr="0065228D">
        <w:rPr>
          <w:rFonts w:ascii="Times New Roman" w:hAnsi="Times New Roman" w:cs="Times New Roman"/>
          <w:sz w:val="24"/>
          <w:szCs w:val="24"/>
        </w:rPr>
        <w:t>p</w:t>
      </w:r>
      <w:r w:rsidR="00A60A1E" w:rsidRPr="0065228D">
        <w:rPr>
          <w:rFonts w:ascii="Times New Roman" w:hAnsi="Times New Roman" w:cs="Times New Roman"/>
          <w:sz w:val="24"/>
          <w:szCs w:val="24"/>
        </w:rPr>
        <w:t>an</w:t>
      </w:r>
      <w:r w:rsidR="00D00A85" w:rsidRPr="0065228D">
        <w:rPr>
          <w:rFonts w:ascii="Times New Roman" w:hAnsi="Times New Roman" w:cs="Times New Roman"/>
          <w:sz w:val="24"/>
          <w:szCs w:val="24"/>
        </w:rPr>
        <w:t>demic. Additionally, in the first quarter of 2020, there was the highest transmission of return spillovers, with BTC and Equity serving as the primary net transmitters.</w:t>
      </w:r>
      <w:r w:rsidR="00D00A85" w:rsidRPr="0065228D">
        <w:t xml:space="preserve"> </w:t>
      </w:r>
      <w:r w:rsidR="00D00A85" w:rsidRPr="0065228D">
        <w:rPr>
          <w:rFonts w:ascii="Times New Roman" w:hAnsi="Times New Roman" w:cs="Times New Roman"/>
          <w:sz w:val="24"/>
          <w:szCs w:val="24"/>
        </w:rPr>
        <w:t xml:space="preserve">Another interesting finding is that whereas most assets serve as net receivers of spillover during the worldwide pandemic outbreak in 2020, bonds serve as a large transmitter, illustrating the phenomenon of </w:t>
      </w:r>
      <w:r w:rsidR="000A1E51">
        <w:rPr>
          <w:rFonts w:ascii="Times New Roman" w:hAnsi="Times New Roman" w:cs="Times New Roman"/>
          <w:sz w:val="24"/>
          <w:szCs w:val="24"/>
        </w:rPr>
        <w:t>“</w:t>
      </w:r>
      <w:r w:rsidR="00D00A85" w:rsidRPr="0065228D">
        <w:rPr>
          <w:rFonts w:ascii="Times New Roman" w:hAnsi="Times New Roman" w:cs="Times New Roman"/>
          <w:sz w:val="24"/>
          <w:szCs w:val="24"/>
        </w:rPr>
        <w:t>flight to quality</w:t>
      </w:r>
      <w:r w:rsidR="000A1E51">
        <w:rPr>
          <w:rFonts w:ascii="Times New Roman" w:hAnsi="Times New Roman" w:cs="Times New Roman"/>
          <w:sz w:val="24"/>
          <w:szCs w:val="24"/>
        </w:rPr>
        <w:t>”</w:t>
      </w:r>
      <w:r w:rsidR="00D00A85" w:rsidRPr="0065228D">
        <w:rPr>
          <w:rFonts w:ascii="Times New Roman" w:hAnsi="Times New Roman" w:cs="Times New Roman"/>
          <w:sz w:val="24"/>
          <w:szCs w:val="24"/>
        </w:rPr>
        <w:t xml:space="preserve"> as bonds are perceived as having higher "quality" and</w:t>
      </w:r>
      <w:r w:rsidR="000A1E51">
        <w:rPr>
          <w:rFonts w:ascii="Times New Roman" w:hAnsi="Times New Roman" w:cs="Times New Roman"/>
          <w:sz w:val="24"/>
          <w:szCs w:val="24"/>
        </w:rPr>
        <w:t>,</w:t>
      </w:r>
      <w:r w:rsidR="00D00A85" w:rsidRPr="0065228D">
        <w:rPr>
          <w:rFonts w:ascii="Times New Roman" w:hAnsi="Times New Roman" w:cs="Times New Roman"/>
          <w:sz w:val="24"/>
          <w:szCs w:val="24"/>
        </w:rPr>
        <w:t xml:space="preserve"> therefore</w:t>
      </w:r>
      <w:r w:rsidR="000A1E51">
        <w:rPr>
          <w:rFonts w:ascii="Times New Roman" w:hAnsi="Times New Roman" w:cs="Times New Roman"/>
          <w:sz w:val="24"/>
          <w:szCs w:val="24"/>
        </w:rPr>
        <w:t>,</w:t>
      </w:r>
      <w:r w:rsidR="00D00A85" w:rsidRPr="0065228D">
        <w:rPr>
          <w:rFonts w:ascii="Times New Roman" w:hAnsi="Times New Roman" w:cs="Times New Roman"/>
          <w:sz w:val="24"/>
          <w:szCs w:val="24"/>
        </w:rPr>
        <w:t xml:space="preserve"> are considered </w:t>
      </w:r>
      <w:r w:rsidR="000A1E51">
        <w:rPr>
          <w:rFonts w:ascii="Times New Roman" w:hAnsi="Times New Roman" w:cs="Times New Roman"/>
          <w:sz w:val="24"/>
          <w:szCs w:val="24"/>
        </w:rPr>
        <w:t>a</w:t>
      </w:r>
      <w:r w:rsidR="000A1E51" w:rsidRPr="0065228D">
        <w:rPr>
          <w:rFonts w:ascii="Times New Roman" w:hAnsi="Times New Roman" w:cs="Times New Roman"/>
          <w:sz w:val="24"/>
          <w:szCs w:val="24"/>
        </w:rPr>
        <w:t xml:space="preserve"> </w:t>
      </w:r>
      <w:r w:rsidR="00D00A85" w:rsidRPr="0065228D">
        <w:rPr>
          <w:rFonts w:ascii="Times New Roman" w:hAnsi="Times New Roman" w:cs="Times New Roman"/>
          <w:sz w:val="24"/>
          <w:szCs w:val="24"/>
        </w:rPr>
        <w:t>safe</w:t>
      </w:r>
      <w:r w:rsidR="00FB101A" w:rsidRPr="0065228D">
        <w:rPr>
          <w:rFonts w:ascii="Times New Roman" w:hAnsi="Times New Roman" w:cs="Times New Roman"/>
          <w:sz w:val="24"/>
          <w:szCs w:val="24"/>
        </w:rPr>
        <w:t xml:space="preserve"> investment</w:t>
      </w:r>
      <w:r w:rsidR="00D00A85" w:rsidRPr="0065228D">
        <w:rPr>
          <w:rFonts w:ascii="Times New Roman" w:hAnsi="Times New Roman" w:cs="Times New Roman"/>
          <w:sz w:val="24"/>
          <w:szCs w:val="24"/>
        </w:rPr>
        <w:t xml:space="preserve">. However, a significant decrease in bond values occurs in the second quarter of 2022, primarily </w:t>
      </w:r>
      <w:r w:rsidR="00531153" w:rsidRPr="0065228D">
        <w:rPr>
          <w:rFonts w:ascii="Times New Roman" w:hAnsi="Times New Roman" w:cs="Times New Roman"/>
          <w:sz w:val="24"/>
          <w:szCs w:val="24"/>
        </w:rPr>
        <w:t>because of</w:t>
      </w:r>
      <w:r w:rsidR="00D00A85" w:rsidRPr="0065228D">
        <w:rPr>
          <w:rFonts w:ascii="Times New Roman" w:hAnsi="Times New Roman" w:cs="Times New Roman"/>
          <w:sz w:val="24"/>
          <w:szCs w:val="24"/>
        </w:rPr>
        <w:t xml:space="preserve"> the FED</w:t>
      </w:r>
      <w:r w:rsidR="00F0330D">
        <w:rPr>
          <w:rStyle w:val="FootnoteReference"/>
          <w:rFonts w:ascii="Times New Roman" w:hAnsi="Times New Roman" w:cs="Times New Roman"/>
          <w:sz w:val="24"/>
          <w:szCs w:val="24"/>
        </w:rPr>
        <w:footnoteReference w:id="4"/>
      </w:r>
      <w:r w:rsidR="00F0330D">
        <w:rPr>
          <w:rFonts w:ascii="Times New Roman" w:hAnsi="Times New Roman" w:cs="Times New Roman"/>
          <w:sz w:val="24"/>
          <w:szCs w:val="24"/>
        </w:rPr>
        <w:t xml:space="preserve">’s decision regarding </w:t>
      </w:r>
      <w:r w:rsidR="00D00A85" w:rsidRPr="0065228D">
        <w:rPr>
          <w:rFonts w:ascii="Times New Roman" w:hAnsi="Times New Roman" w:cs="Times New Roman"/>
          <w:sz w:val="24"/>
          <w:szCs w:val="24"/>
        </w:rPr>
        <w:t>raising interest rates on bonds in response to rising inflation.</w:t>
      </w:r>
      <w:r w:rsidR="00DA0738" w:rsidRPr="0065228D">
        <w:rPr>
          <w:rFonts w:ascii="Times New Roman" w:hAnsi="Times New Roman" w:cs="Times New Roman"/>
          <w:sz w:val="24"/>
          <w:szCs w:val="24"/>
        </w:rPr>
        <w:t xml:space="preserve"> At the median quantile, we discover a similar relationship across all the assets as depicted in Fig</w:t>
      </w:r>
      <w:r w:rsidR="00163242">
        <w:rPr>
          <w:rFonts w:ascii="Times New Roman" w:hAnsi="Times New Roman" w:cs="Times New Roman"/>
          <w:sz w:val="24"/>
          <w:szCs w:val="24"/>
        </w:rPr>
        <w:t>ure</w:t>
      </w:r>
      <w:r w:rsidR="00DA0738" w:rsidRPr="0065228D">
        <w:rPr>
          <w:rFonts w:ascii="Times New Roman" w:hAnsi="Times New Roman" w:cs="Times New Roman"/>
          <w:sz w:val="24"/>
          <w:szCs w:val="24"/>
        </w:rPr>
        <w:t xml:space="preserve"> 7.</w:t>
      </w:r>
    </w:p>
    <w:p w14:paraId="07A658B5" w14:textId="77777777" w:rsidR="00812C37" w:rsidRPr="0065228D" w:rsidRDefault="00812C37" w:rsidP="00812C37">
      <w:pPr>
        <w:spacing w:line="360" w:lineRule="auto"/>
        <w:ind w:firstLine="720"/>
        <w:contextualSpacing/>
        <w:jc w:val="both"/>
        <w:rPr>
          <w:rFonts w:ascii="Times New Roman" w:hAnsi="Times New Roman" w:cs="Times New Roman"/>
          <w:sz w:val="24"/>
          <w:szCs w:val="24"/>
        </w:rPr>
      </w:pPr>
    </w:p>
    <w:p w14:paraId="6AF4717A" w14:textId="5DD6E714" w:rsidR="00DA0738" w:rsidRPr="0065228D" w:rsidRDefault="00DA0738" w:rsidP="00DA0738">
      <w:pPr>
        <w:spacing w:line="360" w:lineRule="auto"/>
        <w:contextualSpacing/>
        <w:jc w:val="center"/>
        <w:rPr>
          <w:rFonts w:ascii="Times New Roman" w:hAnsi="Times New Roman" w:cs="Times New Roman"/>
          <w:sz w:val="24"/>
          <w:szCs w:val="24"/>
        </w:rPr>
      </w:pPr>
      <w:bookmarkStart w:id="27" w:name="_Hlk122874396"/>
      <w:r w:rsidRPr="0065228D">
        <w:rPr>
          <w:rFonts w:ascii="Times New Roman" w:hAnsi="Times New Roman" w:cs="Times New Roman"/>
          <w:sz w:val="24"/>
          <w:szCs w:val="24"/>
        </w:rPr>
        <w:t>[Figure 6 here]</w:t>
      </w:r>
    </w:p>
    <w:p w14:paraId="06EB5A6E" w14:textId="3FE444C8" w:rsidR="00DA0738" w:rsidRPr="0065228D" w:rsidRDefault="00DA0738" w:rsidP="00DA0738">
      <w:pPr>
        <w:spacing w:line="360" w:lineRule="auto"/>
        <w:contextualSpacing/>
        <w:jc w:val="center"/>
        <w:rPr>
          <w:rFonts w:ascii="Times New Roman" w:hAnsi="Times New Roman" w:cs="Times New Roman"/>
          <w:sz w:val="24"/>
          <w:szCs w:val="24"/>
        </w:rPr>
      </w:pPr>
      <w:r w:rsidRPr="0065228D">
        <w:rPr>
          <w:rFonts w:ascii="Times New Roman" w:hAnsi="Times New Roman" w:cs="Times New Roman"/>
          <w:sz w:val="24"/>
          <w:szCs w:val="24"/>
        </w:rPr>
        <w:t>[Figure 7 here]</w:t>
      </w:r>
    </w:p>
    <w:bookmarkEnd w:id="27"/>
    <w:p w14:paraId="186BD378" w14:textId="77777777" w:rsidR="00DA0738" w:rsidRPr="0065228D" w:rsidRDefault="00DA0738" w:rsidP="00DA0738">
      <w:pPr>
        <w:spacing w:line="360" w:lineRule="auto"/>
        <w:contextualSpacing/>
        <w:jc w:val="center"/>
        <w:rPr>
          <w:rFonts w:ascii="Times New Roman" w:hAnsi="Times New Roman" w:cs="Times New Roman"/>
          <w:sz w:val="24"/>
          <w:szCs w:val="24"/>
        </w:rPr>
      </w:pPr>
    </w:p>
    <w:p w14:paraId="5DBDC09D" w14:textId="491B804A" w:rsidR="00D00A85" w:rsidRPr="0065228D" w:rsidRDefault="000115B5" w:rsidP="00812C37">
      <w:pPr>
        <w:spacing w:line="360" w:lineRule="auto"/>
        <w:ind w:firstLine="720"/>
        <w:contextualSpacing/>
        <w:jc w:val="both"/>
        <w:rPr>
          <w:rFonts w:ascii="Times New Roman" w:hAnsi="Times New Roman" w:cs="Times New Roman"/>
          <w:sz w:val="24"/>
          <w:szCs w:val="24"/>
        </w:rPr>
      </w:pPr>
      <w:r w:rsidRPr="0065228D">
        <w:rPr>
          <w:rFonts w:ascii="Times New Roman" w:hAnsi="Times New Roman" w:cs="Times New Roman"/>
          <w:sz w:val="24"/>
          <w:szCs w:val="24"/>
        </w:rPr>
        <w:t>A</w:t>
      </w:r>
      <w:r w:rsidR="00D00A85" w:rsidRPr="0065228D">
        <w:rPr>
          <w:rFonts w:ascii="Times New Roman" w:hAnsi="Times New Roman" w:cs="Times New Roman"/>
          <w:sz w:val="24"/>
          <w:szCs w:val="24"/>
        </w:rPr>
        <w:t xml:space="preserve">t the </w:t>
      </w:r>
      <w:r w:rsidRPr="0065228D">
        <w:rPr>
          <w:rFonts w:ascii="Times New Roman" w:hAnsi="Times New Roman" w:cs="Times New Roman"/>
          <w:sz w:val="24"/>
          <w:szCs w:val="24"/>
        </w:rPr>
        <w:t xml:space="preserve">extreme </w:t>
      </w:r>
      <w:r w:rsidR="00D00A85" w:rsidRPr="0065228D">
        <w:rPr>
          <w:rFonts w:ascii="Times New Roman" w:hAnsi="Times New Roman" w:cs="Times New Roman"/>
          <w:sz w:val="24"/>
          <w:szCs w:val="24"/>
        </w:rPr>
        <w:t xml:space="preserve">lower and </w:t>
      </w:r>
      <w:r w:rsidRPr="0065228D">
        <w:rPr>
          <w:rFonts w:ascii="Times New Roman" w:hAnsi="Times New Roman" w:cs="Times New Roman"/>
          <w:sz w:val="24"/>
          <w:szCs w:val="24"/>
        </w:rPr>
        <w:t xml:space="preserve">extreme upper </w:t>
      </w:r>
      <w:r w:rsidR="00D00A85" w:rsidRPr="0065228D">
        <w:rPr>
          <w:rFonts w:ascii="Times New Roman" w:hAnsi="Times New Roman" w:cs="Times New Roman"/>
          <w:sz w:val="24"/>
          <w:szCs w:val="24"/>
        </w:rPr>
        <w:t>quantiles</w:t>
      </w:r>
      <w:r w:rsidRPr="0065228D">
        <w:rPr>
          <w:rFonts w:ascii="Times New Roman" w:hAnsi="Times New Roman" w:cs="Times New Roman"/>
          <w:sz w:val="24"/>
          <w:szCs w:val="24"/>
        </w:rPr>
        <w:t>,</w:t>
      </w:r>
      <w:r w:rsidR="00D00A85" w:rsidRPr="0065228D">
        <w:rPr>
          <w:rFonts w:ascii="Times New Roman" w:hAnsi="Times New Roman" w:cs="Times New Roman"/>
          <w:sz w:val="24"/>
          <w:szCs w:val="24"/>
        </w:rPr>
        <w:t xml:space="preserve"> </w:t>
      </w:r>
      <w:r w:rsidRPr="0065228D">
        <w:rPr>
          <w:rFonts w:ascii="Times New Roman" w:hAnsi="Times New Roman" w:cs="Times New Roman"/>
          <w:sz w:val="24"/>
          <w:szCs w:val="24"/>
        </w:rPr>
        <w:t xml:space="preserve">the net spillovers </w:t>
      </w:r>
      <w:r w:rsidR="00D00A85" w:rsidRPr="0065228D">
        <w:rPr>
          <w:rFonts w:ascii="Times New Roman" w:hAnsi="Times New Roman" w:cs="Times New Roman"/>
          <w:sz w:val="24"/>
          <w:szCs w:val="24"/>
        </w:rPr>
        <w:t>are shown in Fig</w:t>
      </w:r>
      <w:r w:rsidR="00137D83">
        <w:rPr>
          <w:rFonts w:ascii="Times New Roman" w:hAnsi="Times New Roman" w:cs="Times New Roman"/>
          <w:sz w:val="24"/>
          <w:szCs w:val="24"/>
        </w:rPr>
        <w:t>ures</w:t>
      </w:r>
      <w:r w:rsidR="00D00A85" w:rsidRPr="0065228D">
        <w:rPr>
          <w:rFonts w:ascii="Times New Roman" w:hAnsi="Times New Roman" w:cs="Times New Roman"/>
          <w:sz w:val="24"/>
          <w:szCs w:val="24"/>
        </w:rPr>
        <w:t xml:space="preserve"> 8</w:t>
      </w:r>
      <w:r w:rsidR="00137D83">
        <w:rPr>
          <w:rFonts w:ascii="Times New Roman" w:hAnsi="Times New Roman" w:cs="Times New Roman"/>
          <w:sz w:val="24"/>
          <w:szCs w:val="24"/>
        </w:rPr>
        <w:t xml:space="preserve"> and </w:t>
      </w:r>
      <w:r w:rsidR="00D00A85" w:rsidRPr="0065228D">
        <w:rPr>
          <w:rFonts w:ascii="Times New Roman" w:hAnsi="Times New Roman" w:cs="Times New Roman"/>
          <w:sz w:val="24"/>
          <w:szCs w:val="24"/>
        </w:rPr>
        <w:t>9. Overall, these figures exhibit patterns resembling those in Fig</w:t>
      </w:r>
      <w:r w:rsidR="00137D83">
        <w:rPr>
          <w:rFonts w:ascii="Times New Roman" w:hAnsi="Times New Roman" w:cs="Times New Roman"/>
          <w:sz w:val="24"/>
          <w:szCs w:val="24"/>
        </w:rPr>
        <w:t>ures</w:t>
      </w:r>
      <w:r w:rsidR="00D00A85" w:rsidRPr="0065228D">
        <w:rPr>
          <w:rFonts w:ascii="Times New Roman" w:hAnsi="Times New Roman" w:cs="Times New Roman"/>
          <w:sz w:val="24"/>
          <w:szCs w:val="24"/>
        </w:rPr>
        <w:t xml:space="preserve"> 6</w:t>
      </w:r>
      <w:r w:rsidR="00137D83">
        <w:rPr>
          <w:rFonts w:ascii="Times New Roman" w:hAnsi="Times New Roman" w:cs="Times New Roman"/>
          <w:sz w:val="24"/>
          <w:szCs w:val="24"/>
        </w:rPr>
        <w:t xml:space="preserve"> and </w:t>
      </w:r>
      <w:r w:rsidR="00D00A85" w:rsidRPr="0065228D">
        <w:rPr>
          <w:rFonts w:ascii="Times New Roman" w:hAnsi="Times New Roman" w:cs="Times New Roman"/>
          <w:sz w:val="24"/>
          <w:szCs w:val="24"/>
        </w:rPr>
        <w:t xml:space="preserve">7, indicating that the spillover effects between DEX tokens, CEX tokens, and other assets are </w:t>
      </w:r>
      <w:r w:rsidR="00DC6319" w:rsidRPr="0065228D">
        <w:rPr>
          <w:rFonts w:ascii="Times New Roman" w:hAnsi="Times New Roman" w:cs="Times New Roman"/>
          <w:sz w:val="24"/>
          <w:szCs w:val="24"/>
        </w:rPr>
        <w:t>time varying</w:t>
      </w:r>
      <w:r w:rsidR="00D00A85" w:rsidRPr="0065228D">
        <w:rPr>
          <w:rFonts w:ascii="Times New Roman" w:hAnsi="Times New Roman" w:cs="Times New Roman"/>
          <w:sz w:val="24"/>
          <w:szCs w:val="24"/>
        </w:rPr>
        <w:t>. More frequently</w:t>
      </w:r>
      <w:r w:rsidR="000A1E51">
        <w:rPr>
          <w:rFonts w:ascii="Times New Roman" w:hAnsi="Times New Roman" w:cs="Times New Roman"/>
          <w:sz w:val="24"/>
          <w:szCs w:val="24"/>
        </w:rPr>
        <w:t>,</w:t>
      </w:r>
      <w:r w:rsidR="00D00A85" w:rsidRPr="0065228D">
        <w:rPr>
          <w:rFonts w:ascii="Times New Roman" w:hAnsi="Times New Roman" w:cs="Times New Roman"/>
          <w:sz w:val="24"/>
          <w:szCs w:val="24"/>
        </w:rPr>
        <w:t xml:space="preserve"> </w:t>
      </w:r>
      <w:r w:rsidR="00FB101A" w:rsidRPr="0065228D">
        <w:rPr>
          <w:rFonts w:ascii="Times New Roman" w:hAnsi="Times New Roman" w:cs="Times New Roman"/>
          <w:sz w:val="24"/>
          <w:szCs w:val="24"/>
        </w:rPr>
        <w:t xml:space="preserve">in comparison to </w:t>
      </w:r>
      <w:r w:rsidR="00D00A85" w:rsidRPr="0065228D">
        <w:rPr>
          <w:rFonts w:ascii="Times New Roman" w:hAnsi="Times New Roman" w:cs="Times New Roman"/>
          <w:sz w:val="24"/>
          <w:szCs w:val="24"/>
        </w:rPr>
        <w:t>Fig</w:t>
      </w:r>
      <w:r w:rsidR="00137D83">
        <w:rPr>
          <w:rFonts w:ascii="Times New Roman" w:hAnsi="Times New Roman" w:cs="Times New Roman"/>
          <w:sz w:val="24"/>
          <w:szCs w:val="24"/>
        </w:rPr>
        <w:t>ures</w:t>
      </w:r>
      <w:r w:rsidR="00D00A85" w:rsidRPr="0065228D">
        <w:rPr>
          <w:rFonts w:ascii="Times New Roman" w:hAnsi="Times New Roman" w:cs="Times New Roman"/>
          <w:sz w:val="24"/>
          <w:szCs w:val="24"/>
        </w:rPr>
        <w:t xml:space="preserve"> 6</w:t>
      </w:r>
      <w:r w:rsidR="00137D83">
        <w:rPr>
          <w:rFonts w:ascii="Times New Roman" w:hAnsi="Times New Roman" w:cs="Times New Roman"/>
          <w:sz w:val="24"/>
          <w:szCs w:val="24"/>
        </w:rPr>
        <w:t xml:space="preserve"> and </w:t>
      </w:r>
      <w:r w:rsidR="00D00A85" w:rsidRPr="0065228D">
        <w:rPr>
          <w:rFonts w:ascii="Times New Roman" w:hAnsi="Times New Roman" w:cs="Times New Roman"/>
          <w:sz w:val="24"/>
          <w:szCs w:val="24"/>
        </w:rPr>
        <w:t>7, the net spillovers in Figures 8 and 9 oscillated between positive and negative values, which is consistent with the shifting functions of these systems as transmitters and receivers</w:t>
      </w:r>
      <w:r w:rsidR="00A60A1E" w:rsidRPr="0065228D">
        <w:rPr>
          <w:rFonts w:ascii="Times New Roman" w:hAnsi="Times New Roman" w:cs="Times New Roman"/>
          <w:sz w:val="24"/>
          <w:szCs w:val="24"/>
        </w:rPr>
        <w:t xml:space="preserve"> of spillovers</w:t>
      </w:r>
      <w:r w:rsidR="00D00A85" w:rsidRPr="0065228D">
        <w:rPr>
          <w:rFonts w:ascii="Times New Roman" w:hAnsi="Times New Roman" w:cs="Times New Roman"/>
          <w:sz w:val="24"/>
          <w:szCs w:val="24"/>
        </w:rPr>
        <w:t xml:space="preserve"> </w:t>
      </w:r>
      <w:proofErr w:type="gramStart"/>
      <w:r w:rsidR="00D00A85" w:rsidRPr="0065228D">
        <w:rPr>
          <w:rFonts w:ascii="Times New Roman" w:hAnsi="Times New Roman" w:cs="Times New Roman"/>
          <w:sz w:val="24"/>
          <w:szCs w:val="24"/>
        </w:rPr>
        <w:t>during the course of</w:t>
      </w:r>
      <w:proofErr w:type="gramEnd"/>
      <w:r w:rsidR="00D00A85" w:rsidRPr="0065228D">
        <w:rPr>
          <w:rFonts w:ascii="Times New Roman" w:hAnsi="Times New Roman" w:cs="Times New Roman"/>
          <w:sz w:val="24"/>
          <w:szCs w:val="24"/>
        </w:rPr>
        <w:t xml:space="preserve"> the sample period. Accordingly, it can be inferred that spillovers </w:t>
      </w:r>
      <w:r w:rsidR="00A60A1E" w:rsidRPr="0065228D">
        <w:rPr>
          <w:rFonts w:ascii="Times New Roman" w:hAnsi="Times New Roman" w:cs="Times New Roman"/>
          <w:sz w:val="24"/>
          <w:szCs w:val="24"/>
        </w:rPr>
        <w:t xml:space="preserve">at </w:t>
      </w:r>
      <w:r w:rsidR="006B43E8">
        <w:rPr>
          <w:rFonts w:ascii="Times New Roman" w:hAnsi="Times New Roman" w:cs="Times New Roman"/>
          <w:sz w:val="24"/>
          <w:szCs w:val="24"/>
        </w:rPr>
        <w:t xml:space="preserve">the </w:t>
      </w:r>
      <w:r w:rsidR="00A60A1E" w:rsidRPr="0065228D">
        <w:rPr>
          <w:rFonts w:ascii="Times New Roman" w:hAnsi="Times New Roman" w:cs="Times New Roman"/>
          <w:sz w:val="24"/>
          <w:szCs w:val="24"/>
        </w:rPr>
        <w:t xml:space="preserve">extreme quantiles </w:t>
      </w:r>
      <w:r w:rsidR="00D00A85" w:rsidRPr="0065228D">
        <w:rPr>
          <w:rFonts w:ascii="Times New Roman" w:hAnsi="Times New Roman" w:cs="Times New Roman"/>
          <w:sz w:val="24"/>
          <w:szCs w:val="24"/>
        </w:rPr>
        <w:t>are more unpredictable than spillovers at the me</w:t>
      </w:r>
      <w:r w:rsidR="00A60A1E" w:rsidRPr="0065228D">
        <w:rPr>
          <w:rFonts w:ascii="Times New Roman" w:hAnsi="Times New Roman" w:cs="Times New Roman"/>
          <w:sz w:val="24"/>
          <w:szCs w:val="24"/>
        </w:rPr>
        <w:t>an</w:t>
      </w:r>
      <w:r w:rsidR="00D00A85" w:rsidRPr="0065228D">
        <w:rPr>
          <w:rFonts w:ascii="Times New Roman" w:hAnsi="Times New Roman" w:cs="Times New Roman"/>
          <w:sz w:val="24"/>
          <w:szCs w:val="24"/>
        </w:rPr>
        <w:t xml:space="preserve"> or me</w:t>
      </w:r>
      <w:r w:rsidR="00A60A1E" w:rsidRPr="0065228D">
        <w:rPr>
          <w:rFonts w:ascii="Times New Roman" w:hAnsi="Times New Roman" w:cs="Times New Roman"/>
          <w:sz w:val="24"/>
          <w:szCs w:val="24"/>
        </w:rPr>
        <w:t>dian quantiles</w:t>
      </w:r>
      <w:r w:rsidR="00D00A85" w:rsidRPr="0065228D">
        <w:rPr>
          <w:rFonts w:ascii="Times New Roman" w:hAnsi="Times New Roman" w:cs="Times New Roman"/>
          <w:sz w:val="24"/>
          <w:szCs w:val="24"/>
        </w:rPr>
        <w:t>.</w:t>
      </w:r>
      <w:r w:rsidR="009746BB" w:rsidRPr="0065228D">
        <w:rPr>
          <w:rFonts w:ascii="Times New Roman" w:hAnsi="Times New Roman" w:cs="Times New Roman"/>
          <w:sz w:val="24"/>
          <w:szCs w:val="24"/>
        </w:rPr>
        <w:t xml:space="preserve"> </w:t>
      </w:r>
      <w:r w:rsidRPr="0065228D">
        <w:rPr>
          <w:rFonts w:ascii="Times New Roman" w:hAnsi="Times New Roman" w:cs="Times New Roman"/>
          <w:sz w:val="24"/>
          <w:szCs w:val="24"/>
        </w:rPr>
        <w:t xml:space="preserve">We find that towards the beginning of 2022, net spillovers for BTC are increasing at the upper quantile, while those for Equity and LEO tokens are decreasing at the lower quantile. This demonstrates </w:t>
      </w:r>
      <w:r w:rsidR="000A1E51">
        <w:rPr>
          <w:rFonts w:ascii="Times New Roman" w:hAnsi="Times New Roman" w:cs="Times New Roman"/>
          <w:sz w:val="24"/>
          <w:szCs w:val="24"/>
        </w:rPr>
        <w:t>the</w:t>
      </w:r>
      <w:r w:rsidR="000A1E51" w:rsidRPr="0065228D">
        <w:rPr>
          <w:rFonts w:ascii="Times New Roman" w:hAnsi="Times New Roman" w:cs="Times New Roman"/>
          <w:sz w:val="24"/>
          <w:szCs w:val="24"/>
        </w:rPr>
        <w:t xml:space="preserve"> </w:t>
      </w:r>
      <w:r w:rsidRPr="0065228D">
        <w:rPr>
          <w:rFonts w:ascii="Times New Roman" w:hAnsi="Times New Roman" w:cs="Times New Roman"/>
          <w:sz w:val="24"/>
          <w:szCs w:val="24"/>
        </w:rPr>
        <w:t>"flight to quality</w:t>
      </w:r>
      <w:r w:rsidR="00691DC7">
        <w:rPr>
          <w:rFonts w:ascii="Times New Roman" w:hAnsi="Times New Roman" w:cs="Times New Roman"/>
          <w:sz w:val="24"/>
          <w:szCs w:val="24"/>
        </w:rPr>
        <w:t>”</w:t>
      </w:r>
      <w:r w:rsidRPr="0065228D">
        <w:rPr>
          <w:rFonts w:ascii="Times New Roman" w:hAnsi="Times New Roman" w:cs="Times New Roman"/>
          <w:sz w:val="24"/>
          <w:szCs w:val="24"/>
        </w:rPr>
        <w:t xml:space="preserve"> phenomenon that was common at the time as the </w:t>
      </w:r>
      <w:r w:rsidR="000A1E51">
        <w:rPr>
          <w:rFonts w:ascii="Times New Roman" w:hAnsi="Times New Roman" w:cs="Times New Roman"/>
          <w:sz w:val="24"/>
          <w:szCs w:val="24"/>
        </w:rPr>
        <w:t xml:space="preserve">onset of the </w:t>
      </w:r>
      <w:r w:rsidRPr="0065228D">
        <w:rPr>
          <w:rFonts w:ascii="Times New Roman" w:hAnsi="Times New Roman" w:cs="Times New Roman"/>
          <w:sz w:val="24"/>
          <w:szCs w:val="24"/>
        </w:rPr>
        <w:t>Russia</w:t>
      </w:r>
      <w:r w:rsidR="000A1E51">
        <w:rPr>
          <w:rFonts w:ascii="Times New Roman" w:hAnsi="Times New Roman" w:cs="Times New Roman"/>
          <w:sz w:val="24"/>
          <w:szCs w:val="24"/>
        </w:rPr>
        <w:t>–</w:t>
      </w:r>
      <w:r w:rsidRPr="0065228D">
        <w:rPr>
          <w:rFonts w:ascii="Times New Roman" w:hAnsi="Times New Roman" w:cs="Times New Roman"/>
          <w:sz w:val="24"/>
          <w:szCs w:val="24"/>
        </w:rPr>
        <w:t xml:space="preserve">Ukraine war </w:t>
      </w:r>
      <w:r w:rsidRPr="0065228D">
        <w:rPr>
          <w:rFonts w:ascii="Times New Roman" w:hAnsi="Times New Roman" w:cs="Times New Roman"/>
          <w:sz w:val="24"/>
          <w:szCs w:val="24"/>
        </w:rPr>
        <w:lastRenderedPageBreak/>
        <w:t>increased market uncertainty (Khalfaoui et al.</w:t>
      </w:r>
      <w:r w:rsidR="00546FC6">
        <w:rPr>
          <w:rFonts w:ascii="Times New Roman" w:hAnsi="Times New Roman" w:cs="Times New Roman"/>
          <w:sz w:val="24"/>
          <w:szCs w:val="24"/>
        </w:rPr>
        <w:t>,</w:t>
      </w:r>
      <w:r w:rsidRPr="0065228D">
        <w:rPr>
          <w:rFonts w:ascii="Times New Roman" w:hAnsi="Times New Roman" w:cs="Times New Roman"/>
          <w:sz w:val="24"/>
          <w:szCs w:val="24"/>
        </w:rPr>
        <w:t xml:space="preserve"> 2022). While Gold and Equity </w:t>
      </w:r>
      <w:r w:rsidR="00DC6319" w:rsidRPr="0065228D">
        <w:rPr>
          <w:rFonts w:ascii="Times New Roman" w:hAnsi="Times New Roman" w:cs="Times New Roman"/>
          <w:sz w:val="24"/>
          <w:szCs w:val="24"/>
        </w:rPr>
        <w:t>experiences</w:t>
      </w:r>
      <w:r w:rsidRPr="0065228D">
        <w:rPr>
          <w:rFonts w:ascii="Times New Roman" w:hAnsi="Times New Roman" w:cs="Times New Roman"/>
          <w:sz w:val="24"/>
          <w:szCs w:val="24"/>
        </w:rPr>
        <w:t xml:space="preserve"> a severe decline during the first quarter of 2021, net spillovers for BNB and FTT tokens enjoy a high surge, before returning to their mean value by the end of 2021.</w:t>
      </w:r>
    </w:p>
    <w:p w14:paraId="62CA1F3D" w14:textId="2BC2E244" w:rsidR="009746BB" w:rsidRPr="0065228D" w:rsidRDefault="009746BB" w:rsidP="009746BB">
      <w:pPr>
        <w:spacing w:line="360" w:lineRule="auto"/>
        <w:contextualSpacing/>
        <w:jc w:val="center"/>
        <w:rPr>
          <w:rFonts w:ascii="Times New Roman" w:hAnsi="Times New Roman" w:cs="Times New Roman"/>
          <w:sz w:val="24"/>
          <w:szCs w:val="24"/>
        </w:rPr>
      </w:pPr>
      <w:r w:rsidRPr="0065228D">
        <w:rPr>
          <w:rFonts w:ascii="Times New Roman" w:hAnsi="Times New Roman" w:cs="Times New Roman"/>
          <w:sz w:val="24"/>
          <w:szCs w:val="24"/>
        </w:rPr>
        <w:t>[Figure 8 here]</w:t>
      </w:r>
    </w:p>
    <w:p w14:paraId="7F1D469E" w14:textId="35338433" w:rsidR="009746BB" w:rsidRPr="0065228D" w:rsidRDefault="009746BB" w:rsidP="009746BB">
      <w:pPr>
        <w:spacing w:line="360" w:lineRule="auto"/>
        <w:contextualSpacing/>
        <w:jc w:val="center"/>
        <w:rPr>
          <w:rFonts w:ascii="Times New Roman" w:hAnsi="Times New Roman" w:cs="Times New Roman"/>
          <w:sz w:val="24"/>
          <w:szCs w:val="24"/>
        </w:rPr>
      </w:pPr>
      <w:r w:rsidRPr="0065228D">
        <w:rPr>
          <w:rFonts w:ascii="Times New Roman" w:hAnsi="Times New Roman" w:cs="Times New Roman"/>
          <w:sz w:val="24"/>
          <w:szCs w:val="24"/>
        </w:rPr>
        <w:t>[Figure 9 here]</w:t>
      </w:r>
    </w:p>
    <w:p w14:paraId="0963BBF4" w14:textId="7D6E254D" w:rsidR="009746BB" w:rsidRPr="0065228D" w:rsidRDefault="000075BB" w:rsidP="00CB6025">
      <w:pPr>
        <w:spacing w:line="360" w:lineRule="auto"/>
        <w:ind w:firstLine="720"/>
        <w:contextualSpacing/>
        <w:jc w:val="both"/>
        <w:rPr>
          <w:rFonts w:ascii="Times New Roman" w:hAnsi="Times New Roman" w:cs="Times New Roman"/>
          <w:sz w:val="24"/>
          <w:szCs w:val="24"/>
        </w:rPr>
      </w:pPr>
      <w:r w:rsidRPr="0065228D">
        <w:rPr>
          <w:rFonts w:ascii="Times New Roman" w:hAnsi="Times New Roman" w:cs="Times New Roman"/>
          <w:sz w:val="24"/>
          <w:szCs w:val="24"/>
        </w:rPr>
        <w:t>The relative tail dependence (RTD) spillovers are displayed in Fig</w:t>
      </w:r>
      <w:r w:rsidR="000A1E51">
        <w:rPr>
          <w:rFonts w:ascii="Times New Roman" w:hAnsi="Times New Roman" w:cs="Times New Roman"/>
          <w:sz w:val="24"/>
          <w:szCs w:val="24"/>
        </w:rPr>
        <w:t>ure</w:t>
      </w:r>
      <w:r w:rsidRPr="0065228D">
        <w:rPr>
          <w:rFonts w:ascii="Times New Roman" w:hAnsi="Times New Roman" w:cs="Times New Roman"/>
          <w:sz w:val="24"/>
          <w:szCs w:val="24"/>
        </w:rPr>
        <w:t xml:space="preserve"> 9. The </w:t>
      </w:r>
      <w:r w:rsidR="00FB101A" w:rsidRPr="0065228D">
        <w:rPr>
          <w:rFonts w:ascii="Times New Roman" w:hAnsi="Times New Roman" w:cs="Times New Roman"/>
          <w:sz w:val="24"/>
          <w:szCs w:val="24"/>
        </w:rPr>
        <w:t xml:space="preserve">difference between the </w:t>
      </w:r>
      <w:r w:rsidRPr="0065228D">
        <w:rPr>
          <w:rFonts w:ascii="Times New Roman" w:hAnsi="Times New Roman" w:cs="Times New Roman"/>
          <w:sz w:val="24"/>
          <w:szCs w:val="24"/>
        </w:rPr>
        <w:t xml:space="preserve">TCI at the extreme upper quantile and the TCI at the extreme lower quantile </w:t>
      </w:r>
      <w:r w:rsidR="00FB101A" w:rsidRPr="0065228D">
        <w:rPr>
          <w:rFonts w:ascii="Times New Roman" w:hAnsi="Times New Roman" w:cs="Times New Roman"/>
          <w:sz w:val="24"/>
          <w:szCs w:val="24"/>
        </w:rPr>
        <w:t>i</w:t>
      </w:r>
      <w:r w:rsidRPr="0065228D">
        <w:rPr>
          <w:rFonts w:ascii="Times New Roman" w:hAnsi="Times New Roman" w:cs="Times New Roman"/>
          <w:sz w:val="24"/>
          <w:szCs w:val="24"/>
        </w:rPr>
        <w:t>s shown by the RTD. The RTD shifts between positive and negative values over time (mainly during the first three quarters of 2020). In line with Bouri et al.</w:t>
      </w:r>
      <w:r w:rsidR="00FB101A" w:rsidRPr="0065228D">
        <w:rPr>
          <w:rFonts w:ascii="Times New Roman" w:hAnsi="Times New Roman" w:cs="Times New Roman"/>
          <w:sz w:val="24"/>
          <w:szCs w:val="24"/>
        </w:rPr>
        <w:t xml:space="preserve"> (2020)</w:t>
      </w:r>
      <w:r w:rsidRPr="0065228D">
        <w:rPr>
          <w:rFonts w:ascii="Times New Roman" w:hAnsi="Times New Roman" w:cs="Times New Roman"/>
          <w:sz w:val="24"/>
          <w:szCs w:val="24"/>
        </w:rPr>
        <w:t xml:space="preserve"> at the start of the sample period, RTD values started to decline, </w:t>
      </w:r>
      <w:r w:rsidR="00E063A1" w:rsidRPr="0065228D">
        <w:rPr>
          <w:rFonts w:ascii="Times New Roman" w:hAnsi="Times New Roman" w:cs="Times New Roman"/>
          <w:sz w:val="24"/>
          <w:szCs w:val="24"/>
        </w:rPr>
        <w:t>signaling</w:t>
      </w:r>
      <w:r w:rsidRPr="0065228D">
        <w:rPr>
          <w:rFonts w:ascii="Times New Roman" w:hAnsi="Times New Roman" w:cs="Times New Roman"/>
          <w:sz w:val="24"/>
          <w:szCs w:val="24"/>
        </w:rPr>
        <w:t xml:space="preserve"> a higher degree of dependency in the lower quantile </w:t>
      </w:r>
      <w:proofErr w:type="gramStart"/>
      <w:r w:rsidRPr="0065228D">
        <w:rPr>
          <w:rFonts w:ascii="Times New Roman" w:hAnsi="Times New Roman" w:cs="Times New Roman"/>
          <w:sz w:val="24"/>
          <w:szCs w:val="24"/>
        </w:rPr>
        <w:t>as a result of</w:t>
      </w:r>
      <w:proofErr w:type="gramEnd"/>
      <w:r w:rsidRPr="0065228D">
        <w:rPr>
          <w:rFonts w:ascii="Times New Roman" w:hAnsi="Times New Roman" w:cs="Times New Roman"/>
          <w:sz w:val="24"/>
          <w:szCs w:val="24"/>
        </w:rPr>
        <w:t xml:space="preserve"> </w:t>
      </w:r>
      <w:r w:rsidR="00E063A1">
        <w:rPr>
          <w:rFonts w:ascii="Times New Roman" w:hAnsi="Times New Roman" w:cs="Times New Roman"/>
          <w:sz w:val="24"/>
          <w:szCs w:val="24"/>
        </w:rPr>
        <w:t>COVID-19</w:t>
      </w:r>
      <w:r w:rsidR="00FB101A" w:rsidRPr="0065228D">
        <w:rPr>
          <w:rFonts w:ascii="Times New Roman" w:hAnsi="Times New Roman" w:cs="Times New Roman"/>
          <w:sz w:val="24"/>
          <w:szCs w:val="24"/>
        </w:rPr>
        <w:t xml:space="preserve"> outbreak.</w:t>
      </w:r>
      <w:r w:rsidRPr="0065228D">
        <w:rPr>
          <w:rFonts w:ascii="Times New Roman" w:hAnsi="Times New Roman" w:cs="Times New Roman"/>
          <w:sz w:val="24"/>
          <w:szCs w:val="24"/>
        </w:rPr>
        <w:t xml:space="preserve"> However, rising (positive) values for the relative tail dependence in the last quarter of 2020 indicate a growing connectedness, suggesting that short squeezes on the DEX token and CEX token cause significant contagion in other assets.</w:t>
      </w:r>
    </w:p>
    <w:p w14:paraId="29DFE805" w14:textId="55122234" w:rsidR="00630050" w:rsidRPr="0065228D" w:rsidRDefault="000075BB" w:rsidP="00812C37">
      <w:pPr>
        <w:spacing w:line="360" w:lineRule="auto"/>
        <w:ind w:firstLine="720"/>
        <w:contextualSpacing/>
        <w:jc w:val="both"/>
        <w:rPr>
          <w:rFonts w:ascii="Times New Roman" w:hAnsi="Times New Roman" w:cs="Times New Roman"/>
          <w:sz w:val="24"/>
          <w:szCs w:val="24"/>
        </w:rPr>
      </w:pPr>
      <w:r w:rsidRPr="0065228D">
        <w:rPr>
          <w:rFonts w:ascii="Times New Roman" w:hAnsi="Times New Roman" w:cs="Times New Roman"/>
          <w:sz w:val="24"/>
          <w:szCs w:val="24"/>
        </w:rPr>
        <w:t>The</w:t>
      </w:r>
      <w:r w:rsidR="00630050" w:rsidRPr="0065228D">
        <w:rPr>
          <w:rFonts w:ascii="Times New Roman" w:hAnsi="Times New Roman" w:cs="Times New Roman"/>
          <w:sz w:val="24"/>
          <w:szCs w:val="24"/>
        </w:rPr>
        <w:t xml:space="preserve"> market contagion and interdependence differ during bubbles and normal times</w:t>
      </w:r>
      <w:r w:rsidRPr="0065228D">
        <w:rPr>
          <w:rFonts w:ascii="Times New Roman" w:hAnsi="Times New Roman" w:cs="Times New Roman"/>
          <w:sz w:val="24"/>
          <w:szCs w:val="24"/>
        </w:rPr>
        <w:t xml:space="preserve"> as shown by some previous studies</w:t>
      </w:r>
      <w:r w:rsidR="00630050" w:rsidRPr="0065228D">
        <w:rPr>
          <w:rFonts w:ascii="Times New Roman" w:hAnsi="Times New Roman" w:cs="Times New Roman"/>
          <w:sz w:val="24"/>
          <w:szCs w:val="24"/>
        </w:rPr>
        <w:t xml:space="preserve">. </w:t>
      </w:r>
      <w:r w:rsidR="00FB101A" w:rsidRPr="0065228D">
        <w:rPr>
          <w:rFonts w:ascii="Times New Roman" w:hAnsi="Times New Roman" w:cs="Times New Roman"/>
          <w:sz w:val="24"/>
          <w:szCs w:val="24"/>
        </w:rPr>
        <w:t xml:space="preserve">Gharib et al. (2021) report two instances of the infectious effects of bubbles in the </w:t>
      </w:r>
      <w:r w:rsidR="0075111E" w:rsidRPr="0065228D">
        <w:rPr>
          <w:rFonts w:ascii="Times New Roman" w:hAnsi="Times New Roman" w:cs="Times New Roman"/>
          <w:sz w:val="24"/>
          <w:szCs w:val="24"/>
        </w:rPr>
        <w:t>G</w:t>
      </w:r>
      <w:r w:rsidR="00FB101A" w:rsidRPr="0065228D">
        <w:rPr>
          <w:rFonts w:ascii="Times New Roman" w:hAnsi="Times New Roman" w:cs="Times New Roman"/>
          <w:sz w:val="24"/>
          <w:szCs w:val="24"/>
        </w:rPr>
        <w:t xml:space="preserve">old and </w:t>
      </w:r>
      <w:r w:rsidR="0075111E" w:rsidRPr="0065228D">
        <w:rPr>
          <w:rFonts w:ascii="Times New Roman" w:hAnsi="Times New Roman" w:cs="Times New Roman"/>
          <w:sz w:val="24"/>
          <w:szCs w:val="24"/>
        </w:rPr>
        <w:t>O</w:t>
      </w:r>
      <w:r w:rsidR="00FB101A" w:rsidRPr="0065228D">
        <w:rPr>
          <w:rFonts w:ascii="Times New Roman" w:hAnsi="Times New Roman" w:cs="Times New Roman"/>
          <w:sz w:val="24"/>
          <w:szCs w:val="24"/>
        </w:rPr>
        <w:t>il markets: one is t</w:t>
      </w:r>
      <w:r w:rsidRPr="0065228D">
        <w:rPr>
          <w:rFonts w:ascii="Times New Roman" w:hAnsi="Times New Roman" w:cs="Times New Roman"/>
          <w:sz w:val="24"/>
          <w:szCs w:val="24"/>
        </w:rPr>
        <w:t xml:space="preserve">he COVID-19 outbreak and </w:t>
      </w:r>
      <w:r w:rsidR="00D62654">
        <w:rPr>
          <w:rFonts w:ascii="Times New Roman" w:hAnsi="Times New Roman" w:cs="Times New Roman"/>
          <w:sz w:val="24"/>
          <w:szCs w:val="24"/>
        </w:rPr>
        <w:t xml:space="preserve">the </w:t>
      </w:r>
      <w:r w:rsidR="00FB101A" w:rsidRPr="0065228D">
        <w:rPr>
          <w:rFonts w:ascii="Times New Roman" w:hAnsi="Times New Roman" w:cs="Times New Roman"/>
          <w:sz w:val="24"/>
          <w:szCs w:val="24"/>
        </w:rPr>
        <w:t xml:space="preserve">second is </w:t>
      </w:r>
      <w:r w:rsidRPr="0065228D">
        <w:rPr>
          <w:rFonts w:ascii="Times New Roman" w:hAnsi="Times New Roman" w:cs="Times New Roman"/>
          <w:sz w:val="24"/>
          <w:szCs w:val="24"/>
        </w:rPr>
        <w:t>the im</w:t>
      </w:r>
      <w:r w:rsidR="00C14139" w:rsidRPr="0065228D">
        <w:rPr>
          <w:rFonts w:ascii="Times New Roman" w:hAnsi="Times New Roman" w:cs="Times New Roman"/>
          <w:sz w:val="24"/>
          <w:szCs w:val="24"/>
        </w:rPr>
        <w:t xml:space="preserve">balance in </w:t>
      </w:r>
      <w:r w:rsidR="00037A5A" w:rsidRPr="0065228D">
        <w:rPr>
          <w:rFonts w:ascii="Times New Roman" w:hAnsi="Times New Roman" w:cs="Times New Roman"/>
          <w:sz w:val="24"/>
          <w:szCs w:val="24"/>
        </w:rPr>
        <w:t>oil</w:t>
      </w:r>
      <w:r w:rsidRPr="0065228D">
        <w:rPr>
          <w:rFonts w:ascii="Times New Roman" w:hAnsi="Times New Roman" w:cs="Times New Roman"/>
          <w:sz w:val="24"/>
          <w:szCs w:val="24"/>
        </w:rPr>
        <w:t xml:space="preserve"> price</w:t>
      </w:r>
      <w:r w:rsidR="00FB101A" w:rsidRPr="0065228D">
        <w:rPr>
          <w:rFonts w:ascii="Times New Roman" w:hAnsi="Times New Roman" w:cs="Times New Roman"/>
          <w:sz w:val="24"/>
          <w:szCs w:val="24"/>
        </w:rPr>
        <w:t>s</w:t>
      </w:r>
      <w:r w:rsidR="00C14139" w:rsidRPr="0065228D">
        <w:rPr>
          <w:rFonts w:ascii="Times New Roman" w:hAnsi="Times New Roman" w:cs="Times New Roman"/>
          <w:sz w:val="24"/>
          <w:szCs w:val="24"/>
        </w:rPr>
        <w:t xml:space="preserve"> during</w:t>
      </w:r>
      <w:r w:rsidRPr="0065228D">
        <w:rPr>
          <w:rFonts w:ascii="Times New Roman" w:hAnsi="Times New Roman" w:cs="Times New Roman"/>
          <w:sz w:val="24"/>
          <w:szCs w:val="24"/>
        </w:rPr>
        <w:t xml:space="preserve"> 2014–2015</w:t>
      </w:r>
      <w:r w:rsidR="00FB101A" w:rsidRPr="0065228D">
        <w:rPr>
          <w:rFonts w:ascii="Times New Roman" w:hAnsi="Times New Roman" w:cs="Times New Roman"/>
          <w:sz w:val="24"/>
          <w:szCs w:val="24"/>
        </w:rPr>
        <w:t>.</w:t>
      </w:r>
      <w:r w:rsidRPr="0065228D">
        <w:rPr>
          <w:rFonts w:ascii="Times New Roman" w:hAnsi="Times New Roman" w:cs="Times New Roman"/>
          <w:sz w:val="24"/>
          <w:szCs w:val="24"/>
        </w:rPr>
        <w:t xml:space="preserve"> According to </w:t>
      </w:r>
      <w:r w:rsidR="00D85D56" w:rsidRPr="0065228D">
        <w:rPr>
          <w:rFonts w:ascii="Times New Roman" w:hAnsi="Times New Roman" w:cs="Times New Roman"/>
          <w:sz w:val="24"/>
          <w:szCs w:val="24"/>
        </w:rPr>
        <w:t>Bazán</w:t>
      </w:r>
      <w:r w:rsidRPr="0065228D">
        <w:rPr>
          <w:rFonts w:ascii="Times New Roman" w:hAnsi="Times New Roman" w:cs="Times New Roman"/>
          <w:sz w:val="24"/>
          <w:szCs w:val="24"/>
        </w:rPr>
        <w:t>-Palomino (2022), who examined the adoption of cryptocurrencies, the cryptocurrency booms of 2017 and 2021 changed the dependenc</w:t>
      </w:r>
      <w:r w:rsidR="0053567A">
        <w:rPr>
          <w:rFonts w:ascii="Times New Roman" w:hAnsi="Times New Roman" w:cs="Times New Roman"/>
          <w:sz w:val="24"/>
          <w:szCs w:val="24"/>
        </w:rPr>
        <w:t xml:space="preserve">ies </w:t>
      </w:r>
      <w:r w:rsidRPr="0065228D">
        <w:rPr>
          <w:rFonts w:ascii="Times New Roman" w:hAnsi="Times New Roman" w:cs="Times New Roman"/>
          <w:sz w:val="24"/>
          <w:szCs w:val="24"/>
        </w:rPr>
        <w:t xml:space="preserve">among </w:t>
      </w:r>
      <w:r w:rsidR="0075111E" w:rsidRPr="0065228D">
        <w:rPr>
          <w:rFonts w:ascii="Times New Roman" w:hAnsi="Times New Roman" w:cs="Times New Roman"/>
          <w:sz w:val="24"/>
          <w:szCs w:val="24"/>
        </w:rPr>
        <w:t xml:space="preserve">various </w:t>
      </w:r>
      <w:r w:rsidRPr="0065228D">
        <w:rPr>
          <w:rFonts w:ascii="Times New Roman" w:hAnsi="Times New Roman" w:cs="Times New Roman"/>
          <w:sz w:val="24"/>
          <w:szCs w:val="24"/>
        </w:rPr>
        <w:t xml:space="preserve">cryptocurrencies. </w:t>
      </w:r>
      <w:proofErr w:type="gramStart"/>
      <w:r w:rsidR="003910DB" w:rsidRPr="003910DB">
        <w:rPr>
          <w:rFonts w:ascii="Times New Roman" w:hAnsi="Times New Roman" w:cs="Times New Roman"/>
          <w:sz w:val="24"/>
          <w:szCs w:val="24"/>
          <w:highlight w:val="cyan"/>
        </w:rPr>
        <w:t>Similar to</w:t>
      </w:r>
      <w:proofErr w:type="gramEnd"/>
      <w:r w:rsidR="003910DB" w:rsidRPr="003910DB">
        <w:rPr>
          <w:rFonts w:ascii="Times New Roman" w:hAnsi="Times New Roman" w:cs="Times New Roman"/>
          <w:sz w:val="24"/>
          <w:szCs w:val="24"/>
          <w:highlight w:val="cyan"/>
        </w:rPr>
        <w:t xml:space="preserve"> this, Geuder et al. (201</w:t>
      </w:r>
      <w:r w:rsidR="007A7676">
        <w:rPr>
          <w:rFonts w:ascii="Times New Roman" w:hAnsi="Times New Roman" w:cs="Times New Roman"/>
          <w:sz w:val="24"/>
          <w:szCs w:val="24"/>
          <w:highlight w:val="cyan"/>
        </w:rPr>
        <w:t>9</w:t>
      </w:r>
      <w:r w:rsidR="003910DB" w:rsidRPr="003910DB">
        <w:rPr>
          <w:rFonts w:ascii="Times New Roman" w:hAnsi="Times New Roman" w:cs="Times New Roman"/>
          <w:sz w:val="24"/>
          <w:szCs w:val="24"/>
          <w:highlight w:val="cyan"/>
        </w:rPr>
        <w:t>) examined the behavior of Bitcoin and identified the traits of the Bitcoin Bubble.</w:t>
      </w:r>
      <w:r w:rsidR="003910DB" w:rsidRPr="003910DB">
        <w:rPr>
          <w:rFonts w:ascii="Times New Roman" w:hAnsi="Times New Roman" w:cs="Times New Roman"/>
          <w:sz w:val="24"/>
          <w:szCs w:val="24"/>
        </w:rPr>
        <w:t xml:space="preserve"> In December 2017, this cryptocurrency saw a significant price increase, with coin prices reaching about USD 20,000. </w:t>
      </w:r>
      <w:r w:rsidRPr="0065228D">
        <w:rPr>
          <w:rFonts w:ascii="Times New Roman" w:hAnsi="Times New Roman" w:cs="Times New Roman"/>
          <w:sz w:val="24"/>
          <w:szCs w:val="24"/>
        </w:rPr>
        <w:t>From the end of 2021 until the end of the sample period, the RTD fluctuates between positive and negative values.</w:t>
      </w:r>
    </w:p>
    <w:p w14:paraId="1CCA0622" w14:textId="333EF2D2" w:rsidR="00630050" w:rsidRPr="0065228D" w:rsidRDefault="00630050" w:rsidP="00812C37">
      <w:pPr>
        <w:spacing w:line="360" w:lineRule="auto"/>
        <w:ind w:firstLine="720"/>
        <w:contextualSpacing/>
        <w:jc w:val="both"/>
        <w:rPr>
          <w:rFonts w:ascii="Times New Roman" w:hAnsi="Times New Roman" w:cs="Times New Roman"/>
          <w:sz w:val="24"/>
          <w:szCs w:val="24"/>
        </w:rPr>
      </w:pPr>
    </w:p>
    <w:p w14:paraId="09D5C783" w14:textId="77777777" w:rsidR="009746BB" w:rsidRPr="0065228D" w:rsidRDefault="009746BB" w:rsidP="00812C37">
      <w:pPr>
        <w:spacing w:line="360" w:lineRule="auto"/>
        <w:ind w:firstLine="720"/>
        <w:contextualSpacing/>
        <w:jc w:val="center"/>
        <w:rPr>
          <w:rFonts w:ascii="Times New Roman" w:hAnsi="Times New Roman" w:cs="Times New Roman"/>
          <w:sz w:val="24"/>
          <w:szCs w:val="24"/>
        </w:rPr>
      </w:pPr>
      <w:r w:rsidRPr="0065228D">
        <w:rPr>
          <w:rFonts w:ascii="Times New Roman" w:hAnsi="Times New Roman" w:cs="Times New Roman"/>
          <w:sz w:val="24"/>
          <w:szCs w:val="24"/>
        </w:rPr>
        <w:t>[Figure 10 here]</w:t>
      </w:r>
    </w:p>
    <w:p w14:paraId="10F62D5F" w14:textId="77777777" w:rsidR="009746BB" w:rsidRPr="0065228D" w:rsidRDefault="009746BB" w:rsidP="00F84F21">
      <w:pPr>
        <w:spacing w:line="360" w:lineRule="auto"/>
        <w:contextualSpacing/>
        <w:jc w:val="both"/>
        <w:rPr>
          <w:rFonts w:ascii="Times New Roman" w:hAnsi="Times New Roman" w:cs="Times New Roman"/>
          <w:sz w:val="24"/>
          <w:szCs w:val="24"/>
        </w:rPr>
      </w:pPr>
    </w:p>
    <w:p w14:paraId="3045FCCB" w14:textId="50BD55BF" w:rsidR="00A85693" w:rsidRDefault="00C84876" w:rsidP="00812C37">
      <w:pPr>
        <w:spacing w:line="360" w:lineRule="auto"/>
        <w:ind w:firstLine="720"/>
        <w:contextualSpacing/>
        <w:jc w:val="both"/>
        <w:rPr>
          <w:rFonts w:ascii="Times New Roman" w:hAnsi="Times New Roman" w:cs="Times New Roman"/>
          <w:sz w:val="24"/>
          <w:szCs w:val="24"/>
        </w:rPr>
      </w:pPr>
      <w:r w:rsidRPr="0065228D">
        <w:rPr>
          <w:rFonts w:ascii="Times New Roman" w:hAnsi="Times New Roman" w:cs="Times New Roman"/>
          <w:sz w:val="24"/>
          <w:szCs w:val="24"/>
        </w:rPr>
        <w:t xml:space="preserve">Our research has increased understanding of how extreme returns spillovers spread throughout the network of linkages between DEX tokens, CEX tokens, and other assets. In line with past studies by Bouri et al. (2020, 2021) and Liu et al. (2021), we find evidence of asymmetry and higher return connectedness in the lower and upper tails. </w:t>
      </w:r>
      <w:r w:rsidR="00A85693" w:rsidRPr="0065228D">
        <w:rPr>
          <w:rFonts w:ascii="Times New Roman" w:hAnsi="Times New Roman" w:cs="Times New Roman"/>
          <w:sz w:val="24"/>
          <w:szCs w:val="24"/>
        </w:rPr>
        <w:t xml:space="preserve">Our research involves the first implementation of </w:t>
      </w:r>
      <w:r w:rsidR="0053567A">
        <w:rPr>
          <w:rFonts w:ascii="Times New Roman" w:hAnsi="Times New Roman" w:cs="Times New Roman"/>
          <w:sz w:val="24"/>
          <w:szCs w:val="24"/>
        </w:rPr>
        <w:t xml:space="preserve">a quantile-based approach </w:t>
      </w:r>
      <w:r w:rsidR="00A85693" w:rsidRPr="0065228D">
        <w:rPr>
          <w:rFonts w:ascii="Times New Roman" w:hAnsi="Times New Roman" w:cs="Times New Roman"/>
          <w:sz w:val="24"/>
          <w:szCs w:val="24"/>
        </w:rPr>
        <w:t>for the system between DEX tokens, CEX tokens, and other assets. Additionally, in agreement with Bouri et al. (2021), we see that conditional connectedness grows stronger in unpredictable</w:t>
      </w:r>
      <w:r w:rsidRPr="0065228D">
        <w:rPr>
          <w:rFonts w:ascii="Times New Roman" w:hAnsi="Times New Roman" w:cs="Times New Roman"/>
          <w:sz w:val="24"/>
          <w:szCs w:val="24"/>
        </w:rPr>
        <w:t xml:space="preserve"> </w:t>
      </w:r>
      <w:r w:rsidR="00A85693" w:rsidRPr="0065228D">
        <w:rPr>
          <w:rFonts w:ascii="Times New Roman" w:hAnsi="Times New Roman" w:cs="Times New Roman"/>
          <w:sz w:val="24"/>
          <w:szCs w:val="24"/>
        </w:rPr>
        <w:t xml:space="preserve">circumstances like the </w:t>
      </w:r>
      <w:r w:rsidR="00E063A1">
        <w:rPr>
          <w:rFonts w:ascii="Times New Roman" w:hAnsi="Times New Roman" w:cs="Times New Roman"/>
          <w:sz w:val="24"/>
          <w:szCs w:val="24"/>
        </w:rPr>
        <w:t>COVID</w:t>
      </w:r>
      <w:r w:rsidR="0075111E" w:rsidRPr="0065228D">
        <w:rPr>
          <w:rFonts w:ascii="Times New Roman" w:hAnsi="Times New Roman" w:cs="Times New Roman"/>
          <w:sz w:val="24"/>
          <w:szCs w:val="24"/>
        </w:rPr>
        <w:t>-</w:t>
      </w:r>
      <w:r w:rsidR="00A85693" w:rsidRPr="0065228D">
        <w:rPr>
          <w:rFonts w:ascii="Times New Roman" w:hAnsi="Times New Roman" w:cs="Times New Roman"/>
          <w:sz w:val="24"/>
          <w:szCs w:val="24"/>
        </w:rPr>
        <w:t xml:space="preserve">19 </w:t>
      </w:r>
      <w:r w:rsidR="008A2304" w:rsidRPr="0065228D">
        <w:rPr>
          <w:rFonts w:ascii="Times New Roman" w:hAnsi="Times New Roman" w:cs="Times New Roman"/>
          <w:sz w:val="24"/>
          <w:szCs w:val="24"/>
        </w:rPr>
        <w:lastRenderedPageBreak/>
        <w:t>pande</w:t>
      </w:r>
      <w:r w:rsidR="00A85693" w:rsidRPr="0065228D">
        <w:rPr>
          <w:rFonts w:ascii="Times New Roman" w:hAnsi="Times New Roman" w:cs="Times New Roman"/>
          <w:sz w:val="24"/>
          <w:szCs w:val="24"/>
        </w:rPr>
        <w:t>mic, which has been supported by recent research for different assets and alternative approaches.</w:t>
      </w:r>
    </w:p>
    <w:p w14:paraId="7D972009" w14:textId="59453BD5" w:rsidR="00812C37" w:rsidRDefault="00812C37" w:rsidP="007B0015">
      <w:pPr>
        <w:spacing w:line="360" w:lineRule="auto"/>
        <w:contextualSpacing/>
        <w:jc w:val="both"/>
        <w:rPr>
          <w:rFonts w:ascii="Times New Roman" w:hAnsi="Times New Roman" w:cs="Times New Roman"/>
          <w:sz w:val="24"/>
          <w:szCs w:val="24"/>
        </w:rPr>
      </w:pPr>
    </w:p>
    <w:p w14:paraId="501531AC" w14:textId="3D8B6425" w:rsidR="007B0015" w:rsidRPr="007B0015" w:rsidRDefault="007B0015" w:rsidP="007B0015">
      <w:pPr>
        <w:numPr>
          <w:ilvl w:val="1"/>
          <w:numId w:val="2"/>
        </w:numPr>
        <w:spacing w:line="360" w:lineRule="auto"/>
        <w:contextualSpacing/>
        <w:jc w:val="both"/>
        <w:rPr>
          <w:rFonts w:ascii="Times New Roman" w:hAnsi="Times New Roman" w:cs="Times New Roman"/>
          <w:b/>
          <w:bCs/>
          <w:i/>
          <w:iCs/>
          <w:sz w:val="24"/>
          <w:szCs w:val="24"/>
        </w:rPr>
      </w:pPr>
      <w:r w:rsidRPr="007B0015">
        <w:rPr>
          <w:rFonts w:ascii="Times New Roman" w:hAnsi="Times New Roman" w:cs="Times New Roman"/>
          <w:b/>
          <w:bCs/>
          <w:i/>
          <w:iCs/>
          <w:sz w:val="24"/>
          <w:szCs w:val="24"/>
        </w:rPr>
        <w:t xml:space="preserve">Robustness test </w:t>
      </w:r>
    </w:p>
    <w:p w14:paraId="1DDC33D4" w14:textId="77777777" w:rsidR="00812C37" w:rsidRDefault="00812C37" w:rsidP="00812C37">
      <w:pPr>
        <w:spacing w:line="360" w:lineRule="auto"/>
        <w:ind w:firstLine="720"/>
        <w:contextualSpacing/>
        <w:jc w:val="both"/>
        <w:rPr>
          <w:rFonts w:ascii="Times New Roman" w:hAnsi="Times New Roman" w:cs="Times New Roman"/>
          <w:sz w:val="24"/>
          <w:szCs w:val="24"/>
        </w:rPr>
      </w:pPr>
    </w:p>
    <w:p w14:paraId="11EEB34F" w14:textId="75984A22" w:rsidR="00D37934" w:rsidRPr="007B0015" w:rsidRDefault="007B0015" w:rsidP="00C10734">
      <w:pPr>
        <w:spacing w:line="360" w:lineRule="auto"/>
        <w:contextualSpacing/>
        <w:jc w:val="both"/>
        <w:rPr>
          <w:rFonts w:ascii="Times New Roman" w:hAnsi="Times New Roman" w:cs="Times New Roman"/>
          <w:sz w:val="24"/>
          <w:szCs w:val="24"/>
        </w:rPr>
      </w:pPr>
      <w:r w:rsidRPr="007B0015">
        <w:rPr>
          <w:rFonts w:ascii="Times New Roman" w:hAnsi="Times New Roman" w:cs="Times New Roman"/>
          <w:sz w:val="24"/>
          <w:szCs w:val="24"/>
        </w:rPr>
        <w:t>To test the robustness of our</w:t>
      </w:r>
      <w:r w:rsidR="00D37934" w:rsidRPr="007B0015">
        <w:rPr>
          <w:rFonts w:ascii="Times New Roman" w:hAnsi="Times New Roman" w:cs="Times New Roman"/>
          <w:sz w:val="24"/>
          <w:szCs w:val="24"/>
        </w:rPr>
        <w:t xml:space="preserve"> result</w:t>
      </w:r>
      <w:r w:rsidRPr="007B0015">
        <w:rPr>
          <w:rFonts w:ascii="Times New Roman" w:hAnsi="Times New Roman" w:cs="Times New Roman"/>
          <w:sz w:val="24"/>
          <w:szCs w:val="24"/>
        </w:rPr>
        <w:t>s</w:t>
      </w:r>
      <w:r w:rsidR="00D37934" w:rsidRPr="007B0015">
        <w:rPr>
          <w:rFonts w:ascii="Times New Roman" w:hAnsi="Times New Roman" w:cs="Times New Roman"/>
          <w:sz w:val="24"/>
          <w:szCs w:val="24"/>
        </w:rPr>
        <w:t xml:space="preserve">, we estimate the static and time-varying spillovers using the sample period from </w:t>
      </w:r>
      <w:r w:rsidR="005D2CEF">
        <w:rPr>
          <w:rFonts w:ascii="Times New Roman" w:hAnsi="Times New Roman" w:cs="Times New Roman"/>
          <w:sz w:val="24"/>
          <w:szCs w:val="24"/>
        </w:rPr>
        <w:t xml:space="preserve">31 </w:t>
      </w:r>
      <w:r w:rsidR="00DC6319" w:rsidRPr="007B0015">
        <w:rPr>
          <w:rFonts w:ascii="Times New Roman" w:hAnsi="Times New Roman" w:cs="Times New Roman"/>
          <w:sz w:val="24"/>
          <w:szCs w:val="24"/>
        </w:rPr>
        <w:t>July 2019</w:t>
      </w:r>
      <w:r w:rsidR="00D37934" w:rsidRPr="007B0015">
        <w:rPr>
          <w:rFonts w:ascii="Times New Roman" w:hAnsi="Times New Roman" w:cs="Times New Roman"/>
          <w:sz w:val="24"/>
          <w:szCs w:val="24"/>
        </w:rPr>
        <w:t xml:space="preserve"> to </w:t>
      </w:r>
      <w:r w:rsidR="005D2CEF">
        <w:rPr>
          <w:rFonts w:ascii="Times New Roman" w:hAnsi="Times New Roman" w:cs="Times New Roman"/>
          <w:sz w:val="24"/>
          <w:szCs w:val="24"/>
        </w:rPr>
        <w:t xml:space="preserve">30 </w:t>
      </w:r>
      <w:r w:rsidR="00531153" w:rsidRPr="007B0015">
        <w:rPr>
          <w:rFonts w:ascii="Times New Roman" w:hAnsi="Times New Roman" w:cs="Times New Roman"/>
          <w:sz w:val="24"/>
          <w:szCs w:val="24"/>
        </w:rPr>
        <w:t>January 2023</w:t>
      </w:r>
      <w:r w:rsidRPr="007B0015">
        <w:rPr>
          <w:rFonts w:ascii="Times New Roman" w:hAnsi="Times New Roman" w:cs="Times New Roman"/>
          <w:sz w:val="24"/>
          <w:szCs w:val="24"/>
        </w:rPr>
        <w:t>.</w:t>
      </w:r>
      <w:r w:rsidR="00D37934" w:rsidRPr="007B0015">
        <w:rPr>
          <w:rFonts w:ascii="Times New Roman" w:hAnsi="Times New Roman" w:cs="Times New Roman"/>
          <w:sz w:val="24"/>
          <w:szCs w:val="24"/>
        </w:rPr>
        <w:t xml:space="preserve"> This new sample period also includes the FTX collapse period</w:t>
      </w:r>
      <w:r w:rsidR="005D2CEF">
        <w:rPr>
          <w:rFonts w:ascii="Times New Roman" w:hAnsi="Times New Roman" w:cs="Times New Roman"/>
          <w:sz w:val="24"/>
          <w:szCs w:val="24"/>
        </w:rPr>
        <w:t>—</w:t>
      </w:r>
      <w:r w:rsidR="00D37934" w:rsidRPr="007B0015">
        <w:rPr>
          <w:rFonts w:ascii="Times New Roman" w:hAnsi="Times New Roman" w:cs="Times New Roman"/>
          <w:sz w:val="24"/>
          <w:szCs w:val="24"/>
        </w:rPr>
        <w:t xml:space="preserve">the FTX collapse </w:t>
      </w:r>
      <w:r w:rsidR="005D2CEF">
        <w:rPr>
          <w:rFonts w:ascii="Times New Roman" w:hAnsi="Times New Roman" w:cs="Times New Roman"/>
          <w:sz w:val="24"/>
          <w:szCs w:val="24"/>
        </w:rPr>
        <w:t>happened on 8</w:t>
      </w:r>
      <w:r w:rsidR="00D37934" w:rsidRPr="007B0015">
        <w:rPr>
          <w:rFonts w:ascii="Times New Roman" w:hAnsi="Times New Roman" w:cs="Times New Roman"/>
          <w:sz w:val="24"/>
          <w:szCs w:val="24"/>
        </w:rPr>
        <w:t xml:space="preserve"> November 2022</w:t>
      </w:r>
      <w:r w:rsidR="005D2CEF">
        <w:rPr>
          <w:rFonts w:ascii="Times New Roman" w:hAnsi="Times New Roman" w:cs="Times New Roman"/>
          <w:sz w:val="24"/>
          <w:szCs w:val="24"/>
        </w:rPr>
        <w:t>—</w:t>
      </w:r>
      <w:r w:rsidR="00D37934" w:rsidRPr="007B0015">
        <w:rPr>
          <w:rFonts w:ascii="Times New Roman" w:hAnsi="Times New Roman" w:cs="Times New Roman"/>
          <w:sz w:val="24"/>
          <w:szCs w:val="24"/>
        </w:rPr>
        <w:t xml:space="preserve"> </w:t>
      </w:r>
      <w:r w:rsidR="005D2CEF">
        <w:rPr>
          <w:rFonts w:ascii="Times New Roman" w:hAnsi="Times New Roman" w:cs="Times New Roman"/>
          <w:sz w:val="24"/>
          <w:szCs w:val="24"/>
        </w:rPr>
        <w:t>so</w:t>
      </w:r>
      <w:r w:rsidR="00D37934" w:rsidRPr="007B0015">
        <w:rPr>
          <w:rFonts w:ascii="Times New Roman" w:hAnsi="Times New Roman" w:cs="Times New Roman"/>
          <w:sz w:val="24"/>
          <w:szCs w:val="24"/>
        </w:rPr>
        <w:t xml:space="preserve"> we consider the effect of this event as well. Table</w:t>
      </w:r>
      <w:r w:rsidR="005D2CEF">
        <w:rPr>
          <w:rFonts w:ascii="Times New Roman" w:hAnsi="Times New Roman" w:cs="Times New Roman"/>
          <w:sz w:val="24"/>
          <w:szCs w:val="24"/>
        </w:rPr>
        <w:t>s</w:t>
      </w:r>
      <w:r w:rsidR="00D37934" w:rsidRPr="007B0015">
        <w:rPr>
          <w:rFonts w:ascii="Times New Roman" w:hAnsi="Times New Roman" w:cs="Times New Roman"/>
          <w:sz w:val="24"/>
          <w:szCs w:val="24"/>
        </w:rPr>
        <w:t xml:space="preserve"> A1 to A4 provide the static connectedness between DEX, CEX, and other markets at </w:t>
      </w:r>
      <w:r w:rsidR="00B82199">
        <w:rPr>
          <w:rFonts w:ascii="Times New Roman" w:hAnsi="Times New Roman" w:cs="Times New Roman"/>
          <w:sz w:val="24"/>
          <w:szCs w:val="24"/>
        </w:rPr>
        <w:t xml:space="preserve">the </w:t>
      </w:r>
      <w:r w:rsidR="00D37934" w:rsidRPr="007B0015">
        <w:rPr>
          <w:rFonts w:ascii="Times New Roman" w:hAnsi="Times New Roman" w:cs="Times New Roman"/>
          <w:sz w:val="24"/>
          <w:szCs w:val="24"/>
        </w:rPr>
        <w:t xml:space="preserve">mean, median, upper extreme quantile, and lower extreme quantile. The total connectedness is not much different </w:t>
      </w:r>
      <w:r w:rsidR="005D2CEF">
        <w:rPr>
          <w:rFonts w:ascii="Times New Roman" w:hAnsi="Times New Roman" w:cs="Times New Roman"/>
          <w:sz w:val="24"/>
          <w:szCs w:val="24"/>
        </w:rPr>
        <w:t>from the</w:t>
      </w:r>
      <w:r w:rsidR="005D2CEF" w:rsidRPr="007B0015">
        <w:rPr>
          <w:rFonts w:ascii="Times New Roman" w:hAnsi="Times New Roman" w:cs="Times New Roman"/>
          <w:sz w:val="24"/>
          <w:szCs w:val="24"/>
        </w:rPr>
        <w:t xml:space="preserve"> </w:t>
      </w:r>
      <w:r w:rsidR="00D37934" w:rsidRPr="007B0015">
        <w:rPr>
          <w:rFonts w:ascii="Times New Roman" w:hAnsi="Times New Roman" w:cs="Times New Roman"/>
          <w:sz w:val="24"/>
          <w:szCs w:val="24"/>
        </w:rPr>
        <w:t xml:space="preserve">updated sample period and </w:t>
      </w:r>
      <w:r w:rsidR="005D2CEF">
        <w:rPr>
          <w:rFonts w:ascii="Times New Roman" w:hAnsi="Times New Roman" w:cs="Times New Roman"/>
          <w:sz w:val="24"/>
          <w:szCs w:val="24"/>
        </w:rPr>
        <w:t xml:space="preserve">is the </w:t>
      </w:r>
      <w:r w:rsidR="00D37934" w:rsidRPr="007B0015">
        <w:rPr>
          <w:rFonts w:ascii="Times New Roman" w:hAnsi="Times New Roman" w:cs="Times New Roman"/>
          <w:sz w:val="24"/>
          <w:szCs w:val="24"/>
        </w:rPr>
        <w:t xml:space="preserve">sample period </w:t>
      </w:r>
      <w:r w:rsidR="005D2CEF">
        <w:rPr>
          <w:rFonts w:ascii="Times New Roman" w:hAnsi="Times New Roman" w:cs="Times New Roman"/>
          <w:sz w:val="24"/>
          <w:szCs w:val="24"/>
        </w:rPr>
        <w:t xml:space="preserve">most used </w:t>
      </w:r>
      <w:r w:rsidR="00D37934" w:rsidRPr="007B0015">
        <w:rPr>
          <w:rFonts w:ascii="Times New Roman" w:hAnsi="Times New Roman" w:cs="Times New Roman"/>
          <w:sz w:val="24"/>
          <w:szCs w:val="24"/>
        </w:rPr>
        <w:t xml:space="preserve">in this </w:t>
      </w:r>
      <w:r w:rsidR="00B946E1" w:rsidRPr="007B0015">
        <w:rPr>
          <w:rFonts w:ascii="Times New Roman" w:hAnsi="Times New Roman" w:cs="Times New Roman"/>
          <w:sz w:val="24"/>
          <w:szCs w:val="24"/>
        </w:rPr>
        <w:t>study;</w:t>
      </w:r>
      <w:r w:rsidR="00D37934" w:rsidRPr="007B0015">
        <w:rPr>
          <w:rFonts w:ascii="Times New Roman" w:hAnsi="Times New Roman" w:cs="Times New Roman"/>
          <w:sz w:val="24"/>
          <w:szCs w:val="24"/>
        </w:rPr>
        <w:t xml:space="preserve"> </w:t>
      </w:r>
      <w:r w:rsidR="00B946E1" w:rsidRPr="007B0015">
        <w:rPr>
          <w:rFonts w:ascii="Times New Roman" w:hAnsi="Times New Roman" w:cs="Times New Roman"/>
          <w:sz w:val="24"/>
          <w:szCs w:val="24"/>
        </w:rPr>
        <w:t>however,</w:t>
      </w:r>
      <w:r w:rsidR="00D37934" w:rsidRPr="007B0015">
        <w:rPr>
          <w:rFonts w:ascii="Times New Roman" w:hAnsi="Times New Roman" w:cs="Times New Roman"/>
          <w:sz w:val="24"/>
          <w:szCs w:val="24"/>
        </w:rPr>
        <w:t xml:space="preserve"> </w:t>
      </w:r>
      <w:r w:rsidR="00C10734" w:rsidRPr="007B0015">
        <w:rPr>
          <w:rFonts w:ascii="Times New Roman" w:hAnsi="Times New Roman" w:cs="Times New Roman"/>
          <w:sz w:val="24"/>
          <w:szCs w:val="24"/>
        </w:rPr>
        <w:t>the total connectedness is slightly highe</w:t>
      </w:r>
      <w:r w:rsidR="00D37934" w:rsidRPr="007B0015">
        <w:rPr>
          <w:rFonts w:ascii="Times New Roman" w:hAnsi="Times New Roman" w:cs="Times New Roman"/>
          <w:sz w:val="24"/>
          <w:szCs w:val="24"/>
        </w:rPr>
        <w:t xml:space="preserve">r in the updated sample period (including </w:t>
      </w:r>
      <w:r w:rsidR="003343AA">
        <w:rPr>
          <w:rFonts w:ascii="Times New Roman" w:hAnsi="Times New Roman" w:cs="Times New Roman"/>
          <w:sz w:val="24"/>
          <w:szCs w:val="24"/>
        </w:rPr>
        <w:t xml:space="preserve">the </w:t>
      </w:r>
      <w:r w:rsidR="00D37934" w:rsidRPr="007B0015">
        <w:rPr>
          <w:rFonts w:ascii="Times New Roman" w:hAnsi="Times New Roman" w:cs="Times New Roman"/>
          <w:sz w:val="24"/>
          <w:szCs w:val="24"/>
        </w:rPr>
        <w:t xml:space="preserve">FTX event period) at </w:t>
      </w:r>
      <w:r w:rsidR="00B82199">
        <w:rPr>
          <w:rFonts w:ascii="Times New Roman" w:hAnsi="Times New Roman" w:cs="Times New Roman"/>
          <w:sz w:val="24"/>
          <w:szCs w:val="24"/>
        </w:rPr>
        <w:t xml:space="preserve">the </w:t>
      </w:r>
      <w:r w:rsidR="00D37934" w:rsidRPr="007B0015">
        <w:rPr>
          <w:rFonts w:ascii="Times New Roman" w:hAnsi="Times New Roman" w:cs="Times New Roman"/>
          <w:sz w:val="24"/>
          <w:szCs w:val="24"/>
        </w:rPr>
        <w:t>mean, median, upper</w:t>
      </w:r>
      <w:r w:rsidR="003343AA">
        <w:rPr>
          <w:rFonts w:ascii="Times New Roman" w:hAnsi="Times New Roman" w:cs="Times New Roman"/>
          <w:sz w:val="24"/>
          <w:szCs w:val="24"/>
        </w:rPr>
        <w:t>,</w:t>
      </w:r>
      <w:r w:rsidR="00D37934" w:rsidRPr="007B0015">
        <w:rPr>
          <w:rFonts w:ascii="Times New Roman" w:hAnsi="Times New Roman" w:cs="Times New Roman"/>
          <w:sz w:val="24"/>
          <w:szCs w:val="24"/>
        </w:rPr>
        <w:t xml:space="preserve"> and lower quantiles</w:t>
      </w:r>
      <w:r w:rsidR="00C10734" w:rsidRPr="007B0015">
        <w:rPr>
          <w:rFonts w:ascii="Times New Roman" w:hAnsi="Times New Roman" w:cs="Times New Roman"/>
          <w:sz w:val="24"/>
          <w:szCs w:val="24"/>
        </w:rPr>
        <w:t xml:space="preserve">. The time-varying spillover, in Figure A1, shows that there is no big difference in total spillover trend before and after </w:t>
      </w:r>
      <w:r w:rsidR="003343AA">
        <w:rPr>
          <w:rFonts w:ascii="Times New Roman" w:hAnsi="Times New Roman" w:cs="Times New Roman"/>
          <w:sz w:val="24"/>
          <w:szCs w:val="24"/>
        </w:rPr>
        <w:t xml:space="preserve">the </w:t>
      </w:r>
      <w:r w:rsidR="00C10734" w:rsidRPr="007B0015">
        <w:rPr>
          <w:rFonts w:ascii="Times New Roman" w:hAnsi="Times New Roman" w:cs="Times New Roman"/>
          <w:sz w:val="24"/>
          <w:szCs w:val="24"/>
        </w:rPr>
        <w:t xml:space="preserve">FTX collapse period. However, </w:t>
      </w:r>
      <w:r w:rsidR="005D2CEF">
        <w:rPr>
          <w:rFonts w:ascii="Times New Roman" w:hAnsi="Times New Roman" w:cs="Times New Roman"/>
          <w:sz w:val="24"/>
          <w:szCs w:val="24"/>
        </w:rPr>
        <w:t xml:space="preserve">the </w:t>
      </w:r>
      <w:r w:rsidR="00C10734" w:rsidRPr="007B0015">
        <w:rPr>
          <w:rFonts w:ascii="Times New Roman" w:hAnsi="Times New Roman" w:cs="Times New Roman"/>
          <w:sz w:val="24"/>
          <w:szCs w:val="24"/>
        </w:rPr>
        <w:t>total spillover index show</w:t>
      </w:r>
      <w:r w:rsidR="005D2CEF">
        <w:rPr>
          <w:rFonts w:ascii="Times New Roman" w:hAnsi="Times New Roman" w:cs="Times New Roman"/>
          <w:sz w:val="24"/>
          <w:szCs w:val="24"/>
        </w:rPr>
        <w:t>s</w:t>
      </w:r>
      <w:r w:rsidR="00C10734" w:rsidRPr="007B0015">
        <w:rPr>
          <w:rFonts w:ascii="Times New Roman" w:hAnsi="Times New Roman" w:cs="Times New Roman"/>
          <w:sz w:val="24"/>
          <w:szCs w:val="24"/>
        </w:rPr>
        <w:t xml:space="preserve"> </w:t>
      </w:r>
      <w:r w:rsidR="00082F19">
        <w:rPr>
          <w:rFonts w:ascii="Times New Roman" w:hAnsi="Times New Roman" w:cs="Times New Roman"/>
          <w:sz w:val="24"/>
          <w:szCs w:val="24"/>
        </w:rPr>
        <w:t xml:space="preserve">a short period of </w:t>
      </w:r>
      <w:r w:rsidR="00C10734" w:rsidRPr="007B0015">
        <w:rPr>
          <w:rFonts w:ascii="Times New Roman" w:hAnsi="Times New Roman" w:cs="Times New Roman"/>
          <w:sz w:val="24"/>
          <w:szCs w:val="24"/>
        </w:rPr>
        <w:t>abrupt change only on the FTX collapse event day</w:t>
      </w:r>
      <w:r w:rsidR="004849DA">
        <w:rPr>
          <w:rFonts w:ascii="Times New Roman" w:hAnsi="Times New Roman" w:cs="Times New Roman"/>
          <w:sz w:val="24"/>
          <w:szCs w:val="24"/>
        </w:rPr>
        <w:t>,</w:t>
      </w:r>
      <w:r w:rsidR="00C10734" w:rsidRPr="007B0015">
        <w:rPr>
          <w:rFonts w:ascii="Times New Roman" w:hAnsi="Times New Roman" w:cs="Times New Roman"/>
          <w:sz w:val="24"/>
          <w:szCs w:val="24"/>
        </w:rPr>
        <w:t xml:space="preserve"> but no prominent impa</w:t>
      </w:r>
      <w:r w:rsidR="00B946E1">
        <w:rPr>
          <w:rFonts w:ascii="Times New Roman" w:hAnsi="Times New Roman" w:cs="Times New Roman"/>
          <w:sz w:val="24"/>
          <w:szCs w:val="24"/>
        </w:rPr>
        <w:t>ct was observed after that day. This</w:t>
      </w:r>
      <w:r w:rsidR="00C10734" w:rsidRPr="007B0015">
        <w:rPr>
          <w:rFonts w:ascii="Times New Roman" w:hAnsi="Times New Roman" w:cs="Times New Roman"/>
          <w:sz w:val="24"/>
          <w:szCs w:val="24"/>
        </w:rPr>
        <w:t xml:space="preserve"> shows that </w:t>
      </w:r>
      <w:r w:rsidR="003343AA">
        <w:rPr>
          <w:rFonts w:ascii="Times New Roman" w:hAnsi="Times New Roman" w:cs="Times New Roman"/>
          <w:sz w:val="24"/>
          <w:szCs w:val="24"/>
        </w:rPr>
        <w:t xml:space="preserve">the </w:t>
      </w:r>
      <w:r w:rsidR="00C10734" w:rsidRPr="007B0015">
        <w:rPr>
          <w:rFonts w:ascii="Times New Roman" w:hAnsi="Times New Roman" w:cs="Times New Roman"/>
          <w:sz w:val="24"/>
          <w:szCs w:val="24"/>
        </w:rPr>
        <w:t>FTX collapse does not significantly influence the connectedness between DEX, CEX, and other assets classes</w:t>
      </w:r>
      <w:r w:rsidR="00B946E1">
        <w:rPr>
          <w:rFonts w:ascii="Times New Roman" w:hAnsi="Times New Roman" w:cs="Times New Roman"/>
          <w:sz w:val="24"/>
          <w:szCs w:val="24"/>
        </w:rPr>
        <w:t xml:space="preserve">, which </w:t>
      </w:r>
      <w:r w:rsidR="00DC6319">
        <w:rPr>
          <w:rFonts w:ascii="Times New Roman" w:hAnsi="Times New Roman" w:cs="Times New Roman"/>
          <w:sz w:val="24"/>
          <w:szCs w:val="24"/>
        </w:rPr>
        <w:t>makes</w:t>
      </w:r>
      <w:r w:rsidR="00B946E1">
        <w:rPr>
          <w:rFonts w:ascii="Times New Roman" w:hAnsi="Times New Roman" w:cs="Times New Roman"/>
          <w:sz w:val="24"/>
          <w:szCs w:val="24"/>
        </w:rPr>
        <w:t xml:space="preserve"> our results</w:t>
      </w:r>
      <w:r w:rsidR="00C10734" w:rsidRPr="007B0015">
        <w:rPr>
          <w:rFonts w:ascii="Times New Roman" w:hAnsi="Times New Roman" w:cs="Times New Roman"/>
          <w:sz w:val="24"/>
          <w:szCs w:val="24"/>
        </w:rPr>
        <w:t xml:space="preserve"> robust with the updated sample period.</w:t>
      </w:r>
    </w:p>
    <w:p w14:paraId="6A50E572" w14:textId="3C7F4797" w:rsidR="007B0015" w:rsidRDefault="007B0015" w:rsidP="00C10734">
      <w:pPr>
        <w:spacing w:line="360" w:lineRule="auto"/>
        <w:contextualSpacing/>
        <w:jc w:val="both"/>
        <w:rPr>
          <w:rFonts w:ascii="Times New Roman" w:hAnsi="Times New Roman" w:cs="Times New Roman"/>
          <w:color w:val="0070C0"/>
          <w:sz w:val="24"/>
          <w:szCs w:val="24"/>
        </w:rPr>
      </w:pPr>
    </w:p>
    <w:p w14:paraId="79EA4B63" w14:textId="3AEF1F79" w:rsidR="007B0015" w:rsidRPr="007B0015" w:rsidRDefault="007B0015" w:rsidP="007B001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[Appendix Table A1 to A4 &amp; Figure A1]</w:t>
      </w:r>
    </w:p>
    <w:p w14:paraId="642FF607" w14:textId="77777777" w:rsidR="00A85693" w:rsidRPr="0065228D" w:rsidRDefault="00A85693" w:rsidP="00F84F21">
      <w:pPr>
        <w:spacing w:line="360" w:lineRule="auto"/>
        <w:contextualSpacing/>
        <w:jc w:val="both"/>
        <w:rPr>
          <w:rFonts w:ascii="Times New Roman" w:hAnsi="Times New Roman" w:cs="Times New Roman"/>
          <w:sz w:val="24"/>
          <w:szCs w:val="24"/>
        </w:rPr>
      </w:pPr>
    </w:p>
    <w:p w14:paraId="01ACF1C7" w14:textId="1EDC1416" w:rsidR="00A85693" w:rsidRPr="007B0015" w:rsidRDefault="00A85693" w:rsidP="00A85693">
      <w:pPr>
        <w:numPr>
          <w:ilvl w:val="1"/>
          <w:numId w:val="2"/>
        </w:numPr>
        <w:spacing w:line="360" w:lineRule="auto"/>
        <w:contextualSpacing/>
        <w:jc w:val="both"/>
        <w:rPr>
          <w:rFonts w:ascii="Times New Roman" w:hAnsi="Times New Roman" w:cs="Times New Roman"/>
          <w:b/>
          <w:bCs/>
          <w:i/>
          <w:iCs/>
          <w:sz w:val="24"/>
          <w:szCs w:val="24"/>
        </w:rPr>
      </w:pPr>
      <w:r w:rsidRPr="007B0015">
        <w:rPr>
          <w:rFonts w:ascii="Times New Roman" w:hAnsi="Times New Roman" w:cs="Times New Roman"/>
          <w:b/>
          <w:bCs/>
          <w:i/>
          <w:iCs/>
          <w:sz w:val="24"/>
          <w:szCs w:val="24"/>
        </w:rPr>
        <w:t>Portfolio Implications</w:t>
      </w:r>
    </w:p>
    <w:p w14:paraId="37676834" w14:textId="77777777" w:rsidR="00FB5B69" w:rsidRDefault="00FB5B69" w:rsidP="00F84F21">
      <w:pPr>
        <w:spacing w:line="360" w:lineRule="auto"/>
        <w:contextualSpacing/>
        <w:jc w:val="both"/>
        <w:rPr>
          <w:rFonts w:ascii="Times New Roman" w:hAnsi="Times New Roman" w:cs="Times New Roman"/>
          <w:sz w:val="24"/>
          <w:szCs w:val="24"/>
        </w:rPr>
      </w:pPr>
    </w:p>
    <w:p w14:paraId="5FCA6557" w14:textId="4B8B3B1B" w:rsidR="00EB5D8D" w:rsidRDefault="00A85693" w:rsidP="00F84F21">
      <w:pPr>
        <w:spacing w:line="360" w:lineRule="auto"/>
        <w:contextualSpacing/>
        <w:jc w:val="both"/>
        <w:rPr>
          <w:rFonts w:ascii="Times New Roman" w:hAnsi="Times New Roman" w:cs="Times New Roman"/>
          <w:sz w:val="24"/>
          <w:szCs w:val="24"/>
        </w:rPr>
      </w:pPr>
      <w:r w:rsidRPr="0065228D">
        <w:rPr>
          <w:rFonts w:ascii="Times New Roman" w:hAnsi="Times New Roman" w:cs="Times New Roman"/>
          <w:sz w:val="24"/>
          <w:szCs w:val="24"/>
        </w:rPr>
        <w:t xml:space="preserve">The optimal weights, hedge ratios, and hedging efficiency for the </w:t>
      </w:r>
      <w:r w:rsidR="003F7E76" w:rsidRPr="0065228D">
        <w:rPr>
          <w:rFonts w:ascii="Times New Roman" w:hAnsi="Times New Roman" w:cs="Times New Roman"/>
          <w:sz w:val="24"/>
          <w:szCs w:val="24"/>
        </w:rPr>
        <w:t>combinations</w:t>
      </w:r>
      <w:r w:rsidRPr="0065228D">
        <w:rPr>
          <w:rFonts w:ascii="Times New Roman" w:hAnsi="Times New Roman" w:cs="Times New Roman"/>
          <w:sz w:val="24"/>
          <w:szCs w:val="24"/>
        </w:rPr>
        <w:t xml:space="preserve"> of CEX tokens</w:t>
      </w:r>
      <w:r w:rsidR="004849DA">
        <w:rPr>
          <w:rFonts w:ascii="Times New Roman" w:hAnsi="Times New Roman" w:cs="Times New Roman"/>
          <w:sz w:val="24"/>
          <w:szCs w:val="24"/>
        </w:rPr>
        <w:t>–</w:t>
      </w:r>
      <w:r w:rsidRPr="0065228D">
        <w:rPr>
          <w:rFonts w:ascii="Times New Roman" w:hAnsi="Times New Roman" w:cs="Times New Roman"/>
          <w:sz w:val="24"/>
          <w:szCs w:val="24"/>
        </w:rPr>
        <w:t>other assets (Panels A to C) and DEX tokens</w:t>
      </w:r>
      <w:r w:rsidR="004849DA">
        <w:rPr>
          <w:rFonts w:ascii="Times New Roman" w:hAnsi="Times New Roman" w:cs="Times New Roman"/>
          <w:sz w:val="24"/>
          <w:szCs w:val="24"/>
        </w:rPr>
        <w:t>–</w:t>
      </w:r>
      <w:r w:rsidRPr="0065228D">
        <w:rPr>
          <w:rFonts w:ascii="Times New Roman" w:hAnsi="Times New Roman" w:cs="Times New Roman"/>
          <w:sz w:val="24"/>
          <w:szCs w:val="24"/>
        </w:rPr>
        <w:t>other assets (Panels D to F)</w:t>
      </w:r>
      <w:r w:rsidR="00F16AB3" w:rsidRPr="0065228D">
        <w:rPr>
          <w:rFonts w:ascii="Times New Roman" w:hAnsi="Times New Roman" w:cs="Times New Roman"/>
          <w:sz w:val="24"/>
          <w:szCs w:val="24"/>
        </w:rPr>
        <w:t xml:space="preserve"> </w:t>
      </w:r>
      <w:r w:rsidR="004849DA">
        <w:rPr>
          <w:rFonts w:ascii="Times New Roman" w:hAnsi="Times New Roman" w:cs="Times New Roman"/>
          <w:sz w:val="24"/>
          <w:szCs w:val="24"/>
        </w:rPr>
        <w:t>are</w:t>
      </w:r>
      <w:r w:rsidR="004849DA" w:rsidRPr="0065228D">
        <w:rPr>
          <w:rFonts w:ascii="Times New Roman" w:hAnsi="Times New Roman" w:cs="Times New Roman"/>
          <w:sz w:val="24"/>
          <w:szCs w:val="24"/>
        </w:rPr>
        <w:t xml:space="preserve"> </w:t>
      </w:r>
      <w:r w:rsidR="00F16AB3" w:rsidRPr="0065228D">
        <w:rPr>
          <w:rFonts w:ascii="Times New Roman" w:hAnsi="Times New Roman" w:cs="Times New Roman"/>
          <w:sz w:val="24"/>
          <w:szCs w:val="24"/>
        </w:rPr>
        <w:t>shown in</w:t>
      </w:r>
      <w:r w:rsidRPr="0065228D">
        <w:rPr>
          <w:rFonts w:ascii="Times New Roman" w:hAnsi="Times New Roman" w:cs="Times New Roman"/>
          <w:sz w:val="24"/>
          <w:szCs w:val="24"/>
        </w:rPr>
        <w:t xml:space="preserve"> Table 7</w:t>
      </w:r>
      <w:r w:rsidR="00F16AB3" w:rsidRPr="0065228D">
        <w:rPr>
          <w:rFonts w:ascii="Times New Roman" w:hAnsi="Times New Roman" w:cs="Times New Roman"/>
          <w:sz w:val="24"/>
          <w:szCs w:val="24"/>
        </w:rPr>
        <w:t>.</w:t>
      </w:r>
      <w:r w:rsidRPr="0065228D">
        <w:rPr>
          <w:rFonts w:ascii="Times New Roman" w:hAnsi="Times New Roman" w:cs="Times New Roman"/>
          <w:sz w:val="24"/>
          <w:szCs w:val="24"/>
        </w:rPr>
        <w:t xml:space="preserve"> Gold/RUNE, Equity/RUNE, USD Index/RUNE, Gold/LRC, Equity/LRC, and Bond/LRC have the highest optimal weights (100%) among the different </w:t>
      </w:r>
      <w:r w:rsidR="00064F46" w:rsidRPr="0065228D">
        <w:rPr>
          <w:rFonts w:ascii="Times New Roman" w:hAnsi="Times New Roman" w:cs="Times New Roman"/>
          <w:sz w:val="24"/>
          <w:szCs w:val="24"/>
        </w:rPr>
        <w:t>combinations</w:t>
      </w:r>
      <w:r w:rsidRPr="0065228D">
        <w:rPr>
          <w:rFonts w:ascii="Times New Roman" w:hAnsi="Times New Roman" w:cs="Times New Roman"/>
          <w:sz w:val="24"/>
          <w:szCs w:val="24"/>
        </w:rPr>
        <w:t xml:space="preserve"> of DEX tokens, indicating that </w:t>
      </w:r>
      <w:r w:rsidR="00EB5D8D" w:rsidRPr="0065228D">
        <w:rPr>
          <w:rFonts w:ascii="Times New Roman" w:hAnsi="Times New Roman" w:cs="Times New Roman"/>
          <w:sz w:val="24"/>
          <w:szCs w:val="24"/>
        </w:rPr>
        <w:t xml:space="preserve">for the one-dollar portfolio, </w:t>
      </w:r>
      <w:r w:rsidRPr="0065228D">
        <w:rPr>
          <w:rFonts w:ascii="Times New Roman" w:hAnsi="Times New Roman" w:cs="Times New Roman"/>
          <w:sz w:val="24"/>
          <w:szCs w:val="24"/>
        </w:rPr>
        <w:t xml:space="preserve">investors would be </w:t>
      </w:r>
      <w:r w:rsidR="00EB5D8D" w:rsidRPr="0065228D">
        <w:rPr>
          <w:rFonts w:ascii="Times New Roman" w:hAnsi="Times New Roman" w:cs="Times New Roman"/>
          <w:sz w:val="24"/>
          <w:szCs w:val="24"/>
        </w:rPr>
        <w:t>indifferent</w:t>
      </w:r>
      <w:r w:rsidRPr="0065228D">
        <w:rPr>
          <w:rFonts w:ascii="Times New Roman" w:hAnsi="Times New Roman" w:cs="Times New Roman"/>
          <w:sz w:val="24"/>
          <w:szCs w:val="24"/>
        </w:rPr>
        <w:t xml:space="preserve"> and could select either Gold or RUNE</w:t>
      </w:r>
      <w:r w:rsidR="004849DA">
        <w:rPr>
          <w:rFonts w:ascii="Times New Roman" w:hAnsi="Times New Roman" w:cs="Times New Roman"/>
          <w:sz w:val="24"/>
          <w:szCs w:val="24"/>
        </w:rPr>
        <w:t>,</w:t>
      </w:r>
      <w:r w:rsidRPr="0065228D">
        <w:rPr>
          <w:rFonts w:ascii="Times New Roman" w:hAnsi="Times New Roman" w:cs="Times New Roman"/>
          <w:sz w:val="24"/>
          <w:szCs w:val="24"/>
        </w:rPr>
        <w:t xml:space="preserve"> or any other combination mentioned above.</w:t>
      </w:r>
    </w:p>
    <w:p w14:paraId="7A3CFBE7" w14:textId="09D79F24" w:rsidR="00440308" w:rsidRDefault="00440308" w:rsidP="00F84F21">
      <w:pPr>
        <w:spacing w:line="360" w:lineRule="auto"/>
        <w:contextualSpacing/>
        <w:jc w:val="both"/>
        <w:rPr>
          <w:rFonts w:ascii="Times New Roman" w:hAnsi="Times New Roman" w:cs="Times New Roman"/>
          <w:sz w:val="24"/>
          <w:szCs w:val="24"/>
        </w:rPr>
      </w:pPr>
    </w:p>
    <w:p w14:paraId="3000D988" w14:textId="0E4D0B63" w:rsidR="00440308" w:rsidRDefault="00440308" w:rsidP="00440308">
      <w:pPr>
        <w:spacing w:line="360" w:lineRule="auto"/>
        <w:contextualSpacing/>
        <w:jc w:val="center"/>
        <w:rPr>
          <w:rFonts w:ascii="Times New Roman" w:hAnsi="Times New Roman" w:cs="Times New Roman"/>
          <w:sz w:val="24"/>
          <w:szCs w:val="24"/>
        </w:rPr>
      </w:pPr>
      <w:r w:rsidRPr="0065228D">
        <w:rPr>
          <w:rFonts w:ascii="Times New Roman" w:hAnsi="Times New Roman" w:cs="Times New Roman"/>
          <w:sz w:val="24"/>
          <w:szCs w:val="24"/>
        </w:rPr>
        <w:t>[Table 7 here]</w:t>
      </w:r>
    </w:p>
    <w:p w14:paraId="3CBA9E05" w14:textId="77777777" w:rsidR="00FB5B69" w:rsidRPr="0065228D" w:rsidRDefault="00FB5B69" w:rsidP="00440308">
      <w:pPr>
        <w:spacing w:line="360" w:lineRule="auto"/>
        <w:contextualSpacing/>
        <w:jc w:val="center"/>
        <w:rPr>
          <w:rFonts w:ascii="Times New Roman" w:hAnsi="Times New Roman" w:cs="Times New Roman"/>
          <w:sz w:val="24"/>
          <w:szCs w:val="24"/>
        </w:rPr>
      </w:pPr>
    </w:p>
    <w:p w14:paraId="573CFEC7" w14:textId="55AEB3B7" w:rsidR="002A4C86" w:rsidRPr="0065228D" w:rsidRDefault="00EB5D8D" w:rsidP="00A421A0">
      <w:pPr>
        <w:spacing w:line="360" w:lineRule="auto"/>
        <w:ind w:firstLine="720"/>
        <w:contextualSpacing/>
        <w:jc w:val="both"/>
        <w:rPr>
          <w:rFonts w:ascii="Times New Roman" w:hAnsi="Times New Roman" w:cs="Times New Roman"/>
          <w:sz w:val="24"/>
          <w:szCs w:val="24"/>
        </w:rPr>
      </w:pPr>
      <w:r w:rsidRPr="0065228D">
        <w:rPr>
          <w:rFonts w:ascii="Times New Roman" w:hAnsi="Times New Roman" w:cs="Times New Roman"/>
          <w:sz w:val="24"/>
          <w:szCs w:val="24"/>
        </w:rPr>
        <w:lastRenderedPageBreak/>
        <w:t>The REIT/RUNE (Equity/LRC, Equity/GNO) combination has an optimal weight of 0.99, meaning that for a one-dollar portfolio of REIT</w:t>
      </w:r>
      <w:r w:rsidR="004849DA">
        <w:rPr>
          <w:rFonts w:ascii="Times New Roman" w:hAnsi="Times New Roman" w:cs="Times New Roman"/>
          <w:sz w:val="24"/>
          <w:szCs w:val="24"/>
        </w:rPr>
        <w:t xml:space="preserve"> </w:t>
      </w:r>
      <w:r w:rsidRPr="0065228D">
        <w:rPr>
          <w:rFonts w:ascii="Times New Roman" w:hAnsi="Times New Roman" w:cs="Times New Roman"/>
          <w:sz w:val="24"/>
          <w:szCs w:val="24"/>
        </w:rPr>
        <w:t>(Equity) and RUNE (LRC, GNO), investors should place 99 cents in REIT</w:t>
      </w:r>
      <w:r w:rsidR="004849DA">
        <w:rPr>
          <w:rFonts w:ascii="Times New Roman" w:hAnsi="Times New Roman" w:cs="Times New Roman"/>
          <w:sz w:val="24"/>
          <w:szCs w:val="24"/>
        </w:rPr>
        <w:t xml:space="preserve"> </w:t>
      </w:r>
      <w:r w:rsidRPr="0065228D">
        <w:rPr>
          <w:rFonts w:ascii="Times New Roman" w:hAnsi="Times New Roman" w:cs="Times New Roman"/>
          <w:sz w:val="24"/>
          <w:szCs w:val="24"/>
        </w:rPr>
        <w:t xml:space="preserve">(Equity) and the remaining cent in the RUNE (LRC, GNO) tokens. In the one-dollar portfolio of </w:t>
      </w:r>
      <w:r w:rsidR="00037A5A" w:rsidRPr="0065228D">
        <w:rPr>
          <w:rFonts w:ascii="Times New Roman" w:hAnsi="Times New Roman" w:cs="Times New Roman"/>
          <w:sz w:val="24"/>
          <w:szCs w:val="24"/>
        </w:rPr>
        <w:t>Oil</w:t>
      </w:r>
      <w:r w:rsidRPr="0065228D">
        <w:rPr>
          <w:rFonts w:ascii="Times New Roman" w:hAnsi="Times New Roman" w:cs="Times New Roman"/>
          <w:sz w:val="24"/>
          <w:szCs w:val="24"/>
        </w:rPr>
        <w:t xml:space="preserve"> /GNO, investors should put 25 cents in the GNO because it has the lowest weight</w:t>
      </w:r>
      <w:r w:rsidR="0075111E" w:rsidRPr="0065228D">
        <w:rPr>
          <w:rFonts w:ascii="Times New Roman" w:hAnsi="Times New Roman" w:cs="Times New Roman"/>
          <w:sz w:val="24"/>
          <w:szCs w:val="24"/>
        </w:rPr>
        <w:t xml:space="preserve"> (0.75)</w:t>
      </w:r>
      <w:r w:rsidRPr="0065228D">
        <w:rPr>
          <w:rFonts w:ascii="Times New Roman" w:hAnsi="Times New Roman" w:cs="Times New Roman"/>
          <w:sz w:val="24"/>
          <w:szCs w:val="24"/>
        </w:rPr>
        <w:t xml:space="preserve"> among </w:t>
      </w:r>
      <w:r w:rsidR="0075111E" w:rsidRPr="0065228D">
        <w:rPr>
          <w:rFonts w:ascii="Times New Roman" w:hAnsi="Times New Roman" w:cs="Times New Roman"/>
          <w:sz w:val="24"/>
          <w:szCs w:val="24"/>
        </w:rPr>
        <w:t xml:space="preserve">different </w:t>
      </w:r>
      <w:r w:rsidR="00064F46" w:rsidRPr="0065228D">
        <w:rPr>
          <w:rFonts w:ascii="Times New Roman" w:hAnsi="Times New Roman" w:cs="Times New Roman"/>
          <w:sz w:val="24"/>
          <w:szCs w:val="24"/>
        </w:rPr>
        <w:t>combinations</w:t>
      </w:r>
      <w:r w:rsidRPr="0065228D">
        <w:rPr>
          <w:rFonts w:ascii="Times New Roman" w:hAnsi="Times New Roman" w:cs="Times New Roman"/>
          <w:sz w:val="24"/>
          <w:szCs w:val="24"/>
        </w:rPr>
        <w:t>.</w:t>
      </w:r>
    </w:p>
    <w:p w14:paraId="0208C0E9" w14:textId="77777777" w:rsidR="002D5CCB" w:rsidRDefault="00EB5D8D" w:rsidP="002D5CCB">
      <w:pPr>
        <w:spacing w:line="360" w:lineRule="auto"/>
        <w:ind w:firstLine="720"/>
        <w:contextualSpacing/>
        <w:jc w:val="both"/>
        <w:rPr>
          <w:rFonts w:ascii="Times New Roman" w:hAnsi="Times New Roman" w:cs="Times New Roman"/>
          <w:sz w:val="24"/>
          <w:szCs w:val="24"/>
        </w:rPr>
      </w:pPr>
      <w:r w:rsidRPr="0065228D">
        <w:rPr>
          <w:rFonts w:ascii="Times New Roman" w:hAnsi="Times New Roman" w:cs="Times New Roman"/>
          <w:sz w:val="24"/>
          <w:szCs w:val="24"/>
        </w:rPr>
        <w:t>Similarly</w:t>
      </w:r>
      <w:r w:rsidR="004849DA">
        <w:rPr>
          <w:rFonts w:ascii="Times New Roman" w:hAnsi="Times New Roman" w:cs="Times New Roman"/>
          <w:sz w:val="24"/>
          <w:szCs w:val="24"/>
        </w:rPr>
        <w:t>,</w:t>
      </w:r>
      <w:r w:rsidRPr="0065228D">
        <w:rPr>
          <w:rFonts w:ascii="Times New Roman" w:hAnsi="Times New Roman" w:cs="Times New Roman"/>
          <w:sz w:val="24"/>
          <w:szCs w:val="24"/>
        </w:rPr>
        <w:t xml:space="preserve"> in </w:t>
      </w:r>
      <w:r w:rsidR="004849DA">
        <w:rPr>
          <w:rFonts w:ascii="Times New Roman" w:hAnsi="Times New Roman" w:cs="Times New Roman"/>
          <w:sz w:val="24"/>
          <w:szCs w:val="24"/>
        </w:rPr>
        <w:t xml:space="preserve">the </w:t>
      </w:r>
      <w:r w:rsidRPr="0065228D">
        <w:rPr>
          <w:rFonts w:ascii="Times New Roman" w:hAnsi="Times New Roman" w:cs="Times New Roman"/>
          <w:sz w:val="24"/>
          <w:szCs w:val="24"/>
        </w:rPr>
        <w:t>case of CEX tokens,</w:t>
      </w:r>
      <w:r w:rsidR="0075111E" w:rsidRPr="0065228D">
        <w:rPr>
          <w:rFonts w:ascii="Times New Roman" w:hAnsi="Times New Roman" w:cs="Times New Roman"/>
          <w:sz w:val="24"/>
          <w:szCs w:val="24"/>
        </w:rPr>
        <w:t xml:space="preserve"> the combination of</w:t>
      </w:r>
      <w:r w:rsidRPr="0065228D">
        <w:rPr>
          <w:rFonts w:ascii="Times New Roman" w:hAnsi="Times New Roman" w:cs="Times New Roman"/>
          <w:sz w:val="24"/>
          <w:szCs w:val="24"/>
        </w:rPr>
        <w:t xml:space="preserve"> Bond and BNB</w:t>
      </w:r>
      <w:r w:rsidR="0075111E" w:rsidRPr="0065228D">
        <w:rPr>
          <w:rFonts w:ascii="Times New Roman" w:hAnsi="Times New Roman" w:cs="Times New Roman"/>
          <w:sz w:val="24"/>
          <w:szCs w:val="24"/>
        </w:rPr>
        <w:t xml:space="preserve"> has</w:t>
      </w:r>
      <w:r w:rsidRPr="0065228D">
        <w:rPr>
          <w:rFonts w:ascii="Times New Roman" w:hAnsi="Times New Roman" w:cs="Times New Roman"/>
          <w:sz w:val="24"/>
          <w:szCs w:val="24"/>
        </w:rPr>
        <w:t xml:space="preserve"> the maximum weight (100%)</w:t>
      </w:r>
      <w:r w:rsidR="0075111E" w:rsidRPr="0065228D">
        <w:rPr>
          <w:rFonts w:ascii="Times New Roman" w:hAnsi="Times New Roman" w:cs="Times New Roman"/>
          <w:sz w:val="24"/>
          <w:szCs w:val="24"/>
        </w:rPr>
        <w:t xml:space="preserve">, </w:t>
      </w:r>
      <w:r w:rsidRPr="0065228D">
        <w:rPr>
          <w:rFonts w:ascii="Times New Roman" w:hAnsi="Times New Roman" w:cs="Times New Roman"/>
          <w:sz w:val="24"/>
          <w:szCs w:val="24"/>
        </w:rPr>
        <w:t xml:space="preserve">indicating that investors would be agnostic and could choose either Bond or BNB tokens for the one-dollar portfolio. The ideal weight for the </w:t>
      </w:r>
      <w:r w:rsidR="00064F46" w:rsidRPr="0065228D">
        <w:rPr>
          <w:rFonts w:ascii="Times New Roman" w:hAnsi="Times New Roman" w:cs="Times New Roman"/>
          <w:sz w:val="24"/>
          <w:szCs w:val="24"/>
        </w:rPr>
        <w:t>combinations</w:t>
      </w:r>
      <w:r w:rsidRPr="0065228D">
        <w:rPr>
          <w:rFonts w:ascii="Times New Roman" w:hAnsi="Times New Roman" w:cs="Times New Roman"/>
          <w:sz w:val="24"/>
          <w:szCs w:val="24"/>
        </w:rPr>
        <w:t xml:space="preserve"> of USD Index/BNB (Equity/FTT, Bond/FTT, USD-Index/FTT) is 0.99, meaning that for a portfolio of USD Index (Equity, Bond, USD Index) and BNB (FTT) valued at</w:t>
      </w:r>
      <w:r w:rsidR="00082F19">
        <w:rPr>
          <w:rFonts w:ascii="Times New Roman" w:hAnsi="Times New Roman" w:cs="Times New Roman"/>
          <w:sz w:val="24"/>
          <w:szCs w:val="24"/>
        </w:rPr>
        <w:t xml:space="preserve"> one dollar</w:t>
      </w:r>
      <w:r w:rsidRPr="0065228D">
        <w:rPr>
          <w:rFonts w:ascii="Times New Roman" w:hAnsi="Times New Roman" w:cs="Times New Roman"/>
          <w:sz w:val="24"/>
          <w:szCs w:val="24"/>
        </w:rPr>
        <w:t xml:space="preserve">, investors should place 99 cents in USD Index (Equity, Bond, USD Index) and the remaining </w:t>
      </w:r>
      <w:r w:rsidR="00082F19">
        <w:rPr>
          <w:rFonts w:ascii="Times New Roman" w:hAnsi="Times New Roman" w:cs="Times New Roman"/>
          <w:sz w:val="24"/>
          <w:szCs w:val="24"/>
        </w:rPr>
        <w:t>one</w:t>
      </w:r>
      <w:r w:rsidR="00082F19" w:rsidRPr="0065228D">
        <w:rPr>
          <w:rFonts w:ascii="Times New Roman" w:hAnsi="Times New Roman" w:cs="Times New Roman"/>
          <w:sz w:val="24"/>
          <w:szCs w:val="24"/>
        </w:rPr>
        <w:t xml:space="preserve"> </w:t>
      </w:r>
      <w:r w:rsidRPr="0065228D">
        <w:rPr>
          <w:rFonts w:ascii="Times New Roman" w:hAnsi="Times New Roman" w:cs="Times New Roman"/>
          <w:sz w:val="24"/>
          <w:szCs w:val="24"/>
        </w:rPr>
        <w:t xml:space="preserve">cent in the BNB (FTT) token. The optimal weight for </w:t>
      </w:r>
      <w:r w:rsidR="004849DA">
        <w:rPr>
          <w:rFonts w:ascii="Times New Roman" w:hAnsi="Times New Roman" w:cs="Times New Roman"/>
          <w:sz w:val="24"/>
          <w:szCs w:val="24"/>
        </w:rPr>
        <w:t xml:space="preserve">the </w:t>
      </w:r>
      <w:r w:rsidRPr="0065228D">
        <w:rPr>
          <w:rFonts w:ascii="Times New Roman" w:hAnsi="Times New Roman" w:cs="Times New Roman"/>
          <w:sz w:val="24"/>
          <w:szCs w:val="24"/>
        </w:rPr>
        <w:t xml:space="preserve">BTC/LEO </w:t>
      </w:r>
      <w:r w:rsidR="00064F46" w:rsidRPr="0065228D">
        <w:rPr>
          <w:rFonts w:ascii="Times New Roman" w:hAnsi="Times New Roman" w:cs="Times New Roman"/>
          <w:sz w:val="24"/>
          <w:szCs w:val="24"/>
        </w:rPr>
        <w:t>combination</w:t>
      </w:r>
      <w:r w:rsidRPr="0065228D">
        <w:rPr>
          <w:rFonts w:ascii="Times New Roman" w:hAnsi="Times New Roman" w:cs="Times New Roman"/>
          <w:sz w:val="24"/>
          <w:szCs w:val="24"/>
        </w:rPr>
        <w:t xml:space="preserve"> is the lowest (0.31), meaning that for every </w:t>
      </w:r>
      <w:r w:rsidR="00440308">
        <w:rPr>
          <w:rFonts w:ascii="Times New Roman" w:hAnsi="Times New Roman" w:cs="Times New Roman"/>
          <w:sz w:val="24"/>
          <w:szCs w:val="24"/>
        </w:rPr>
        <w:t>one dollar</w:t>
      </w:r>
      <w:r w:rsidRPr="0065228D">
        <w:rPr>
          <w:rFonts w:ascii="Times New Roman" w:hAnsi="Times New Roman" w:cs="Times New Roman"/>
          <w:sz w:val="24"/>
          <w:szCs w:val="24"/>
        </w:rPr>
        <w:t xml:space="preserve"> invested in BTC and LEO</w:t>
      </w:r>
      <w:r w:rsidR="0075111E" w:rsidRPr="0065228D">
        <w:rPr>
          <w:rFonts w:ascii="Times New Roman" w:hAnsi="Times New Roman" w:cs="Times New Roman"/>
          <w:sz w:val="24"/>
          <w:szCs w:val="24"/>
        </w:rPr>
        <w:t xml:space="preserve"> portfolio</w:t>
      </w:r>
      <w:r w:rsidRPr="0065228D">
        <w:rPr>
          <w:rFonts w:ascii="Times New Roman" w:hAnsi="Times New Roman" w:cs="Times New Roman"/>
          <w:sz w:val="24"/>
          <w:szCs w:val="24"/>
        </w:rPr>
        <w:t>, investors should put 31 cents into LEO</w:t>
      </w:r>
      <w:r w:rsidRPr="00C146B3">
        <w:rPr>
          <w:rFonts w:ascii="Times New Roman" w:hAnsi="Times New Roman" w:cs="Times New Roman"/>
          <w:sz w:val="24"/>
          <w:szCs w:val="24"/>
        </w:rPr>
        <w:t>.</w:t>
      </w:r>
      <w:r w:rsidR="002A4C86" w:rsidRPr="00C146B3">
        <w:rPr>
          <w:rFonts w:ascii="Times New Roman" w:hAnsi="Times New Roman" w:cs="Times New Roman"/>
          <w:sz w:val="24"/>
          <w:szCs w:val="24"/>
        </w:rPr>
        <w:t xml:space="preserve"> </w:t>
      </w:r>
    </w:p>
    <w:p w14:paraId="1C661B03" w14:textId="6416616B" w:rsidR="002D5CCB" w:rsidRPr="002D5CCB" w:rsidRDefault="002D5CCB" w:rsidP="002D5CCB">
      <w:pPr>
        <w:spacing w:line="360" w:lineRule="auto"/>
        <w:ind w:firstLine="720"/>
        <w:contextualSpacing/>
        <w:jc w:val="both"/>
        <w:rPr>
          <w:rFonts w:ascii="Times New Roman" w:hAnsi="Times New Roman" w:cs="Times New Roman"/>
          <w:sz w:val="24"/>
          <w:szCs w:val="24"/>
        </w:rPr>
      </w:pPr>
      <w:r w:rsidRPr="002D5CCB">
        <w:rPr>
          <w:rFonts w:ascii="Times New Roman" w:hAnsi="Times New Roman" w:cs="Times New Roman"/>
          <w:sz w:val="24"/>
          <w:szCs w:val="24"/>
          <w:highlight w:val="cyan"/>
        </w:rPr>
        <w:t xml:space="preserve">Overall, all optimal weights are 1 or very close to 1 in </w:t>
      </w:r>
      <w:proofErr w:type="gramStart"/>
      <w:r w:rsidRPr="002D5CCB">
        <w:rPr>
          <w:rFonts w:ascii="Times New Roman" w:hAnsi="Times New Roman" w:cs="Times New Roman"/>
          <w:sz w:val="24"/>
          <w:szCs w:val="24"/>
          <w:highlight w:val="cyan"/>
        </w:rPr>
        <w:t>the majority of</w:t>
      </w:r>
      <w:proofErr w:type="gramEnd"/>
      <w:r w:rsidRPr="002D5CCB">
        <w:rPr>
          <w:rFonts w:ascii="Times New Roman" w:hAnsi="Times New Roman" w:cs="Times New Roman"/>
          <w:sz w:val="24"/>
          <w:szCs w:val="24"/>
          <w:highlight w:val="cyan"/>
        </w:rPr>
        <w:t xml:space="preserve"> the combinations of DEX tokens–other assets and CEX tokens–other assets, indicating that, when combined with undiversified portfolios of Gold, Oil, BTC, REIT, Equity, Bond, and US dollar index, </w:t>
      </w:r>
      <w:bookmarkStart w:id="28" w:name="_Hlk145171037"/>
      <w:r w:rsidRPr="002D5CCB">
        <w:rPr>
          <w:rFonts w:ascii="Times New Roman" w:hAnsi="Times New Roman" w:cs="Times New Roman"/>
          <w:sz w:val="24"/>
          <w:szCs w:val="24"/>
          <w:highlight w:val="cyan"/>
        </w:rPr>
        <w:t xml:space="preserve">DEX and CEX tokens </w:t>
      </w:r>
      <w:bookmarkEnd w:id="28"/>
      <w:r w:rsidRPr="002D5CCB">
        <w:rPr>
          <w:rFonts w:ascii="Times New Roman" w:hAnsi="Times New Roman" w:cs="Times New Roman"/>
          <w:sz w:val="24"/>
          <w:szCs w:val="24"/>
          <w:highlight w:val="cyan"/>
        </w:rPr>
        <w:t>offer investors very limited opportunities for diversification. This outcome supports the findings of Aliu et al. (2021)</w:t>
      </w:r>
      <w:r w:rsidRPr="002D5CCB">
        <w:rPr>
          <w:highlight w:val="cyan"/>
        </w:rPr>
        <w:t xml:space="preserve"> and </w:t>
      </w:r>
      <w:r w:rsidRPr="002D5CCB">
        <w:rPr>
          <w:rFonts w:ascii="Times New Roman" w:hAnsi="Times New Roman" w:cs="Times New Roman"/>
          <w:sz w:val="24"/>
          <w:szCs w:val="24"/>
          <w:highlight w:val="cyan"/>
        </w:rPr>
        <w:t>Aliu et al. (2022), which show that portfolios based solely on equity stocks are less risky than those based only on cryptocurrencies. These findings are in line with the fundamental theories of portfolios, which hold that riskier portfolios generate higher returns and vice versa and offer helpful advice for DEX and CEX token investors who prefer to lower portfolio risk by including stocks, commodities, digital currency, and fiat money.</w:t>
      </w:r>
    </w:p>
    <w:p w14:paraId="50C3153E" w14:textId="5F228FB8" w:rsidR="002A4C86" w:rsidRPr="0065228D" w:rsidRDefault="002A4C86" w:rsidP="00A421A0">
      <w:pPr>
        <w:spacing w:line="360" w:lineRule="auto"/>
        <w:ind w:firstLine="720"/>
        <w:contextualSpacing/>
        <w:jc w:val="both"/>
        <w:rPr>
          <w:rFonts w:ascii="Times New Roman" w:hAnsi="Times New Roman" w:cs="Times New Roman"/>
          <w:sz w:val="24"/>
          <w:szCs w:val="24"/>
        </w:rPr>
      </w:pPr>
      <w:r w:rsidRPr="0065228D">
        <w:rPr>
          <w:rFonts w:ascii="Times New Roman" w:hAnsi="Times New Roman" w:cs="Times New Roman"/>
          <w:sz w:val="24"/>
          <w:szCs w:val="24"/>
        </w:rPr>
        <w:t>The hedge ratio</w:t>
      </w:r>
      <w:r w:rsidR="00D731B1">
        <w:rPr>
          <w:rFonts w:ascii="Times New Roman" w:hAnsi="Times New Roman" w:cs="Times New Roman"/>
          <w:sz w:val="24"/>
          <w:szCs w:val="24"/>
        </w:rPr>
        <w:t>s</w:t>
      </w:r>
      <w:r w:rsidRPr="0065228D">
        <w:rPr>
          <w:rFonts w:ascii="Times New Roman" w:hAnsi="Times New Roman" w:cs="Times New Roman"/>
          <w:sz w:val="24"/>
          <w:szCs w:val="24"/>
        </w:rPr>
        <w:t xml:space="preserve"> of </w:t>
      </w:r>
      <w:r w:rsidR="00D731B1">
        <w:rPr>
          <w:rFonts w:ascii="Times New Roman" w:hAnsi="Times New Roman" w:cs="Times New Roman"/>
          <w:sz w:val="24"/>
          <w:szCs w:val="24"/>
        </w:rPr>
        <w:t xml:space="preserve">the </w:t>
      </w:r>
      <w:r w:rsidRPr="0065228D">
        <w:rPr>
          <w:rFonts w:ascii="Times New Roman" w:hAnsi="Times New Roman" w:cs="Times New Roman"/>
          <w:sz w:val="24"/>
          <w:szCs w:val="24"/>
        </w:rPr>
        <w:t xml:space="preserve">DEX (CEX) token with other assets are </w:t>
      </w:r>
      <w:r w:rsidR="00440308">
        <w:rPr>
          <w:rFonts w:ascii="Times New Roman" w:hAnsi="Times New Roman" w:cs="Times New Roman"/>
          <w:sz w:val="24"/>
          <w:szCs w:val="24"/>
        </w:rPr>
        <w:t>presented</w:t>
      </w:r>
      <w:r w:rsidRPr="0065228D">
        <w:rPr>
          <w:rFonts w:ascii="Times New Roman" w:hAnsi="Times New Roman" w:cs="Times New Roman"/>
          <w:sz w:val="24"/>
          <w:szCs w:val="24"/>
        </w:rPr>
        <w:t xml:space="preserve"> in </w:t>
      </w:r>
      <w:r w:rsidR="00D731B1">
        <w:rPr>
          <w:rFonts w:ascii="Times New Roman" w:hAnsi="Times New Roman" w:cs="Times New Roman"/>
          <w:sz w:val="24"/>
          <w:szCs w:val="24"/>
        </w:rPr>
        <w:t xml:space="preserve">the </w:t>
      </w:r>
      <w:r w:rsidRPr="0065228D">
        <w:rPr>
          <w:rFonts w:ascii="Times New Roman" w:hAnsi="Times New Roman" w:cs="Times New Roman"/>
          <w:sz w:val="24"/>
          <w:szCs w:val="24"/>
        </w:rPr>
        <w:t>second column</w:t>
      </w:r>
      <w:bookmarkStart w:id="29" w:name="_Hlk122262264"/>
      <w:r w:rsidR="00440308">
        <w:rPr>
          <w:rFonts w:ascii="Times New Roman" w:hAnsi="Times New Roman" w:cs="Times New Roman"/>
          <w:sz w:val="24"/>
          <w:szCs w:val="24"/>
        </w:rPr>
        <w:t xml:space="preserve"> of </w:t>
      </w:r>
      <w:r w:rsidR="00DC6319">
        <w:rPr>
          <w:rFonts w:ascii="Times New Roman" w:hAnsi="Times New Roman" w:cs="Times New Roman"/>
          <w:sz w:val="24"/>
          <w:szCs w:val="24"/>
        </w:rPr>
        <w:t>Table</w:t>
      </w:r>
      <w:r w:rsidR="00440308">
        <w:rPr>
          <w:rFonts w:ascii="Times New Roman" w:hAnsi="Times New Roman" w:cs="Times New Roman"/>
          <w:sz w:val="24"/>
          <w:szCs w:val="24"/>
        </w:rPr>
        <w:t xml:space="preserve"> 7</w:t>
      </w:r>
      <w:r w:rsidRPr="0065228D">
        <w:rPr>
          <w:rFonts w:ascii="Times New Roman" w:hAnsi="Times New Roman" w:cs="Times New Roman"/>
          <w:sz w:val="24"/>
          <w:szCs w:val="24"/>
        </w:rPr>
        <w:t xml:space="preserve">. The highest hedge ratio </w:t>
      </w:r>
      <w:r w:rsidR="004A3813" w:rsidRPr="0065228D">
        <w:rPr>
          <w:rFonts w:ascii="Times New Roman" w:hAnsi="Times New Roman" w:cs="Times New Roman"/>
          <w:sz w:val="24"/>
          <w:szCs w:val="24"/>
        </w:rPr>
        <w:t>for</w:t>
      </w:r>
      <w:r w:rsidRPr="0065228D">
        <w:rPr>
          <w:rFonts w:ascii="Times New Roman" w:hAnsi="Times New Roman" w:cs="Times New Roman"/>
          <w:sz w:val="24"/>
          <w:szCs w:val="24"/>
        </w:rPr>
        <w:t xml:space="preserve"> BTC/GNO (BTC/FTT) is 0.42(0.57), </w:t>
      </w:r>
      <w:r w:rsidR="00BE4CC7" w:rsidRPr="0065228D">
        <w:rPr>
          <w:rFonts w:ascii="Times New Roman" w:hAnsi="Times New Roman" w:cs="Times New Roman"/>
          <w:sz w:val="24"/>
          <w:szCs w:val="24"/>
        </w:rPr>
        <w:t xml:space="preserve">indicating </w:t>
      </w:r>
      <w:r w:rsidRPr="0065228D">
        <w:rPr>
          <w:rFonts w:ascii="Times New Roman" w:hAnsi="Times New Roman" w:cs="Times New Roman"/>
          <w:sz w:val="24"/>
          <w:szCs w:val="24"/>
        </w:rPr>
        <w:t xml:space="preserve">that </w:t>
      </w:r>
      <w:r w:rsidR="003F7E76" w:rsidRPr="0065228D">
        <w:rPr>
          <w:rFonts w:ascii="Times New Roman" w:hAnsi="Times New Roman" w:cs="Times New Roman"/>
          <w:sz w:val="24"/>
          <w:szCs w:val="24"/>
        </w:rPr>
        <w:t>a</w:t>
      </w:r>
      <w:r w:rsidRPr="0065228D">
        <w:rPr>
          <w:rFonts w:ascii="Times New Roman" w:hAnsi="Times New Roman" w:cs="Times New Roman"/>
          <w:sz w:val="24"/>
          <w:szCs w:val="24"/>
        </w:rPr>
        <w:t xml:space="preserve"> long position</w:t>
      </w:r>
      <w:r w:rsidR="003F7E76" w:rsidRPr="0065228D">
        <w:rPr>
          <w:rFonts w:ascii="Times New Roman" w:hAnsi="Times New Roman" w:cs="Times New Roman"/>
          <w:sz w:val="24"/>
          <w:szCs w:val="24"/>
        </w:rPr>
        <w:t xml:space="preserve"> of one dollar</w:t>
      </w:r>
      <w:r w:rsidRPr="0065228D">
        <w:rPr>
          <w:rFonts w:ascii="Times New Roman" w:hAnsi="Times New Roman" w:cs="Times New Roman"/>
          <w:sz w:val="24"/>
          <w:szCs w:val="24"/>
        </w:rPr>
        <w:t xml:space="preserve"> in BTC can be hedged with 0.58 (0.43) cent short position in GNO(FTT). </w:t>
      </w:r>
      <w:bookmarkEnd w:id="29"/>
      <w:r w:rsidR="007E459B" w:rsidRPr="0065228D">
        <w:rPr>
          <w:rFonts w:ascii="Times New Roman" w:hAnsi="Times New Roman" w:cs="Times New Roman"/>
          <w:sz w:val="24"/>
          <w:szCs w:val="24"/>
        </w:rPr>
        <w:t>T</w:t>
      </w:r>
      <w:r w:rsidRPr="0065228D">
        <w:rPr>
          <w:rFonts w:ascii="Times New Roman" w:hAnsi="Times New Roman" w:cs="Times New Roman"/>
          <w:sz w:val="24"/>
          <w:szCs w:val="24"/>
        </w:rPr>
        <w:t>he hedge ratios</w:t>
      </w:r>
      <w:r w:rsidR="00BE4CC7" w:rsidRPr="0065228D">
        <w:rPr>
          <w:rFonts w:ascii="Times New Roman" w:hAnsi="Times New Roman" w:cs="Times New Roman"/>
          <w:sz w:val="24"/>
          <w:szCs w:val="24"/>
        </w:rPr>
        <w:t xml:space="preserve"> </w:t>
      </w:r>
      <w:r w:rsidRPr="0065228D">
        <w:rPr>
          <w:rFonts w:ascii="Times New Roman" w:hAnsi="Times New Roman" w:cs="Times New Roman"/>
          <w:sz w:val="24"/>
          <w:szCs w:val="24"/>
        </w:rPr>
        <w:t xml:space="preserve">between the Gold/RUNE, Gold/LRC, Gold/GNO, and Bond/GNO </w:t>
      </w:r>
      <w:r w:rsidR="007E459B" w:rsidRPr="0065228D">
        <w:rPr>
          <w:rFonts w:ascii="Times New Roman" w:hAnsi="Times New Roman" w:cs="Times New Roman"/>
          <w:sz w:val="24"/>
          <w:szCs w:val="24"/>
        </w:rPr>
        <w:t>combinations are lowest</w:t>
      </w:r>
      <w:r w:rsidRPr="0065228D">
        <w:rPr>
          <w:rFonts w:ascii="Times New Roman" w:hAnsi="Times New Roman" w:cs="Times New Roman"/>
          <w:sz w:val="24"/>
          <w:szCs w:val="24"/>
        </w:rPr>
        <w:t xml:space="preserve">, </w:t>
      </w:r>
      <w:r w:rsidR="007E459B" w:rsidRPr="0065228D">
        <w:rPr>
          <w:rFonts w:ascii="Times New Roman" w:hAnsi="Times New Roman" w:cs="Times New Roman"/>
          <w:sz w:val="24"/>
          <w:szCs w:val="24"/>
        </w:rPr>
        <w:t>indicating</w:t>
      </w:r>
      <w:r w:rsidRPr="0065228D">
        <w:rPr>
          <w:rFonts w:ascii="Times New Roman" w:hAnsi="Times New Roman" w:cs="Times New Roman"/>
          <w:sz w:val="24"/>
          <w:szCs w:val="24"/>
        </w:rPr>
        <w:t xml:space="preserve"> that RUNE, LRC, and GNO tokens</w:t>
      </w:r>
      <w:r w:rsidR="007E459B" w:rsidRPr="0065228D">
        <w:rPr>
          <w:rFonts w:ascii="Times New Roman" w:hAnsi="Times New Roman" w:cs="Times New Roman"/>
          <w:sz w:val="24"/>
          <w:szCs w:val="24"/>
        </w:rPr>
        <w:t xml:space="preserve"> are cheap options for hedging </w:t>
      </w:r>
      <w:r w:rsidR="00810FBA">
        <w:rPr>
          <w:rFonts w:ascii="Times New Roman" w:hAnsi="Times New Roman" w:cs="Times New Roman"/>
          <w:sz w:val="24"/>
          <w:szCs w:val="24"/>
        </w:rPr>
        <w:t>G</w:t>
      </w:r>
      <w:r w:rsidR="007E459B" w:rsidRPr="0065228D">
        <w:rPr>
          <w:rFonts w:ascii="Times New Roman" w:hAnsi="Times New Roman" w:cs="Times New Roman"/>
          <w:sz w:val="24"/>
          <w:szCs w:val="24"/>
        </w:rPr>
        <w:t>old and bond</w:t>
      </w:r>
      <w:r w:rsidRPr="0065228D">
        <w:rPr>
          <w:rFonts w:ascii="Times New Roman" w:hAnsi="Times New Roman" w:cs="Times New Roman"/>
          <w:sz w:val="24"/>
          <w:szCs w:val="24"/>
        </w:rPr>
        <w:t>. For the remaining CEX tokens</w:t>
      </w:r>
      <w:r w:rsidR="00D731B1">
        <w:rPr>
          <w:rFonts w:ascii="Times New Roman" w:hAnsi="Times New Roman" w:cs="Times New Roman"/>
          <w:sz w:val="24"/>
          <w:szCs w:val="24"/>
        </w:rPr>
        <w:t>–</w:t>
      </w:r>
      <w:r w:rsidRPr="0065228D">
        <w:rPr>
          <w:rFonts w:ascii="Times New Roman" w:hAnsi="Times New Roman" w:cs="Times New Roman"/>
          <w:sz w:val="24"/>
          <w:szCs w:val="24"/>
        </w:rPr>
        <w:t xml:space="preserve">other assets, the lowest hedge ratios are between the </w:t>
      </w:r>
      <w:r w:rsidR="007E459B" w:rsidRPr="0065228D">
        <w:rPr>
          <w:rFonts w:ascii="Times New Roman" w:hAnsi="Times New Roman" w:cs="Times New Roman"/>
          <w:sz w:val="24"/>
          <w:szCs w:val="24"/>
        </w:rPr>
        <w:t xml:space="preserve">combinations </w:t>
      </w:r>
      <w:r w:rsidRPr="0065228D">
        <w:rPr>
          <w:rFonts w:ascii="Times New Roman" w:hAnsi="Times New Roman" w:cs="Times New Roman"/>
          <w:sz w:val="24"/>
          <w:szCs w:val="24"/>
        </w:rPr>
        <w:t xml:space="preserve">of Bond/BNB, REIT/LEO, Equity/LEO, and Bond/FTT, </w:t>
      </w:r>
      <w:r w:rsidR="00D731B1">
        <w:rPr>
          <w:rFonts w:ascii="Times New Roman" w:hAnsi="Times New Roman" w:cs="Times New Roman"/>
          <w:sz w:val="24"/>
          <w:szCs w:val="24"/>
        </w:rPr>
        <w:t>inferring</w:t>
      </w:r>
      <w:r w:rsidR="00D731B1" w:rsidRPr="0065228D">
        <w:rPr>
          <w:rFonts w:ascii="Times New Roman" w:hAnsi="Times New Roman" w:cs="Times New Roman"/>
          <w:sz w:val="24"/>
          <w:szCs w:val="24"/>
        </w:rPr>
        <w:t xml:space="preserve"> </w:t>
      </w:r>
      <w:r w:rsidRPr="0065228D">
        <w:rPr>
          <w:rFonts w:ascii="Times New Roman" w:hAnsi="Times New Roman" w:cs="Times New Roman"/>
          <w:sz w:val="24"/>
          <w:szCs w:val="24"/>
        </w:rPr>
        <w:t xml:space="preserve">that the BNB, LEO, and FTT are the cheapest hedge for REIT, </w:t>
      </w:r>
      <w:r w:rsidR="004A3813" w:rsidRPr="0065228D">
        <w:rPr>
          <w:rFonts w:ascii="Times New Roman" w:hAnsi="Times New Roman" w:cs="Times New Roman"/>
          <w:sz w:val="24"/>
          <w:szCs w:val="24"/>
        </w:rPr>
        <w:t>E</w:t>
      </w:r>
      <w:r w:rsidRPr="0065228D">
        <w:rPr>
          <w:rFonts w:ascii="Times New Roman" w:hAnsi="Times New Roman" w:cs="Times New Roman"/>
          <w:sz w:val="24"/>
          <w:szCs w:val="24"/>
        </w:rPr>
        <w:t xml:space="preserve">quity, and </w:t>
      </w:r>
      <w:r w:rsidR="004A3813" w:rsidRPr="0065228D">
        <w:rPr>
          <w:rFonts w:ascii="Times New Roman" w:hAnsi="Times New Roman" w:cs="Times New Roman"/>
          <w:sz w:val="24"/>
          <w:szCs w:val="24"/>
        </w:rPr>
        <w:t>B</w:t>
      </w:r>
      <w:r w:rsidRPr="0065228D">
        <w:rPr>
          <w:rFonts w:ascii="Times New Roman" w:hAnsi="Times New Roman" w:cs="Times New Roman"/>
          <w:sz w:val="24"/>
          <w:szCs w:val="24"/>
        </w:rPr>
        <w:t xml:space="preserve">ond. Overall, the DEX and CEX tokens are the cheapest </w:t>
      </w:r>
      <w:r w:rsidR="007E459B" w:rsidRPr="0065228D">
        <w:rPr>
          <w:rFonts w:ascii="Times New Roman" w:hAnsi="Times New Roman" w:cs="Times New Roman"/>
          <w:sz w:val="24"/>
          <w:szCs w:val="24"/>
        </w:rPr>
        <w:t xml:space="preserve">options </w:t>
      </w:r>
      <w:r w:rsidRPr="0065228D">
        <w:rPr>
          <w:rFonts w:ascii="Times New Roman" w:hAnsi="Times New Roman" w:cs="Times New Roman"/>
          <w:sz w:val="24"/>
          <w:szCs w:val="24"/>
        </w:rPr>
        <w:t>for</w:t>
      </w:r>
      <w:r w:rsidR="007E459B" w:rsidRPr="0065228D">
        <w:rPr>
          <w:rFonts w:ascii="Times New Roman" w:hAnsi="Times New Roman" w:cs="Times New Roman"/>
          <w:sz w:val="24"/>
          <w:szCs w:val="24"/>
        </w:rPr>
        <w:t xml:space="preserve"> hedging</w:t>
      </w:r>
      <w:r w:rsidRPr="0065228D">
        <w:rPr>
          <w:rFonts w:ascii="Times New Roman" w:hAnsi="Times New Roman" w:cs="Times New Roman"/>
          <w:sz w:val="24"/>
          <w:szCs w:val="24"/>
        </w:rPr>
        <w:t xml:space="preserve"> </w:t>
      </w:r>
      <w:r w:rsidR="004A3813" w:rsidRPr="0065228D">
        <w:rPr>
          <w:rFonts w:ascii="Times New Roman" w:hAnsi="Times New Roman" w:cs="Times New Roman"/>
          <w:sz w:val="24"/>
          <w:szCs w:val="24"/>
        </w:rPr>
        <w:t>G</w:t>
      </w:r>
      <w:r w:rsidRPr="0065228D">
        <w:rPr>
          <w:rFonts w:ascii="Times New Roman" w:hAnsi="Times New Roman" w:cs="Times New Roman"/>
          <w:sz w:val="24"/>
          <w:szCs w:val="24"/>
        </w:rPr>
        <w:t xml:space="preserve">old, </w:t>
      </w:r>
      <w:r w:rsidR="004A3813" w:rsidRPr="0065228D">
        <w:rPr>
          <w:rFonts w:ascii="Times New Roman" w:hAnsi="Times New Roman" w:cs="Times New Roman"/>
          <w:sz w:val="24"/>
          <w:szCs w:val="24"/>
        </w:rPr>
        <w:t>B</w:t>
      </w:r>
      <w:r w:rsidRPr="0065228D">
        <w:rPr>
          <w:rFonts w:ascii="Times New Roman" w:hAnsi="Times New Roman" w:cs="Times New Roman"/>
          <w:sz w:val="24"/>
          <w:szCs w:val="24"/>
        </w:rPr>
        <w:t xml:space="preserve">ond, and </w:t>
      </w:r>
      <w:r w:rsidR="004A3813" w:rsidRPr="0065228D">
        <w:rPr>
          <w:rFonts w:ascii="Times New Roman" w:hAnsi="Times New Roman" w:cs="Times New Roman"/>
          <w:sz w:val="24"/>
          <w:szCs w:val="24"/>
        </w:rPr>
        <w:t>E</w:t>
      </w:r>
      <w:r w:rsidRPr="0065228D">
        <w:rPr>
          <w:rFonts w:ascii="Times New Roman" w:hAnsi="Times New Roman" w:cs="Times New Roman"/>
          <w:sz w:val="24"/>
          <w:szCs w:val="24"/>
        </w:rPr>
        <w:t>quity.</w:t>
      </w:r>
    </w:p>
    <w:p w14:paraId="73FBB6CE" w14:textId="01205D4A" w:rsidR="002A4C86" w:rsidRPr="0065228D" w:rsidRDefault="00D731B1" w:rsidP="00A421A0">
      <w:pPr>
        <w:spacing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lastRenderedPageBreak/>
        <w:t>T</w:t>
      </w:r>
      <w:r w:rsidR="00B82199">
        <w:rPr>
          <w:rFonts w:ascii="Times New Roman" w:hAnsi="Times New Roman" w:cs="Times New Roman"/>
          <w:sz w:val="24"/>
          <w:szCs w:val="24"/>
        </w:rPr>
        <w:t xml:space="preserve">he </w:t>
      </w:r>
      <w:r w:rsidR="002A4C86" w:rsidRPr="0065228D">
        <w:rPr>
          <w:rFonts w:ascii="Times New Roman" w:hAnsi="Times New Roman" w:cs="Times New Roman"/>
          <w:sz w:val="24"/>
          <w:szCs w:val="24"/>
        </w:rPr>
        <w:t>final column of Table 7</w:t>
      </w:r>
      <w:r>
        <w:rPr>
          <w:rFonts w:ascii="Times New Roman" w:hAnsi="Times New Roman" w:cs="Times New Roman"/>
          <w:sz w:val="24"/>
          <w:szCs w:val="24"/>
        </w:rPr>
        <w:t xml:space="preserve"> shows</w:t>
      </w:r>
      <w:r w:rsidR="004A3813" w:rsidRPr="0065228D">
        <w:rPr>
          <w:rFonts w:ascii="Times New Roman" w:hAnsi="Times New Roman" w:cs="Times New Roman"/>
          <w:sz w:val="24"/>
          <w:szCs w:val="24"/>
        </w:rPr>
        <w:t xml:space="preserve"> </w:t>
      </w:r>
      <w:r>
        <w:rPr>
          <w:rFonts w:ascii="Times New Roman" w:hAnsi="Times New Roman" w:cs="Times New Roman"/>
          <w:sz w:val="24"/>
          <w:szCs w:val="24"/>
        </w:rPr>
        <w:t>h</w:t>
      </w:r>
      <w:r w:rsidR="002A4C86" w:rsidRPr="0065228D">
        <w:rPr>
          <w:rFonts w:ascii="Times New Roman" w:hAnsi="Times New Roman" w:cs="Times New Roman"/>
          <w:sz w:val="24"/>
          <w:szCs w:val="24"/>
        </w:rPr>
        <w:t>edging effectiveness (HE)</w:t>
      </w:r>
      <w:r w:rsidR="004A3813" w:rsidRPr="0065228D">
        <w:rPr>
          <w:rFonts w:ascii="Times New Roman" w:hAnsi="Times New Roman" w:cs="Times New Roman"/>
          <w:sz w:val="24"/>
          <w:szCs w:val="24"/>
        </w:rPr>
        <w:t xml:space="preserve"> </w:t>
      </w:r>
      <w:r w:rsidR="00CB6025">
        <w:rPr>
          <w:rFonts w:ascii="Times New Roman" w:hAnsi="Times New Roman" w:cs="Times New Roman"/>
          <w:sz w:val="24"/>
          <w:szCs w:val="24"/>
        </w:rPr>
        <w:t xml:space="preserve">of the selected asset’s pairs. </w:t>
      </w:r>
      <w:r w:rsidR="002A4C86" w:rsidRPr="0065228D">
        <w:rPr>
          <w:rFonts w:ascii="Times New Roman" w:hAnsi="Times New Roman" w:cs="Times New Roman"/>
          <w:sz w:val="24"/>
          <w:szCs w:val="24"/>
          <w:lang w:val="en-GB"/>
        </w:rPr>
        <w:t xml:space="preserve">Among </w:t>
      </w:r>
      <w:r w:rsidR="002A4C86" w:rsidRPr="0065228D">
        <w:rPr>
          <w:rFonts w:ascii="Times New Roman" w:hAnsi="Times New Roman" w:cs="Times New Roman"/>
          <w:sz w:val="24"/>
          <w:szCs w:val="24"/>
        </w:rPr>
        <w:t xml:space="preserve">the </w:t>
      </w:r>
      <w:r w:rsidR="00064F46" w:rsidRPr="0065228D">
        <w:rPr>
          <w:rFonts w:ascii="Times New Roman" w:hAnsi="Times New Roman" w:cs="Times New Roman"/>
          <w:sz w:val="24"/>
          <w:szCs w:val="24"/>
        </w:rPr>
        <w:t>combinations</w:t>
      </w:r>
      <w:r w:rsidR="002A4C86" w:rsidRPr="0065228D">
        <w:rPr>
          <w:rFonts w:ascii="Times New Roman" w:hAnsi="Times New Roman" w:cs="Times New Roman"/>
          <w:sz w:val="24"/>
          <w:szCs w:val="24"/>
        </w:rPr>
        <w:t xml:space="preserve"> of DEX tokens</w:t>
      </w:r>
      <w:r w:rsidR="008E135C">
        <w:rPr>
          <w:rFonts w:ascii="Times New Roman" w:hAnsi="Times New Roman" w:cs="Times New Roman"/>
          <w:sz w:val="24"/>
          <w:szCs w:val="24"/>
        </w:rPr>
        <w:t>–</w:t>
      </w:r>
      <w:r w:rsidR="002A4C86" w:rsidRPr="0065228D">
        <w:rPr>
          <w:rFonts w:ascii="Times New Roman" w:hAnsi="Times New Roman" w:cs="Times New Roman"/>
          <w:sz w:val="24"/>
          <w:szCs w:val="24"/>
        </w:rPr>
        <w:t>other assets,</w:t>
      </w:r>
      <w:r w:rsidR="002A4C86" w:rsidRPr="0065228D">
        <w:rPr>
          <w:rFonts w:ascii="Times New Roman" w:hAnsi="Times New Roman" w:cs="Times New Roman"/>
          <w:sz w:val="24"/>
          <w:szCs w:val="24"/>
          <w:lang w:val="en-GB"/>
        </w:rPr>
        <w:t xml:space="preserve"> the hedge effectiveness is highest between </w:t>
      </w:r>
      <w:r w:rsidR="00037A5A" w:rsidRPr="0065228D">
        <w:rPr>
          <w:rFonts w:ascii="Times New Roman" w:hAnsi="Times New Roman" w:cs="Times New Roman"/>
          <w:sz w:val="24"/>
          <w:szCs w:val="24"/>
        </w:rPr>
        <w:t>Oil</w:t>
      </w:r>
      <w:r w:rsidR="002A4C86" w:rsidRPr="0065228D">
        <w:rPr>
          <w:rFonts w:ascii="Times New Roman" w:hAnsi="Times New Roman" w:cs="Times New Roman"/>
          <w:sz w:val="24"/>
          <w:szCs w:val="24"/>
        </w:rPr>
        <w:t>/RUNE,</w:t>
      </w:r>
      <w:r w:rsidR="002A4C86" w:rsidRPr="0065228D">
        <w:rPr>
          <w:rFonts w:ascii="Times New Roman" w:hAnsi="Times New Roman" w:cs="Times New Roman"/>
          <w:sz w:val="24"/>
          <w:szCs w:val="24"/>
          <w:lang w:val="en-GB"/>
        </w:rPr>
        <w:t xml:space="preserve"> </w:t>
      </w:r>
      <w:r w:rsidR="00037A5A" w:rsidRPr="0065228D">
        <w:rPr>
          <w:rFonts w:ascii="Times New Roman" w:hAnsi="Times New Roman" w:cs="Times New Roman"/>
          <w:sz w:val="24"/>
          <w:szCs w:val="24"/>
          <w:lang w:val="en-GB"/>
        </w:rPr>
        <w:t>Oil</w:t>
      </w:r>
      <w:r w:rsidR="002A4C86" w:rsidRPr="0065228D">
        <w:rPr>
          <w:rFonts w:ascii="Times New Roman" w:hAnsi="Times New Roman" w:cs="Times New Roman"/>
          <w:sz w:val="24"/>
          <w:szCs w:val="24"/>
        </w:rPr>
        <w:t xml:space="preserve">/LRC, </w:t>
      </w:r>
      <w:r w:rsidR="008E135C">
        <w:rPr>
          <w:rFonts w:ascii="Times New Roman" w:hAnsi="Times New Roman" w:cs="Times New Roman"/>
          <w:sz w:val="24"/>
          <w:szCs w:val="24"/>
        </w:rPr>
        <w:t xml:space="preserve">and </w:t>
      </w:r>
      <w:r w:rsidR="00037A5A" w:rsidRPr="0065228D">
        <w:rPr>
          <w:rFonts w:ascii="Times New Roman" w:hAnsi="Times New Roman" w:cs="Times New Roman"/>
          <w:sz w:val="24"/>
          <w:szCs w:val="24"/>
        </w:rPr>
        <w:t>Oil</w:t>
      </w:r>
      <w:r w:rsidR="002A4C86" w:rsidRPr="0065228D">
        <w:rPr>
          <w:rFonts w:ascii="Times New Roman" w:hAnsi="Times New Roman" w:cs="Times New Roman"/>
          <w:sz w:val="24"/>
          <w:szCs w:val="24"/>
        </w:rPr>
        <w:t xml:space="preserve">/GNO </w:t>
      </w:r>
      <w:r w:rsidR="00064F46" w:rsidRPr="0065228D">
        <w:rPr>
          <w:rFonts w:ascii="Times New Roman" w:hAnsi="Times New Roman" w:cs="Times New Roman"/>
          <w:sz w:val="24"/>
          <w:szCs w:val="24"/>
        </w:rPr>
        <w:t>combinations</w:t>
      </w:r>
      <w:r w:rsidR="002A4C86" w:rsidRPr="0065228D">
        <w:rPr>
          <w:rFonts w:ascii="Times New Roman" w:hAnsi="Times New Roman" w:cs="Times New Roman"/>
          <w:sz w:val="24"/>
          <w:szCs w:val="24"/>
        </w:rPr>
        <w:t xml:space="preserve"> </w:t>
      </w:r>
      <w:r w:rsidR="002A4C86" w:rsidRPr="0065228D">
        <w:rPr>
          <w:rFonts w:ascii="Times New Roman" w:hAnsi="Times New Roman" w:cs="Times New Roman"/>
          <w:sz w:val="24"/>
          <w:szCs w:val="24"/>
          <w:lang w:val="en-GB"/>
        </w:rPr>
        <w:t xml:space="preserve">and minimal for the </w:t>
      </w:r>
      <w:r w:rsidR="00064F46" w:rsidRPr="0065228D">
        <w:rPr>
          <w:rFonts w:ascii="Times New Roman" w:hAnsi="Times New Roman" w:cs="Times New Roman"/>
          <w:sz w:val="24"/>
          <w:szCs w:val="24"/>
          <w:lang w:val="en-GB"/>
        </w:rPr>
        <w:t>combinations</w:t>
      </w:r>
      <w:r w:rsidR="002A4C86" w:rsidRPr="0065228D">
        <w:rPr>
          <w:rFonts w:ascii="Times New Roman" w:hAnsi="Times New Roman" w:cs="Times New Roman"/>
          <w:sz w:val="24"/>
          <w:szCs w:val="24"/>
          <w:lang w:val="en-GB"/>
        </w:rPr>
        <w:t xml:space="preserve"> of USD</w:t>
      </w:r>
      <w:r w:rsidR="00CB6025">
        <w:rPr>
          <w:rFonts w:ascii="Times New Roman" w:hAnsi="Times New Roman" w:cs="Times New Roman"/>
          <w:sz w:val="24"/>
          <w:szCs w:val="24"/>
          <w:lang w:val="en-GB"/>
        </w:rPr>
        <w:t xml:space="preserve"> </w:t>
      </w:r>
      <w:r w:rsidR="002A4C86" w:rsidRPr="0065228D">
        <w:rPr>
          <w:rFonts w:ascii="Times New Roman" w:hAnsi="Times New Roman" w:cs="Times New Roman"/>
          <w:sz w:val="24"/>
          <w:szCs w:val="24"/>
          <w:lang w:val="en-GB"/>
        </w:rPr>
        <w:t xml:space="preserve">Index/LRC, </w:t>
      </w:r>
      <w:bookmarkStart w:id="30" w:name="_Hlk122260414"/>
      <w:r w:rsidR="002A4C86" w:rsidRPr="0065228D">
        <w:rPr>
          <w:rFonts w:ascii="Times New Roman" w:hAnsi="Times New Roman" w:cs="Times New Roman"/>
          <w:sz w:val="24"/>
          <w:szCs w:val="24"/>
        </w:rPr>
        <w:t>Gold/GNO</w:t>
      </w:r>
      <w:bookmarkEnd w:id="30"/>
      <w:r w:rsidR="002A4C86" w:rsidRPr="0065228D">
        <w:rPr>
          <w:rFonts w:ascii="Times New Roman" w:hAnsi="Times New Roman" w:cs="Times New Roman"/>
          <w:sz w:val="24"/>
          <w:szCs w:val="24"/>
        </w:rPr>
        <w:t>, and USD</w:t>
      </w:r>
      <w:r w:rsidR="00CB6025">
        <w:rPr>
          <w:rFonts w:ascii="Times New Roman" w:hAnsi="Times New Roman" w:cs="Times New Roman"/>
          <w:sz w:val="24"/>
          <w:szCs w:val="24"/>
        </w:rPr>
        <w:t xml:space="preserve"> </w:t>
      </w:r>
      <w:r w:rsidR="002A4C86" w:rsidRPr="0065228D">
        <w:rPr>
          <w:rFonts w:ascii="Times New Roman" w:hAnsi="Times New Roman" w:cs="Times New Roman"/>
          <w:sz w:val="24"/>
          <w:szCs w:val="24"/>
        </w:rPr>
        <w:t xml:space="preserve">Index/GNO. Similarly, </w:t>
      </w:r>
      <w:r w:rsidR="008E135C">
        <w:rPr>
          <w:rFonts w:ascii="Times New Roman" w:hAnsi="Times New Roman" w:cs="Times New Roman"/>
          <w:sz w:val="24"/>
          <w:szCs w:val="24"/>
          <w:lang w:val="en-GB"/>
        </w:rPr>
        <w:t>a</w:t>
      </w:r>
      <w:r w:rsidR="002A4C86" w:rsidRPr="0065228D">
        <w:rPr>
          <w:rFonts w:ascii="Times New Roman" w:hAnsi="Times New Roman" w:cs="Times New Roman"/>
          <w:sz w:val="24"/>
          <w:szCs w:val="24"/>
          <w:lang w:val="en-GB"/>
        </w:rPr>
        <w:t xml:space="preserve">mong </w:t>
      </w:r>
      <w:r w:rsidR="002A4C86" w:rsidRPr="0065228D">
        <w:rPr>
          <w:rFonts w:ascii="Times New Roman" w:hAnsi="Times New Roman" w:cs="Times New Roman"/>
          <w:sz w:val="24"/>
          <w:szCs w:val="24"/>
        </w:rPr>
        <w:t xml:space="preserve">the </w:t>
      </w:r>
      <w:r w:rsidR="00064F46" w:rsidRPr="0065228D">
        <w:rPr>
          <w:rFonts w:ascii="Times New Roman" w:hAnsi="Times New Roman" w:cs="Times New Roman"/>
          <w:sz w:val="24"/>
          <w:szCs w:val="24"/>
        </w:rPr>
        <w:t>combinations</w:t>
      </w:r>
      <w:r w:rsidR="002A4C86" w:rsidRPr="0065228D">
        <w:rPr>
          <w:rFonts w:ascii="Times New Roman" w:hAnsi="Times New Roman" w:cs="Times New Roman"/>
          <w:sz w:val="24"/>
          <w:szCs w:val="24"/>
        </w:rPr>
        <w:t xml:space="preserve"> of CEX tokens</w:t>
      </w:r>
      <w:r w:rsidR="008E135C">
        <w:rPr>
          <w:rFonts w:ascii="Times New Roman" w:hAnsi="Times New Roman" w:cs="Times New Roman"/>
          <w:sz w:val="24"/>
          <w:szCs w:val="24"/>
        </w:rPr>
        <w:t>–</w:t>
      </w:r>
      <w:r w:rsidR="002A4C86" w:rsidRPr="0065228D">
        <w:rPr>
          <w:rFonts w:ascii="Times New Roman" w:hAnsi="Times New Roman" w:cs="Times New Roman"/>
          <w:sz w:val="24"/>
          <w:szCs w:val="24"/>
        </w:rPr>
        <w:t>other assets,</w:t>
      </w:r>
      <w:r w:rsidR="002A4C86" w:rsidRPr="0065228D">
        <w:rPr>
          <w:rFonts w:ascii="Times New Roman" w:hAnsi="Times New Roman" w:cs="Times New Roman"/>
          <w:sz w:val="24"/>
          <w:szCs w:val="24"/>
          <w:lang w:val="en-GB"/>
        </w:rPr>
        <w:t xml:space="preserve"> the hedge effectiveness is highest between </w:t>
      </w:r>
      <w:r w:rsidR="00037A5A" w:rsidRPr="0065228D">
        <w:rPr>
          <w:rFonts w:ascii="Times New Roman" w:hAnsi="Times New Roman" w:cs="Times New Roman"/>
          <w:sz w:val="24"/>
          <w:szCs w:val="24"/>
        </w:rPr>
        <w:t>Oil</w:t>
      </w:r>
      <w:r w:rsidR="002A4C86" w:rsidRPr="0065228D">
        <w:rPr>
          <w:rFonts w:ascii="Times New Roman" w:hAnsi="Times New Roman" w:cs="Times New Roman"/>
          <w:sz w:val="24"/>
          <w:szCs w:val="24"/>
        </w:rPr>
        <w:t>/BNB,</w:t>
      </w:r>
      <w:r w:rsidR="002A4C86" w:rsidRPr="0065228D">
        <w:rPr>
          <w:rFonts w:ascii="Times New Roman" w:hAnsi="Times New Roman" w:cs="Times New Roman"/>
          <w:sz w:val="24"/>
          <w:szCs w:val="24"/>
          <w:lang w:val="en-GB"/>
        </w:rPr>
        <w:t xml:space="preserve"> </w:t>
      </w:r>
      <w:r w:rsidR="00037A5A" w:rsidRPr="0065228D">
        <w:rPr>
          <w:rFonts w:ascii="Times New Roman" w:hAnsi="Times New Roman" w:cs="Times New Roman"/>
          <w:sz w:val="24"/>
          <w:szCs w:val="24"/>
        </w:rPr>
        <w:t>Oil</w:t>
      </w:r>
      <w:r w:rsidR="002A4C86" w:rsidRPr="0065228D">
        <w:rPr>
          <w:rFonts w:ascii="Times New Roman" w:hAnsi="Times New Roman" w:cs="Times New Roman"/>
          <w:sz w:val="24"/>
          <w:szCs w:val="24"/>
        </w:rPr>
        <w:t>/LEO,</w:t>
      </w:r>
      <w:r w:rsidR="008E135C">
        <w:rPr>
          <w:rFonts w:ascii="Times New Roman" w:hAnsi="Times New Roman" w:cs="Times New Roman"/>
          <w:sz w:val="24"/>
          <w:szCs w:val="24"/>
        </w:rPr>
        <w:t xml:space="preserve"> and</w:t>
      </w:r>
      <w:r w:rsidR="002A4C86" w:rsidRPr="0065228D">
        <w:rPr>
          <w:rFonts w:ascii="Times New Roman" w:hAnsi="Times New Roman" w:cs="Times New Roman"/>
          <w:sz w:val="24"/>
          <w:szCs w:val="24"/>
        </w:rPr>
        <w:t xml:space="preserve"> </w:t>
      </w:r>
      <w:r w:rsidR="00037A5A" w:rsidRPr="0065228D">
        <w:rPr>
          <w:rFonts w:ascii="Times New Roman" w:hAnsi="Times New Roman" w:cs="Times New Roman"/>
          <w:sz w:val="24"/>
          <w:szCs w:val="24"/>
        </w:rPr>
        <w:t>Oil</w:t>
      </w:r>
      <w:r w:rsidR="002A4C86" w:rsidRPr="0065228D">
        <w:rPr>
          <w:rFonts w:ascii="Times New Roman" w:hAnsi="Times New Roman" w:cs="Times New Roman"/>
          <w:sz w:val="24"/>
          <w:szCs w:val="24"/>
        </w:rPr>
        <w:t xml:space="preserve">/FTT </w:t>
      </w:r>
      <w:r w:rsidR="00064F46" w:rsidRPr="0065228D">
        <w:rPr>
          <w:rFonts w:ascii="Times New Roman" w:hAnsi="Times New Roman" w:cs="Times New Roman"/>
          <w:sz w:val="24"/>
          <w:szCs w:val="24"/>
        </w:rPr>
        <w:t>combinations</w:t>
      </w:r>
      <w:r w:rsidR="002A4C86" w:rsidRPr="0065228D">
        <w:rPr>
          <w:rFonts w:ascii="Times New Roman" w:hAnsi="Times New Roman" w:cs="Times New Roman"/>
          <w:sz w:val="24"/>
          <w:szCs w:val="24"/>
        </w:rPr>
        <w:t xml:space="preserve"> </w:t>
      </w:r>
      <w:r w:rsidR="002A4C86" w:rsidRPr="0065228D">
        <w:rPr>
          <w:rFonts w:ascii="Times New Roman" w:hAnsi="Times New Roman" w:cs="Times New Roman"/>
          <w:sz w:val="24"/>
          <w:szCs w:val="24"/>
          <w:lang w:val="en-GB"/>
        </w:rPr>
        <w:t xml:space="preserve">and minimal for the </w:t>
      </w:r>
      <w:r w:rsidR="00064F46" w:rsidRPr="0065228D">
        <w:rPr>
          <w:rFonts w:ascii="Times New Roman" w:hAnsi="Times New Roman" w:cs="Times New Roman"/>
          <w:sz w:val="24"/>
          <w:szCs w:val="24"/>
          <w:lang w:val="en-GB"/>
        </w:rPr>
        <w:t>combinations</w:t>
      </w:r>
      <w:r w:rsidR="002A4C86" w:rsidRPr="0065228D">
        <w:rPr>
          <w:rFonts w:ascii="Times New Roman" w:hAnsi="Times New Roman" w:cs="Times New Roman"/>
          <w:sz w:val="24"/>
          <w:szCs w:val="24"/>
          <w:lang w:val="en-GB"/>
        </w:rPr>
        <w:t xml:space="preserve"> of </w:t>
      </w:r>
      <w:r w:rsidR="002A4C86" w:rsidRPr="0065228D">
        <w:rPr>
          <w:rFonts w:ascii="Times New Roman" w:hAnsi="Times New Roman" w:cs="Times New Roman"/>
          <w:sz w:val="24"/>
          <w:szCs w:val="24"/>
        </w:rPr>
        <w:t>Gold/BNB,</w:t>
      </w:r>
      <w:r w:rsidR="002A4C86" w:rsidRPr="0065228D">
        <w:rPr>
          <w:rFonts w:ascii="Times New Roman" w:hAnsi="Times New Roman" w:cs="Times New Roman"/>
          <w:sz w:val="24"/>
          <w:szCs w:val="24"/>
          <w:lang w:val="en-GB"/>
        </w:rPr>
        <w:t xml:space="preserve"> USD</w:t>
      </w:r>
      <w:r w:rsidR="00CB6025">
        <w:rPr>
          <w:rFonts w:ascii="Times New Roman" w:hAnsi="Times New Roman" w:cs="Times New Roman"/>
          <w:sz w:val="24"/>
          <w:szCs w:val="24"/>
          <w:lang w:val="en-GB"/>
        </w:rPr>
        <w:t xml:space="preserve"> </w:t>
      </w:r>
      <w:r w:rsidR="002A4C86" w:rsidRPr="0065228D">
        <w:rPr>
          <w:rFonts w:ascii="Times New Roman" w:hAnsi="Times New Roman" w:cs="Times New Roman"/>
          <w:sz w:val="24"/>
          <w:szCs w:val="24"/>
          <w:lang w:val="en-GB"/>
        </w:rPr>
        <w:t>Index/BNB,</w:t>
      </w:r>
      <w:r w:rsidR="002A4C86" w:rsidRPr="0065228D">
        <w:rPr>
          <w:rFonts w:ascii="Times New Roman" w:hAnsi="Times New Roman" w:cs="Times New Roman"/>
          <w:sz w:val="24"/>
          <w:szCs w:val="24"/>
        </w:rPr>
        <w:t xml:space="preserve"> USD</w:t>
      </w:r>
      <w:r w:rsidR="00CB6025">
        <w:rPr>
          <w:rFonts w:ascii="Times New Roman" w:hAnsi="Times New Roman" w:cs="Times New Roman"/>
          <w:sz w:val="24"/>
          <w:szCs w:val="24"/>
        </w:rPr>
        <w:t xml:space="preserve"> </w:t>
      </w:r>
      <w:r w:rsidR="002A4C86" w:rsidRPr="0065228D">
        <w:rPr>
          <w:rFonts w:ascii="Times New Roman" w:hAnsi="Times New Roman" w:cs="Times New Roman"/>
          <w:sz w:val="24"/>
          <w:szCs w:val="24"/>
        </w:rPr>
        <w:t>Index/LEO, and USD</w:t>
      </w:r>
      <w:r w:rsidR="00CB6025">
        <w:rPr>
          <w:rFonts w:ascii="Times New Roman" w:hAnsi="Times New Roman" w:cs="Times New Roman"/>
          <w:sz w:val="24"/>
          <w:szCs w:val="24"/>
        </w:rPr>
        <w:t xml:space="preserve"> </w:t>
      </w:r>
      <w:r w:rsidR="002A4C86" w:rsidRPr="0065228D">
        <w:rPr>
          <w:rFonts w:ascii="Times New Roman" w:hAnsi="Times New Roman" w:cs="Times New Roman"/>
          <w:sz w:val="24"/>
          <w:szCs w:val="24"/>
        </w:rPr>
        <w:t>Index/FTT.</w:t>
      </w:r>
    </w:p>
    <w:p w14:paraId="6F20ACCE" w14:textId="6AC1FB61" w:rsidR="00CB6025" w:rsidRDefault="002A4C86" w:rsidP="000054C4">
      <w:pPr>
        <w:spacing w:line="360" w:lineRule="auto"/>
        <w:ind w:firstLine="720"/>
        <w:contextualSpacing/>
        <w:jc w:val="both"/>
        <w:rPr>
          <w:rFonts w:ascii="Times New Roman" w:hAnsi="Times New Roman" w:cs="Times New Roman"/>
          <w:sz w:val="24"/>
          <w:szCs w:val="24"/>
          <w:lang w:val="en-GB"/>
        </w:rPr>
      </w:pPr>
      <w:r w:rsidRPr="0065228D">
        <w:rPr>
          <w:rFonts w:ascii="Times New Roman" w:hAnsi="Times New Roman" w:cs="Times New Roman"/>
          <w:sz w:val="24"/>
          <w:szCs w:val="24"/>
        </w:rPr>
        <w:t xml:space="preserve">These findings have important ramifications for investors who want to safeguard themselves from the spillover effects of Gold, </w:t>
      </w:r>
      <w:r w:rsidR="00037A5A" w:rsidRPr="0065228D">
        <w:rPr>
          <w:rFonts w:ascii="Times New Roman" w:hAnsi="Times New Roman" w:cs="Times New Roman"/>
          <w:sz w:val="24"/>
          <w:szCs w:val="24"/>
        </w:rPr>
        <w:t>Oil</w:t>
      </w:r>
      <w:r w:rsidRPr="0065228D">
        <w:rPr>
          <w:rFonts w:ascii="Times New Roman" w:hAnsi="Times New Roman" w:cs="Times New Roman"/>
          <w:sz w:val="24"/>
          <w:szCs w:val="24"/>
        </w:rPr>
        <w:t>, B</w:t>
      </w:r>
      <w:r w:rsidR="004A3813" w:rsidRPr="0065228D">
        <w:rPr>
          <w:rFonts w:ascii="Times New Roman" w:hAnsi="Times New Roman" w:cs="Times New Roman"/>
          <w:sz w:val="24"/>
          <w:szCs w:val="24"/>
        </w:rPr>
        <w:t>TC</w:t>
      </w:r>
      <w:r w:rsidRPr="0065228D">
        <w:rPr>
          <w:rFonts w:ascii="Times New Roman" w:hAnsi="Times New Roman" w:cs="Times New Roman"/>
          <w:sz w:val="24"/>
          <w:szCs w:val="24"/>
        </w:rPr>
        <w:t xml:space="preserve">, REITs, </w:t>
      </w:r>
      <w:r w:rsidR="004A3813" w:rsidRPr="0065228D">
        <w:rPr>
          <w:rFonts w:ascii="Times New Roman" w:hAnsi="Times New Roman" w:cs="Times New Roman"/>
          <w:sz w:val="24"/>
          <w:szCs w:val="24"/>
        </w:rPr>
        <w:t>Equity</w:t>
      </w:r>
      <w:r w:rsidRPr="0065228D">
        <w:rPr>
          <w:rFonts w:ascii="Times New Roman" w:hAnsi="Times New Roman" w:cs="Times New Roman"/>
          <w:sz w:val="24"/>
          <w:szCs w:val="24"/>
        </w:rPr>
        <w:t xml:space="preserve">, </w:t>
      </w:r>
      <w:r w:rsidR="004A3813" w:rsidRPr="0065228D">
        <w:rPr>
          <w:rFonts w:ascii="Times New Roman" w:hAnsi="Times New Roman" w:cs="Times New Roman"/>
          <w:sz w:val="24"/>
          <w:szCs w:val="24"/>
        </w:rPr>
        <w:t>B</w:t>
      </w:r>
      <w:r w:rsidRPr="0065228D">
        <w:rPr>
          <w:rFonts w:ascii="Times New Roman" w:hAnsi="Times New Roman" w:cs="Times New Roman"/>
          <w:sz w:val="24"/>
          <w:szCs w:val="24"/>
        </w:rPr>
        <w:t>onds, and the US dollar index.</w:t>
      </w:r>
      <w:r w:rsidRPr="0065228D">
        <w:rPr>
          <w:rFonts w:ascii="Times New Roman" w:eastAsia="Calibri" w:hAnsi="Times New Roman" w:cs="Times New Roman"/>
          <w:sz w:val="24"/>
          <w:szCs w:val="24"/>
          <w:lang w:val="en-NZ"/>
        </w:rPr>
        <w:t xml:space="preserve"> </w:t>
      </w:r>
      <w:r w:rsidRPr="0065228D">
        <w:rPr>
          <w:rFonts w:ascii="Times New Roman" w:hAnsi="Times New Roman" w:cs="Times New Roman"/>
          <w:sz w:val="24"/>
          <w:szCs w:val="24"/>
          <w:lang w:val="en-NZ"/>
        </w:rPr>
        <w:t xml:space="preserve">Our, results suggest that the </w:t>
      </w:r>
      <w:bookmarkStart w:id="31" w:name="_Hlk122264616"/>
      <w:r w:rsidRPr="0065228D">
        <w:rPr>
          <w:rFonts w:ascii="Times New Roman" w:hAnsi="Times New Roman" w:cs="Times New Roman"/>
          <w:sz w:val="24"/>
          <w:szCs w:val="24"/>
          <w:lang w:val="en-NZ"/>
        </w:rPr>
        <w:t xml:space="preserve">DEX and CEX tokens </w:t>
      </w:r>
      <w:bookmarkEnd w:id="31"/>
      <w:r w:rsidRPr="0065228D">
        <w:rPr>
          <w:rFonts w:ascii="Times New Roman" w:hAnsi="Times New Roman" w:cs="Times New Roman"/>
          <w:sz w:val="24"/>
          <w:szCs w:val="24"/>
          <w:lang w:val="en-NZ"/>
        </w:rPr>
        <w:t xml:space="preserve">are the most preferable hedge for </w:t>
      </w:r>
      <w:r w:rsidR="00037A5A" w:rsidRPr="0065228D">
        <w:rPr>
          <w:rFonts w:ascii="Times New Roman" w:hAnsi="Times New Roman" w:cs="Times New Roman"/>
          <w:sz w:val="24"/>
          <w:szCs w:val="24"/>
          <w:lang w:val="en-NZ"/>
        </w:rPr>
        <w:t>Oil</w:t>
      </w:r>
      <w:r w:rsidR="008E135C">
        <w:rPr>
          <w:rFonts w:ascii="Times New Roman" w:hAnsi="Times New Roman" w:cs="Times New Roman"/>
          <w:sz w:val="24"/>
          <w:szCs w:val="24"/>
          <w:lang w:val="en-NZ"/>
        </w:rPr>
        <w:t>,</w:t>
      </w:r>
      <w:r w:rsidRPr="0065228D">
        <w:rPr>
          <w:rFonts w:ascii="Times New Roman" w:hAnsi="Times New Roman" w:cs="Times New Roman"/>
          <w:sz w:val="24"/>
          <w:szCs w:val="24"/>
          <w:lang w:val="en-NZ"/>
        </w:rPr>
        <w:t xml:space="preserve"> </w:t>
      </w:r>
      <w:r w:rsidR="008E135C">
        <w:rPr>
          <w:rFonts w:ascii="Times New Roman" w:hAnsi="Times New Roman" w:cs="Times New Roman"/>
          <w:sz w:val="24"/>
          <w:szCs w:val="24"/>
          <w:lang w:val="en-NZ"/>
        </w:rPr>
        <w:t>w</w:t>
      </w:r>
      <w:r w:rsidRPr="0065228D">
        <w:rPr>
          <w:rFonts w:ascii="Times New Roman" w:hAnsi="Times New Roman" w:cs="Times New Roman"/>
          <w:sz w:val="24"/>
          <w:szCs w:val="24"/>
          <w:lang w:val="en-NZ"/>
        </w:rPr>
        <w:t xml:space="preserve">hereas </w:t>
      </w:r>
      <w:r w:rsidR="00DB4327">
        <w:rPr>
          <w:rFonts w:ascii="Times New Roman" w:hAnsi="Times New Roman" w:cs="Times New Roman"/>
          <w:sz w:val="24"/>
          <w:szCs w:val="24"/>
          <w:lang w:val="en-NZ"/>
        </w:rPr>
        <w:t xml:space="preserve">the </w:t>
      </w:r>
      <w:r w:rsidRPr="0065228D">
        <w:rPr>
          <w:rFonts w:ascii="Times New Roman" w:hAnsi="Times New Roman" w:cs="Times New Roman"/>
          <w:sz w:val="24"/>
          <w:szCs w:val="24"/>
          <w:lang w:val="en-NZ"/>
        </w:rPr>
        <w:t xml:space="preserve">DEX and CEX tokens provide </w:t>
      </w:r>
      <w:r w:rsidR="008E135C">
        <w:rPr>
          <w:rFonts w:ascii="Times New Roman" w:hAnsi="Times New Roman" w:cs="Times New Roman"/>
          <w:sz w:val="24"/>
          <w:szCs w:val="24"/>
          <w:lang w:val="en-NZ"/>
        </w:rPr>
        <w:t xml:space="preserve">the </w:t>
      </w:r>
      <w:r w:rsidRPr="0065228D">
        <w:rPr>
          <w:rFonts w:ascii="Times New Roman" w:hAnsi="Times New Roman" w:cs="Times New Roman"/>
          <w:sz w:val="24"/>
          <w:szCs w:val="24"/>
          <w:lang w:val="en-NZ"/>
        </w:rPr>
        <w:t>least possible hedging opportunities to the</w:t>
      </w:r>
      <w:r w:rsidRPr="0065228D">
        <w:rPr>
          <w:rFonts w:ascii="Times New Roman" w:hAnsi="Times New Roman" w:cs="Times New Roman"/>
          <w:sz w:val="24"/>
          <w:szCs w:val="24"/>
          <w:lang w:val="en-GB"/>
        </w:rPr>
        <w:t xml:space="preserve"> investors of Gold and </w:t>
      </w:r>
      <w:r w:rsidR="00DB4327">
        <w:rPr>
          <w:rFonts w:ascii="Times New Roman" w:hAnsi="Times New Roman" w:cs="Times New Roman"/>
          <w:sz w:val="24"/>
          <w:szCs w:val="24"/>
          <w:lang w:val="en-GB"/>
        </w:rPr>
        <w:t xml:space="preserve">the </w:t>
      </w:r>
      <w:r w:rsidRPr="0065228D">
        <w:rPr>
          <w:rFonts w:ascii="Times New Roman" w:hAnsi="Times New Roman" w:cs="Times New Roman"/>
          <w:sz w:val="24"/>
          <w:szCs w:val="24"/>
          <w:lang w:val="en-GB"/>
        </w:rPr>
        <w:t>US</w:t>
      </w:r>
      <w:r w:rsidR="00CB6025">
        <w:rPr>
          <w:rFonts w:ascii="Times New Roman" w:hAnsi="Times New Roman" w:cs="Times New Roman"/>
          <w:sz w:val="24"/>
          <w:szCs w:val="24"/>
          <w:lang w:val="en-GB"/>
        </w:rPr>
        <w:t>D</w:t>
      </w:r>
      <w:r w:rsidR="008E135C">
        <w:rPr>
          <w:rFonts w:ascii="Times New Roman" w:hAnsi="Times New Roman" w:cs="Times New Roman"/>
          <w:sz w:val="24"/>
          <w:szCs w:val="24"/>
          <w:lang w:val="en-GB"/>
        </w:rPr>
        <w:t xml:space="preserve"> </w:t>
      </w:r>
      <w:r w:rsidR="000054C4">
        <w:rPr>
          <w:rFonts w:ascii="Times New Roman" w:hAnsi="Times New Roman" w:cs="Times New Roman"/>
          <w:sz w:val="24"/>
          <w:szCs w:val="24"/>
          <w:lang w:val="en-GB"/>
        </w:rPr>
        <w:t>index.</w:t>
      </w:r>
    </w:p>
    <w:p w14:paraId="17202671" w14:textId="77777777" w:rsidR="00531153" w:rsidRDefault="00531153" w:rsidP="000054C4">
      <w:pPr>
        <w:spacing w:line="360" w:lineRule="auto"/>
        <w:ind w:firstLine="720"/>
        <w:contextualSpacing/>
        <w:jc w:val="both"/>
        <w:rPr>
          <w:rFonts w:ascii="Times New Roman" w:hAnsi="Times New Roman" w:cs="Times New Roman"/>
          <w:sz w:val="24"/>
          <w:szCs w:val="24"/>
          <w:lang w:val="en-GB"/>
        </w:rPr>
      </w:pPr>
    </w:p>
    <w:p w14:paraId="11C1A350" w14:textId="45E9EFF5" w:rsidR="002A4C86" w:rsidRPr="0065228D" w:rsidRDefault="002A4C86" w:rsidP="00C94F54">
      <w:pPr>
        <w:numPr>
          <w:ilvl w:val="0"/>
          <w:numId w:val="10"/>
        </w:numPr>
        <w:spacing w:line="360" w:lineRule="auto"/>
        <w:contextualSpacing/>
        <w:jc w:val="both"/>
        <w:rPr>
          <w:rFonts w:ascii="Times New Roman" w:hAnsi="Times New Roman" w:cs="Times New Roman"/>
          <w:sz w:val="24"/>
          <w:szCs w:val="24"/>
        </w:rPr>
      </w:pPr>
      <w:r w:rsidRPr="0065228D">
        <w:rPr>
          <w:rFonts w:ascii="Times New Roman" w:eastAsia="Calibri" w:hAnsi="Times New Roman" w:cs="Times New Roman"/>
          <w:b/>
          <w:bCs/>
          <w:sz w:val="24"/>
          <w:szCs w:val="24"/>
        </w:rPr>
        <w:t>Conclusion</w:t>
      </w:r>
    </w:p>
    <w:p w14:paraId="7F1BD774" w14:textId="77777777" w:rsidR="004F2FC3" w:rsidRPr="0065228D" w:rsidRDefault="004F2FC3" w:rsidP="00F84F21">
      <w:pPr>
        <w:spacing w:line="360" w:lineRule="auto"/>
        <w:contextualSpacing/>
        <w:jc w:val="both"/>
      </w:pPr>
    </w:p>
    <w:p w14:paraId="14908632" w14:textId="103DE52D" w:rsidR="006E5FA0" w:rsidRDefault="007B0015" w:rsidP="00F84F21">
      <w:pPr>
        <w:spacing w:line="360" w:lineRule="auto"/>
        <w:contextualSpacing/>
        <w:jc w:val="both"/>
        <w:rPr>
          <w:rFonts w:ascii="Times New Roman" w:hAnsi="Times New Roman" w:cs="Times New Roman"/>
          <w:sz w:val="24"/>
          <w:szCs w:val="24"/>
        </w:rPr>
      </w:pPr>
      <w:bookmarkStart w:id="32" w:name="_Hlk122808475"/>
      <w:r>
        <w:rPr>
          <w:rFonts w:ascii="Times New Roman" w:hAnsi="Times New Roman" w:cs="Times New Roman"/>
          <w:sz w:val="24"/>
          <w:szCs w:val="24"/>
        </w:rPr>
        <w:t xml:space="preserve">This paper employs </w:t>
      </w:r>
      <w:r w:rsidR="008E135C">
        <w:rPr>
          <w:rFonts w:ascii="Times New Roman" w:hAnsi="Times New Roman" w:cs="Times New Roman"/>
          <w:sz w:val="24"/>
          <w:szCs w:val="24"/>
        </w:rPr>
        <w:t xml:space="preserve">a </w:t>
      </w:r>
      <w:r>
        <w:rPr>
          <w:rFonts w:ascii="Times New Roman" w:hAnsi="Times New Roman" w:cs="Times New Roman"/>
          <w:sz w:val="24"/>
          <w:szCs w:val="24"/>
        </w:rPr>
        <w:t xml:space="preserve">quantile connectedness approach to examine the relationships between CEXs and DEX tokens with other asset classes. </w:t>
      </w:r>
      <w:r w:rsidR="004F2FC3" w:rsidRPr="0065228D">
        <w:rPr>
          <w:rFonts w:ascii="Times New Roman" w:hAnsi="Times New Roman" w:cs="Times New Roman"/>
          <w:sz w:val="24"/>
          <w:szCs w:val="24"/>
        </w:rPr>
        <w:t xml:space="preserve">According to our findings, </w:t>
      </w:r>
      <w:r w:rsidR="00C84876" w:rsidRPr="0065228D">
        <w:rPr>
          <w:rFonts w:ascii="Times New Roman" w:hAnsi="Times New Roman" w:cs="Times New Roman"/>
          <w:sz w:val="24"/>
          <w:szCs w:val="24"/>
        </w:rPr>
        <w:t xml:space="preserve">in </w:t>
      </w:r>
      <w:r w:rsidR="008E135C">
        <w:rPr>
          <w:rFonts w:ascii="Times New Roman" w:hAnsi="Times New Roman" w:cs="Times New Roman"/>
          <w:sz w:val="24"/>
          <w:szCs w:val="24"/>
        </w:rPr>
        <w:t xml:space="preserve">the </w:t>
      </w:r>
      <w:r w:rsidR="00C84876" w:rsidRPr="0065228D">
        <w:rPr>
          <w:rFonts w:ascii="Times New Roman" w:hAnsi="Times New Roman" w:cs="Times New Roman"/>
          <w:sz w:val="24"/>
          <w:szCs w:val="24"/>
        </w:rPr>
        <w:t xml:space="preserve">case of </w:t>
      </w:r>
      <w:r w:rsidR="008E135C">
        <w:rPr>
          <w:rFonts w:ascii="Times New Roman" w:hAnsi="Times New Roman" w:cs="Times New Roman"/>
          <w:sz w:val="24"/>
          <w:szCs w:val="24"/>
        </w:rPr>
        <w:t xml:space="preserve">the </w:t>
      </w:r>
      <w:r w:rsidR="004F2FC3" w:rsidRPr="0065228D">
        <w:rPr>
          <w:rFonts w:ascii="Times New Roman" w:hAnsi="Times New Roman" w:cs="Times New Roman"/>
          <w:sz w:val="24"/>
          <w:szCs w:val="24"/>
        </w:rPr>
        <w:t>lower</w:t>
      </w:r>
      <w:r w:rsidR="00C84876" w:rsidRPr="0065228D">
        <w:rPr>
          <w:rFonts w:ascii="Times New Roman" w:hAnsi="Times New Roman" w:cs="Times New Roman"/>
          <w:sz w:val="24"/>
          <w:szCs w:val="24"/>
        </w:rPr>
        <w:t xml:space="preserve"> extreme</w:t>
      </w:r>
      <w:r w:rsidR="004F2FC3" w:rsidRPr="0065228D">
        <w:rPr>
          <w:rFonts w:ascii="Times New Roman" w:hAnsi="Times New Roman" w:cs="Times New Roman"/>
          <w:sz w:val="24"/>
          <w:szCs w:val="24"/>
        </w:rPr>
        <w:t xml:space="preserve"> quantile, the DEX and CEX tokens are </w:t>
      </w:r>
      <w:r w:rsidR="008E135C">
        <w:rPr>
          <w:rFonts w:ascii="Times New Roman" w:hAnsi="Times New Roman" w:cs="Times New Roman"/>
          <w:sz w:val="24"/>
          <w:szCs w:val="24"/>
        </w:rPr>
        <w:t xml:space="preserve">the </w:t>
      </w:r>
      <w:r>
        <w:rPr>
          <w:rFonts w:ascii="Times New Roman" w:hAnsi="Times New Roman" w:cs="Times New Roman"/>
          <w:sz w:val="24"/>
          <w:szCs w:val="24"/>
        </w:rPr>
        <w:t>main</w:t>
      </w:r>
      <w:r w:rsidR="004F2FC3" w:rsidRPr="0065228D">
        <w:rPr>
          <w:rFonts w:ascii="Times New Roman" w:hAnsi="Times New Roman" w:cs="Times New Roman"/>
          <w:sz w:val="24"/>
          <w:szCs w:val="24"/>
        </w:rPr>
        <w:t xml:space="preserve"> </w:t>
      </w:r>
      <w:r>
        <w:rPr>
          <w:rFonts w:ascii="Times New Roman" w:hAnsi="Times New Roman" w:cs="Times New Roman"/>
          <w:sz w:val="24"/>
          <w:szCs w:val="24"/>
        </w:rPr>
        <w:t>recipients of spillovers</w:t>
      </w:r>
      <w:r w:rsidR="004F2FC3" w:rsidRPr="0065228D">
        <w:rPr>
          <w:rFonts w:ascii="Times New Roman" w:hAnsi="Times New Roman" w:cs="Times New Roman"/>
          <w:sz w:val="24"/>
          <w:szCs w:val="24"/>
        </w:rPr>
        <w:t xml:space="preserve">, whereas Gold, </w:t>
      </w:r>
      <w:r w:rsidR="0032685F">
        <w:rPr>
          <w:rFonts w:ascii="Times New Roman" w:hAnsi="Times New Roman" w:cs="Times New Roman"/>
          <w:sz w:val="24"/>
          <w:szCs w:val="24"/>
        </w:rPr>
        <w:t>O</w:t>
      </w:r>
      <w:r w:rsidR="00037A5A" w:rsidRPr="0065228D">
        <w:rPr>
          <w:rFonts w:ascii="Times New Roman" w:hAnsi="Times New Roman" w:cs="Times New Roman"/>
          <w:sz w:val="24"/>
          <w:szCs w:val="24"/>
        </w:rPr>
        <w:t>il</w:t>
      </w:r>
      <w:r w:rsidR="004F2FC3" w:rsidRPr="0065228D">
        <w:rPr>
          <w:rFonts w:ascii="Times New Roman" w:hAnsi="Times New Roman" w:cs="Times New Roman"/>
          <w:sz w:val="24"/>
          <w:szCs w:val="24"/>
        </w:rPr>
        <w:t xml:space="preserve">, Bitcoin, REITs, stocks, bonds, and the US dollar index are the primary transmitters. This demonstrates the propensity of investors to gravitate toward quality during exceptionally bad market conditions. </w:t>
      </w:r>
      <w:r w:rsidR="000809D0" w:rsidRPr="0065228D">
        <w:rPr>
          <w:rFonts w:ascii="Times New Roman" w:hAnsi="Times New Roman" w:cs="Times New Roman"/>
          <w:sz w:val="24"/>
          <w:szCs w:val="24"/>
        </w:rPr>
        <w:t xml:space="preserve"> At the extreme upper quantile, t</w:t>
      </w:r>
      <w:r w:rsidR="004F2FC3" w:rsidRPr="0065228D">
        <w:rPr>
          <w:rFonts w:ascii="Times New Roman" w:hAnsi="Times New Roman" w:cs="Times New Roman"/>
          <w:sz w:val="24"/>
          <w:szCs w:val="24"/>
        </w:rPr>
        <w:t>he DEX and CEX tokens are the primary transmitters of spillovers</w:t>
      </w:r>
      <w:r w:rsidR="008C795B" w:rsidRPr="0065228D">
        <w:rPr>
          <w:rFonts w:ascii="Times New Roman" w:hAnsi="Times New Roman" w:cs="Times New Roman"/>
          <w:sz w:val="24"/>
          <w:szCs w:val="24"/>
        </w:rPr>
        <w:t xml:space="preserve"> </w:t>
      </w:r>
      <w:r w:rsidR="000809D0" w:rsidRPr="0065228D">
        <w:rPr>
          <w:rFonts w:ascii="Times New Roman" w:hAnsi="Times New Roman" w:cs="Times New Roman"/>
          <w:sz w:val="24"/>
          <w:szCs w:val="24"/>
        </w:rPr>
        <w:t xml:space="preserve">indicating </w:t>
      </w:r>
      <w:r w:rsidR="00DB4327">
        <w:rPr>
          <w:rFonts w:ascii="Times New Roman" w:hAnsi="Times New Roman" w:cs="Times New Roman"/>
          <w:sz w:val="24"/>
          <w:szCs w:val="24"/>
        </w:rPr>
        <w:t xml:space="preserve">that </w:t>
      </w:r>
      <w:r w:rsidR="000809D0" w:rsidRPr="0065228D">
        <w:rPr>
          <w:rFonts w:ascii="Times New Roman" w:hAnsi="Times New Roman" w:cs="Times New Roman"/>
          <w:sz w:val="24"/>
          <w:szCs w:val="24"/>
        </w:rPr>
        <w:t>the</w:t>
      </w:r>
      <w:r w:rsidR="004F2FC3" w:rsidRPr="0065228D">
        <w:rPr>
          <w:rFonts w:ascii="Times New Roman" w:hAnsi="Times New Roman" w:cs="Times New Roman"/>
          <w:sz w:val="24"/>
          <w:szCs w:val="24"/>
        </w:rPr>
        <w:t xml:space="preserve"> market short squeezes </w:t>
      </w:r>
      <w:r w:rsidR="00C84876" w:rsidRPr="0065228D">
        <w:rPr>
          <w:rFonts w:ascii="Times New Roman" w:hAnsi="Times New Roman" w:cs="Times New Roman"/>
          <w:sz w:val="24"/>
          <w:szCs w:val="24"/>
        </w:rPr>
        <w:t xml:space="preserve">and price bubbles </w:t>
      </w:r>
      <w:r w:rsidR="004F2FC3" w:rsidRPr="0065228D">
        <w:rPr>
          <w:rFonts w:ascii="Times New Roman" w:hAnsi="Times New Roman" w:cs="Times New Roman"/>
          <w:sz w:val="24"/>
          <w:szCs w:val="24"/>
        </w:rPr>
        <w:t xml:space="preserve">in these assets </w:t>
      </w:r>
      <w:r>
        <w:rPr>
          <w:rFonts w:ascii="Times New Roman" w:hAnsi="Times New Roman" w:cs="Times New Roman"/>
          <w:sz w:val="24"/>
          <w:szCs w:val="24"/>
        </w:rPr>
        <w:t>tend to</w:t>
      </w:r>
      <w:r w:rsidR="000809D0" w:rsidRPr="0065228D">
        <w:rPr>
          <w:rFonts w:ascii="Times New Roman" w:hAnsi="Times New Roman" w:cs="Times New Roman"/>
          <w:sz w:val="24"/>
          <w:szCs w:val="24"/>
        </w:rPr>
        <w:t xml:space="preserve"> </w:t>
      </w:r>
      <w:r w:rsidR="004F2FC3" w:rsidRPr="0065228D">
        <w:rPr>
          <w:rFonts w:ascii="Times New Roman" w:hAnsi="Times New Roman" w:cs="Times New Roman"/>
          <w:sz w:val="24"/>
          <w:szCs w:val="24"/>
        </w:rPr>
        <w:t>spread</w:t>
      </w:r>
      <w:r w:rsidR="000809D0" w:rsidRPr="0065228D">
        <w:rPr>
          <w:rFonts w:ascii="Times New Roman" w:hAnsi="Times New Roman" w:cs="Times New Roman"/>
          <w:sz w:val="24"/>
          <w:szCs w:val="24"/>
        </w:rPr>
        <w:t xml:space="preserve"> </w:t>
      </w:r>
      <w:r w:rsidR="004F2FC3" w:rsidRPr="0065228D">
        <w:rPr>
          <w:rFonts w:ascii="Times New Roman" w:hAnsi="Times New Roman" w:cs="Times New Roman"/>
          <w:sz w:val="24"/>
          <w:szCs w:val="24"/>
        </w:rPr>
        <w:t>to other markets</w:t>
      </w:r>
      <w:r w:rsidR="008C795B" w:rsidRPr="0065228D">
        <w:rPr>
          <w:rFonts w:ascii="Times New Roman" w:hAnsi="Times New Roman" w:cs="Times New Roman"/>
          <w:sz w:val="24"/>
          <w:szCs w:val="24"/>
        </w:rPr>
        <w:t>.</w:t>
      </w:r>
      <w:r w:rsidR="00B946E1">
        <w:rPr>
          <w:rFonts w:ascii="Times New Roman" w:hAnsi="Times New Roman" w:cs="Times New Roman"/>
          <w:sz w:val="24"/>
          <w:szCs w:val="24"/>
        </w:rPr>
        <w:t xml:space="preserve"> </w:t>
      </w:r>
    </w:p>
    <w:p w14:paraId="636217F6" w14:textId="52409845" w:rsidR="00B946E1" w:rsidRDefault="00B946E1" w:rsidP="006E5FA0">
      <w:pPr>
        <w:spacing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Comparing DEX and CEX tokens, our results indicate that CEX tokens are more influential than DEX</w:t>
      </w:r>
      <w:r w:rsidR="00F17C79">
        <w:rPr>
          <w:rFonts w:ascii="Times New Roman" w:hAnsi="Times New Roman" w:cs="Times New Roman"/>
          <w:sz w:val="24"/>
          <w:szCs w:val="24"/>
        </w:rPr>
        <w:t xml:space="preserve"> tokens</w:t>
      </w:r>
      <w:r>
        <w:rPr>
          <w:rFonts w:ascii="Times New Roman" w:hAnsi="Times New Roman" w:cs="Times New Roman"/>
          <w:sz w:val="24"/>
          <w:szCs w:val="24"/>
        </w:rPr>
        <w:t>, and hence more contagious. The spillover effect</w:t>
      </w:r>
      <w:r w:rsidR="00F17C79">
        <w:rPr>
          <w:rFonts w:ascii="Times New Roman" w:hAnsi="Times New Roman" w:cs="Times New Roman"/>
          <w:sz w:val="24"/>
          <w:szCs w:val="24"/>
        </w:rPr>
        <w:t>s</w:t>
      </w:r>
      <w:r>
        <w:rPr>
          <w:rFonts w:ascii="Times New Roman" w:hAnsi="Times New Roman" w:cs="Times New Roman"/>
          <w:sz w:val="24"/>
          <w:szCs w:val="24"/>
        </w:rPr>
        <w:t xml:space="preserve"> from CEX tokens to other assets are higher during the extreme market conditions, which make</w:t>
      </w:r>
      <w:r w:rsidR="00DB4327">
        <w:rPr>
          <w:rFonts w:ascii="Times New Roman" w:hAnsi="Times New Roman" w:cs="Times New Roman"/>
          <w:sz w:val="24"/>
          <w:szCs w:val="24"/>
        </w:rPr>
        <w:t>s</w:t>
      </w:r>
      <w:r>
        <w:rPr>
          <w:rFonts w:ascii="Times New Roman" w:hAnsi="Times New Roman" w:cs="Times New Roman"/>
          <w:sz w:val="24"/>
          <w:szCs w:val="24"/>
        </w:rPr>
        <w:t xml:space="preserve"> CEX tokens </w:t>
      </w:r>
      <w:r w:rsidR="00DB4327">
        <w:rPr>
          <w:rFonts w:ascii="Times New Roman" w:hAnsi="Times New Roman" w:cs="Times New Roman"/>
          <w:sz w:val="24"/>
          <w:szCs w:val="24"/>
        </w:rPr>
        <w:t xml:space="preserve">a </w:t>
      </w:r>
      <w:r>
        <w:rPr>
          <w:rFonts w:ascii="Times New Roman" w:hAnsi="Times New Roman" w:cs="Times New Roman"/>
          <w:sz w:val="24"/>
          <w:szCs w:val="24"/>
        </w:rPr>
        <w:t xml:space="preserve">more serious threat to financial stability in comparison to DEX tokens. One notable exception is </w:t>
      </w:r>
      <w:r w:rsidR="00DB4327">
        <w:rPr>
          <w:rFonts w:ascii="Times New Roman" w:hAnsi="Times New Roman" w:cs="Times New Roman"/>
          <w:sz w:val="24"/>
          <w:szCs w:val="24"/>
        </w:rPr>
        <w:t xml:space="preserve">the </w:t>
      </w:r>
      <w:r>
        <w:rPr>
          <w:rFonts w:ascii="Times New Roman" w:hAnsi="Times New Roman" w:cs="Times New Roman"/>
          <w:sz w:val="24"/>
          <w:szCs w:val="24"/>
        </w:rPr>
        <w:t xml:space="preserve">LEO tokens that are traded on centralized exchanges but do not transmit any returns spillovers to other markets </w:t>
      </w:r>
      <w:r w:rsidR="00DB4327">
        <w:rPr>
          <w:rFonts w:ascii="Times New Roman" w:hAnsi="Times New Roman" w:cs="Times New Roman"/>
          <w:sz w:val="24"/>
          <w:szCs w:val="24"/>
        </w:rPr>
        <w:t>compared</w:t>
      </w:r>
      <w:r>
        <w:rPr>
          <w:rFonts w:ascii="Times New Roman" w:hAnsi="Times New Roman" w:cs="Times New Roman"/>
          <w:sz w:val="24"/>
          <w:szCs w:val="24"/>
        </w:rPr>
        <w:t xml:space="preserve"> to other CEX tokens in our sample.</w:t>
      </w:r>
    </w:p>
    <w:p w14:paraId="13086ADF" w14:textId="3F463412" w:rsidR="00185B92" w:rsidRDefault="00B946E1" w:rsidP="00B946E1">
      <w:pPr>
        <w:spacing w:line="360" w:lineRule="auto"/>
        <w:ind w:firstLine="720"/>
        <w:contextualSpacing/>
        <w:jc w:val="both"/>
        <w:rPr>
          <w:rFonts w:ascii="Times New Roman" w:hAnsi="Times New Roman" w:cs="Times New Roman"/>
          <w:sz w:val="24"/>
          <w:szCs w:val="24"/>
        </w:rPr>
      </w:pPr>
      <w:bookmarkStart w:id="33" w:name="_Hlk122808327"/>
      <w:bookmarkEnd w:id="32"/>
      <w:r>
        <w:rPr>
          <w:rFonts w:ascii="Times New Roman" w:hAnsi="Times New Roman" w:cs="Times New Roman"/>
          <w:sz w:val="24"/>
          <w:szCs w:val="24"/>
        </w:rPr>
        <w:t>The r</w:t>
      </w:r>
      <w:r w:rsidR="007B0015">
        <w:rPr>
          <w:rFonts w:ascii="Times New Roman" w:hAnsi="Times New Roman" w:cs="Times New Roman"/>
          <w:sz w:val="24"/>
          <w:szCs w:val="24"/>
        </w:rPr>
        <w:t>obustness test demonstrate</w:t>
      </w:r>
      <w:r w:rsidR="00DB4327">
        <w:rPr>
          <w:rFonts w:ascii="Times New Roman" w:hAnsi="Times New Roman" w:cs="Times New Roman"/>
          <w:sz w:val="24"/>
          <w:szCs w:val="24"/>
        </w:rPr>
        <w:t>s</w:t>
      </w:r>
      <w:r w:rsidR="007B0015">
        <w:rPr>
          <w:rFonts w:ascii="Times New Roman" w:hAnsi="Times New Roman" w:cs="Times New Roman"/>
          <w:sz w:val="24"/>
          <w:szCs w:val="24"/>
        </w:rPr>
        <w:t xml:space="preserve"> that </w:t>
      </w:r>
      <w:r w:rsidR="00AD448F">
        <w:rPr>
          <w:rFonts w:ascii="Times New Roman" w:hAnsi="Times New Roman" w:cs="Times New Roman"/>
          <w:sz w:val="24"/>
          <w:szCs w:val="24"/>
        </w:rPr>
        <w:t xml:space="preserve">the </w:t>
      </w:r>
      <w:r w:rsidR="007B0015">
        <w:rPr>
          <w:rFonts w:ascii="Times New Roman" w:hAnsi="Times New Roman" w:cs="Times New Roman"/>
          <w:sz w:val="24"/>
          <w:szCs w:val="24"/>
        </w:rPr>
        <w:t>FTX collapse ha</w:t>
      </w:r>
      <w:r w:rsidR="00AD448F">
        <w:rPr>
          <w:rFonts w:ascii="Times New Roman" w:hAnsi="Times New Roman" w:cs="Times New Roman"/>
          <w:sz w:val="24"/>
          <w:szCs w:val="24"/>
        </w:rPr>
        <w:t>s</w:t>
      </w:r>
      <w:r w:rsidR="007B0015">
        <w:rPr>
          <w:rFonts w:ascii="Times New Roman" w:hAnsi="Times New Roman" w:cs="Times New Roman"/>
          <w:sz w:val="24"/>
          <w:szCs w:val="24"/>
        </w:rPr>
        <w:t xml:space="preserve"> not altered the patterns of interconnectedness and our results remain </w:t>
      </w:r>
      <w:r w:rsidR="00CB6025">
        <w:rPr>
          <w:rFonts w:ascii="Times New Roman" w:hAnsi="Times New Roman" w:cs="Times New Roman"/>
          <w:sz w:val="24"/>
          <w:szCs w:val="24"/>
        </w:rPr>
        <w:t>intact.</w:t>
      </w:r>
      <w:r w:rsidR="006E5FA0">
        <w:rPr>
          <w:rFonts w:ascii="Times New Roman" w:hAnsi="Times New Roman" w:cs="Times New Roman"/>
          <w:sz w:val="24"/>
          <w:szCs w:val="24"/>
        </w:rPr>
        <w:t xml:space="preserve"> This robustness test further support</w:t>
      </w:r>
      <w:r w:rsidR="00DB4327">
        <w:rPr>
          <w:rFonts w:ascii="Times New Roman" w:hAnsi="Times New Roman" w:cs="Times New Roman"/>
          <w:sz w:val="24"/>
          <w:szCs w:val="24"/>
        </w:rPr>
        <w:t>s</w:t>
      </w:r>
      <w:r w:rsidR="006E5FA0">
        <w:rPr>
          <w:rFonts w:ascii="Times New Roman" w:hAnsi="Times New Roman" w:cs="Times New Roman"/>
          <w:sz w:val="24"/>
          <w:szCs w:val="24"/>
        </w:rPr>
        <w:t xml:space="preserve"> our base results suggesting </w:t>
      </w:r>
      <w:r w:rsidR="00DB4327">
        <w:rPr>
          <w:rFonts w:ascii="Times New Roman" w:hAnsi="Times New Roman" w:cs="Times New Roman"/>
          <w:sz w:val="24"/>
          <w:szCs w:val="24"/>
        </w:rPr>
        <w:t xml:space="preserve">a </w:t>
      </w:r>
      <w:r w:rsidR="006E5FA0">
        <w:rPr>
          <w:rFonts w:ascii="Times New Roman" w:hAnsi="Times New Roman" w:cs="Times New Roman"/>
          <w:sz w:val="24"/>
          <w:szCs w:val="24"/>
        </w:rPr>
        <w:t>higher connectedness between digital tokens and other assets during the extreme market conditions, e.g.</w:t>
      </w:r>
      <w:r w:rsidR="00163242">
        <w:rPr>
          <w:rFonts w:ascii="Times New Roman" w:hAnsi="Times New Roman" w:cs="Times New Roman"/>
          <w:sz w:val="24"/>
          <w:szCs w:val="24"/>
        </w:rPr>
        <w:t>,</w:t>
      </w:r>
      <w:r w:rsidR="006E5FA0">
        <w:rPr>
          <w:rFonts w:ascii="Times New Roman" w:hAnsi="Times New Roman" w:cs="Times New Roman"/>
          <w:sz w:val="24"/>
          <w:szCs w:val="24"/>
        </w:rPr>
        <w:t xml:space="preserve"> </w:t>
      </w:r>
      <w:r w:rsidR="00AD448F">
        <w:rPr>
          <w:rFonts w:ascii="Times New Roman" w:hAnsi="Times New Roman" w:cs="Times New Roman"/>
          <w:sz w:val="24"/>
          <w:szCs w:val="24"/>
        </w:rPr>
        <w:t xml:space="preserve">the </w:t>
      </w:r>
      <w:r w:rsidR="006E5FA0">
        <w:rPr>
          <w:rFonts w:ascii="Times New Roman" w:hAnsi="Times New Roman" w:cs="Times New Roman"/>
          <w:sz w:val="24"/>
          <w:szCs w:val="24"/>
        </w:rPr>
        <w:t>FTX collapse, which is evidence</w:t>
      </w:r>
      <w:r w:rsidR="00DB4327">
        <w:rPr>
          <w:rFonts w:ascii="Times New Roman" w:hAnsi="Times New Roman" w:cs="Times New Roman"/>
          <w:sz w:val="24"/>
          <w:szCs w:val="24"/>
        </w:rPr>
        <w:t>d</w:t>
      </w:r>
      <w:r w:rsidR="006E5FA0">
        <w:rPr>
          <w:rFonts w:ascii="Times New Roman" w:hAnsi="Times New Roman" w:cs="Times New Roman"/>
          <w:sz w:val="24"/>
          <w:szCs w:val="24"/>
        </w:rPr>
        <w:t xml:space="preserve"> by </w:t>
      </w:r>
      <w:r w:rsidR="00DB4327">
        <w:rPr>
          <w:rFonts w:ascii="Times New Roman" w:hAnsi="Times New Roman" w:cs="Times New Roman"/>
          <w:sz w:val="24"/>
          <w:szCs w:val="24"/>
        </w:rPr>
        <w:t xml:space="preserve">the </w:t>
      </w:r>
      <w:r w:rsidR="006E5FA0">
        <w:rPr>
          <w:rFonts w:ascii="Times New Roman" w:hAnsi="Times New Roman" w:cs="Times New Roman"/>
          <w:sz w:val="24"/>
          <w:szCs w:val="24"/>
        </w:rPr>
        <w:t>higher total spillover index as well.</w:t>
      </w:r>
      <w:r w:rsidR="007B0015">
        <w:rPr>
          <w:rFonts w:ascii="Times New Roman" w:hAnsi="Times New Roman" w:cs="Times New Roman"/>
          <w:sz w:val="24"/>
          <w:szCs w:val="24"/>
        </w:rPr>
        <w:t xml:space="preserve"> </w:t>
      </w:r>
      <w:r w:rsidR="00822193" w:rsidRPr="0065228D">
        <w:rPr>
          <w:rFonts w:ascii="Times New Roman" w:hAnsi="Times New Roman" w:cs="Times New Roman"/>
          <w:sz w:val="24"/>
          <w:szCs w:val="24"/>
        </w:rPr>
        <w:t xml:space="preserve">We contribute to the corpus of knowledge by conducting the first </w:t>
      </w:r>
      <w:r w:rsidR="00822193" w:rsidRPr="0065228D">
        <w:rPr>
          <w:rFonts w:ascii="Times New Roman" w:hAnsi="Times New Roman" w:cs="Times New Roman"/>
          <w:sz w:val="24"/>
          <w:szCs w:val="24"/>
        </w:rPr>
        <w:lastRenderedPageBreak/>
        <w:t xml:space="preserve">investigation on the connection between DEX </w:t>
      </w:r>
      <w:r w:rsidR="007B0015">
        <w:rPr>
          <w:rFonts w:ascii="Times New Roman" w:hAnsi="Times New Roman" w:cs="Times New Roman"/>
          <w:sz w:val="24"/>
          <w:szCs w:val="24"/>
        </w:rPr>
        <w:t>and</w:t>
      </w:r>
      <w:r w:rsidR="00822193" w:rsidRPr="0065228D">
        <w:rPr>
          <w:rFonts w:ascii="Times New Roman" w:hAnsi="Times New Roman" w:cs="Times New Roman"/>
          <w:sz w:val="24"/>
          <w:szCs w:val="24"/>
        </w:rPr>
        <w:t xml:space="preserve"> CEX tokens and other financial assets at various quantiles.</w:t>
      </w:r>
      <w:bookmarkEnd w:id="33"/>
      <w:r w:rsidR="00822193" w:rsidRPr="0065228D">
        <w:rPr>
          <w:rFonts w:ascii="Times New Roman" w:hAnsi="Times New Roman" w:cs="Times New Roman"/>
          <w:sz w:val="24"/>
          <w:szCs w:val="24"/>
        </w:rPr>
        <w:t xml:space="preserve"> The patterns of spillover between DEX</w:t>
      </w:r>
      <w:r w:rsidR="00163242">
        <w:rPr>
          <w:rFonts w:ascii="Times New Roman" w:hAnsi="Times New Roman" w:cs="Times New Roman"/>
          <w:sz w:val="24"/>
          <w:szCs w:val="24"/>
        </w:rPr>
        <w:t>–</w:t>
      </w:r>
      <w:r w:rsidR="00822193" w:rsidRPr="0065228D">
        <w:rPr>
          <w:rFonts w:ascii="Times New Roman" w:hAnsi="Times New Roman" w:cs="Times New Roman"/>
          <w:sz w:val="24"/>
          <w:szCs w:val="24"/>
        </w:rPr>
        <w:t>CEX tokens and other assets that we observed at the lower extreme quantile, median quantile, and upper extreme quantile highlight the importance of studying the behavior of DEX</w:t>
      </w:r>
      <w:r w:rsidR="00163242">
        <w:rPr>
          <w:rFonts w:ascii="Times New Roman" w:hAnsi="Times New Roman" w:cs="Times New Roman"/>
          <w:sz w:val="24"/>
          <w:szCs w:val="24"/>
        </w:rPr>
        <w:t>–</w:t>
      </w:r>
      <w:r w:rsidR="00822193" w:rsidRPr="0065228D">
        <w:rPr>
          <w:rFonts w:ascii="Times New Roman" w:hAnsi="Times New Roman" w:cs="Times New Roman"/>
          <w:sz w:val="24"/>
          <w:szCs w:val="24"/>
        </w:rPr>
        <w:t>CEX tokens in a variety of market circumstances.</w:t>
      </w:r>
      <w:r w:rsidR="007B0015">
        <w:rPr>
          <w:rFonts w:ascii="Times New Roman" w:hAnsi="Times New Roman" w:cs="Times New Roman"/>
          <w:sz w:val="24"/>
          <w:szCs w:val="24"/>
        </w:rPr>
        <w:t xml:space="preserve"> </w:t>
      </w:r>
    </w:p>
    <w:p w14:paraId="3C0BB2D0" w14:textId="58A229F5" w:rsidR="006E700E" w:rsidRPr="0065228D" w:rsidRDefault="004F2FC3" w:rsidP="00185B92">
      <w:pPr>
        <w:spacing w:line="360" w:lineRule="auto"/>
        <w:ind w:firstLine="720"/>
        <w:contextualSpacing/>
        <w:jc w:val="both"/>
        <w:rPr>
          <w:rFonts w:ascii="Times New Roman" w:hAnsi="Times New Roman" w:cs="Times New Roman"/>
          <w:sz w:val="24"/>
          <w:szCs w:val="24"/>
        </w:rPr>
      </w:pPr>
      <w:r w:rsidRPr="0065228D">
        <w:rPr>
          <w:rFonts w:ascii="Times New Roman" w:hAnsi="Times New Roman" w:cs="Times New Roman"/>
          <w:sz w:val="24"/>
          <w:szCs w:val="24"/>
        </w:rPr>
        <w:t xml:space="preserve">Our findings have </w:t>
      </w:r>
      <w:proofErr w:type="gramStart"/>
      <w:r w:rsidRPr="0065228D">
        <w:rPr>
          <w:rFonts w:ascii="Times New Roman" w:hAnsi="Times New Roman" w:cs="Times New Roman"/>
          <w:sz w:val="24"/>
          <w:szCs w:val="24"/>
        </w:rPr>
        <w:t>a number of</w:t>
      </w:r>
      <w:proofErr w:type="gramEnd"/>
      <w:r w:rsidRPr="0065228D">
        <w:rPr>
          <w:rFonts w:ascii="Times New Roman" w:hAnsi="Times New Roman" w:cs="Times New Roman"/>
          <w:sz w:val="24"/>
          <w:szCs w:val="24"/>
        </w:rPr>
        <w:t xml:space="preserve"> ramifications for investors, </w:t>
      </w:r>
      <w:r w:rsidR="008C795B" w:rsidRPr="0065228D">
        <w:rPr>
          <w:rFonts w:ascii="Times New Roman" w:hAnsi="Times New Roman" w:cs="Times New Roman"/>
          <w:sz w:val="24"/>
          <w:szCs w:val="24"/>
        </w:rPr>
        <w:t xml:space="preserve">policymakers and </w:t>
      </w:r>
      <w:r w:rsidRPr="0065228D">
        <w:rPr>
          <w:rFonts w:ascii="Times New Roman" w:hAnsi="Times New Roman" w:cs="Times New Roman"/>
          <w:sz w:val="24"/>
          <w:szCs w:val="24"/>
        </w:rPr>
        <w:t xml:space="preserve">portfolio managers. It is crucial for investors to keep an eye on </w:t>
      </w:r>
      <w:r w:rsidR="00CB6025">
        <w:rPr>
          <w:rFonts w:ascii="Times New Roman" w:hAnsi="Times New Roman" w:cs="Times New Roman"/>
          <w:sz w:val="24"/>
          <w:szCs w:val="24"/>
        </w:rPr>
        <w:t>the</w:t>
      </w:r>
      <w:r w:rsidRPr="0065228D">
        <w:rPr>
          <w:rFonts w:ascii="Times New Roman" w:hAnsi="Times New Roman" w:cs="Times New Roman"/>
          <w:sz w:val="24"/>
          <w:szCs w:val="24"/>
        </w:rPr>
        <w:t xml:space="preserve"> DEX</w:t>
      </w:r>
      <w:r w:rsidR="00163242">
        <w:rPr>
          <w:rFonts w:ascii="Times New Roman" w:hAnsi="Times New Roman" w:cs="Times New Roman"/>
          <w:sz w:val="24"/>
          <w:szCs w:val="24"/>
        </w:rPr>
        <w:t>–</w:t>
      </w:r>
      <w:r w:rsidRPr="0065228D">
        <w:rPr>
          <w:rFonts w:ascii="Times New Roman" w:hAnsi="Times New Roman" w:cs="Times New Roman"/>
          <w:sz w:val="24"/>
          <w:szCs w:val="24"/>
        </w:rPr>
        <w:t xml:space="preserve">CEX tokens </w:t>
      </w:r>
      <w:r w:rsidR="007B0015">
        <w:rPr>
          <w:rFonts w:ascii="Times New Roman" w:hAnsi="Times New Roman" w:cs="Times New Roman"/>
          <w:sz w:val="24"/>
          <w:szCs w:val="24"/>
        </w:rPr>
        <w:t>trading activity.</w:t>
      </w:r>
      <w:r w:rsidR="00822193" w:rsidRPr="0065228D">
        <w:t xml:space="preserve"> </w:t>
      </w:r>
      <w:r w:rsidR="00822193" w:rsidRPr="0065228D">
        <w:rPr>
          <w:rFonts w:ascii="Times New Roman" w:hAnsi="Times New Roman" w:cs="Times New Roman"/>
          <w:sz w:val="24"/>
          <w:szCs w:val="24"/>
        </w:rPr>
        <w:t xml:space="preserve">Despite making up a relatively minor </w:t>
      </w:r>
      <w:r w:rsidR="007B0015">
        <w:rPr>
          <w:rFonts w:ascii="Times New Roman" w:hAnsi="Times New Roman" w:cs="Times New Roman"/>
          <w:sz w:val="24"/>
          <w:szCs w:val="24"/>
        </w:rPr>
        <w:t>share</w:t>
      </w:r>
      <w:r w:rsidR="00822193" w:rsidRPr="0065228D">
        <w:rPr>
          <w:rFonts w:ascii="Times New Roman" w:hAnsi="Times New Roman" w:cs="Times New Roman"/>
          <w:sz w:val="24"/>
          <w:szCs w:val="24"/>
        </w:rPr>
        <w:t xml:space="preserve"> of the overal</w:t>
      </w:r>
      <w:r w:rsidR="006E5FA0">
        <w:rPr>
          <w:rFonts w:ascii="Times New Roman" w:hAnsi="Times New Roman" w:cs="Times New Roman"/>
          <w:sz w:val="24"/>
          <w:szCs w:val="24"/>
        </w:rPr>
        <w:t>l financial markets, the DEX</w:t>
      </w:r>
      <w:r w:rsidR="00163242">
        <w:rPr>
          <w:rFonts w:ascii="Times New Roman" w:hAnsi="Times New Roman" w:cs="Times New Roman"/>
          <w:sz w:val="24"/>
          <w:szCs w:val="24"/>
        </w:rPr>
        <w:t>–</w:t>
      </w:r>
      <w:r w:rsidR="006E5FA0">
        <w:rPr>
          <w:rFonts w:ascii="Times New Roman" w:hAnsi="Times New Roman" w:cs="Times New Roman"/>
          <w:sz w:val="24"/>
          <w:szCs w:val="24"/>
        </w:rPr>
        <w:t>CEX</w:t>
      </w:r>
      <w:r w:rsidR="00822193" w:rsidRPr="0065228D">
        <w:rPr>
          <w:rFonts w:ascii="Times New Roman" w:hAnsi="Times New Roman" w:cs="Times New Roman"/>
          <w:sz w:val="24"/>
          <w:szCs w:val="24"/>
        </w:rPr>
        <w:t xml:space="preserve"> tokens have a significant impact on the interconnectedness of the various financial assets, particularly in the event of a rapid upward market surge.</w:t>
      </w:r>
      <w:r w:rsidR="008C795B" w:rsidRPr="0065228D">
        <w:rPr>
          <w:rFonts w:ascii="Times New Roman" w:hAnsi="Times New Roman" w:cs="Times New Roman"/>
          <w:sz w:val="24"/>
          <w:szCs w:val="24"/>
        </w:rPr>
        <w:t xml:space="preserve"> </w:t>
      </w:r>
      <w:r w:rsidR="00BE4CC7" w:rsidRPr="0065228D">
        <w:rPr>
          <w:rFonts w:ascii="Times New Roman" w:hAnsi="Times New Roman" w:cs="Times New Roman"/>
          <w:sz w:val="24"/>
          <w:szCs w:val="24"/>
        </w:rPr>
        <w:t>Our research suggests that</w:t>
      </w:r>
      <w:r w:rsidR="00DB4327">
        <w:rPr>
          <w:rFonts w:ascii="Times New Roman" w:hAnsi="Times New Roman" w:cs="Times New Roman"/>
          <w:sz w:val="24"/>
          <w:szCs w:val="24"/>
        </w:rPr>
        <w:t>,</w:t>
      </w:r>
      <w:r w:rsidR="00BE4CC7" w:rsidRPr="0065228D">
        <w:rPr>
          <w:rFonts w:ascii="Times New Roman" w:hAnsi="Times New Roman" w:cs="Times New Roman"/>
          <w:sz w:val="24"/>
          <w:szCs w:val="24"/>
        </w:rPr>
        <w:t xml:space="preserve"> during turbulent times like COVID-19, there is a greater degree of interconnectedness between DEX</w:t>
      </w:r>
      <w:r w:rsidR="00163242">
        <w:rPr>
          <w:rFonts w:ascii="Times New Roman" w:hAnsi="Times New Roman" w:cs="Times New Roman"/>
          <w:sz w:val="24"/>
          <w:szCs w:val="24"/>
        </w:rPr>
        <w:t>–</w:t>
      </w:r>
      <w:r w:rsidR="00BE4CC7" w:rsidRPr="0065228D">
        <w:rPr>
          <w:rFonts w:ascii="Times New Roman" w:hAnsi="Times New Roman" w:cs="Times New Roman"/>
          <w:sz w:val="24"/>
          <w:szCs w:val="24"/>
        </w:rPr>
        <w:t>CEX tokens and other assets. It also suggests that</w:t>
      </w:r>
      <w:r w:rsidR="00DB4327">
        <w:rPr>
          <w:rFonts w:ascii="Times New Roman" w:hAnsi="Times New Roman" w:cs="Times New Roman"/>
          <w:sz w:val="24"/>
          <w:szCs w:val="24"/>
        </w:rPr>
        <w:t>,</w:t>
      </w:r>
      <w:r w:rsidR="00BE4CC7" w:rsidRPr="0065228D">
        <w:rPr>
          <w:rFonts w:ascii="Times New Roman" w:hAnsi="Times New Roman" w:cs="Times New Roman"/>
          <w:sz w:val="24"/>
          <w:szCs w:val="24"/>
        </w:rPr>
        <w:t xml:space="preserve"> during </w:t>
      </w:r>
      <w:r w:rsidR="00727301" w:rsidRPr="0065228D">
        <w:rPr>
          <w:rFonts w:ascii="Times New Roman" w:hAnsi="Times New Roman" w:cs="Times New Roman"/>
          <w:sz w:val="24"/>
          <w:szCs w:val="24"/>
        </w:rPr>
        <w:t xml:space="preserve">the period of </w:t>
      </w:r>
      <w:r w:rsidR="00BE4CC7" w:rsidRPr="0065228D">
        <w:rPr>
          <w:rFonts w:ascii="Times New Roman" w:hAnsi="Times New Roman" w:cs="Times New Roman"/>
          <w:sz w:val="24"/>
          <w:szCs w:val="24"/>
        </w:rPr>
        <w:t>market short squeeze, the DEX</w:t>
      </w:r>
      <w:r w:rsidR="00163242">
        <w:rPr>
          <w:rFonts w:ascii="Times New Roman" w:hAnsi="Times New Roman" w:cs="Times New Roman"/>
          <w:sz w:val="24"/>
          <w:szCs w:val="24"/>
        </w:rPr>
        <w:t>–</w:t>
      </w:r>
      <w:r w:rsidR="00BE4CC7" w:rsidRPr="0065228D">
        <w:rPr>
          <w:rFonts w:ascii="Times New Roman" w:hAnsi="Times New Roman" w:cs="Times New Roman"/>
          <w:sz w:val="24"/>
          <w:szCs w:val="24"/>
        </w:rPr>
        <w:t xml:space="preserve">CEX tokens may have contagious effects </w:t>
      </w:r>
      <w:r w:rsidR="00DB4327">
        <w:rPr>
          <w:rFonts w:ascii="Times New Roman" w:hAnsi="Times New Roman" w:cs="Times New Roman"/>
          <w:sz w:val="24"/>
          <w:szCs w:val="24"/>
        </w:rPr>
        <w:t xml:space="preserve">on </w:t>
      </w:r>
      <w:r w:rsidR="004A3813" w:rsidRPr="0065228D">
        <w:rPr>
          <w:rFonts w:ascii="Times New Roman" w:hAnsi="Times New Roman" w:cs="Times New Roman"/>
          <w:sz w:val="24"/>
          <w:szCs w:val="24"/>
        </w:rPr>
        <w:t xml:space="preserve">other </w:t>
      </w:r>
      <w:r w:rsidR="00BE4CC7" w:rsidRPr="0065228D">
        <w:rPr>
          <w:rFonts w:ascii="Times New Roman" w:hAnsi="Times New Roman" w:cs="Times New Roman"/>
          <w:sz w:val="24"/>
          <w:szCs w:val="24"/>
        </w:rPr>
        <w:t>assets, which would reduce the efficacy of portfolio management strategies and risk mitigation.</w:t>
      </w:r>
      <w:r w:rsidRPr="0065228D">
        <w:rPr>
          <w:rFonts w:ascii="Times New Roman" w:hAnsi="Times New Roman" w:cs="Times New Roman"/>
          <w:sz w:val="24"/>
          <w:szCs w:val="24"/>
        </w:rPr>
        <w:t xml:space="preserve"> </w:t>
      </w:r>
      <w:r w:rsidR="006E700E" w:rsidRPr="0065228D">
        <w:rPr>
          <w:rFonts w:ascii="Times New Roman" w:hAnsi="Times New Roman" w:cs="Times New Roman"/>
          <w:sz w:val="24"/>
          <w:szCs w:val="24"/>
        </w:rPr>
        <w:t>Furthermore, according to our findings, DEX</w:t>
      </w:r>
      <w:r w:rsidR="00163242">
        <w:rPr>
          <w:rFonts w:ascii="Times New Roman" w:hAnsi="Times New Roman" w:cs="Times New Roman"/>
          <w:sz w:val="24"/>
          <w:szCs w:val="24"/>
        </w:rPr>
        <w:t>–</w:t>
      </w:r>
      <w:r w:rsidR="006E700E" w:rsidRPr="0065228D">
        <w:rPr>
          <w:rFonts w:ascii="Times New Roman" w:hAnsi="Times New Roman" w:cs="Times New Roman"/>
          <w:sz w:val="24"/>
          <w:szCs w:val="24"/>
        </w:rPr>
        <w:t xml:space="preserve">CEX tokens are the best option for hedging </w:t>
      </w:r>
      <w:r w:rsidR="004A3813" w:rsidRPr="0065228D">
        <w:rPr>
          <w:rFonts w:ascii="Times New Roman" w:hAnsi="Times New Roman" w:cs="Times New Roman"/>
          <w:sz w:val="24"/>
          <w:szCs w:val="24"/>
        </w:rPr>
        <w:t>O</w:t>
      </w:r>
      <w:r w:rsidR="00037A5A" w:rsidRPr="0065228D">
        <w:rPr>
          <w:rFonts w:ascii="Times New Roman" w:hAnsi="Times New Roman" w:cs="Times New Roman"/>
          <w:sz w:val="24"/>
          <w:szCs w:val="24"/>
        </w:rPr>
        <w:t>il</w:t>
      </w:r>
      <w:r w:rsidR="006E700E" w:rsidRPr="0065228D">
        <w:rPr>
          <w:rFonts w:ascii="Times New Roman" w:hAnsi="Times New Roman" w:cs="Times New Roman"/>
          <w:sz w:val="24"/>
          <w:szCs w:val="24"/>
        </w:rPr>
        <w:t xml:space="preserve">, whilst DEX and CEX tokens offer the fewest hedging possibilities for investors of </w:t>
      </w:r>
      <w:r w:rsidR="004A3813" w:rsidRPr="0065228D">
        <w:rPr>
          <w:rFonts w:ascii="Times New Roman" w:hAnsi="Times New Roman" w:cs="Times New Roman"/>
          <w:sz w:val="24"/>
          <w:szCs w:val="24"/>
        </w:rPr>
        <w:t>G</w:t>
      </w:r>
      <w:r w:rsidR="006E700E" w:rsidRPr="0065228D">
        <w:rPr>
          <w:rFonts w:ascii="Times New Roman" w:hAnsi="Times New Roman" w:cs="Times New Roman"/>
          <w:sz w:val="24"/>
          <w:szCs w:val="24"/>
        </w:rPr>
        <w:t>old and the USD</w:t>
      </w:r>
      <w:r w:rsidR="004A3813" w:rsidRPr="0065228D">
        <w:rPr>
          <w:rFonts w:ascii="Times New Roman" w:hAnsi="Times New Roman" w:cs="Times New Roman"/>
          <w:sz w:val="24"/>
          <w:szCs w:val="24"/>
        </w:rPr>
        <w:t xml:space="preserve"> dollar </w:t>
      </w:r>
      <w:r w:rsidR="006E700E" w:rsidRPr="0065228D">
        <w:rPr>
          <w:rFonts w:ascii="Times New Roman" w:hAnsi="Times New Roman" w:cs="Times New Roman"/>
          <w:sz w:val="24"/>
          <w:szCs w:val="24"/>
        </w:rPr>
        <w:t xml:space="preserve">index. </w:t>
      </w:r>
      <w:r w:rsidR="00185B92">
        <w:rPr>
          <w:rFonts w:ascii="Times New Roman" w:hAnsi="Times New Roman" w:cs="Times New Roman"/>
          <w:sz w:val="24"/>
          <w:szCs w:val="24"/>
        </w:rPr>
        <w:t xml:space="preserve"> </w:t>
      </w:r>
      <w:r w:rsidR="006E700E" w:rsidRPr="0065228D">
        <w:rPr>
          <w:rFonts w:ascii="Times New Roman" w:hAnsi="Times New Roman" w:cs="Times New Roman"/>
          <w:sz w:val="24"/>
          <w:szCs w:val="24"/>
        </w:rPr>
        <w:t xml:space="preserve">Our analysis is limited to </w:t>
      </w:r>
      <w:r w:rsidR="006E700E" w:rsidRPr="0065228D">
        <w:rPr>
          <w:rFonts w:ascii="Times New Roman" w:eastAsia="Calibri" w:hAnsi="Times New Roman" w:cs="Times New Roman"/>
          <w:sz w:val="24"/>
          <w:szCs w:val="24"/>
          <w:lang w:val="en-GB"/>
        </w:rPr>
        <w:t xml:space="preserve">the return </w:t>
      </w:r>
      <w:r w:rsidR="006E5FA0">
        <w:rPr>
          <w:rFonts w:ascii="Times New Roman" w:eastAsia="Calibri" w:hAnsi="Times New Roman" w:cs="Times New Roman"/>
          <w:sz w:val="24"/>
          <w:szCs w:val="24"/>
        </w:rPr>
        <w:t>c</w:t>
      </w:r>
      <w:r w:rsidR="006E700E" w:rsidRPr="0065228D">
        <w:rPr>
          <w:rFonts w:ascii="Times New Roman" w:eastAsia="Calibri" w:hAnsi="Times New Roman" w:cs="Times New Roman"/>
          <w:sz w:val="24"/>
          <w:szCs w:val="24"/>
        </w:rPr>
        <w:t>onnectedness of DEX</w:t>
      </w:r>
      <w:r w:rsidR="00163242">
        <w:rPr>
          <w:rFonts w:ascii="Times New Roman" w:eastAsia="Calibri" w:hAnsi="Times New Roman" w:cs="Times New Roman"/>
          <w:sz w:val="24"/>
          <w:szCs w:val="24"/>
        </w:rPr>
        <w:t>–</w:t>
      </w:r>
      <w:r w:rsidR="006E700E" w:rsidRPr="0065228D">
        <w:rPr>
          <w:rFonts w:ascii="Times New Roman" w:eastAsia="Calibri" w:hAnsi="Times New Roman" w:cs="Times New Roman"/>
          <w:sz w:val="24"/>
          <w:szCs w:val="24"/>
        </w:rPr>
        <w:t>CEX exchange tokens with other assets</w:t>
      </w:r>
      <w:r w:rsidR="006E700E" w:rsidRPr="0065228D">
        <w:rPr>
          <w:rFonts w:ascii="Times New Roman" w:hAnsi="Times New Roman" w:cs="Times New Roman"/>
          <w:sz w:val="24"/>
          <w:szCs w:val="24"/>
        </w:rPr>
        <w:t xml:space="preserve">. Future research may broaden this </w:t>
      </w:r>
      <w:r w:rsidR="004A3813" w:rsidRPr="0065228D">
        <w:rPr>
          <w:rFonts w:ascii="Times New Roman" w:hAnsi="Times New Roman" w:cs="Times New Roman"/>
          <w:sz w:val="24"/>
          <w:szCs w:val="24"/>
        </w:rPr>
        <w:t>line of inquiry</w:t>
      </w:r>
      <w:r w:rsidR="006E700E" w:rsidRPr="0065228D">
        <w:rPr>
          <w:rFonts w:ascii="Times New Roman" w:hAnsi="Times New Roman" w:cs="Times New Roman"/>
          <w:sz w:val="24"/>
          <w:szCs w:val="24"/>
        </w:rPr>
        <w:t xml:space="preserve"> by comparing and incorporating several classes of digital tokens, such as Utility tokens, Security tokens, Payment tokens, </w:t>
      </w:r>
      <w:proofErr w:type="gramStart"/>
      <w:r w:rsidR="006E700E" w:rsidRPr="0065228D">
        <w:rPr>
          <w:rFonts w:ascii="Times New Roman" w:hAnsi="Times New Roman" w:cs="Times New Roman"/>
          <w:sz w:val="24"/>
          <w:szCs w:val="24"/>
        </w:rPr>
        <w:t>Non-fungible</w:t>
      </w:r>
      <w:proofErr w:type="gramEnd"/>
      <w:r w:rsidR="006E700E" w:rsidRPr="0065228D">
        <w:rPr>
          <w:rFonts w:ascii="Times New Roman" w:hAnsi="Times New Roman" w:cs="Times New Roman"/>
          <w:sz w:val="24"/>
          <w:szCs w:val="24"/>
        </w:rPr>
        <w:t xml:space="preserve"> tokens, </w:t>
      </w:r>
      <w:r w:rsidR="00F16D0A" w:rsidRPr="0065228D">
        <w:rPr>
          <w:rFonts w:ascii="Times New Roman" w:hAnsi="Times New Roman" w:cs="Times New Roman"/>
          <w:sz w:val="24"/>
          <w:szCs w:val="24"/>
        </w:rPr>
        <w:t>Decentralized</w:t>
      </w:r>
      <w:r w:rsidR="006E700E" w:rsidRPr="0065228D">
        <w:rPr>
          <w:rFonts w:ascii="Times New Roman" w:hAnsi="Times New Roman" w:cs="Times New Roman"/>
          <w:sz w:val="24"/>
          <w:szCs w:val="24"/>
        </w:rPr>
        <w:t xml:space="preserve"> Finance t</w:t>
      </w:r>
      <w:r w:rsidR="006E5FA0">
        <w:rPr>
          <w:rFonts w:ascii="Times New Roman" w:hAnsi="Times New Roman" w:cs="Times New Roman"/>
          <w:sz w:val="24"/>
          <w:szCs w:val="24"/>
        </w:rPr>
        <w:t xml:space="preserve">okens, and Assets-backed tokens to better understand both positive and negative contagion effects of these volatile markets. </w:t>
      </w:r>
    </w:p>
    <w:p w14:paraId="43885E79" w14:textId="6185DDD0" w:rsidR="00D412A8" w:rsidRDefault="00D412A8" w:rsidP="00F84F21">
      <w:pPr>
        <w:spacing w:line="360" w:lineRule="auto"/>
        <w:contextualSpacing/>
        <w:jc w:val="both"/>
        <w:rPr>
          <w:rFonts w:ascii="Times New Roman" w:hAnsi="Times New Roman" w:cs="Times New Roman"/>
          <w:sz w:val="24"/>
          <w:szCs w:val="24"/>
        </w:rPr>
      </w:pPr>
    </w:p>
    <w:p w14:paraId="679B657A" w14:textId="6AA5810F" w:rsidR="00185B92" w:rsidRDefault="00185B92" w:rsidP="00F84F21">
      <w:pPr>
        <w:spacing w:line="360" w:lineRule="auto"/>
        <w:contextualSpacing/>
        <w:jc w:val="both"/>
        <w:rPr>
          <w:rFonts w:ascii="Times New Roman" w:hAnsi="Times New Roman" w:cs="Times New Roman"/>
          <w:sz w:val="24"/>
          <w:szCs w:val="24"/>
        </w:rPr>
      </w:pPr>
    </w:p>
    <w:p w14:paraId="05D00F54" w14:textId="77777777" w:rsidR="00531153" w:rsidRDefault="00531153" w:rsidP="00F84F21">
      <w:pPr>
        <w:spacing w:line="360" w:lineRule="auto"/>
        <w:contextualSpacing/>
        <w:jc w:val="both"/>
        <w:rPr>
          <w:rFonts w:ascii="Times New Roman" w:hAnsi="Times New Roman" w:cs="Times New Roman"/>
          <w:sz w:val="24"/>
          <w:szCs w:val="24"/>
        </w:rPr>
      </w:pPr>
    </w:p>
    <w:p w14:paraId="13676E43" w14:textId="77777777" w:rsidR="00531153" w:rsidRDefault="00531153" w:rsidP="00F84F21">
      <w:pPr>
        <w:spacing w:line="360" w:lineRule="auto"/>
        <w:contextualSpacing/>
        <w:jc w:val="both"/>
        <w:rPr>
          <w:rFonts w:ascii="Times New Roman" w:hAnsi="Times New Roman" w:cs="Times New Roman"/>
          <w:sz w:val="24"/>
          <w:szCs w:val="24"/>
        </w:rPr>
      </w:pPr>
    </w:p>
    <w:p w14:paraId="00C21E3E" w14:textId="77777777" w:rsidR="00531153" w:rsidRDefault="00531153" w:rsidP="00F84F21">
      <w:pPr>
        <w:spacing w:line="360" w:lineRule="auto"/>
        <w:contextualSpacing/>
        <w:jc w:val="both"/>
        <w:rPr>
          <w:rFonts w:ascii="Times New Roman" w:hAnsi="Times New Roman" w:cs="Times New Roman"/>
          <w:sz w:val="24"/>
          <w:szCs w:val="24"/>
        </w:rPr>
      </w:pPr>
    </w:p>
    <w:p w14:paraId="011F933B" w14:textId="77777777" w:rsidR="00531153" w:rsidRDefault="00531153" w:rsidP="00F84F21">
      <w:pPr>
        <w:spacing w:line="360" w:lineRule="auto"/>
        <w:contextualSpacing/>
        <w:jc w:val="both"/>
        <w:rPr>
          <w:rFonts w:ascii="Times New Roman" w:hAnsi="Times New Roman" w:cs="Times New Roman"/>
          <w:sz w:val="24"/>
          <w:szCs w:val="24"/>
        </w:rPr>
      </w:pPr>
    </w:p>
    <w:p w14:paraId="052D5E19" w14:textId="77777777" w:rsidR="00531153" w:rsidRDefault="00531153" w:rsidP="00F84F21">
      <w:pPr>
        <w:spacing w:line="360" w:lineRule="auto"/>
        <w:contextualSpacing/>
        <w:jc w:val="both"/>
        <w:rPr>
          <w:rFonts w:ascii="Times New Roman" w:hAnsi="Times New Roman" w:cs="Times New Roman"/>
          <w:sz w:val="24"/>
          <w:szCs w:val="24"/>
        </w:rPr>
      </w:pPr>
    </w:p>
    <w:p w14:paraId="130F2BFC" w14:textId="77777777" w:rsidR="00531153" w:rsidRDefault="00531153" w:rsidP="00F84F21">
      <w:pPr>
        <w:spacing w:line="360" w:lineRule="auto"/>
        <w:contextualSpacing/>
        <w:jc w:val="both"/>
        <w:rPr>
          <w:rFonts w:ascii="Times New Roman" w:hAnsi="Times New Roman" w:cs="Times New Roman"/>
          <w:sz w:val="24"/>
          <w:szCs w:val="24"/>
        </w:rPr>
      </w:pPr>
    </w:p>
    <w:p w14:paraId="3A8C20A5" w14:textId="77777777" w:rsidR="00531153" w:rsidRDefault="00531153" w:rsidP="00F84F21">
      <w:pPr>
        <w:spacing w:line="360" w:lineRule="auto"/>
        <w:contextualSpacing/>
        <w:jc w:val="both"/>
        <w:rPr>
          <w:rFonts w:ascii="Times New Roman" w:hAnsi="Times New Roman" w:cs="Times New Roman"/>
          <w:sz w:val="24"/>
          <w:szCs w:val="24"/>
        </w:rPr>
      </w:pPr>
    </w:p>
    <w:p w14:paraId="6A55118F" w14:textId="0CD3551F" w:rsidR="006E5FA0" w:rsidRDefault="006E5FA0" w:rsidP="00F84F21">
      <w:pPr>
        <w:spacing w:line="360" w:lineRule="auto"/>
        <w:contextualSpacing/>
        <w:jc w:val="both"/>
        <w:rPr>
          <w:rFonts w:ascii="Times New Roman" w:hAnsi="Times New Roman" w:cs="Times New Roman"/>
          <w:sz w:val="24"/>
          <w:szCs w:val="24"/>
        </w:rPr>
      </w:pPr>
    </w:p>
    <w:p w14:paraId="22752E0D" w14:textId="02286DA3" w:rsidR="006E5FA0" w:rsidRDefault="006E5FA0" w:rsidP="00F84F21">
      <w:pPr>
        <w:spacing w:line="360" w:lineRule="auto"/>
        <w:contextualSpacing/>
        <w:jc w:val="both"/>
        <w:rPr>
          <w:rFonts w:ascii="Times New Roman" w:hAnsi="Times New Roman" w:cs="Times New Roman"/>
          <w:sz w:val="24"/>
          <w:szCs w:val="24"/>
        </w:rPr>
      </w:pPr>
    </w:p>
    <w:p w14:paraId="6402B08C" w14:textId="616A0261" w:rsidR="006E5FA0" w:rsidRDefault="006E5FA0" w:rsidP="00F84F21">
      <w:pPr>
        <w:spacing w:line="360" w:lineRule="auto"/>
        <w:contextualSpacing/>
        <w:jc w:val="both"/>
        <w:rPr>
          <w:rFonts w:ascii="Times New Roman" w:hAnsi="Times New Roman" w:cs="Times New Roman"/>
          <w:sz w:val="24"/>
          <w:szCs w:val="24"/>
        </w:rPr>
      </w:pPr>
    </w:p>
    <w:p w14:paraId="3AEA2552" w14:textId="6445770C" w:rsidR="006E5FA0" w:rsidRDefault="006E5FA0" w:rsidP="00F84F21">
      <w:pPr>
        <w:spacing w:line="360" w:lineRule="auto"/>
        <w:contextualSpacing/>
        <w:jc w:val="both"/>
        <w:rPr>
          <w:rFonts w:ascii="Times New Roman" w:hAnsi="Times New Roman" w:cs="Times New Roman"/>
          <w:sz w:val="24"/>
          <w:szCs w:val="24"/>
        </w:rPr>
      </w:pPr>
    </w:p>
    <w:p w14:paraId="1B750844" w14:textId="7AF42960" w:rsidR="002B548D" w:rsidRPr="002B548D" w:rsidRDefault="00D412A8" w:rsidP="002B548D">
      <w:pPr>
        <w:spacing w:line="240" w:lineRule="auto"/>
        <w:ind w:hanging="720"/>
        <w:jc w:val="both"/>
        <w:rPr>
          <w:rFonts w:ascii="Times New Roman" w:hAnsi="Times New Roman" w:cs="Times New Roman"/>
          <w:b/>
          <w:bCs/>
          <w:sz w:val="24"/>
          <w:szCs w:val="24"/>
        </w:rPr>
      </w:pPr>
      <w:r w:rsidRPr="0065228D">
        <w:rPr>
          <w:rFonts w:ascii="Times New Roman" w:hAnsi="Times New Roman" w:cs="Times New Roman"/>
          <w:b/>
          <w:bCs/>
          <w:sz w:val="24"/>
          <w:szCs w:val="24"/>
        </w:rPr>
        <w:lastRenderedPageBreak/>
        <w:t xml:space="preserve">      </w:t>
      </w:r>
      <w:r w:rsidR="00531153">
        <w:rPr>
          <w:rFonts w:ascii="Times New Roman" w:hAnsi="Times New Roman" w:cs="Times New Roman"/>
          <w:b/>
          <w:bCs/>
          <w:sz w:val="24"/>
          <w:szCs w:val="24"/>
        </w:rPr>
        <w:t xml:space="preserve">         </w:t>
      </w:r>
      <w:r w:rsidRPr="0065228D">
        <w:rPr>
          <w:rFonts w:ascii="Times New Roman" w:hAnsi="Times New Roman" w:cs="Times New Roman"/>
          <w:b/>
          <w:bCs/>
          <w:sz w:val="24"/>
          <w:szCs w:val="24"/>
        </w:rPr>
        <w:t>References</w:t>
      </w:r>
    </w:p>
    <w:p w14:paraId="36FA1DFA" w14:textId="727FA50C" w:rsidR="00D412A8" w:rsidRPr="00A421A0" w:rsidRDefault="00D412A8" w:rsidP="00A421A0">
      <w:pPr>
        <w:spacing w:after="0" w:line="240" w:lineRule="auto"/>
        <w:ind w:left="720" w:hanging="720"/>
        <w:jc w:val="both"/>
        <w:rPr>
          <w:rFonts w:ascii="Times New Roman" w:hAnsi="Times New Roman" w:cs="Times New Roman"/>
        </w:rPr>
      </w:pPr>
      <w:r w:rsidRPr="00A421A0">
        <w:rPr>
          <w:rFonts w:ascii="Times New Roman" w:hAnsi="Times New Roman" w:cs="Times New Roman"/>
        </w:rPr>
        <w:t xml:space="preserve">Aharon, D. Y., &amp; Demir, E. (2021). NFTs and asset class spillovers: Lessons from the period around the COVID-19 pandemic. </w:t>
      </w:r>
      <w:r w:rsidRPr="00A421A0">
        <w:rPr>
          <w:rFonts w:ascii="Times New Roman" w:hAnsi="Times New Roman" w:cs="Times New Roman"/>
          <w:i/>
          <w:iCs/>
        </w:rPr>
        <w:t>Finance Research Letters</w:t>
      </w:r>
      <w:r w:rsidRPr="00A421A0">
        <w:rPr>
          <w:rFonts w:ascii="Times New Roman" w:hAnsi="Times New Roman" w:cs="Times New Roman"/>
        </w:rPr>
        <w:t>, 102515.</w:t>
      </w:r>
    </w:p>
    <w:p w14:paraId="665EB015" w14:textId="27D849FE" w:rsidR="002B548D" w:rsidRDefault="002B548D" w:rsidP="00A421A0">
      <w:pPr>
        <w:spacing w:after="0" w:line="240" w:lineRule="auto"/>
        <w:ind w:left="720" w:hanging="720"/>
        <w:jc w:val="both"/>
        <w:rPr>
          <w:rFonts w:ascii="Times New Roman" w:hAnsi="Times New Roman" w:cs="Times New Roman"/>
          <w:i/>
          <w:iCs/>
        </w:rPr>
      </w:pPr>
      <w:r w:rsidRPr="00A421A0">
        <w:rPr>
          <w:rFonts w:ascii="Times New Roman" w:hAnsi="Times New Roman" w:cs="Times New Roman"/>
        </w:rPr>
        <w:t xml:space="preserve">Alexander, C., &amp; Heck, D.F. (2020). Price discovery in Bitcoin: The impact of unregulated markets. </w:t>
      </w:r>
      <w:r w:rsidRPr="00A421A0">
        <w:rPr>
          <w:rFonts w:ascii="Times New Roman" w:hAnsi="Times New Roman" w:cs="Times New Roman"/>
          <w:i/>
          <w:iCs/>
        </w:rPr>
        <w:t>Journal of Financial Stability, 50.</w:t>
      </w:r>
    </w:p>
    <w:p w14:paraId="0E472AFA" w14:textId="77777777" w:rsidR="00FF0C8F" w:rsidRDefault="008E2B7C" w:rsidP="00FF0C8F">
      <w:pPr>
        <w:spacing w:after="0" w:line="240" w:lineRule="auto"/>
        <w:ind w:left="720" w:hanging="720"/>
        <w:jc w:val="both"/>
        <w:rPr>
          <w:rFonts w:ascii="Times New Roman" w:hAnsi="Times New Roman" w:cs="Times New Roman"/>
          <w:color w:val="222222"/>
          <w:shd w:val="clear" w:color="auto" w:fill="FFFFFF"/>
        </w:rPr>
      </w:pPr>
      <w:r w:rsidRPr="009B25C8">
        <w:rPr>
          <w:rFonts w:ascii="Times New Roman" w:hAnsi="Times New Roman" w:cs="Times New Roman"/>
          <w:color w:val="222222"/>
          <w:highlight w:val="cyan"/>
          <w:shd w:val="clear" w:color="auto" w:fill="FFFFFF"/>
        </w:rPr>
        <w:t>Aliu, F., Nuhiu, A., Krasniqi, B. A., &amp; Jusufi, G. (2021). Modeling the optimal diversification opportunities: the case of crypto portfolios and equity portfolios. </w:t>
      </w:r>
      <w:r w:rsidRPr="009B25C8">
        <w:rPr>
          <w:rFonts w:ascii="Times New Roman" w:hAnsi="Times New Roman" w:cs="Times New Roman"/>
          <w:i/>
          <w:iCs/>
          <w:color w:val="222222"/>
          <w:highlight w:val="cyan"/>
          <w:shd w:val="clear" w:color="auto" w:fill="FFFFFF"/>
        </w:rPr>
        <w:t>Studies in Economics and Finance</w:t>
      </w:r>
      <w:r w:rsidRPr="009B25C8">
        <w:rPr>
          <w:rFonts w:ascii="Times New Roman" w:hAnsi="Times New Roman" w:cs="Times New Roman"/>
          <w:color w:val="222222"/>
          <w:highlight w:val="cyan"/>
          <w:shd w:val="clear" w:color="auto" w:fill="FFFFFF"/>
        </w:rPr>
        <w:t>, </w:t>
      </w:r>
      <w:r w:rsidRPr="009B25C8">
        <w:rPr>
          <w:rFonts w:ascii="Times New Roman" w:hAnsi="Times New Roman" w:cs="Times New Roman"/>
          <w:i/>
          <w:iCs/>
          <w:color w:val="222222"/>
          <w:highlight w:val="cyan"/>
          <w:shd w:val="clear" w:color="auto" w:fill="FFFFFF"/>
        </w:rPr>
        <w:t>38</w:t>
      </w:r>
      <w:r w:rsidRPr="009B25C8">
        <w:rPr>
          <w:rFonts w:ascii="Times New Roman" w:hAnsi="Times New Roman" w:cs="Times New Roman"/>
          <w:color w:val="222222"/>
          <w:highlight w:val="cyan"/>
          <w:shd w:val="clear" w:color="auto" w:fill="FFFFFF"/>
        </w:rPr>
        <w:t>(1), 50-66.</w:t>
      </w:r>
      <w:r w:rsidR="00FF0C8F" w:rsidRPr="00FF0C8F">
        <w:rPr>
          <w:rFonts w:ascii="Times New Roman" w:hAnsi="Times New Roman" w:cs="Times New Roman"/>
          <w:color w:val="222222"/>
          <w:shd w:val="clear" w:color="auto" w:fill="FFFFFF"/>
        </w:rPr>
        <w:t xml:space="preserve"> </w:t>
      </w:r>
    </w:p>
    <w:p w14:paraId="5E06245E" w14:textId="0683395C" w:rsidR="008E2B7C" w:rsidRPr="008E2B7C" w:rsidRDefault="00FF0C8F" w:rsidP="00A421A0">
      <w:pPr>
        <w:spacing w:after="0" w:line="240" w:lineRule="auto"/>
        <w:ind w:left="720" w:hanging="720"/>
        <w:jc w:val="both"/>
        <w:rPr>
          <w:rFonts w:ascii="Times New Roman" w:hAnsi="Times New Roman" w:cs="Times New Roman"/>
          <w:i/>
          <w:iCs/>
        </w:rPr>
      </w:pPr>
      <w:r w:rsidRPr="00FF0C8F">
        <w:rPr>
          <w:rFonts w:ascii="Times New Roman" w:hAnsi="Times New Roman" w:cs="Times New Roman"/>
          <w:color w:val="222222"/>
          <w:highlight w:val="cyan"/>
          <w:shd w:val="clear" w:color="auto" w:fill="FFFFFF"/>
        </w:rPr>
        <w:t xml:space="preserve">Aliu, F., Bajra, U., &amp; </w:t>
      </w:r>
      <w:proofErr w:type="spellStart"/>
      <w:r w:rsidRPr="00FF0C8F">
        <w:rPr>
          <w:rFonts w:ascii="Times New Roman" w:hAnsi="Times New Roman" w:cs="Times New Roman"/>
          <w:color w:val="222222"/>
          <w:highlight w:val="cyan"/>
          <w:shd w:val="clear" w:color="auto" w:fill="FFFFFF"/>
        </w:rPr>
        <w:t>Preniqi</w:t>
      </w:r>
      <w:proofErr w:type="spellEnd"/>
      <w:r w:rsidRPr="00FF0C8F">
        <w:rPr>
          <w:rFonts w:ascii="Times New Roman" w:hAnsi="Times New Roman" w:cs="Times New Roman"/>
          <w:color w:val="222222"/>
          <w:highlight w:val="cyan"/>
          <w:shd w:val="clear" w:color="auto" w:fill="FFFFFF"/>
        </w:rPr>
        <w:t>, N. (2022). Analysis of diversification benefits for cryptocurrency portfolios before and during the COVID-19 pandemic. </w:t>
      </w:r>
      <w:r w:rsidRPr="00FF0C8F">
        <w:rPr>
          <w:rFonts w:ascii="Times New Roman" w:hAnsi="Times New Roman" w:cs="Times New Roman"/>
          <w:i/>
          <w:iCs/>
          <w:color w:val="222222"/>
          <w:highlight w:val="cyan"/>
          <w:shd w:val="clear" w:color="auto" w:fill="FFFFFF"/>
        </w:rPr>
        <w:t>Studies in Economics and Finance</w:t>
      </w:r>
      <w:r w:rsidRPr="00FF0C8F">
        <w:rPr>
          <w:rFonts w:ascii="Times New Roman" w:hAnsi="Times New Roman" w:cs="Times New Roman"/>
          <w:color w:val="222222"/>
          <w:highlight w:val="cyan"/>
          <w:shd w:val="clear" w:color="auto" w:fill="FFFFFF"/>
        </w:rPr>
        <w:t>, </w:t>
      </w:r>
      <w:r w:rsidRPr="00FF0C8F">
        <w:rPr>
          <w:rFonts w:ascii="Times New Roman" w:hAnsi="Times New Roman" w:cs="Times New Roman"/>
          <w:i/>
          <w:iCs/>
          <w:color w:val="222222"/>
          <w:highlight w:val="cyan"/>
          <w:shd w:val="clear" w:color="auto" w:fill="FFFFFF"/>
        </w:rPr>
        <w:t>39</w:t>
      </w:r>
      <w:r w:rsidRPr="00FF0C8F">
        <w:rPr>
          <w:rFonts w:ascii="Times New Roman" w:hAnsi="Times New Roman" w:cs="Times New Roman"/>
          <w:color w:val="222222"/>
          <w:highlight w:val="cyan"/>
          <w:shd w:val="clear" w:color="auto" w:fill="FFFFFF"/>
        </w:rPr>
        <w:t>(3), 444-457.</w:t>
      </w:r>
    </w:p>
    <w:p w14:paraId="345CC6A1" w14:textId="56734228" w:rsidR="00D412A8" w:rsidRPr="00A421A0" w:rsidRDefault="00D412A8" w:rsidP="00A421A0">
      <w:pPr>
        <w:spacing w:after="0" w:line="240" w:lineRule="auto"/>
        <w:ind w:left="720" w:hanging="720"/>
        <w:jc w:val="both"/>
        <w:rPr>
          <w:rFonts w:ascii="Times New Roman" w:hAnsi="Times New Roman" w:cs="Times New Roman"/>
        </w:rPr>
      </w:pPr>
      <w:r w:rsidRPr="00A421A0">
        <w:rPr>
          <w:rFonts w:ascii="Times New Roman" w:hAnsi="Times New Roman" w:cs="Times New Roman"/>
        </w:rPr>
        <w:t xml:space="preserve">Ando, T., Greenwood-Nimmo, M., &amp; Shin, Y. (2022). Quantile Connectedness: Modeling tail </w:t>
      </w:r>
      <w:proofErr w:type="spellStart"/>
      <w:r w:rsidRPr="00A421A0">
        <w:rPr>
          <w:rFonts w:ascii="Times New Roman" w:hAnsi="Times New Roman" w:cs="Times New Roman"/>
        </w:rPr>
        <w:t>behaviour</w:t>
      </w:r>
      <w:proofErr w:type="spellEnd"/>
      <w:r w:rsidRPr="00A421A0">
        <w:rPr>
          <w:rFonts w:ascii="Times New Roman" w:hAnsi="Times New Roman" w:cs="Times New Roman"/>
        </w:rPr>
        <w:t xml:space="preserve"> in the topology of financial networks. </w:t>
      </w:r>
      <w:r w:rsidRPr="00A421A0">
        <w:rPr>
          <w:rFonts w:ascii="Times New Roman" w:hAnsi="Times New Roman" w:cs="Times New Roman"/>
          <w:i/>
          <w:iCs/>
        </w:rPr>
        <w:t>Management Science</w:t>
      </w:r>
      <w:r w:rsidRPr="00A421A0">
        <w:rPr>
          <w:rFonts w:ascii="Times New Roman" w:hAnsi="Times New Roman" w:cs="Times New Roman"/>
        </w:rPr>
        <w:t>, </w:t>
      </w:r>
      <w:r w:rsidRPr="00A421A0">
        <w:rPr>
          <w:rFonts w:ascii="Times New Roman" w:hAnsi="Times New Roman" w:cs="Times New Roman"/>
          <w:i/>
          <w:iCs/>
        </w:rPr>
        <w:t>68</w:t>
      </w:r>
      <w:r w:rsidRPr="00A421A0">
        <w:rPr>
          <w:rFonts w:ascii="Times New Roman" w:hAnsi="Times New Roman" w:cs="Times New Roman"/>
        </w:rPr>
        <w:t>(4), 2401-2431.</w:t>
      </w:r>
    </w:p>
    <w:p w14:paraId="5BDFCECB" w14:textId="45360A05" w:rsidR="001377C8" w:rsidRDefault="001377C8" w:rsidP="00A421A0">
      <w:pPr>
        <w:spacing w:after="0" w:line="240" w:lineRule="auto"/>
        <w:ind w:left="720" w:hanging="720"/>
        <w:jc w:val="both"/>
        <w:rPr>
          <w:rFonts w:ascii="Times New Roman" w:hAnsi="Times New Roman" w:cs="Times New Roman"/>
        </w:rPr>
      </w:pPr>
      <w:proofErr w:type="spellStart"/>
      <w:r w:rsidRPr="001377C8">
        <w:rPr>
          <w:rFonts w:ascii="Times New Roman" w:hAnsi="Times New Roman" w:cs="Times New Roman"/>
        </w:rPr>
        <w:t>Anwer</w:t>
      </w:r>
      <w:proofErr w:type="spellEnd"/>
      <w:r w:rsidRPr="001377C8">
        <w:rPr>
          <w:rFonts w:ascii="Times New Roman" w:hAnsi="Times New Roman" w:cs="Times New Roman"/>
        </w:rPr>
        <w:t>, Z., Khan, A., Naeem, M. A., &amp; Tiwari, A. K. (2022). Modelling systemic risk of energy and non-energy commodity markets during the COVID-19 pandemic. </w:t>
      </w:r>
      <w:r w:rsidRPr="001377C8">
        <w:rPr>
          <w:rFonts w:ascii="Times New Roman" w:hAnsi="Times New Roman" w:cs="Times New Roman"/>
          <w:i/>
          <w:iCs/>
        </w:rPr>
        <w:t>Annals of Operations Research</w:t>
      </w:r>
      <w:r w:rsidRPr="001377C8">
        <w:rPr>
          <w:rFonts w:ascii="Times New Roman" w:hAnsi="Times New Roman" w:cs="Times New Roman"/>
        </w:rPr>
        <w:t>, 1-35.</w:t>
      </w:r>
    </w:p>
    <w:p w14:paraId="52AB089D" w14:textId="47A29091" w:rsidR="001377C8" w:rsidRDefault="001377C8" w:rsidP="00A421A0">
      <w:pPr>
        <w:spacing w:after="0" w:line="240" w:lineRule="auto"/>
        <w:ind w:left="720" w:hanging="720"/>
        <w:jc w:val="both"/>
        <w:rPr>
          <w:rFonts w:ascii="Times New Roman" w:hAnsi="Times New Roman" w:cs="Times New Roman"/>
        </w:rPr>
      </w:pPr>
      <w:proofErr w:type="spellStart"/>
      <w:r w:rsidRPr="001377C8">
        <w:rPr>
          <w:rFonts w:ascii="Times New Roman" w:hAnsi="Times New Roman" w:cs="Times New Roman"/>
        </w:rPr>
        <w:t>Aspris</w:t>
      </w:r>
      <w:proofErr w:type="spellEnd"/>
      <w:r w:rsidRPr="001377C8">
        <w:rPr>
          <w:rFonts w:ascii="Times New Roman" w:hAnsi="Times New Roman" w:cs="Times New Roman"/>
        </w:rPr>
        <w:t>, A., Foley, S., Svec, J., &amp; Wang, L. (2021). Decentralized exchanges: The “wild west” of cryptocurrency trading. </w:t>
      </w:r>
      <w:r w:rsidRPr="001377C8">
        <w:rPr>
          <w:rFonts w:ascii="Times New Roman" w:hAnsi="Times New Roman" w:cs="Times New Roman"/>
          <w:i/>
          <w:iCs/>
        </w:rPr>
        <w:t>International Review of Financial Analysis</w:t>
      </w:r>
      <w:r w:rsidRPr="001377C8">
        <w:rPr>
          <w:rFonts w:ascii="Times New Roman" w:hAnsi="Times New Roman" w:cs="Times New Roman"/>
        </w:rPr>
        <w:t>, </w:t>
      </w:r>
      <w:r w:rsidRPr="001377C8">
        <w:rPr>
          <w:rFonts w:ascii="Times New Roman" w:hAnsi="Times New Roman" w:cs="Times New Roman"/>
          <w:i/>
          <w:iCs/>
        </w:rPr>
        <w:t>77</w:t>
      </w:r>
      <w:r w:rsidRPr="001377C8">
        <w:rPr>
          <w:rFonts w:ascii="Times New Roman" w:hAnsi="Times New Roman" w:cs="Times New Roman"/>
        </w:rPr>
        <w:t>, 101845.</w:t>
      </w:r>
    </w:p>
    <w:p w14:paraId="40869A77" w14:textId="36F2050B" w:rsidR="00D22977" w:rsidRDefault="00D22977" w:rsidP="00A421A0">
      <w:pPr>
        <w:spacing w:after="0" w:line="240" w:lineRule="auto"/>
        <w:ind w:left="720" w:hanging="720"/>
        <w:jc w:val="both"/>
        <w:rPr>
          <w:rFonts w:ascii="Times New Roman" w:hAnsi="Times New Roman" w:cs="Times New Roman"/>
        </w:rPr>
      </w:pPr>
      <w:proofErr w:type="spellStart"/>
      <w:r w:rsidRPr="00C90428">
        <w:rPr>
          <w:rFonts w:ascii="Times New Roman" w:hAnsi="Times New Roman" w:cs="Times New Roman"/>
          <w:highlight w:val="cyan"/>
        </w:rPr>
        <w:t>Aspris</w:t>
      </w:r>
      <w:proofErr w:type="spellEnd"/>
      <w:r w:rsidRPr="00C90428">
        <w:rPr>
          <w:rFonts w:ascii="Times New Roman" w:hAnsi="Times New Roman" w:cs="Times New Roman"/>
          <w:highlight w:val="cyan"/>
        </w:rPr>
        <w:t xml:space="preserve">, A., Dyhrberg, A. H., </w:t>
      </w:r>
      <w:proofErr w:type="spellStart"/>
      <w:r w:rsidRPr="00C90428">
        <w:rPr>
          <w:rFonts w:ascii="Times New Roman" w:hAnsi="Times New Roman" w:cs="Times New Roman"/>
          <w:highlight w:val="cyan"/>
        </w:rPr>
        <w:t>Putniņš</w:t>
      </w:r>
      <w:proofErr w:type="spellEnd"/>
      <w:r w:rsidRPr="00C90428">
        <w:rPr>
          <w:rFonts w:ascii="Times New Roman" w:hAnsi="Times New Roman" w:cs="Times New Roman"/>
          <w:highlight w:val="cyan"/>
        </w:rPr>
        <w:t>, T. J., &amp; Foley, S. (2022). Digital Assets and Markets: A Transaction-Cost analysis of market architectures.</w:t>
      </w:r>
    </w:p>
    <w:p w14:paraId="68E18B3F" w14:textId="4BE2A9C8" w:rsidR="00360722" w:rsidRPr="00A421A0" w:rsidRDefault="00360722" w:rsidP="00A421A0">
      <w:pPr>
        <w:spacing w:after="0" w:line="240" w:lineRule="auto"/>
        <w:ind w:left="720" w:hanging="720"/>
        <w:jc w:val="both"/>
        <w:rPr>
          <w:rFonts w:ascii="Times New Roman" w:hAnsi="Times New Roman" w:cs="Times New Roman"/>
        </w:rPr>
      </w:pPr>
      <w:r w:rsidRPr="00360722">
        <w:rPr>
          <w:rFonts w:ascii="Times New Roman" w:hAnsi="Times New Roman" w:cs="Times New Roman"/>
          <w:highlight w:val="cyan"/>
        </w:rPr>
        <w:t>Barbon, A., &amp; Ranaldo, A. (2021). On the quality of cryptocurrency markets: Centralized versus decentralized exchanges. </w:t>
      </w:r>
      <w:proofErr w:type="spellStart"/>
      <w:r w:rsidRPr="00360722">
        <w:rPr>
          <w:rFonts w:ascii="Times New Roman" w:hAnsi="Times New Roman" w:cs="Times New Roman"/>
          <w:i/>
          <w:iCs/>
          <w:highlight w:val="cyan"/>
        </w:rPr>
        <w:t>arXiv</w:t>
      </w:r>
      <w:proofErr w:type="spellEnd"/>
      <w:r w:rsidRPr="00360722">
        <w:rPr>
          <w:rFonts w:ascii="Times New Roman" w:hAnsi="Times New Roman" w:cs="Times New Roman"/>
          <w:i/>
          <w:iCs/>
          <w:highlight w:val="cyan"/>
        </w:rPr>
        <w:t xml:space="preserve"> preprint arXiv:2112.07386</w:t>
      </w:r>
      <w:r w:rsidRPr="00360722">
        <w:rPr>
          <w:rFonts w:ascii="Times New Roman" w:hAnsi="Times New Roman" w:cs="Times New Roman"/>
          <w:highlight w:val="cyan"/>
        </w:rPr>
        <w:t>.</w:t>
      </w:r>
    </w:p>
    <w:p w14:paraId="09BF50F3" w14:textId="57D415ED" w:rsidR="00D412A8" w:rsidRPr="00A421A0" w:rsidRDefault="00D412A8" w:rsidP="00A421A0">
      <w:pPr>
        <w:spacing w:after="0" w:line="240" w:lineRule="auto"/>
        <w:ind w:left="720" w:hanging="720"/>
        <w:jc w:val="both"/>
        <w:rPr>
          <w:rFonts w:ascii="Times New Roman" w:hAnsi="Times New Roman" w:cs="Times New Roman"/>
        </w:rPr>
      </w:pPr>
      <w:r w:rsidRPr="00A421A0">
        <w:rPr>
          <w:rFonts w:ascii="Times New Roman" w:hAnsi="Times New Roman" w:cs="Times New Roman"/>
        </w:rPr>
        <w:t xml:space="preserve">Baur, D. G., &amp; Lucey, B. M. (2010). Is gold a hedge or </w:t>
      </w:r>
      <w:proofErr w:type="gramStart"/>
      <w:r w:rsidRPr="00A421A0">
        <w:rPr>
          <w:rFonts w:ascii="Times New Roman" w:hAnsi="Times New Roman" w:cs="Times New Roman"/>
        </w:rPr>
        <w:t>a safe haven</w:t>
      </w:r>
      <w:proofErr w:type="gramEnd"/>
      <w:r w:rsidRPr="00A421A0">
        <w:rPr>
          <w:rFonts w:ascii="Times New Roman" w:hAnsi="Times New Roman" w:cs="Times New Roman"/>
        </w:rPr>
        <w:t xml:space="preserve">? An analysis of stocks, </w:t>
      </w:r>
      <w:proofErr w:type="gramStart"/>
      <w:r w:rsidRPr="00A421A0">
        <w:rPr>
          <w:rFonts w:ascii="Times New Roman" w:hAnsi="Times New Roman" w:cs="Times New Roman"/>
        </w:rPr>
        <w:t>bonds</w:t>
      </w:r>
      <w:proofErr w:type="gramEnd"/>
      <w:r w:rsidRPr="00A421A0">
        <w:rPr>
          <w:rFonts w:ascii="Times New Roman" w:hAnsi="Times New Roman" w:cs="Times New Roman"/>
        </w:rPr>
        <w:t xml:space="preserve"> and gold. </w:t>
      </w:r>
      <w:r w:rsidRPr="00A421A0">
        <w:rPr>
          <w:rFonts w:ascii="Times New Roman" w:hAnsi="Times New Roman" w:cs="Times New Roman"/>
          <w:i/>
          <w:iCs/>
        </w:rPr>
        <w:t xml:space="preserve">Financial </w:t>
      </w:r>
      <w:r w:rsidR="00DB4327" w:rsidRPr="00A421A0">
        <w:rPr>
          <w:rFonts w:ascii="Times New Roman" w:hAnsi="Times New Roman" w:cs="Times New Roman"/>
          <w:i/>
          <w:iCs/>
        </w:rPr>
        <w:t>R</w:t>
      </w:r>
      <w:r w:rsidRPr="00A421A0">
        <w:rPr>
          <w:rFonts w:ascii="Times New Roman" w:hAnsi="Times New Roman" w:cs="Times New Roman"/>
          <w:i/>
          <w:iCs/>
        </w:rPr>
        <w:t>eview</w:t>
      </w:r>
      <w:r w:rsidRPr="00A421A0">
        <w:rPr>
          <w:rFonts w:ascii="Times New Roman" w:hAnsi="Times New Roman" w:cs="Times New Roman"/>
        </w:rPr>
        <w:t>, </w:t>
      </w:r>
      <w:r w:rsidRPr="00A421A0">
        <w:rPr>
          <w:rFonts w:ascii="Times New Roman" w:hAnsi="Times New Roman" w:cs="Times New Roman"/>
          <w:i/>
          <w:iCs/>
        </w:rPr>
        <w:t>45</w:t>
      </w:r>
      <w:r w:rsidRPr="00A421A0">
        <w:rPr>
          <w:rFonts w:ascii="Times New Roman" w:hAnsi="Times New Roman" w:cs="Times New Roman"/>
        </w:rPr>
        <w:t>(2), 217-229.</w:t>
      </w:r>
    </w:p>
    <w:p w14:paraId="327F6CCB" w14:textId="4F01A9A6" w:rsidR="00A421A0" w:rsidRDefault="00DB4327" w:rsidP="00A421A0">
      <w:pPr>
        <w:spacing w:after="0" w:line="240" w:lineRule="auto"/>
        <w:ind w:left="720" w:hanging="720"/>
        <w:jc w:val="both"/>
        <w:rPr>
          <w:rFonts w:ascii="Times New Roman" w:hAnsi="Times New Roman" w:cs="Times New Roman"/>
        </w:rPr>
      </w:pPr>
      <w:r w:rsidRPr="00A421A0">
        <w:rPr>
          <w:rFonts w:ascii="Times New Roman" w:hAnsi="Times New Roman" w:cs="Times New Roman"/>
        </w:rPr>
        <w:t xml:space="preserve">Bazán-Palomino, W. (2022). Interdependence, </w:t>
      </w:r>
      <w:proofErr w:type="gramStart"/>
      <w:r w:rsidRPr="00A421A0">
        <w:rPr>
          <w:rFonts w:ascii="Times New Roman" w:hAnsi="Times New Roman" w:cs="Times New Roman"/>
        </w:rPr>
        <w:t>contagion</w:t>
      </w:r>
      <w:proofErr w:type="gramEnd"/>
      <w:r w:rsidRPr="00A421A0">
        <w:rPr>
          <w:rFonts w:ascii="Times New Roman" w:hAnsi="Times New Roman" w:cs="Times New Roman"/>
        </w:rPr>
        <w:t xml:space="preserve"> and speculative bubbles in cryptocurrency markets. </w:t>
      </w:r>
      <w:r w:rsidRPr="00A421A0">
        <w:rPr>
          <w:rFonts w:ascii="Times New Roman" w:hAnsi="Times New Roman" w:cs="Times New Roman"/>
          <w:i/>
          <w:iCs/>
        </w:rPr>
        <w:t>Finance Research Letters</w:t>
      </w:r>
      <w:r w:rsidRPr="00A421A0">
        <w:rPr>
          <w:rFonts w:ascii="Times New Roman" w:hAnsi="Times New Roman" w:cs="Times New Roman"/>
        </w:rPr>
        <w:t>, </w:t>
      </w:r>
      <w:r w:rsidRPr="00A421A0">
        <w:rPr>
          <w:rFonts w:ascii="Times New Roman" w:hAnsi="Times New Roman" w:cs="Times New Roman"/>
          <w:i/>
          <w:iCs/>
        </w:rPr>
        <w:t>49</w:t>
      </w:r>
      <w:r w:rsidRPr="00A421A0">
        <w:rPr>
          <w:rFonts w:ascii="Times New Roman" w:hAnsi="Times New Roman" w:cs="Times New Roman"/>
        </w:rPr>
        <w:t>, 103132.</w:t>
      </w:r>
    </w:p>
    <w:p w14:paraId="0DD63075" w14:textId="6212467E" w:rsidR="008762CF" w:rsidRPr="00AD4A90" w:rsidRDefault="008762CF" w:rsidP="00A421A0">
      <w:pPr>
        <w:spacing w:after="0" w:line="240" w:lineRule="auto"/>
        <w:ind w:left="720" w:hanging="720"/>
        <w:jc w:val="both"/>
        <w:rPr>
          <w:rFonts w:ascii="Times New Roman" w:hAnsi="Times New Roman" w:cs="Times New Roman"/>
          <w:highlight w:val="cyan"/>
        </w:rPr>
      </w:pPr>
      <w:r w:rsidRPr="00AD4A90">
        <w:rPr>
          <w:rFonts w:ascii="Times New Roman" w:hAnsi="Times New Roman" w:cs="Times New Roman"/>
          <w:highlight w:val="cyan"/>
        </w:rPr>
        <w:t>Benedetti</w:t>
      </w:r>
      <w:r w:rsidRPr="00AD4A90">
        <w:rPr>
          <w:rFonts w:ascii="Times New Roman" w:hAnsi="Times New Roman" w:cs="Times New Roman"/>
          <w:highlight w:val="cyan"/>
        </w:rPr>
        <w:t>, H., &amp;</w:t>
      </w:r>
      <w:r w:rsidRPr="00AD4A90">
        <w:rPr>
          <w:rFonts w:ascii="Times New Roman" w:hAnsi="Times New Roman" w:cs="Times New Roman"/>
          <w:highlight w:val="cyan"/>
        </w:rPr>
        <w:t xml:space="preserve"> </w:t>
      </w:r>
      <w:proofErr w:type="spellStart"/>
      <w:r w:rsidRPr="00AD4A90">
        <w:rPr>
          <w:rFonts w:ascii="Times New Roman" w:hAnsi="Times New Roman" w:cs="Times New Roman"/>
          <w:highlight w:val="cyan"/>
        </w:rPr>
        <w:t>Nikbakht</w:t>
      </w:r>
      <w:proofErr w:type="spellEnd"/>
      <w:r w:rsidRPr="00AD4A90">
        <w:rPr>
          <w:rFonts w:ascii="Times New Roman" w:hAnsi="Times New Roman" w:cs="Times New Roman"/>
          <w:highlight w:val="cyan"/>
        </w:rPr>
        <w:t>,</w:t>
      </w:r>
      <w:r w:rsidR="00AD4A90" w:rsidRPr="00AD4A90">
        <w:rPr>
          <w:rFonts w:ascii="Times New Roman" w:hAnsi="Times New Roman" w:cs="Times New Roman"/>
          <w:highlight w:val="cyan"/>
        </w:rPr>
        <w:t xml:space="preserve"> E. (2020). </w:t>
      </w:r>
      <w:r w:rsidR="00AD4A90" w:rsidRPr="00AD4A90">
        <w:rPr>
          <w:rFonts w:ascii="Times New Roman" w:hAnsi="Times New Roman" w:cs="Times New Roman"/>
          <w:highlight w:val="cyan"/>
        </w:rPr>
        <w:t>Returns and network growth of digital tokens after cross-listings</w:t>
      </w:r>
      <w:r w:rsidR="00AD4A90" w:rsidRPr="00AD4A90">
        <w:rPr>
          <w:rFonts w:ascii="Times New Roman" w:hAnsi="Times New Roman" w:cs="Times New Roman"/>
          <w:highlight w:val="cyan"/>
        </w:rPr>
        <w:t xml:space="preserve">. </w:t>
      </w:r>
      <w:r w:rsidR="00AD4A90" w:rsidRPr="00AD4A90">
        <w:rPr>
          <w:rFonts w:ascii="Times New Roman" w:hAnsi="Times New Roman" w:cs="Times New Roman"/>
          <w:i/>
          <w:iCs/>
          <w:highlight w:val="cyan"/>
        </w:rPr>
        <w:t>Journal of Corporate Finance</w:t>
      </w:r>
      <w:r w:rsidR="00AD4A90" w:rsidRPr="00AD4A90">
        <w:rPr>
          <w:rFonts w:ascii="Times New Roman" w:hAnsi="Times New Roman" w:cs="Times New Roman"/>
          <w:highlight w:val="cyan"/>
        </w:rPr>
        <w:t>, 66.</w:t>
      </w:r>
      <w:r w:rsidRPr="00AD4A90">
        <w:rPr>
          <w:rFonts w:ascii="Times New Roman" w:hAnsi="Times New Roman" w:cs="Times New Roman"/>
          <w:highlight w:val="cyan"/>
        </w:rPr>
        <w:t xml:space="preserve"> </w:t>
      </w:r>
    </w:p>
    <w:p w14:paraId="2A840415" w14:textId="411E3C82" w:rsidR="00A04A98" w:rsidRPr="00A421A0" w:rsidRDefault="00A04A98" w:rsidP="00A421A0">
      <w:pPr>
        <w:spacing w:after="0" w:line="240" w:lineRule="auto"/>
        <w:ind w:left="720" w:hanging="720"/>
        <w:jc w:val="both"/>
        <w:rPr>
          <w:rFonts w:ascii="Times New Roman" w:hAnsi="Times New Roman" w:cs="Times New Roman"/>
        </w:rPr>
      </w:pPr>
      <w:r w:rsidRPr="00A04A98">
        <w:rPr>
          <w:rFonts w:ascii="Times New Roman" w:hAnsi="Times New Roman" w:cs="Times New Roman"/>
          <w:highlight w:val="cyan"/>
        </w:rPr>
        <w:t>Briola, A., Vidal-Tomás, D., Wang, Y., &amp; Aste, T. (2023). Anatomy of a Stablecoin’s failure: The Terra-Luna case. </w:t>
      </w:r>
      <w:r w:rsidRPr="00A04A98">
        <w:rPr>
          <w:rFonts w:ascii="Times New Roman" w:hAnsi="Times New Roman" w:cs="Times New Roman"/>
          <w:i/>
          <w:iCs/>
          <w:highlight w:val="cyan"/>
        </w:rPr>
        <w:t>Finance Research Letters</w:t>
      </w:r>
      <w:r w:rsidRPr="00A04A98">
        <w:rPr>
          <w:rFonts w:ascii="Times New Roman" w:hAnsi="Times New Roman" w:cs="Times New Roman"/>
          <w:highlight w:val="cyan"/>
        </w:rPr>
        <w:t>, </w:t>
      </w:r>
      <w:r w:rsidRPr="00A04A98">
        <w:rPr>
          <w:rFonts w:ascii="Times New Roman" w:hAnsi="Times New Roman" w:cs="Times New Roman"/>
          <w:i/>
          <w:iCs/>
          <w:highlight w:val="cyan"/>
        </w:rPr>
        <w:t>51</w:t>
      </w:r>
      <w:r w:rsidRPr="00A04A98">
        <w:rPr>
          <w:rFonts w:ascii="Times New Roman" w:hAnsi="Times New Roman" w:cs="Times New Roman"/>
          <w:highlight w:val="cyan"/>
        </w:rPr>
        <w:t>, 103358.</w:t>
      </w:r>
    </w:p>
    <w:p w14:paraId="53FD35E9" w14:textId="2CCD1BA8" w:rsidR="00DB4327" w:rsidRPr="00A421A0" w:rsidRDefault="00A421A0" w:rsidP="00A421A0">
      <w:pPr>
        <w:spacing w:after="0" w:line="240" w:lineRule="auto"/>
        <w:ind w:left="720" w:hanging="720"/>
        <w:jc w:val="both"/>
        <w:rPr>
          <w:rFonts w:ascii="Times New Roman" w:hAnsi="Times New Roman" w:cs="Times New Roman"/>
        </w:rPr>
      </w:pPr>
      <w:r w:rsidRPr="00A421A0">
        <w:rPr>
          <w:rFonts w:ascii="Times New Roman" w:hAnsi="Times New Roman" w:cs="Times New Roman"/>
        </w:rPr>
        <w:t xml:space="preserve">Bouri, E., </w:t>
      </w:r>
      <w:proofErr w:type="spellStart"/>
      <w:r w:rsidRPr="00A421A0">
        <w:rPr>
          <w:rFonts w:ascii="Times New Roman" w:hAnsi="Times New Roman" w:cs="Times New Roman"/>
        </w:rPr>
        <w:t>Cepni</w:t>
      </w:r>
      <w:proofErr w:type="spellEnd"/>
      <w:r w:rsidRPr="00A421A0">
        <w:rPr>
          <w:rFonts w:ascii="Times New Roman" w:hAnsi="Times New Roman" w:cs="Times New Roman"/>
        </w:rPr>
        <w:t xml:space="preserve">, O., Gabauer, D., &amp; Gupta, R. (2021). Return connectedness across asset classes around the COVID-19 outbreak. </w:t>
      </w:r>
      <w:r w:rsidRPr="00A421A0">
        <w:rPr>
          <w:rFonts w:ascii="Times New Roman" w:hAnsi="Times New Roman" w:cs="Times New Roman"/>
          <w:i/>
          <w:iCs/>
        </w:rPr>
        <w:t>International Review of Financial Analysis</w:t>
      </w:r>
      <w:r w:rsidRPr="00A421A0">
        <w:rPr>
          <w:rFonts w:ascii="Times New Roman" w:hAnsi="Times New Roman" w:cs="Times New Roman"/>
        </w:rPr>
        <w:t>, 73, 101646.</w:t>
      </w:r>
    </w:p>
    <w:p w14:paraId="0B91304E" w14:textId="77777777" w:rsidR="00D412A8" w:rsidRPr="00A421A0" w:rsidRDefault="00D412A8" w:rsidP="00A421A0">
      <w:pPr>
        <w:spacing w:after="0" w:line="240" w:lineRule="auto"/>
        <w:ind w:left="720" w:hanging="720"/>
        <w:jc w:val="both"/>
        <w:rPr>
          <w:rFonts w:ascii="Times New Roman" w:hAnsi="Times New Roman" w:cs="Times New Roman"/>
        </w:rPr>
      </w:pPr>
      <w:r w:rsidRPr="00A421A0">
        <w:rPr>
          <w:rFonts w:ascii="Times New Roman" w:hAnsi="Times New Roman" w:cs="Times New Roman"/>
        </w:rPr>
        <w:t xml:space="preserve">Bouri, E., Shahzad, S. J. H., </w:t>
      </w:r>
      <w:proofErr w:type="spellStart"/>
      <w:r w:rsidRPr="00A421A0">
        <w:rPr>
          <w:rFonts w:ascii="Times New Roman" w:hAnsi="Times New Roman" w:cs="Times New Roman"/>
        </w:rPr>
        <w:t>Roubaud</w:t>
      </w:r>
      <w:proofErr w:type="spellEnd"/>
      <w:r w:rsidRPr="00A421A0">
        <w:rPr>
          <w:rFonts w:ascii="Times New Roman" w:hAnsi="Times New Roman" w:cs="Times New Roman"/>
        </w:rPr>
        <w:t xml:space="preserve">, D., </w:t>
      </w:r>
      <w:proofErr w:type="spellStart"/>
      <w:r w:rsidRPr="00A421A0">
        <w:rPr>
          <w:rFonts w:ascii="Times New Roman" w:hAnsi="Times New Roman" w:cs="Times New Roman"/>
        </w:rPr>
        <w:t>Kristoufek</w:t>
      </w:r>
      <w:proofErr w:type="spellEnd"/>
      <w:r w:rsidRPr="00A421A0">
        <w:rPr>
          <w:rFonts w:ascii="Times New Roman" w:hAnsi="Times New Roman" w:cs="Times New Roman"/>
        </w:rPr>
        <w:t xml:space="preserve">, L., &amp; Lucey, B. (2020). Bitcoin, gold, and commodities as safe havens for stocks: </w:t>
      </w:r>
      <w:proofErr w:type="gramStart"/>
      <w:r w:rsidRPr="00A421A0">
        <w:rPr>
          <w:rFonts w:ascii="Times New Roman" w:hAnsi="Times New Roman" w:cs="Times New Roman"/>
        </w:rPr>
        <w:t>New</w:t>
      </w:r>
      <w:proofErr w:type="gramEnd"/>
      <w:r w:rsidRPr="00A421A0">
        <w:rPr>
          <w:rFonts w:ascii="Times New Roman" w:hAnsi="Times New Roman" w:cs="Times New Roman"/>
        </w:rPr>
        <w:t xml:space="preserve"> insight through wavelet analysis. </w:t>
      </w:r>
      <w:r w:rsidRPr="00A421A0">
        <w:rPr>
          <w:rFonts w:ascii="Times New Roman" w:hAnsi="Times New Roman" w:cs="Times New Roman"/>
          <w:i/>
          <w:iCs/>
        </w:rPr>
        <w:t>The Quarterly Review of Economics and Finance</w:t>
      </w:r>
      <w:r w:rsidRPr="00A421A0">
        <w:rPr>
          <w:rFonts w:ascii="Times New Roman" w:hAnsi="Times New Roman" w:cs="Times New Roman"/>
        </w:rPr>
        <w:t>, </w:t>
      </w:r>
      <w:r w:rsidRPr="00A421A0">
        <w:rPr>
          <w:rFonts w:ascii="Times New Roman" w:hAnsi="Times New Roman" w:cs="Times New Roman"/>
          <w:i/>
          <w:iCs/>
        </w:rPr>
        <w:t>77</w:t>
      </w:r>
      <w:r w:rsidRPr="00A421A0">
        <w:rPr>
          <w:rFonts w:ascii="Times New Roman" w:hAnsi="Times New Roman" w:cs="Times New Roman"/>
        </w:rPr>
        <w:t>, 156-164.</w:t>
      </w:r>
    </w:p>
    <w:p w14:paraId="26F206B2" w14:textId="77777777" w:rsidR="00D412A8" w:rsidRPr="00A421A0" w:rsidRDefault="00D412A8" w:rsidP="00A421A0">
      <w:pPr>
        <w:spacing w:after="0" w:line="240" w:lineRule="auto"/>
        <w:ind w:left="720" w:hanging="720"/>
        <w:jc w:val="both"/>
        <w:rPr>
          <w:rFonts w:ascii="Times New Roman" w:hAnsi="Times New Roman" w:cs="Times New Roman"/>
        </w:rPr>
      </w:pPr>
      <w:r w:rsidRPr="00A421A0">
        <w:rPr>
          <w:rFonts w:ascii="Times New Roman" w:hAnsi="Times New Roman" w:cs="Times New Roman"/>
        </w:rPr>
        <w:t>Cho, J. W., Choi, J. H., Kim, T., &amp; Kim, W. (2016). Flight-to-quality and correlation between currency and stock returns. </w:t>
      </w:r>
      <w:r w:rsidRPr="00A421A0">
        <w:rPr>
          <w:rFonts w:ascii="Times New Roman" w:hAnsi="Times New Roman" w:cs="Times New Roman"/>
          <w:i/>
          <w:iCs/>
        </w:rPr>
        <w:t>Journal of Banking &amp; Finance</w:t>
      </w:r>
      <w:r w:rsidRPr="00A421A0">
        <w:rPr>
          <w:rFonts w:ascii="Times New Roman" w:hAnsi="Times New Roman" w:cs="Times New Roman"/>
        </w:rPr>
        <w:t>, </w:t>
      </w:r>
      <w:r w:rsidRPr="00A421A0">
        <w:rPr>
          <w:rFonts w:ascii="Times New Roman" w:hAnsi="Times New Roman" w:cs="Times New Roman"/>
          <w:i/>
          <w:iCs/>
        </w:rPr>
        <w:t>62</w:t>
      </w:r>
      <w:r w:rsidRPr="00A421A0">
        <w:rPr>
          <w:rFonts w:ascii="Times New Roman" w:hAnsi="Times New Roman" w:cs="Times New Roman"/>
        </w:rPr>
        <w:t>, 191-212.</w:t>
      </w:r>
    </w:p>
    <w:p w14:paraId="56D21B06" w14:textId="11E7EB2D" w:rsidR="002B548D" w:rsidRPr="00A421A0" w:rsidRDefault="002B548D" w:rsidP="00A421A0">
      <w:pPr>
        <w:spacing w:after="0" w:line="240" w:lineRule="auto"/>
        <w:ind w:left="720" w:hanging="720"/>
        <w:jc w:val="both"/>
        <w:rPr>
          <w:rFonts w:ascii="Times New Roman" w:hAnsi="Times New Roman" w:cs="Times New Roman"/>
        </w:rPr>
      </w:pPr>
      <w:r w:rsidRPr="00A421A0">
        <w:rPr>
          <w:rFonts w:ascii="Times New Roman" w:hAnsi="Times New Roman" w:cs="Times New Roman"/>
        </w:rPr>
        <w:t xml:space="preserve">Corbet, S., Larkin, C., Lucey, B., Meegan, A., </w:t>
      </w:r>
      <w:r w:rsidR="00B64D82">
        <w:rPr>
          <w:rFonts w:ascii="Times New Roman" w:hAnsi="Times New Roman" w:cs="Times New Roman"/>
        </w:rPr>
        <w:t xml:space="preserve">&amp; </w:t>
      </w:r>
      <w:r w:rsidRPr="00A421A0">
        <w:rPr>
          <w:rFonts w:ascii="Times New Roman" w:hAnsi="Times New Roman" w:cs="Times New Roman"/>
        </w:rPr>
        <w:t>Yarovaya, L. (2020).</w:t>
      </w:r>
      <w:r w:rsidRPr="00A421A0">
        <w:t xml:space="preserve"> </w:t>
      </w:r>
      <w:r w:rsidRPr="00A421A0">
        <w:rPr>
          <w:rFonts w:ascii="Times New Roman" w:hAnsi="Times New Roman" w:cs="Times New Roman"/>
        </w:rPr>
        <w:t xml:space="preserve">Cryptocurrency reaction to FOMC Announcements: Evidence of heterogeneity based on blockchain stack position. </w:t>
      </w:r>
      <w:r w:rsidRPr="00A421A0">
        <w:rPr>
          <w:rFonts w:ascii="Times New Roman" w:hAnsi="Times New Roman" w:cs="Times New Roman"/>
          <w:i/>
          <w:iCs/>
        </w:rPr>
        <w:t>Journal of Financial Stability, 46</w:t>
      </w:r>
      <w:r w:rsidRPr="00A421A0">
        <w:rPr>
          <w:rFonts w:ascii="Times New Roman" w:hAnsi="Times New Roman" w:cs="Times New Roman"/>
        </w:rPr>
        <w:t>.</w:t>
      </w:r>
    </w:p>
    <w:p w14:paraId="2DF78F44" w14:textId="03352FE1" w:rsidR="00D412A8" w:rsidRDefault="00B64D82" w:rsidP="00A421A0">
      <w:pPr>
        <w:spacing w:after="0" w:line="240" w:lineRule="auto"/>
        <w:ind w:left="720" w:hanging="720"/>
        <w:jc w:val="both"/>
        <w:rPr>
          <w:rFonts w:ascii="Times New Roman" w:hAnsi="Times New Roman" w:cs="Times New Roman"/>
        </w:rPr>
      </w:pPr>
      <w:r>
        <w:rPr>
          <w:rFonts w:ascii="Times New Roman" w:hAnsi="Times New Roman" w:cs="Times New Roman"/>
        </w:rPr>
        <w:t xml:space="preserve">Diebold, F. X., &amp; </w:t>
      </w:r>
      <w:r w:rsidR="00D412A8" w:rsidRPr="00A421A0">
        <w:rPr>
          <w:rFonts w:ascii="Times New Roman" w:hAnsi="Times New Roman" w:cs="Times New Roman"/>
        </w:rPr>
        <w:t xml:space="preserve">Yilmaz, K., (2012). Better to give than to receive: Predictive directional measurement of volatility spillovers. </w:t>
      </w:r>
      <w:r w:rsidR="00D412A8" w:rsidRPr="00A421A0">
        <w:rPr>
          <w:rFonts w:ascii="Times New Roman" w:hAnsi="Times New Roman" w:cs="Times New Roman"/>
          <w:i/>
          <w:iCs/>
        </w:rPr>
        <w:t>International Journal of Forecasting,</w:t>
      </w:r>
      <w:r w:rsidR="00D412A8" w:rsidRPr="00A421A0">
        <w:rPr>
          <w:rFonts w:ascii="Times New Roman" w:hAnsi="Times New Roman" w:cs="Times New Roman"/>
        </w:rPr>
        <w:t xml:space="preserve"> 28(1), 57–66.</w:t>
      </w:r>
    </w:p>
    <w:p w14:paraId="2A7A76B9" w14:textId="71DC1E64" w:rsidR="00EE0DE9" w:rsidRDefault="00EE0DE9" w:rsidP="00A421A0">
      <w:pPr>
        <w:spacing w:after="0" w:line="240" w:lineRule="auto"/>
        <w:ind w:left="720" w:hanging="720"/>
        <w:jc w:val="both"/>
        <w:rPr>
          <w:rFonts w:ascii="Times New Roman" w:hAnsi="Times New Roman" w:cs="Times New Roman"/>
        </w:rPr>
      </w:pPr>
      <w:r w:rsidRPr="00EE0DE9">
        <w:rPr>
          <w:rFonts w:ascii="Times New Roman" w:hAnsi="Times New Roman" w:cs="Times New Roman"/>
        </w:rPr>
        <w:t xml:space="preserve">Dolata, M., &amp; Schwabe, G. (2023). What is the Metaverse and who seeks to define it? Mapping the site of social construction. </w:t>
      </w:r>
      <w:r w:rsidRPr="00EE0DE9">
        <w:rPr>
          <w:rFonts w:ascii="Times New Roman" w:hAnsi="Times New Roman" w:cs="Times New Roman"/>
          <w:i/>
        </w:rPr>
        <w:t>Journal of Information Technology, 0</w:t>
      </w:r>
      <w:r w:rsidRPr="00EE0DE9">
        <w:rPr>
          <w:rFonts w:ascii="Times New Roman" w:hAnsi="Times New Roman" w:cs="Times New Roman"/>
        </w:rPr>
        <w:t>(0)</w:t>
      </w:r>
      <w:r>
        <w:rPr>
          <w:rFonts w:ascii="Times New Roman" w:hAnsi="Times New Roman" w:cs="Times New Roman"/>
        </w:rPr>
        <w:t>.</w:t>
      </w:r>
    </w:p>
    <w:p w14:paraId="4A6FB8EF" w14:textId="7AE39CDC" w:rsidR="00B64D82" w:rsidRPr="00B64D82" w:rsidRDefault="00B64D82" w:rsidP="00A421A0">
      <w:pPr>
        <w:spacing w:after="0" w:line="240" w:lineRule="auto"/>
        <w:ind w:left="720" w:hanging="720"/>
        <w:jc w:val="both"/>
        <w:rPr>
          <w:rFonts w:ascii="Times New Roman" w:hAnsi="Times New Roman" w:cs="Times New Roman"/>
        </w:rPr>
      </w:pPr>
      <w:r>
        <w:rPr>
          <w:rFonts w:ascii="Times New Roman" w:hAnsi="Times New Roman" w:cs="Times New Roman"/>
        </w:rPr>
        <w:t xml:space="preserve">Drummer, D. &amp; Neumann, D. (2020). </w:t>
      </w:r>
      <w:r w:rsidRPr="00B64D82">
        <w:rPr>
          <w:rFonts w:ascii="Times New Roman" w:hAnsi="Times New Roman" w:cs="Times New Roman"/>
        </w:rPr>
        <w:t>Is code law? Current legal and technical adoption issues and remedies for blockchain-enabled smart contracts</w:t>
      </w:r>
      <w:r>
        <w:rPr>
          <w:rFonts w:ascii="Times New Roman" w:hAnsi="Times New Roman" w:cs="Times New Roman"/>
        </w:rPr>
        <w:t xml:space="preserve">. </w:t>
      </w:r>
      <w:r w:rsidRPr="00B64D82">
        <w:rPr>
          <w:rFonts w:ascii="Times New Roman" w:hAnsi="Times New Roman" w:cs="Times New Roman"/>
          <w:i/>
        </w:rPr>
        <w:t>Journal of Information T</w:t>
      </w:r>
      <w:r>
        <w:rPr>
          <w:rFonts w:ascii="Times New Roman" w:hAnsi="Times New Roman" w:cs="Times New Roman"/>
          <w:i/>
        </w:rPr>
        <w:t>echnology, 35,</w:t>
      </w:r>
      <w:r>
        <w:rPr>
          <w:rFonts w:ascii="Times New Roman" w:hAnsi="Times New Roman" w:cs="Times New Roman"/>
        </w:rPr>
        <w:t xml:space="preserve"> 337-360.</w:t>
      </w:r>
    </w:p>
    <w:p w14:paraId="614E299F" w14:textId="12BEDC30" w:rsidR="001437B9" w:rsidRPr="00A421A0" w:rsidRDefault="001437B9" w:rsidP="00A421A0">
      <w:pPr>
        <w:spacing w:after="0" w:line="240" w:lineRule="auto"/>
        <w:ind w:left="720" w:hanging="720"/>
        <w:jc w:val="both"/>
        <w:rPr>
          <w:rFonts w:ascii="Times New Roman" w:hAnsi="Times New Roman" w:cs="Times New Roman"/>
        </w:rPr>
      </w:pPr>
      <w:r>
        <w:rPr>
          <w:rFonts w:ascii="Times New Roman" w:hAnsi="Times New Roman" w:cs="Times New Roman"/>
        </w:rPr>
        <w:t xml:space="preserve">Dwyer, G. P. (2015). </w:t>
      </w:r>
      <w:r w:rsidRPr="001437B9">
        <w:rPr>
          <w:rFonts w:ascii="Times New Roman" w:hAnsi="Times New Roman" w:cs="Times New Roman"/>
        </w:rPr>
        <w:t>The economics of Bitcoin and similar private digital currencies</w:t>
      </w:r>
      <w:r>
        <w:rPr>
          <w:rFonts w:ascii="Times New Roman" w:hAnsi="Times New Roman" w:cs="Times New Roman"/>
        </w:rPr>
        <w:t xml:space="preserve">. </w:t>
      </w:r>
      <w:r w:rsidRPr="001437B9">
        <w:rPr>
          <w:rFonts w:ascii="Times New Roman" w:hAnsi="Times New Roman" w:cs="Times New Roman"/>
          <w:i/>
          <w:iCs/>
        </w:rPr>
        <w:t>Journal of Financial Stability, 17</w:t>
      </w:r>
      <w:r>
        <w:rPr>
          <w:rFonts w:ascii="Times New Roman" w:hAnsi="Times New Roman" w:cs="Times New Roman"/>
        </w:rPr>
        <w:t>, 81-91.</w:t>
      </w:r>
    </w:p>
    <w:p w14:paraId="0D3FEAD0" w14:textId="77777777" w:rsidR="00D412A8" w:rsidRPr="00A421A0" w:rsidRDefault="00D412A8" w:rsidP="00A421A0">
      <w:pPr>
        <w:spacing w:after="0" w:line="240" w:lineRule="auto"/>
        <w:ind w:left="720" w:hanging="720"/>
        <w:jc w:val="both"/>
        <w:rPr>
          <w:rFonts w:ascii="Times New Roman" w:hAnsi="Times New Roman" w:cs="Times New Roman"/>
        </w:rPr>
      </w:pPr>
      <w:r w:rsidRPr="00A421A0">
        <w:rPr>
          <w:rFonts w:ascii="Times New Roman" w:hAnsi="Times New Roman" w:cs="Times New Roman"/>
        </w:rPr>
        <w:t xml:space="preserve">Dyhrberg, A. H., Foley, S., &amp; Svec, J. (2018). How investible is bitcoin? Analyzing the Liquidity and Transaction Costs of Bitcoin Markets. </w:t>
      </w:r>
      <w:r w:rsidRPr="00A421A0">
        <w:rPr>
          <w:rFonts w:ascii="Times New Roman" w:hAnsi="Times New Roman" w:cs="Times New Roman"/>
          <w:i/>
          <w:iCs/>
        </w:rPr>
        <w:t>Economics Letters</w:t>
      </w:r>
      <w:r w:rsidRPr="00A421A0">
        <w:rPr>
          <w:rFonts w:ascii="Times New Roman" w:hAnsi="Times New Roman" w:cs="Times New Roman"/>
        </w:rPr>
        <w:t>, 140–143.</w:t>
      </w:r>
    </w:p>
    <w:p w14:paraId="681FEF7F" w14:textId="77777777" w:rsidR="00D412A8" w:rsidRPr="00A421A0" w:rsidRDefault="00D412A8" w:rsidP="00A421A0">
      <w:pPr>
        <w:spacing w:after="0" w:line="240" w:lineRule="auto"/>
        <w:ind w:left="720" w:hanging="720"/>
        <w:jc w:val="both"/>
        <w:rPr>
          <w:rFonts w:ascii="Times New Roman" w:hAnsi="Times New Roman" w:cs="Times New Roman"/>
        </w:rPr>
      </w:pPr>
      <w:r w:rsidRPr="00A421A0">
        <w:rPr>
          <w:rFonts w:ascii="Times New Roman" w:hAnsi="Times New Roman" w:cs="Times New Roman"/>
        </w:rPr>
        <w:t xml:space="preserve">Farid, S., Naeem, M. A., Paltrinieri, A., &amp; Nepal, R. (2022). Impact of COVID-19 on the quantile connectedness between energy, </w:t>
      </w:r>
      <w:proofErr w:type="gramStart"/>
      <w:r w:rsidRPr="00A421A0">
        <w:rPr>
          <w:rFonts w:ascii="Times New Roman" w:hAnsi="Times New Roman" w:cs="Times New Roman"/>
        </w:rPr>
        <w:t>metals</w:t>
      </w:r>
      <w:proofErr w:type="gramEnd"/>
      <w:r w:rsidRPr="00A421A0">
        <w:rPr>
          <w:rFonts w:ascii="Times New Roman" w:hAnsi="Times New Roman" w:cs="Times New Roman"/>
        </w:rPr>
        <w:t xml:space="preserve"> and agriculture commodities. </w:t>
      </w:r>
      <w:r w:rsidRPr="00A421A0">
        <w:rPr>
          <w:rFonts w:ascii="Times New Roman" w:hAnsi="Times New Roman" w:cs="Times New Roman"/>
          <w:i/>
          <w:iCs/>
        </w:rPr>
        <w:t>Energy economics</w:t>
      </w:r>
      <w:r w:rsidRPr="00A421A0">
        <w:rPr>
          <w:rFonts w:ascii="Times New Roman" w:hAnsi="Times New Roman" w:cs="Times New Roman"/>
        </w:rPr>
        <w:t>, </w:t>
      </w:r>
      <w:r w:rsidRPr="00A421A0">
        <w:rPr>
          <w:rFonts w:ascii="Times New Roman" w:hAnsi="Times New Roman" w:cs="Times New Roman"/>
          <w:i/>
          <w:iCs/>
        </w:rPr>
        <w:t>109</w:t>
      </w:r>
      <w:r w:rsidRPr="00A421A0">
        <w:rPr>
          <w:rFonts w:ascii="Times New Roman" w:hAnsi="Times New Roman" w:cs="Times New Roman"/>
        </w:rPr>
        <w:t>, 105962.</w:t>
      </w:r>
    </w:p>
    <w:p w14:paraId="73D649A5" w14:textId="77777777" w:rsidR="007A7676" w:rsidRDefault="00D412A8" w:rsidP="00A421A0">
      <w:pPr>
        <w:spacing w:after="0" w:line="240" w:lineRule="auto"/>
        <w:ind w:left="720" w:hanging="720"/>
        <w:jc w:val="both"/>
        <w:rPr>
          <w:rFonts w:ascii="Arial" w:hAnsi="Arial" w:cs="Arial"/>
          <w:color w:val="222222"/>
          <w:sz w:val="20"/>
          <w:szCs w:val="20"/>
          <w:shd w:val="clear" w:color="auto" w:fill="FFFFFF"/>
        </w:rPr>
      </w:pPr>
      <w:r w:rsidRPr="00A421A0">
        <w:rPr>
          <w:rFonts w:ascii="Times New Roman" w:hAnsi="Times New Roman" w:cs="Times New Roman"/>
        </w:rPr>
        <w:lastRenderedPageBreak/>
        <w:t>Flitter, E. (2022). It’s hard to tell when the crypto bubble will burst, or if there is one. The New York Times. Accessed June 2, 2022.</w:t>
      </w:r>
      <w:r w:rsidR="007A7676" w:rsidRPr="007A7676">
        <w:rPr>
          <w:rFonts w:ascii="Arial" w:hAnsi="Arial" w:cs="Arial"/>
          <w:color w:val="222222"/>
          <w:sz w:val="20"/>
          <w:szCs w:val="20"/>
          <w:shd w:val="clear" w:color="auto" w:fill="FFFFFF"/>
        </w:rPr>
        <w:t xml:space="preserve"> </w:t>
      </w:r>
    </w:p>
    <w:p w14:paraId="2C33D559" w14:textId="3D9E0FF0" w:rsidR="00D412A8" w:rsidRPr="00A421A0" w:rsidRDefault="007A7676" w:rsidP="00A421A0">
      <w:pPr>
        <w:spacing w:after="0" w:line="240" w:lineRule="auto"/>
        <w:ind w:left="720" w:hanging="720"/>
        <w:jc w:val="both"/>
        <w:rPr>
          <w:rFonts w:ascii="Times New Roman" w:hAnsi="Times New Roman" w:cs="Times New Roman"/>
        </w:rPr>
      </w:pPr>
      <w:r w:rsidRPr="007A7676">
        <w:rPr>
          <w:rFonts w:ascii="Times New Roman" w:hAnsi="Times New Roman" w:cs="Times New Roman"/>
          <w:highlight w:val="cyan"/>
        </w:rPr>
        <w:t xml:space="preserve">Geuder, J., </w:t>
      </w:r>
      <w:proofErr w:type="spellStart"/>
      <w:r w:rsidRPr="007A7676">
        <w:rPr>
          <w:rFonts w:ascii="Times New Roman" w:hAnsi="Times New Roman" w:cs="Times New Roman"/>
          <w:highlight w:val="cyan"/>
        </w:rPr>
        <w:t>Kinateder</w:t>
      </w:r>
      <w:proofErr w:type="spellEnd"/>
      <w:r w:rsidRPr="007A7676">
        <w:rPr>
          <w:rFonts w:ascii="Times New Roman" w:hAnsi="Times New Roman" w:cs="Times New Roman"/>
          <w:highlight w:val="cyan"/>
        </w:rPr>
        <w:t>, H., &amp; Wagner, N. F. (2019). Cryptocurrencies as financial bubbles: The case of Bitcoin. </w:t>
      </w:r>
      <w:r w:rsidRPr="007A7676">
        <w:rPr>
          <w:rFonts w:ascii="Times New Roman" w:hAnsi="Times New Roman" w:cs="Times New Roman"/>
          <w:i/>
          <w:iCs/>
          <w:highlight w:val="cyan"/>
        </w:rPr>
        <w:t>Finance Research Letters</w:t>
      </w:r>
      <w:r w:rsidRPr="007A7676">
        <w:rPr>
          <w:rFonts w:ascii="Times New Roman" w:hAnsi="Times New Roman" w:cs="Times New Roman"/>
          <w:highlight w:val="cyan"/>
        </w:rPr>
        <w:t>, </w:t>
      </w:r>
      <w:r w:rsidRPr="007A7676">
        <w:rPr>
          <w:rFonts w:ascii="Times New Roman" w:hAnsi="Times New Roman" w:cs="Times New Roman"/>
          <w:i/>
          <w:iCs/>
          <w:highlight w:val="cyan"/>
        </w:rPr>
        <w:t>31</w:t>
      </w:r>
      <w:r w:rsidRPr="007A7676">
        <w:rPr>
          <w:rFonts w:ascii="Times New Roman" w:hAnsi="Times New Roman" w:cs="Times New Roman"/>
          <w:highlight w:val="cyan"/>
        </w:rPr>
        <w:t>.</w:t>
      </w:r>
    </w:p>
    <w:p w14:paraId="5B8C749F" w14:textId="0935732F" w:rsidR="00D412A8" w:rsidRPr="00A421A0" w:rsidRDefault="00D412A8" w:rsidP="00A421A0">
      <w:pPr>
        <w:spacing w:after="0" w:line="240" w:lineRule="auto"/>
        <w:ind w:left="720" w:hanging="720"/>
        <w:jc w:val="both"/>
        <w:rPr>
          <w:rFonts w:ascii="Times New Roman" w:hAnsi="Times New Roman" w:cs="Times New Roman"/>
        </w:rPr>
      </w:pPr>
      <w:r w:rsidRPr="00A421A0">
        <w:rPr>
          <w:rFonts w:ascii="Times New Roman" w:hAnsi="Times New Roman" w:cs="Times New Roman"/>
        </w:rPr>
        <w:t xml:space="preserve">Gharib, C., </w:t>
      </w:r>
      <w:proofErr w:type="spellStart"/>
      <w:r w:rsidRPr="00A421A0">
        <w:rPr>
          <w:rFonts w:ascii="Times New Roman" w:hAnsi="Times New Roman" w:cs="Times New Roman"/>
        </w:rPr>
        <w:t>Mefteh-Wali</w:t>
      </w:r>
      <w:proofErr w:type="spellEnd"/>
      <w:r w:rsidRPr="00A421A0">
        <w:rPr>
          <w:rFonts w:ascii="Times New Roman" w:hAnsi="Times New Roman" w:cs="Times New Roman"/>
        </w:rPr>
        <w:t xml:space="preserve">, S., &amp; Jabeur, S. B. (2021). The bubble contagion effect of COVID-19 </w:t>
      </w:r>
      <w:r w:rsidR="00531153" w:rsidRPr="00A421A0">
        <w:rPr>
          <w:rFonts w:ascii="Times New Roman" w:hAnsi="Times New Roman" w:cs="Times New Roman"/>
        </w:rPr>
        <w:t>outbreaks</w:t>
      </w:r>
      <w:r w:rsidRPr="00A421A0">
        <w:rPr>
          <w:rFonts w:ascii="Times New Roman" w:hAnsi="Times New Roman" w:cs="Times New Roman"/>
        </w:rPr>
        <w:t>: Evidence from crude oil and gold markets. </w:t>
      </w:r>
      <w:r w:rsidRPr="00A421A0">
        <w:rPr>
          <w:rFonts w:ascii="Times New Roman" w:hAnsi="Times New Roman" w:cs="Times New Roman"/>
          <w:i/>
          <w:iCs/>
        </w:rPr>
        <w:t>Finance research letters</w:t>
      </w:r>
      <w:r w:rsidRPr="00A421A0">
        <w:rPr>
          <w:rFonts w:ascii="Times New Roman" w:hAnsi="Times New Roman" w:cs="Times New Roman"/>
        </w:rPr>
        <w:t>, </w:t>
      </w:r>
      <w:r w:rsidRPr="00A421A0">
        <w:rPr>
          <w:rFonts w:ascii="Times New Roman" w:hAnsi="Times New Roman" w:cs="Times New Roman"/>
          <w:i/>
          <w:iCs/>
        </w:rPr>
        <w:t>38</w:t>
      </w:r>
      <w:r w:rsidRPr="00A421A0">
        <w:rPr>
          <w:rFonts w:ascii="Times New Roman" w:hAnsi="Times New Roman" w:cs="Times New Roman"/>
        </w:rPr>
        <w:t>, 101703.</w:t>
      </w:r>
    </w:p>
    <w:p w14:paraId="3662E7EE" w14:textId="77777777" w:rsidR="00D412A8" w:rsidRDefault="00D412A8" w:rsidP="00A421A0">
      <w:pPr>
        <w:spacing w:after="0" w:line="240" w:lineRule="auto"/>
        <w:ind w:left="720" w:hanging="720"/>
        <w:jc w:val="both"/>
        <w:rPr>
          <w:rFonts w:ascii="Times New Roman" w:hAnsi="Times New Roman" w:cs="Times New Roman"/>
          <w:i/>
          <w:iCs/>
        </w:rPr>
      </w:pPr>
      <w:r w:rsidRPr="00A421A0">
        <w:rPr>
          <w:rFonts w:ascii="Times New Roman" w:hAnsi="Times New Roman" w:cs="Times New Roman"/>
        </w:rPr>
        <w:t>Hu, A.S., </w:t>
      </w:r>
      <w:proofErr w:type="spellStart"/>
      <w:r w:rsidRPr="00A421A0">
        <w:rPr>
          <w:rFonts w:ascii="Times New Roman" w:hAnsi="Times New Roman" w:cs="Times New Roman"/>
        </w:rPr>
        <w:t>Parlour</w:t>
      </w:r>
      <w:proofErr w:type="spellEnd"/>
      <w:r w:rsidRPr="00A421A0">
        <w:rPr>
          <w:rFonts w:ascii="Times New Roman" w:hAnsi="Times New Roman" w:cs="Times New Roman"/>
        </w:rPr>
        <w:t>, C. A., Rajan, U. Cryptocurrencies (2019): Stylized facts on a new investible instrument. </w:t>
      </w:r>
      <w:r w:rsidRPr="00A421A0">
        <w:rPr>
          <w:rFonts w:ascii="Times New Roman" w:hAnsi="Times New Roman" w:cs="Times New Roman"/>
          <w:i/>
          <w:iCs/>
        </w:rPr>
        <w:t>Financial Management.  2019; 48: 1049.</w:t>
      </w:r>
    </w:p>
    <w:p w14:paraId="2A9F64FF" w14:textId="496EA2AC" w:rsidR="006E3620" w:rsidRPr="00A421A0" w:rsidRDefault="006E3620" w:rsidP="00A421A0">
      <w:pPr>
        <w:spacing w:after="0" w:line="240" w:lineRule="auto"/>
        <w:ind w:left="720" w:hanging="720"/>
        <w:jc w:val="both"/>
        <w:rPr>
          <w:rFonts w:ascii="Times New Roman" w:hAnsi="Times New Roman" w:cs="Times New Roman"/>
          <w:i/>
          <w:iCs/>
        </w:rPr>
      </w:pPr>
      <w:r w:rsidRPr="006E3620">
        <w:rPr>
          <w:rFonts w:ascii="Times New Roman" w:hAnsi="Times New Roman" w:cs="Times New Roman"/>
          <w:highlight w:val="cyan"/>
        </w:rPr>
        <w:t xml:space="preserve">Jalan, A., &amp; </w:t>
      </w:r>
      <w:proofErr w:type="spellStart"/>
      <w:r w:rsidRPr="006E3620">
        <w:rPr>
          <w:rFonts w:ascii="Times New Roman" w:hAnsi="Times New Roman" w:cs="Times New Roman"/>
          <w:highlight w:val="cyan"/>
        </w:rPr>
        <w:t>Matkovskyy</w:t>
      </w:r>
      <w:proofErr w:type="spellEnd"/>
      <w:r w:rsidRPr="006E3620">
        <w:rPr>
          <w:rFonts w:ascii="Times New Roman" w:hAnsi="Times New Roman" w:cs="Times New Roman"/>
          <w:highlight w:val="cyan"/>
        </w:rPr>
        <w:t>, R. (2023). Systemic risks in the cryptocurrency market: Evidence from the FTX collapse.</w:t>
      </w:r>
      <w:r w:rsidRPr="006E3620">
        <w:rPr>
          <w:rFonts w:ascii="Times New Roman" w:hAnsi="Times New Roman" w:cs="Times New Roman"/>
          <w:i/>
          <w:iCs/>
          <w:highlight w:val="cyan"/>
        </w:rPr>
        <w:t> Finance Research Letters, 53, 103670.</w:t>
      </w:r>
    </w:p>
    <w:p w14:paraId="19C01F7E" w14:textId="28A2D921" w:rsidR="00705B9C" w:rsidRPr="00A421A0" w:rsidRDefault="00D412A8" w:rsidP="00A421A0">
      <w:pPr>
        <w:spacing w:after="0" w:line="240" w:lineRule="auto"/>
        <w:ind w:left="720" w:hanging="720"/>
        <w:jc w:val="both"/>
        <w:rPr>
          <w:rFonts w:ascii="Times New Roman" w:hAnsi="Times New Roman" w:cs="Times New Roman"/>
        </w:rPr>
      </w:pPr>
      <w:r w:rsidRPr="00A421A0">
        <w:rPr>
          <w:rFonts w:ascii="Times New Roman" w:hAnsi="Times New Roman" w:cs="Times New Roman"/>
        </w:rPr>
        <w:t xml:space="preserve">Ji, Q., Bouri, E., Lau, C. K. M., &amp; </w:t>
      </w:r>
      <w:proofErr w:type="spellStart"/>
      <w:r w:rsidRPr="00A421A0">
        <w:rPr>
          <w:rFonts w:ascii="Times New Roman" w:hAnsi="Times New Roman" w:cs="Times New Roman"/>
        </w:rPr>
        <w:t>Roubaud</w:t>
      </w:r>
      <w:proofErr w:type="spellEnd"/>
      <w:r w:rsidRPr="00A421A0">
        <w:rPr>
          <w:rFonts w:ascii="Times New Roman" w:hAnsi="Times New Roman" w:cs="Times New Roman"/>
        </w:rPr>
        <w:t>, D. (2019). Dynamic connectedness and integration in cryptocurrency markets.</w:t>
      </w:r>
      <w:r w:rsidRPr="00A421A0">
        <w:rPr>
          <w:rFonts w:ascii="Times New Roman" w:hAnsi="Times New Roman" w:cs="Times New Roman"/>
          <w:i/>
          <w:iCs/>
        </w:rPr>
        <w:t xml:space="preserve"> International Review of Financial Analysis, 63, </w:t>
      </w:r>
      <w:r w:rsidRPr="00A421A0">
        <w:rPr>
          <w:rFonts w:ascii="Times New Roman" w:hAnsi="Times New Roman" w:cs="Times New Roman"/>
        </w:rPr>
        <w:t>257-272.</w:t>
      </w:r>
    </w:p>
    <w:p w14:paraId="57574AAD" w14:textId="5AE3409F" w:rsidR="00705B9C" w:rsidRPr="00A421A0" w:rsidRDefault="00705B9C" w:rsidP="00A421A0">
      <w:pPr>
        <w:spacing w:after="0" w:line="240" w:lineRule="auto"/>
        <w:ind w:left="720" w:hanging="720"/>
        <w:jc w:val="both"/>
        <w:rPr>
          <w:rFonts w:ascii="Times New Roman" w:hAnsi="Times New Roman" w:cs="Times New Roman"/>
          <w:i/>
          <w:iCs/>
        </w:rPr>
      </w:pPr>
      <w:proofErr w:type="spellStart"/>
      <w:r w:rsidRPr="00A421A0">
        <w:rPr>
          <w:rFonts w:ascii="Times New Roman" w:hAnsi="Times New Roman" w:cs="Times New Roman"/>
        </w:rPr>
        <w:t>Katsiampa</w:t>
      </w:r>
      <w:proofErr w:type="spellEnd"/>
      <w:r w:rsidRPr="00A421A0">
        <w:rPr>
          <w:rFonts w:ascii="Times New Roman" w:hAnsi="Times New Roman" w:cs="Times New Roman"/>
        </w:rPr>
        <w:t>, P., Yarovaya, L.</w:t>
      </w:r>
      <w:r w:rsidR="00531153" w:rsidRPr="00A421A0">
        <w:rPr>
          <w:rFonts w:ascii="Times New Roman" w:hAnsi="Times New Roman" w:cs="Times New Roman"/>
        </w:rPr>
        <w:t>, &amp;</w:t>
      </w:r>
      <w:r w:rsidRPr="00A421A0">
        <w:rPr>
          <w:rFonts w:ascii="Times New Roman" w:hAnsi="Times New Roman" w:cs="Times New Roman"/>
        </w:rPr>
        <w:t xml:space="preserve"> Zięba, D. (2022).</w:t>
      </w:r>
      <w:r w:rsidRPr="00A421A0">
        <w:t xml:space="preserve"> </w:t>
      </w:r>
      <w:r w:rsidRPr="00A421A0">
        <w:rPr>
          <w:rFonts w:ascii="Times New Roman" w:hAnsi="Times New Roman" w:cs="Times New Roman"/>
        </w:rPr>
        <w:t xml:space="preserve">High-frequency connectedness between Bitcoin and other top-traded crypto assets during the COVID-19 crisis. </w:t>
      </w:r>
      <w:r w:rsidRPr="00A421A0">
        <w:rPr>
          <w:rFonts w:ascii="Times New Roman" w:hAnsi="Times New Roman" w:cs="Times New Roman"/>
          <w:i/>
          <w:iCs/>
        </w:rPr>
        <w:t>Journal of International Financial Markets, Institutions and Money, 79.</w:t>
      </w:r>
    </w:p>
    <w:p w14:paraId="6A9F0008" w14:textId="7A84E522" w:rsidR="00D412A8" w:rsidRPr="00A421A0" w:rsidRDefault="00D412A8" w:rsidP="00A421A0">
      <w:pPr>
        <w:spacing w:after="0" w:line="240" w:lineRule="auto"/>
        <w:ind w:left="720" w:hanging="720"/>
        <w:jc w:val="both"/>
        <w:rPr>
          <w:rFonts w:ascii="Times New Roman" w:hAnsi="Times New Roman" w:cs="Times New Roman"/>
        </w:rPr>
      </w:pPr>
      <w:r w:rsidRPr="00A421A0">
        <w:rPr>
          <w:rFonts w:ascii="Times New Roman" w:hAnsi="Times New Roman" w:cs="Times New Roman"/>
        </w:rPr>
        <w:t xml:space="preserve">Khalfaoui, R., </w:t>
      </w:r>
      <w:proofErr w:type="spellStart"/>
      <w:r w:rsidRPr="00A421A0">
        <w:rPr>
          <w:rFonts w:ascii="Times New Roman" w:hAnsi="Times New Roman" w:cs="Times New Roman"/>
        </w:rPr>
        <w:t>Gozgor</w:t>
      </w:r>
      <w:proofErr w:type="spellEnd"/>
      <w:r w:rsidRPr="00A421A0">
        <w:rPr>
          <w:rFonts w:ascii="Times New Roman" w:hAnsi="Times New Roman" w:cs="Times New Roman"/>
        </w:rPr>
        <w:t>, G., &amp; Goodell, J. W. (2022). Impact of Russia-Ukraine war attention on cryptocurrency: Evidence from quantile dependence analysis. </w:t>
      </w:r>
      <w:r w:rsidRPr="00A421A0">
        <w:rPr>
          <w:rFonts w:ascii="Times New Roman" w:hAnsi="Times New Roman" w:cs="Times New Roman"/>
          <w:i/>
          <w:iCs/>
        </w:rPr>
        <w:t>Finance Research Letters</w:t>
      </w:r>
      <w:r w:rsidRPr="00A421A0">
        <w:rPr>
          <w:rFonts w:ascii="Times New Roman" w:hAnsi="Times New Roman" w:cs="Times New Roman"/>
        </w:rPr>
        <w:t>, 103365.</w:t>
      </w:r>
    </w:p>
    <w:p w14:paraId="70D11762" w14:textId="77777777" w:rsidR="00D412A8" w:rsidRDefault="00D412A8" w:rsidP="00A421A0">
      <w:pPr>
        <w:spacing w:after="0" w:line="240" w:lineRule="auto"/>
        <w:ind w:left="720" w:hanging="720"/>
        <w:jc w:val="both"/>
        <w:rPr>
          <w:rFonts w:ascii="Times New Roman" w:hAnsi="Times New Roman" w:cs="Times New Roman"/>
        </w:rPr>
      </w:pPr>
      <w:r w:rsidRPr="00A421A0">
        <w:rPr>
          <w:rFonts w:ascii="Times New Roman" w:hAnsi="Times New Roman" w:cs="Times New Roman"/>
        </w:rPr>
        <w:t xml:space="preserve">Koop, G., </w:t>
      </w:r>
      <w:proofErr w:type="spellStart"/>
      <w:r w:rsidRPr="00A421A0">
        <w:rPr>
          <w:rFonts w:ascii="Times New Roman" w:hAnsi="Times New Roman" w:cs="Times New Roman"/>
        </w:rPr>
        <w:t>Pesaran</w:t>
      </w:r>
      <w:proofErr w:type="spellEnd"/>
      <w:r w:rsidRPr="00A421A0">
        <w:rPr>
          <w:rFonts w:ascii="Times New Roman" w:hAnsi="Times New Roman" w:cs="Times New Roman"/>
        </w:rPr>
        <w:t xml:space="preserve">, M.H., Potter, S.M., (1996). Impulse response analysis in nonlinear multivariate models. </w:t>
      </w:r>
      <w:r w:rsidRPr="00A421A0">
        <w:rPr>
          <w:rFonts w:ascii="Times New Roman" w:hAnsi="Times New Roman" w:cs="Times New Roman"/>
          <w:i/>
          <w:iCs/>
        </w:rPr>
        <w:t>Journal of Econometrics</w:t>
      </w:r>
      <w:r w:rsidRPr="00A421A0">
        <w:rPr>
          <w:rFonts w:ascii="Times New Roman" w:hAnsi="Times New Roman" w:cs="Times New Roman"/>
        </w:rPr>
        <w:t>, 74(1), 119–147.</w:t>
      </w:r>
    </w:p>
    <w:p w14:paraId="1AC39A57" w14:textId="20010389" w:rsidR="008A0471" w:rsidRPr="00A421A0" w:rsidRDefault="008A0471" w:rsidP="00A421A0">
      <w:pPr>
        <w:spacing w:after="0" w:line="240" w:lineRule="auto"/>
        <w:ind w:left="720" w:hanging="720"/>
        <w:jc w:val="both"/>
        <w:rPr>
          <w:rFonts w:ascii="Times New Roman" w:hAnsi="Times New Roman" w:cs="Times New Roman"/>
        </w:rPr>
      </w:pPr>
      <w:proofErr w:type="spellStart"/>
      <w:r w:rsidRPr="008A0471">
        <w:rPr>
          <w:rFonts w:ascii="Times New Roman" w:hAnsi="Times New Roman" w:cs="Times New Roman"/>
          <w:iCs/>
          <w:highlight w:val="cyan"/>
        </w:rPr>
        <w:t>Kreppmeier</w:t>
      </w:r>
      <w:proofErr w:type="spellEnd"/>
      <w:r w:rsidRPr="008A0471">
        <w:rPr>
          <w:rFonts w:ascii="Times New Roman" w:hAnsi="Times New Roman" w:cs="Times New Roman"/>
          <w:iCs/>
          <w:highlight w:val="cyan"/>
        </w:rPr>
        <w:t>, J., &amp; Laschinger, R. (2023). Signaling in the Market for Security Tokens. </w:t>
      </w:r>
      <w:r w:rsidRPr="008A0471">
        <w:rPr>
          <w:rFonts w:ascii="Times New Roman" w:hAnsi="Times New Roman" w:cs="Times New Roman"/>
          <w:i/>
          <w:iCs/>
          <w:highlight w:val="cyan"/>
        </w:rPr>
        <w:t>Journal of Business Economics</w:t>
      </w:r>
      <w:r w:rsidRPr="008A0471">
        <w:rPr>
          <w:rFonts w:ascii="Times New Roman" w:hAnsi="Times New Roman" w:cs="Times New Roman"/>
          <w:iCs/>
          <w:highlight w:val="cyan"/>
        </w:rPr>
        <w:t>, 1-38.</w:t>
      </w:r>
    </w:p>
    <w:p w14:paraId="207AFAB2" w14:textId="7C3448D1" w:rsidR="00D412A8" w:rsidRPr="00A421A0" w:rsidRDefault="00D412A8" w:rsidP="00A421A0">
      <w:pPr>
        <w:pStyle w:val="MDPI31text"/>
        <w:spacing w:line="240" w:lineRule="auto"/>
        <w:ind w:left="720" w:hanging="720"/>
        <w:rPr>
          <w:rFonts w:ascii="Times New Roman" w:hAnsi="Times New Roman"/>
          <w:color w:val="auto"/>
          <w:sz w:val="22"/>
          <w:shd w:val="clear" w:color="auto" w:fill="FFFFFF"/>
        </w:rPr>
      </w:pPr>
      <w:r w:rsidRPr="00A421A0">
        <w:rPr>
          <w:rFonts w:ascii="Times New Roman" w:hAnsi="Times New Roman"/>
          <w:color w:val="auto"/>
          <w:sz w:val="22"/>
          <w:shd w:val="clear" w:color="auto" w:fill="FFFFFF"/>
        </w:rPr>
        <w:t xml:space="preserve">Kroner, K. F., &amp; Ng, V. K. (1998). Modeling asymmetric </w:t>
      </w:r>
      <w:proofErr w:type="spellStart"/>
      <w:r w:rsidRPr="00A421A0">
        <w:rPr>
          <w:rFonts w:ascii="Times New Roman" w:hAnsi="Times New Roman"/>
          <w:color w:val="auto"/>
          <w:sz w:val="22"/>
          <w:shd w:val="clear" w:color="auto" w:fill="FFFFFF"/>
        </w:rPr>
        <w:t>comovements</w:t>
      </w:r>
      <w:proofErr w:type="spellEnd"/>
      <w:r w:rsidRPr="00A421A0">
        <w:rPr>
          <w:rFonts w:ascii="Times New Roman" w:hAnsi="Times New Roman"/>
          <w:color w:val="auto"/>
          <w:sz w:val="22"/>
          <w:shd w:val="clear" w:color="auto" w:fill="FFFFFF"/>
        </w:rPr>
        <w:t xml:space="preserve"> of asset returns. </w:t>
      </w:r>
      <w:r w:rsidRPr="00A421A0">
        <w:rPr>
          <w:rFonts w:ascii="Times New Roman" w:hAnsi="Times New Roman"/>
          <w:i/>
          <w:iCs/>
          <w:color w:val="auto"/>
          <w:sz w:val="22"/>
          <w:shd w:val="clear" w:color="auto" w:fill="FFFFFF"/>
        </w:rPr>
        <w:t xml:space="preserve">The </w:t>
      </w:r>
      <w:r w:rsidR="00A421A0" w:rsidRPr="00A421A0">
        <w:rPr>
          <w:rFonts w:ascii="Times New Roman" w:hAnsi="Times New Roman"/>
          <w:i/>
          <w:iCs/>
          <w:color w:val="auto"/>
          <w:sz w:val="22"/>
          <w:shd w:val="clear" w:color="auto" w:fill="FFFFFF"/>
        </w:rPr>
        <w:t>R</w:t>
      </w:r>
      <w:r w:rsidRPr="00A421A0">
        <w:rPr>
          <w:rFonts w:ascii="Times New Roman" w:hAnsi="Times New Roman"/>
          <w:i/>
          <w:iCs/>
          <w:color w:val="auto"/>
          <w:sz w:val="22"/>
          <w:shd w:val="clear" w:color="auto" w:fill="FFFFFF"/>
        </w:rPr>
        <w:t>eview of</w:t>
      </w:r>
      <w:r w:rsidR="00A421A0" w:rsidRPr="00A421A0">
        <w:rPr>
          <w:rFonts w:ascii="Times New Roman" w:hAnsi="Times New Roman"/>
          <w:i/>
          <w:iCs/>
          <w:color w:val="auto"/>
          <w:sz w:val="22"/>
          <w:shd w:val="clear" w:color="auto" w:fill="FFFFFF"/>
        </w:rPr>
        <w:t xml:space="preserve"> F</w:t>
      </w:r>
      <w:r w:rsidRPr="00A421A0">
        <w:rPr>
          <w:rFonts w:ascii="Times New Roman" w:hAnsi="Times New Roman"/>
          <w:i/>
          <w:iCs/>
          <w:color w:val="auto"/>
          <w:sz w:val="22"/>
          <w:shd w:val="clear" w:color="auto" w:fill="FFFFFF"/>
        </w:rPr>
        <w:t xml:space="preserve">inancial </w:t>
      </w:r>
      <w:r w:rsidR="00A421A0" w:rsidRPr="00A421A0">
        <w:rPr>
          <w:rFonts w:ascii="Times New Roman" w:hAnsi="Times New Roman"/>
          <w:i/>
          <w:iCs/>
          <w:color w:val="auto"/>
          <w:sz w:val="22"/>
          <w:shd w:val="clear" w:color="auto" w:fill="FFFFFF"/>
        </w:rPr>
        <w:t>S</w:t>
      </w:r>
      <w:r w:rsidRPr="00A421A0">
        <w:rPr>
          <w:rFonts w:ascii="Times New Roman" w:hAnsi="Times New Roman"/>
          <w:i/>
          <w:iCs/>
          <w:color w:val="auto"/>
          <w:sz w:val="22"/>
          <w:shd w:val="clear" w:color="auto" w:fill="FFFFFF"/>
        </w:rPr>
        <w:t>tudies</w:t>
      </w:r>
      <w:r w:rsidRPr="00A421A0">
        <w:rPr>
          <w:rFonts w:ascii="Times New Roman" w:hAnsi="Times New Roman"/>
          <w:color w:val="auto"/>
          <w:sz w:val="22"/>
          <w:shd w:val="clear" w:color="auto" w:fill="FFFFFF"/>
        </w:rPr>
        <w:t>, </w:t>
      </w:r>
      <w:r w:rsidRPr="00A421A0">
        <w:rPr>
          <w:rFonts w:ascii="Times New Roman" w:hAnsi="Times New Roman"/>
          <w:i/>
          <w:iCs/>
          <w:color w:val="auto"/>
          <w:sz w:val="22"/>
          <w:shd w:val="clear" w:color="auto" w:fill="FFFFFF"/>
        </w:rPr>
        <w:t>11</w:t>
      </w:r>
      <w:r w:rsidRPr="00A421A0">
        <w:rPr>
          <w:rFonts w:ascii="Times New Roman" w:hAnsi="Times New Roman"/>
          <w:color w:val="auto"/>
          <w:sz w:val="22"/>
          <w:shd w:val="clear" w:color="auto" w:fill="FFFFFF"/>
        </w:rPr>
        <w:t>(4), 817-844.</w:t>
      </w:r>
    </w:p>
    <w:p w14:paraId="28F04E51" w14:textId="15F6894D" w:rsidR="00D412A8" w:rsidRPr="00A421A0" w:rsidRDefault="00D412A8" w:rsidP="00A421A0">
      <w:pPr>
        <w:pStyle w:val="MDPI31text"/>
        <w:spacing w:line="240" w:lineRule="auto"/>
        <w:ind w:left="720" w:hanging="720"/>
        <w:rPr>
          <w:rFonts w:ascii="Times New Roman" w:hAnsi="Times New Roman"/>
          <w:color w:val="auto"/>
          <w:sz w:val="22"/>
          <w:shd w:val="clear" w:color="auto" w:fill="FFFFFF"/>
        </w:rPr>
      </w:pPr>
      <w:r w:rsidRPr="00A421A0">
        <w:rPr>
          <w:rFonts w:ascii="Times New Roman" w:hAnsi="Times New Roman"/>
          <w:color w:val="auto"/>
          <w:sz w:val="22"/>
          <w:shd w:val="clear" w:color="auto" w:fill="FFFFFF"/>
        </w:rPr>
        <w:t>Kroner, K. F., &amp; Sultan, J. (1993). Time-varying distributions and dynamic hedging with foreign currency futures. </w:t>
      </w:r>
      <w:r w:rsidRPr="00A421A0">
        <w:rPr>
          <w:rFonts w:ascii="Times New Roman" w:hAnsi="Times New Roman"/>
          <w:i/>
          <w:iCs/>
          <w:color w:val="auto"/>
          <w:sz w:val="22"/>
          <w:shd w:val="clear" w:color="auto" w:fill="FFFFFF"/>
        </w:rPr>
        <w:t xml:space="preserve">Journal of </w:t>
      </w:r>
      <w:r w:rsidR="00A421A0" w:rsidRPr="00A421A0">
        <w:rPr>
          <w:rFonts w:ascii="Times New Roman" w:hAnsi="Times New Roman"/>
          <w:i/>
          <w:iCs/>
          <w:color w:val="auto"/>
          <w:sz w:val="22"/>
          <w:shd w:val="clear" w:color="auto" w:fill="FFFFFF"/>
        </w:rPr>
        <w:t>F</w:t>
      </w:r>
      <w:r w:rsidRPr="00A421A0">
        <w:rPr>
          <w:rFonts w:ascii="Times New Roman" w:hAnsi="Times New Roman"/>
          <w:i/>
          <w:iCs/>
          <w:color w:val="auto"/>
          <w:sz w:val="22"/>
          <w:shd w:val="clear" w:color="auto" w:fill="FFFFFF"/>
        </w:rPr>
        <w:t xml:space="preserve">inancial and </w:t>
      </w:r>
      <w:r w:rsidR="00A421A0" w:rsidRPr="00A421A0">
        <w:rPr>
          <w:rFonts w:ascii="Times New Roman" w:hAnsi="Times New Roman"/>
          <w:i/>
          <w:iCs/>
          <w:color w:val="auto"/>
          <w:sz w:val="22"/>
          <w:shd w:val="clear" w:color="auto" w:fill="FFFFFF"/>
        </w:rPr>
        <w:t>Q</w:t>
      </w:r>
      <w:r w:rsidRPr="00A421A0">
        <w:rPr>
          <w:rFonts w:ascii="Times New Roman" w:hAnsi="Times New Roman"/>
          <w:i/>
          <w:iCs/>
          <w:color w:val="auto"/>
          <w:sz w:val="22"/>
          <w:shd w:val="clear" w:color="auto" w:fill="FFFFFF"/>
        </w:rPr>
        <w:t xml:space="preserve">uantitative </w:t>
      </w:r>
      <w:r w:rsidR="00A421A0" w:rsidRPr="00A421A0">
        <w:rPr>
          <w:rFonts w:ascii="Times New Roman" w:hAnsi="Times New Roman"/>
          <w:i/>
          <w:iCs/>
          <w:color w:val="auto"/>
          <w:sz w:val="22"/>
          <w:shd w:val="clear" w:color="auto" w:fill="FFFFFF"/>
        </w:rPr>
        <w:t>A</w:t>
      </w:r>
      <w:r w:rsidRPr="00A421A0">
        <w:rPr>
          <w:rFonts w:ascii="Times New Roman" w:hAnsi="Times New Roman"/>
          <w:i/>
          <w:iCs/>
          <w:color w:val="auto"/>
          <w:sz w:val="22"/>
          <w:shd w:val="clear" w:color="auto" w:fill="FFFFFF"/>
        </w:rPr>
        <w:t>nalysis</w:t>
      </w:r>
      <w:r w:rsidRPr="00A421A0">
        <w:rPr>
          <w:rFonts w:ascii="Times New Roman" w:hAnsi="Times New Roman"/>
          <w:color w:val="auto"/>
          <w:sz w:val="22"/>
          <w:shd w:val="clear" w:color="auto" w:fill="FFFFFF"/>
        </w:rPr>
        <w:t>, 535-551.</w:t>
      </w:r>
    </w:p>
    <w:p w14:paraId="25F93020" w14:textId="7EA25B7E" w:rsidR="00D412A8" w:rsidRDefault="00D412A8" w:rsidP="00A421A0">
      <w:pPr>
        <w:pStyle w:val="MDPI31text"/>
        <w:spacing w:line="240" w:lineRule="auto"/>
        <w:ind w:left="720" w:hanging="720"/>
        <w:rPr>
          <w:rFonts w:ascii="Times New Roman" w:hAnsi="Times New Roman"/>
          <w:color w:val="auto"/>
          <w:sz w:val="22"/>
          <w:shd w:val="clear" w:color="auto" w:fill="FFFFFF"/>
        </w:rPr>
      </w:pPr>
      <w:r w:rsidRPr="00A421A0">
        <w:rPr>
          <w:rFonts w:ascii="Times New Roman" w:hAnsi="Times New Roman"/>
          <w:color w:val="auto"/>
          <w:sz w:val="22"/>
          <w:shd w:val="clear" w:color="auto" w:fill="FFFFFF"/>
        </w:rPr>
        <w:t>Ku, Y. H. H., Chen, H. C., &amp; Chen, K. H. (2007). On the application of the dynamic conditional correlation model in estimating optimal time-varying hedge ratios. </w:t>
      </w:r>
      <w:r w:rsidRPr="00A421A0">
        <w:rPr>
          <w:rFonts w:ascii="Times New Roman" w:hAnsi="Times New Roman"/>
          <w:i/>
          <w:iCs/>
          <w:color w:val="auto"/>
          <w:sz w:val="22"/>
          <w:shd w:val="clear" w:color="auto" w:fill="FFFFFF"/>
        </w:rPr>
        <w:t>Applied Economics Letters</w:t>
      </w:r>
      <w:r w:rsidRPr="00A421A0">
        <w:rPr>
          <w:rFonts w:ascii="Times New Roman" w:hAnsi="Times New Roman"/>
          <w:color w:val="auto"/>
          <w:sz w:val="22"/>
          <w:shd w:val="clear" w:color="auto" w:fill="FFFFFF"/>
        </w:rPr>
        <w:t>, </w:t>
      </w:r>
      <w:r w:rsidRPr="00A421A0">
        <w:rPr>
          <w:rFonts w:ascii="Times New Roman" w:hAnsi="Times New Roman"/>
          <w:i/>
          <w:iCs/>
          <w:color w:val="auto"/>
          <w:sz w:val="22"/>
          <w:shd w:val="clear" w:color="auto" w:fill="FFFFFF"/>
        </w:rPr>
        <w:t>14</w:t>
      </w:r>
      <w:r w:rsidRPr="00A421A0">
        <w:rPr>
          <w:rFonts w:ascii="Times New Roman" w:hAnsi="Times New Roman"/>
          <w:color w:val="auto"/>
          <w:sz w:val="22"/>
          <w:shd w:val="clear" w:color="auto" w:fill="FFFFFF"/>
        </w:rPr>
        <w:t>(7), 503-509.</w:t>
      </w:r>
    </w:p>
    <w:p w14:paraId="359CFC97" w14:textId="1A67EC2D" w:rsidR="00EE0DE9" w:rsidRPr="00A421A0" w:rsidRDefault="00EE0DE9" w:rsidP="00A421A0">
      <w:pPr>
        <w:pStyle w:val="MDPI31text"/>
        <w:spacing w:line="240" w:lineRule="auto"/>
        <w:ind w:left="720" w:hanging="720"/>
        <w:rPr>
          <w:rFonts w:ascii="Times New Roman" w:hAnsi="Times New Roman"/>
          <w:color w:val="auto"/>
          <w:sz w:val="22"/>
          <w:shd w:val="clear" w:color="auto" w:fill="FFFFFF"/>
        </w:rPr>
      </w:pPr>
      <w:proofErr w:type="spellStart"/>
      <w:r>
        <w:rPr>
          <w:rFonts w:ascii="Times New Roman" w:hAnsi="Times New Roman"/>
          <w:color w:val="auto"/>
          <w:sz w:val="22"/>
          <w:shd w:val="clear" w:color="auto" w:fill="FFFFFF"/>
        </w:rPr>
        <w:t>Lacity</w:t>
      </w:r>
      <w:proofErr w:type="spellEnd"/>
      <w:r>
        <w:rPr>
          <w:rFonts w:ascii="Times New Roman" w:hAnsi="Times New Roman"/>
          <w:color w:val="auto"/>
          <w:sz w:val="22"/>
          <w:shd w:val="clear" w:color="auto" w:fill="FFFFFF"/>
        </w:rPr>
        <w:t>, M.C. (2022).</w:t>
      </w:r>
      <w:r w:rsidRPr="00EE0DE9">
        <w:t xml:space="preserve"> </w:t>
      </w:r>
      <w:r w:rsidRPr="00EE0DE9">
        <w:rPr>
          <w:rFonts w:ascii="Times New Roman" w:hAnsi="Times New Roman"/>
          <w:color w:val="auto"/>
          <w:sz w:val="22"/>
          <w:shd w:val="clear" w:color="auto" w:fill="FFFFFF"/>
        </w:rPr>
        <w:t>Blockchain: From Bitcoin to the Internet of Value and beyond</w:t>
      </w:r>
      <w:r>
        <w:rPr>
          <w:rFonts w:ascii="Times New Roman" w:hAnsi="Times New Roman"/>
          <w:color w:val="auto"/>
          <w:sz w:val="22"/>
          <w:shd w:val="clear" w:color="auto" w:fill="FFFFFF"/>
        </w:rPr>
        <w:t xml:space="preserve">. </w:t>
      </w:r>
      <w:r w:rsidRPr="00EE0DE9">
        <w:rPr>
          <w:rFonts w:ascii="Times New Roman" w:hAnsi="Times New Roman"/>
          <w:i/>
          <w:color w:val="auto"/>
          <w:sz w:val="22"/>
          <w:shd w:val="clear" w:color="auto" w:fill="FFFFFF"/>
        </w:rPr>
        <w:t>Journal of Information Technology, 37(</w:t>
      </w:r>
      <w:r w:rsidRPr="00EE0DE9">
        <w:rPr>
          <w:rFonts w:ascii="Times New Roman" w:hAnsi="Times New Roman"/>
          <w:color w:val="auto"/>
          <w:sz w:val="22"/>
          <w:shd w:val="clear" w:color="auto" w:fill="FFFFFF"/>
        </w:rPr>
        <w:t>4), 326–340.</w:t>
      </w:r>
    </w:p>
    <w:p w14:paraId="63B80607" w14:textId="77777777" w:rsidR="00D412A8" w:rsidRPr="00A421A0" w:rsidRDefault="00D412A8" w:rsidP="00A421A0">
      <w:pPr>
        <w:pStyle w:val="MDPI31text"/>
        <w:spacing w:line="240" w:lineRule="auto"/>
        <w:ind w:left="720" w:hanging="720"/>
        <w:rPr>
          <w:rFonts w:ascii="Times New Roman" w:hAnsi="Times New Roman"/>
          <w:color w:val="auto"/>
          <w:sz w:val="22"/>
          <w:shd w:val="clear" w:color="auto" w:fill="FFFFFF"/>
        </w:rPr>
      </w:pPr>
      <w:r w:rsidRPr="00A421A0">
        <w:rPr>
          <w:rFonts w:ascii="Times New Roman" w:hAnsi="Times New Roman"/>
          <w:color w:val="auto"/>
          <w:sz w:val="22"/>
          <w:shd w:val="clear" w:color="auto" w:fill="FFFFFF"/>
        </w:rPr>
        <w:t>Lin, L. X. (2019). Deconstructing decentralized exchanges. </w:t>
      </w:r>
      <w:r w:rsidRPr="00A421A0">
        <w:rPr>
          <w:rFonts w:ascii="Times New Roman" w:hAnsi="Times New Roman"/>
          <w:i/>
          <w:iCs/>
          <w:color w:val="auto"/>
          <w:sz w:val="22"/>
          <w:shd w:val="clear" w:color="auto" w:fill="FFFFFF"/>
        </w:rPr>
        <w:t>Standford Journal of Blockchain Law &amp; Policy</w:t>
      </w:r>
      <w:r w:rsidRPr="00A421A0">
        <w:rPr>
          <w:rFonts w:ascii="Times New Roman" w:hAnsi="Times New Roman"/>
          <w:color w:val="auto"/>
          <w:sz w:val="22"/>
          <w:shd w:val="clear" w:color="auto" w:fill="FFFFFF"/>
        </w:rPr>
        <w:t>, </w:t>
      </w:r>
      <w:r w:rsidRPr="00A421A0">
        <w:rPr>
          <w:rFonts w:ascii="Times New Roman" w:hAnsi="Times New Roman"/>
          <w:i/>
          <w:iCs/>
          <w:color w:val="auto"/>
          <w:sz w:val="22"/>
          <w:shd w:val="clear" w:color="auto" w:fill="FFFFFF"/>
        </w:rPr>
        <w:t>2</w:t>
      </w:r>
      <w:r w:rsidRPr="00A421A0">
        <w:rPr>
          <w:rFonts w:ascii="Times New Roman" w:hAnsi="Times New Roman"/>
          <w:color w:val="auto"/>
          <w:sz w:val="22"/>
          <w:shd w:val="clear" w:color="auto" w:fill="FFFFFF"/>
        </w:rPr>
        <w:t>, 58.</w:t>
      </w:r>
    </w:p>
    <w:p w14:paraId="25CC228C" w14:textId="6977D961" w:rsidR="00D412A8" w:rsidRDefault="00D412A8" w:rsidP="00A421A0">
      <w:pPr>
        <w:pStyle w:val="MDPI31text"/>
        <w:spacing w:line="240" w:lineRule="auto"/>
        <w:ind w:left="720" w:hanging="720"/>
        <w:rPr>
          <w:rFonts w:ascii="Times New Roman" w:hAnsi="Times New Roman"/>
          <w:color w:val="auto"/>
          <w:sz w:val="22"/>
          <w:shd w:val="clear" w:color="auto" w:fill="FFFFFF"/>
        </w:rPr>
      </w:pPr>
      <w:r w:rsidRPr="00A421A0">
        <w:rPr>
          <w:rFonts w:ascii="Times New Roman" w:hAnsi="Times New Roman"/>
          <w:color w:val="auto"/>
          <w:sz w:val="22"/>
          <w:shd w:val="clear" w:color="auto" w:fill="FFFFFF"/>
        </w:rPr>
        <w:t>Liu, Z., Shi, X., Zhai, P., Wu, S., Ding, Z., &amp; Zhou, Y. (2021). Tail risk connectedness in the oil-stock nexus: Evidence from a novel quantile spillover approach. </w:t>
      </w:r>
      <w:r w:rsidRPr="00A421A0">
        <w:rPr>
          <w:rFonts w:ascii="Times New Roman" w:hAnsi="Times New Roman"/>
          <w:i/>
          <w:iCs/>
          <w:color w:val="auto"/>
          <w:sz w:val="22"/>
          <w:shd w:val="clear" w:color="auto" w:fill="FFFFFF"/>
        </w:rPr>
        <w:t>Resources Policy</w:t>
      </w:r>
      <w:r w:rsidRPr="00A421A0">
        <w:rPr>
          <w:rFonts w:ascii="Times New Roman" w:hAnsi="Times New Roman"/>
          <w:color w:val="auto"/>
          <w:sz w:val="22"/>
          <w:shd w:val="clear" w:color="auto" w:fill="FFFFFF"/>
        </w:rPr>
        <w:t>, </w:t>
      </w:r>
      <w:r w:rsidRPr="00A421A0">
        <w:rPr>
          <w:rFonts w:ascii="Times New Roman" w:hAnsi="Times New Roman"/>
          <w:i/>
          <w:iCs/>
          <w:color w:val="auto"/>
          <w:sz w:val="22"/>
          <w:shd w:val="clear" w:color="auto" w:fill="FFFFFF"/>
        </w:rPr>
        <w:t>74</w:t>
      </w:r>
      <w:r w:rsidRPr="00A421A0">
        <w:rPr>
          <w:rFonts w:ascii="Times New Roman" w:hAnsi="Times New Roman"/>
          <w:color w:val="auto"/>
          <w:sz w:val="22"/>
          <w:shd w:val="clear" w:color="auto" w:fill="FFFFFF"/>
        </w:rPr>
        <w:t>, 102381.</w:t>
      </w:r>
    </w:p>
    <w:p w14:paraId="35DB451E" w14:textId="5B5ACA8A" w:rsidR="0054212D" w:rsidRPr="00A421A0" w:rsidRDefault="0054212D" w:rsidP="00A421A0">
      <w:pPr>
        <w:pStyle w:val="MDPI31text"/>
        <w:spacing w:line="240" w:lineRule="auto"/>
        <w:ind w:left="720" w:hanging="720"/>
        <w:rPr>
          <w:rFonts w:ascii="Times New Roman" w:hAnsi="Times New Roman"/>
          <w:color w:val="auto"/>
          <w:sz w:val="22"/>
          <w:shd w:val="clear" w:color="auto" w:fill="FFFFFF"/>
        </w:rPr>
      </w:pPr>
      <w:r w:rsidRPr="0054212D">
        <w:rPr>
          <w:rFonts w:ascii="Times New Roman" w:hAnsi="Times New Roman"/>
          <w:color w:val="auto"/>
          <w:sz w:val="22"/>
          <w:shd w:val="clear" w:color="auto" w:fill="FFFFFF"/>
        </w:rPr>
        <w:t xml:space="preserve">Lucey, B.M., Vigne, S., Yarovaya, L., </w:t>
      </w:r>
      <w:r>
        <w:rPr>
          <w:rFonts w:ascii="Times New Roman" w:hAnsi="Times New Roman"/>
          <w:color w:val="auto"/>
          <w:sz w:val="22"/>
          <w:shd w:val="clear" w:color="auto" w:fill="FFFFFF"/>
        </w:rPr>
        <w:t xml:space="preserve">&amp; </w:t>
      </w:r>
      <w:r w:rsidRPr="0054212D">
        <w:rPr>
          <w:rFonts w:ascii="Times New Roman" w:hAnsi="Times New Roman"/>
          <w:color w:val="auto"/>
          <w:sz w:val="22"/>
          <w:shd w:val="clear" w:color="auto" w:fill="FFFFFF"/>
        </w:rPr>
        <w:t xml:space="preserve">Wang, Y. (2022). The Cryptocurrency Uncertainty Index. </w:t>
      </w:r>
      <w:r w:rsidRPr="0054212D">
        <w:rPr>
          <w:rFonts w:ascii="Times New Roman" w:hAnsi="Times New Roman"/>
          <w:i/>
          <w:iCs/>
          <w:color w:val="auto"/>
          <w:sz w:val="22"/>
          <w:shd w:val="clear" w:color="auto" w:fill="FFFFFF"/>
        </w:rPr>
        <w:t>Finance Research Letters, 45</w:t>
      </w:r>
      <w:r w:rsidRPr="0054212D">
        <w:rPr>
          <w:rFonts w:ascii="Times New Roman" w:hAnsi="Times New Roman"/>
          <w:color w:val="auto"/>
          <w:sz w:val="22"/>
          <w:shd w:val="clear" w:color="auto" w:fill="FFFFFF"/>
        </w:rPr>
        <w:t>.</w:t>
      </w:r>
    </w:p>
    <w:p w14:paraId="0A8A5240" w14:textId="083F87B9" w:rsidR="00A421A0" w:rsidRDefault="00D412A8" w:rsidP="00A421A0">
      <w:pPr>
        <w:pStyle w:val="MDPI31text"/>
        <w:spacing w:line="240" w:lineRule="auto"/>
        <w:ind w:left="720" w:hanging="720"/>
        <w:rPr>
          <w:rFonts w:ascii="Times New Roman" w:hAnsi="Times New Roman"/>
          <w:color w:val="auto"/>
          <w:sz w:val="22"/>
          <w:shd w:val="clear" w:color="auto" w:fill="FFFFFF"/>
        </w:rPr>
      </w:pPr>
      <w:r w:rsidRPr="00A421A0">
        <w:rPr>
          <w:rFonts w:ascii="Times New Roman" w:hAnsi="Times New Roman"/>
          <w:color w:val="auto"/>
          <w:sz w:val="22"/>
          <w:shd w:val="clear" w:color="auto" w:fill="FFFFFF"/>
        </w:rPr>
        <w:t>Naeem, M. A., Qureshi, S., Rehman, M. U., &amp; Balli, F. (2022). COVID-19 and cryptocurrency market: Evidence from quantile connectedness. </w:t>
      </w:r>
      <w:r w:rsidRPr="00A421A0">
        <w:rPr>
          <w:rFonts w:ascii="Times New Roman" w:hAnsi="Times New Roman"/>
          <w:i/>
          <w:iCs/>
          <w:color w:val="auto"/>
          <w:sz w:val="22"/>
          <w:shd w:val="clear" w:color="auto" w:fill="FFFFFF"/>
        </w:rPr>
        <w:t>Applied Economics</w:t>
      </w:r>
      <w:r w:rsidRPr="00A421A0">
        <w:rPr>
          <w:rFonts w:ascii="Times New Roman" w:hAnsi="Times New Roman"/>
          <w:color w:val="auto"/>
          <w:sz w:val="22"/>
          <w:shd w:val="clear" w:color="auto" w:fill="FFFFFF"/>
        </w:rPr>
        <w:t>, </w:t>
      </w:r>
      <w:r w:rsidRPr="00A421A0">
        <w:rPr>
          <w:rFonts w:ascii="Times New Roman" w:hAnsi="Times New Roman"/>
          <w:i/>
          <w:iCs/>
          <w:color w:val="auto"/>
          <w:sz w:val="22"/>
          <w:shd w:val="clear" w:color="auto" w:fill="FFFFFF"/>
        </w:rPr>
        <w:t>54</w:t>
      </w:r>
      <w:r w:rsidRPr="00A421A0">
        <w:rPr>
          <w:rFonts w:ascii="Times New Roman" w:hAnsi="Times New Roman"/>
          <w:color w:val="auto"/>
          <w:sz w:val="22"/>
          <w:shd w:val="clear" w:color="auto" w:fill="FFFFFF"/>
        </w:rPr>
        <w:t>(3), 280-306.</w:t>
      </w:r>
    </w:p>
    <w:p w14:paraId="147913A4" w14:textId="5FC295E8" w:rsidR="009A4776" w:rsidRDefault="009A4776" w:rsidP="00A421A0">
      <w:pPr>
        <w:pStyle w:val="MDPI31text"/>
        <w:spacing w:line="240" w:lineRule="auto"/>
        <w:ind w:left="720" w:hanging="720"/>
        <w:rPr>
          <w:rFonts w:ascii="Times New Roman" w:hAnsi="Times New Roman"/>
          <w:color w:val="auto"/>
          <w:sz w:val="22"/>
          <w:shd w:val="clear" w:color="auto" w:fill="FFFFFF"/>
        </w:rPr>
      </w:pPr>
      <w:r w:rsidRPr="006963B4">
        <w:rPr>
          <w:rFonts w:ascii="Times New Roman" w:hAnsi="Times New Roman"/>
          <w:color w:val="auto"/>
          <w:sz w:val="22"/>
          <w:highlight w:val="cyan"/>
          <w:shd w:val="clear" w:color="auto" w:fill="FFFFFF"/>
        </w:rPr>
        <w:t>Pandey, D. (2022). Decentralized Exchanges: A Qualitative Comparison Against Centralized Exchanges (</w:t>
      </w:r>
      <w:proofErr w:type="gramStart"/>
      <w:r w:rsidRPr="006963B4">
        <w:rPr>
          <w:rFonts w:ascii="Times New Roman" w:hAnsi="Times New Roman"/>
          <w:color w:val="auto"/>
          <w:sz w:val="22"/>
          <w:highlight w:val="cyan"/>
          <w:shd w:val="clear" w:color="auto" w:fill="FFFFFF"/>
        </w:rPr>
        <w:t>Master's</w:t>
      </w:r>
      <w:proofErr w:type="gramEnd"/>
      <w:r w:rsidRPr="006963B4">
        <w:rPr>
          <w:rFonts w:ascii="Times New Roman" w:hAnsi="Times New Roman"/>
          <w:color w:val="auto"/>
          <w:sz w:val="22"/>
          <w:highlight w:val="cyan"/>
          <w:shd w:val="clear" w:color="auto" w:fill="FFFFFF"/>
        </w:rPr>
        <w:t xml:space="preserve"> thesis, NTNU).</w:t>
      </w:r>
    </w:p>
    <w:p w14:paraId="10BE9C40" w14:textId="647084BB" w:rsidR="002D63CC" w:rsidRPr="00A421A0" w:rsidRDefault="002D63CC" w:rsidP="00A421A0">
      <w:pPr>
        <w:pStyle w:val="MDPI31text"/>
        <w:spacing w:line="240" w:lineRule="auto"/>
        <w:ind w:left="720" w:hanging="720"/>
        <w:rPr>
          <w:rFonts w:ascii="Times New Roman" w:hAnsi="Times New Roman"/>
          <w:color w:val="auto"/>
          <w:sz w:val="22"/>
          <w:shd w:val="clear" w:color="auto" w:fill="FFFFFF"/>
        </w:rPr>
      </w:pPr>
      <w:r w:rsidRPr="002D63CC">
        <w:rPr>
          <w:rFonts w:ascii="Times New Roman" w:hAnsi="Times New Roman"/>
          <w:color w:val="auto"/>
          <w:sz w:val="22"/>
          <w:highlight w:val="cyan"/>
          <w:shd w:val="clear" w:color="auto" w:fill="FFFFFF"/>
        </w:rPr>
        <w:t xml:space="preserve">Pereira, J., </w:t>
      </w:r>
      <w:proofErr w:type="spellStart"/>
      <w:r w:rsidRPr="002D63CC">
        <w:rPr>
          <w:rFonts w:ascii="Times New Roman" w:hAnsi="Times New Roman"/>
          <w:color w:val="auto"/>
          <w:sz w:val="22"/>
          <w:highlight w:val="cyan"/>
          <w:shd w:val="clear" w:color="auto" w:fill="FFFFFF"/>
        </w:rPr>
        <w:t>Tavalaei</w:t>
      </w:r>
      <w:proofErr w:type="spellEnd"/>
      <w:r w:rsidRPr="002D63CC">
        <w:rPr>
          <w:rFonts w:ascii="Times New Roman" w:hAnsi="Times New Roman"/>
          <w:color w:val="auto"/>
          <w:sz w:val="22"/>
          <w:highlight w:val="cyan"/>
          <w:shd w:val="clear" w:color="auto" w:fill="FFFFFF"/>
        </w:rPr>
        <w:t xml:space="preserve">, M. M., &amp; </w:t>
      </w:r>
      <w:proofErr w:type="spellStart"/>
      <w:r w:rsidRPr="002D63CC">
        <w:rPr>
          <w:rFonts w:ascii="Times New Roman" w:hAnsi="Times New Roman"/>
          <w:color w:val="auto"/>
          <w:sz w:val="22"/>
          <w:highlight w:val="cyan"/>
          <w:shd w:val="clear" w:color="auto" w:fill="FFFFFF"/>
        </w:rPr>
        <w:t>Ozalp</w:t>
      </w:r>
      <w:proofErr w:type="spellEnd"/>
      <w:r w:rsidRPr="002D63CC">
        <w:rPr>
          <w:rFonts w:ascii="Times New Roman" w:hAnsi="Times New Roman"/>
          <w:color w:val="auto"/>
          <w:sz w:val="22"/>
          <w:highlight w:val="cyan"/>
          <w:shd w:val="clear" w:color="auto" w:fill="FFFFFF"/>
        </w:rPr>
        <w:t>, H. (2019). Blockchain-based platforms: Decentralized infrastructures and its boundary conditions. </w:t>
      </w:r>
      <w:r w:rsidRPr="002D63CC">
        <w:rPr>
          <w:rFonts w:ascii="Times New Roman" w:hAnsi="Times New Roman"/>
          <w:i/>
          <w:iCs/>
          <w:color w:val="auto"/>
          <w:sz w:val="22"/>
          <w:highlight w:val="cyan"/>
          <w:shd w:val="clear" w:color="auto" w:fill="FFFFFF"/>
        </w:rPr>
        <w:t>Technological Forecasting and Social Change</w:t>
      </w:r>
      <w:r w:rsidRPr="002D63CC">
        <w:rPr>
          <w:rFonts w:ascii="Times New Roman" w:hAnsi="Times New Roman"/>
          <w:color w:val="auto"/>
          <w:sz w:val="22"/>
          <w:highlight w:val="cyan"/>
          <w:shd w:val="clear" w:color="auto" w:fill="FFFFFF"/>
        </w:rPr>
        <w:t>, </w:t>
      </w:r>
      <w:r w:rsidRPr="002D63CC">
        <w:rPr>
          <w:rFonts w:ascii="Times New Roman" w:hAnsi="Times New Roman"/>
          <w:i/>
          <w:iCs/>
          <w:color w:val="auto"/>
          <w:sz w:val="22"/>
          <w:highlight w:val="cyan"/>
          <w:shd w:val="clear" w:color="auto" w:fill="FFFFFF"/>
        </w:rPr>
        <w:t>146</w:t>
      </w:r>
      <w:r w:rsidRPr="002D63CC">
        <w:rPr>
          <w:rFonts w:ascii="Times New Roman" w:hAnsi="Times New Roman"/>
          <w:color w:val="auto"/>
          <w:sz w:val="22"/>
          <w:highlight w:val="cyan"/>
          <w:shd w:val="clear" w:color="auto" w:fill="FFFFFF"/>
        </w:rPr>
        <w:t>, 94-102.</w:t>
      </w:r>
    </w:p>
    <w:p w14:paraId="6430F261" w14:textId="77777777" w:rsidR="00A421A0" w:rsidRPr="00A421A0" w:rsidRDefault="00A421A0" w:rsidP="00A421A0">
      <w:pPr>
        <w:spacing w:after="0" w:line="240" w:lineRule="auto"/>
        <w:ind w:left="720" w:hanging="720"/>
        <w:jc w:val="both"/>
        <w:rPr>
          <w:rFonts w:ascii="Times New Roman" w:hAnsi="Times New Roman" w:cs="Times New Roman"/>
        </w:rPr>
      </w:pPr>
      <w:proofErr w:type="spellStart"/>
      <w:r w:rsidRPr="00A421A0">
        <w:rPr>
          <w:rFonts w:ascii="Times New Roman" w:hAnsi="Times New Roman" w:cs="Times New Roman"/>
        </w:rPr>
        <w:t>Pesaran</w:t>
      </w:r>
      <w:proofErr w:type="spellEnd"/>
      <w:r w:rsidRPr="00A421A0">
        <w:rPr>
          <w:rFonts w:ascii="Times New Roman" w:hAnsi="Times New Roman" w:cs="Times New Roman"/>
        </w:rPr>
        <w:t xml:space="preserve">, H. H., Shin, Y., (1998). Generalized impulse response analysis in linear multivariate models. </w:t>
      </w:r>
      <w:r w:rsidRPr="00A421A0">
        <w:rPr>
          <w:rFonts w:ascii="Times New Roman" w:hAnsi="Times New Roman" w:cs="Times New Roman"/>
          <w:i/>
          <w:iCs/>
        </w:rPr>
        <w:t>Economics Letters</w:t>
      </w:r>
      <w:r w:rsidRPr="00A421A0">
        <w:rPr>
          <w:rFonts w:ascii="Times New Roman" w:hAnsi="Times New Roman" w:cs="Times New Roman"/>
        </w:rPr>
        <w:t>, 58 (1), 17–29.</w:t>
      </w:r>
    </w:p>
    <w:p w14:paraId="37371528" w14:textId="77777777" w:rsidR="00D412A8" w:rsidRPr="00A421A0" w:rsidRDefault="00D412A8" w:rsidP="00A421A0">
      <w:pPr>
        <w:pStyle w:val="MDPI31text"/>
        <w:spacing w:line="240" w:lineRule="auto"/>
        <w:ind w:left="720" w:hanging="720"/>
        <w:rPr>
          <w:rFonts w:ascii="Times New Roman" w:hAnsi="Times New Roman"/>
          <w:color w:val="auto"/>
          <w:sz w:val="22"/>
          <w:shd w:val="clear" w:color="auto" w:fill="FFFFFF"/>
        </w:rPr>
      </w:pPr>
      <w:r w:rsidRPr="00A421A0">
        <w:rPr>
          <w:rFonts w:ascii="Times New Roman" w:hAnsi="Times New Roman"/>
          <w:color w:val="auto"/>
          <w:sz w:val="22"/>
          <w:shd w:val="clear" w:color="auto" w:fill="FFFFFF"/>
        </w:rPr>
        <w:t>Pham, L., Karim, S., Naeem, M. A., &amp; Long, C. (2022). A tale of two tails among carbon prices, green and non-green cryptocurrencies. </w:t>
      </w:r>
      <w:r w:rsidRPr="00A421A0">
        <w:rPr>
          <w:rFonts w:ascii="Times New Roman" w:hAnsi="Times New Roman"/>
          <w:i/>
          <w:iCs/>
          <w:color w:val="auto"/>
          <w:sz w:val="22"/>
          <w:shd w:val="clear" w:color="auto" w:fill="FFFFFF"/>
        </w:rPr>
        <w:t>International Review of Financial Analysis</w:t>
      </w:r>
      <w:r w:rsidRPr="00A421A0">
        <w:rPr>
          <w:rFonts w:ascii="Times New Roman" w:hAnsi="Times New Roman"/>
          <w:color w:val="auto"/>
          <w:sz w:val="22"/>
          <w:shd w:val="clear" w:color="auto" w:fill="FFFFFF"/>
        </w:rPr>
        <w:t>, </w:t>
      </w:r>
      <w:r w:rsidRPr="00A421A0">
        <w:rPr>
          <w:rFonts w:ascii="Times New Roman" w:hAnsi="Times New Roman"/>
          <w:i/>
          <w:iCs/>
          <w:color w:val="auto"/>
          <w:sz w:val="22"/>
          <w:shd w:val="clear" w:color="auto" w:fill="FFFFFF"/>
        </w:rPr>
        <w:t>82</w:t>
      </w:r>
      <w:r w:rsidRPr="00A421A0">
        <w:rPr>
          <w:rFonts w:ascii="Times New Roman" w:hAnsi="Times New Roman"/>
          <w:color w:val="auto"/>
          <w:sz w:val="22"/>
          <w:shd w:val="clear" w:color="auto" w:fill="FFFFFF"/>
        </w:rPr>
        <w:t>, 102139.</w:t>
      </w:r>
    </w:p>
    <w:p w14:paraId="50655613" w14:textId="4E5E88D5" w:rsidR="00F37213" w:rsidRDefault="00F37213" w:rsidP="00A421A0">
      <w:pPr>
        <w:spacing w:after="0" w:line="240" w:lineRule="auto"/>
        <w:ind w:left="720" w:hanging="720"/>
        <w:jc w:val="both"/>
        <w:rPr>
          <w:rFonts w:ascii="Times New Roman" w:hAnsi="Times New Roman" w:cs="Times New Roman"/>
        </w:rPr>
      </w:pPr>
      <w:r>
        <w:rPr>
          <w:rFonts w:ascii="Times New Roman" w:hAnsi="Times New Roman" w:cs="Times New Roman"/>
        </w:rPr>
        <w:t xml:space="preserve">Renwick. R., &amp; </w:t>
      </w:r>
      <w:proofErr w:type="spellStart"/>
      <w:r>
        <w:rPr>
          <w:rFonts w:ascii="Times New Roman" w:hAnsi="Times New Roman" w:cs="Times New Roman"/>
        </w:rPr>
        <w:t>Gleasure</w:t>
      </w:r>
      <w:proofErr w:type="spellEnd"/>
      <w:r>
        <w:rPr>
          <w:rFonts w:ascii="Times New Roman" w:hAnsi="Times New Roman" w:cs="Times New Roman"/>
        </w:rPr>
        <w:t>, R. (2020).</w:t>
      </w:r>
      <w:r w:rsidRPr="00F37213">
        <w:t xml:space="preserve"> </w:t>
      </w:r>
      <w:r w:rsidRPr="00F37213">
        <w:rPr>
          <w:rFonts w:ascii="Times New Roman" w:hAnsi="Times New Roman" w:cs="Times New Roman"/>
        </w:rPr>
        <w:t>Those who control the code control the rules: How different perspectives of privacy are being written into the code of blockchain systems</w:t>
      </w:r>
      <w:r>
        <w:rPr>
          <w:rFonts w:ascii="Times New Roman" w:hAnsi="Times New Roman" w:cs="Times New Roman"/>
        </w:rPr>
        <w:t xml:space="preserve">. </w:t>
      </w:r>
      <w:r w:rsidRPr="00F37213">
        <w:rPr>
          <w:rFonts w:ascii="Times New Roman" w:hAnsi="Times New Roman" w:cs="Times New Roman"/>
          <w:i/>
        </w:rPr>
        <w:t>Journal of Information Technology, 35</w:t>
      </w:r>
      <w:r w:rsidR="00EE0DE9">
        <w:rPr>
          <w:rFonts w:ascii="Times New Roman" w:hAnsi="Times New Roman" w:cs="Times New Roman"/>
        </w:rPr>
        <w:t>, 16-38.</w:t>
      </w:r>
    </w:p>
    <w:p w14:paraId="28E0511F" w14:textId="0AEFE911" w:rsidR="001377C8" w:rsidRDefault="001377C8" w:rsidP="00A421A0">
      <w:pPr>
        <w:spacing w:after="0" w:line="240" w:lineRule="auto"/>
        <w:ind w:left="720" w:hanging="720"/>
        <w:jc w:val="both"/>
        <w:rPr>
          <w:rFonts w:ascii="Times New Roman" w:hAnsi="Times New Roman" w:cs="Times New Roman"/>
        </w:rPr>
      </w:pPr>
      <w:r w:rsidRPr="001377C8">
        <w:rPr>
          <w:rFonts w:ascii="Times New Roman" w:hAnsi="Times New Roman" w:cs="Times New Roman"/>
          <w:highlight w:val="cyan"/>
        </w:rPr>
        <w:t xml:space="preserve">Saeed, T., Bouri, E., &amp; </w:t>
      </w:r>
      <w:proofErr w:type="spellStart"/>
      <w:r w:rsidRPr="001377C8">
        <w:rPr>
          <w:rFonts w:ascii="Times New Roman" w:hAnsi="Times New Roman" w:cs="Times New Roman"/>
          <w:highlight w:val="cyan"/>
        </w:rPr>
        <w:t>Alsulami</w:t>
      </w:r>
      <w:proofErr w:type="spellEnd"/>
      <w:r w:rsidRPr="001377C8">
        <w:rPr>
          <w:rFonts w:ascii="Times New Roman" w:hAnsi="Times New Roman" w:cs="Times New Roman"/>
          <w:highlight w:val="cyan"/>
        </w:rPr>
        <w:t>, H. (2021). Extreme return connectedness and its determinants between clean/green and dirty energy investments. </w:t>
      </w:r>
      <w:r w:rsidRPr="001377C8">
        <w:rPr>
          <w:rFonts w:ascii="Times New Roman" w:hAnsi="Times New Roman" w:cs="Times New Roman"/>
          <w:i/>
          <w:iCs/>
          <w:highlight w:val="cyan"/>
        </w:rPr>
        <w:t>Energy Economics</w:t>
      </w:r>
      <w:r w:rsidRPr="001377C8">
        <w:rPr>
          <w:rFonts w:ascii="Times New Roman" w:hAnsi="Times New Roman" w:cs="Times New Roman"/>
          <w:highlight w:val="cyan"/>
        </w:rPr>
        <w:t>, </w:t>
      </w:r>
      <w:r w:rsidRPr="001377C8">
        <w:rPr>
          <w:rFonts w:ascii="Times New Roman" w:hAnsi="Times New Roman" w:cs="Times New Roman"/>
          <w:i/>
          <w:iCs/>
          <w:highlight w:val="cyan"/>
        </w:rPr>
        <w:t>96</w:t>
      </w:r>
      <w:r w:rsidRPr="001377C8">
        <w:rPr>
          <w:rFonts w:ascii="Times New Roman" w:hAnsi="Times New Roman" w:cs="Times New Roman"/>
          <w:highlight w:val="cyan"/>
        </w:rPr>
        <w:t>, 105017.</w:t>
      </w:r>
    </w:p>
    <w:p w14:paraId="6A236172" w14:textId="688EFBF8" w:rsidR="00D412A8" w:rsidRPr="00A421A0" w:rsidRDefault="00D412A8" w:rsidP="00A421A0">
      <w:pPr>
        <w:spacing w:after="0" w:line="240" w:lineRule="auto"/>
        <w:ind w:left="720" w:hanging="720"/>
        <w:jc w:val="both"/>
        <w:rPr>
          <w:rFonts w:ascii="Times New Roman" w:hAnsi="Times New Roman" w:cs="Times New Roman"/>
        </w:rPr>
      </w:pPr>
      <w:r w:rsidRPr="00A421A0">
        <w:rPr>
          <w:rFonts w:ascii="Times New Roman" w:hAnsi="Times New Roman" w:cs="Times New Roman"/>
        </w:rPr>
        <w:lastRenderedPageBreak/>
        <w:t xml:space="preserve">Umar, Z., Abrar, A., Zaremba, A., </w:t>
      </w:r>
      <w:proofErr w:type="spellStart"/>
      <w:r w:rsidRPr="00A421A0">
        <w:rPr>
          <w:rFonts w:ascii="Times New Roman" w:hAnsi="Times New Roman" w:cs="Times New Roman"/>
        </w:rPr>
        <w:t>Teplova</w:t>
      </w:r>
      <w:proofErr w:type="spellEnd"/>
      <w:r w:rsidRPr="00A421A0">
        <w:rPr>
          <w:rFonts w:ascii="Times New Roman" w:hAnsi="Times New Roman" w:cs="Times New Roman"/>
        </w:rPr>
        <w:t>, T., &amp; Vo, X. V. (2022). The Return and Volatility Connectedness of NFT Segments and Media Coverage: Fresh Evidence Based on News About the COVID-19 Pandemic. </w:t>
      </w:r>
      <w:r w:rsidRPr="00A421A0">
        <w:rPr>
          <w:rFonts w:ascii="Times New Roman" w:hAnsi="Times New Roman" w:cs="Times New Roman"/>
          <w:i/>
          <w:iCs/>
        </w:rPr>
        <w:t>Finance Research Letters</w:t>
      </w:r>
      <w:r w:rsidRPr="00A421A0">
        <w:rPr>
          <w:rFonts w:ascii="Times New Roman" w:hAnsi="Times New Roman" w:cs="Times New Roman"/>
        </w:rPr>
        <w:t>, 103031.</w:t>
      </w:r>
    </w:p>
    <w:p w14:paraId="6A5E310C" w14:textId="77777777" w:rsidR="00D412A8" w:rsidRPr="00A421A0" w:rsidRDefault="00D412A8" w:rsidP="00A421A0">
      <w:pPr>
        <w:spacing w:after="0" w:line="240" w:lineRule="auto"/>
        <w:ind w:left="720" w:hanging="720"/>
        <w:jc w:val="both"/>
        <w:rPr>
          <w:rFonts w:ascii="Times New Roman" w:hAnsi="Times New Roman" w:cs="Times New Roman"/>
        </w:rPr>
      </w:pPr>
      <w:r w:rsidRPr="00A421A0">
        <w:rPr>
          <w:rFonts w:ascii="Times New Roman" w:hAnsi="Times New Roman" w:cs="Times New Roman"/>
        </w:rPr>
        <w:t xml:space="preserve">Wang, J., </w:t>
      </w:r>
      <w:proofErr w:type="spellStart"/>
      <w:r w:rsidRPr="00A421A0">
        <w:rPr>
          <w:rFonts w:ascii="Times New Roman" w:hAnsi="Times New Roman" w:cs="Times New Roman"/>
        </w:rPr>
        <w:t>Ngene</w:t>
      </w:r>
      <w:proofErr w:type="spellEnd"/>
      <w:r w:rsidRPr="00A421A0">
        <w:rPr>
          <w:rFonts w:ascii="Times New Roman" w:hAnsi="Times New Roman" w:cs="Times New Roman"/>
        </w:rPr>
        <w:t xml:space="preserve">, G. M. (2020). Does bitcoin still own the dominant power? An intraday analysis. </w:t>
      </w:r>
      <w:r w:rsidRPr="00A421A0">
        <w:rPr>
          <w:rFonts w:ascii="Times New Roman" w:hAnsi="Times New Roman" w:cs="Times New Roman"/>
          <w:i/>
          <w:iCs/>
        </w:rPr>
        <w:t>International Review of Financial Analysis, 71</w:t>
      </w:r>
      <w:r w:rsidRPr="00A421A0">
        <w:rPr>
          <w:rFonts w:ascii="Times New Roman" w:hAnsi="Times New Roman" w:cs="Times New Roman"/>
        </w:rPr>
        <w:t>, 101551.</w:t>
      </w:r>
    </w:p>
    <w:p w14:paraId="3A8C8302" w14:textId="77777777" w:rsidR="00D412A8" w:rsidRDefault="00D412A8" w:rsidP="00A421A0">
      <w:pPr>
        <w:spacing w:after="0" w:line="240" w:lineRule="auto"/>
        <w:ind w:left="720" w:hanging="720"/>
        <w:jc w:val="both"/>
        <w:rPr>
          <w:rFonts w:ascii="Times New Roman" w:hAnsi="Times New Roman" w:cs="Times New Roman"/>
        </w:rPr>
      </w:pPr>
      <w:r w:rsidRPr="00A421A0">
        <w:rPr>
          <w:rFonts w:ascii="Times New Roman" w:hAnsi="Times New Roman" w:cs="Times New Roman"/>
        </w:rPr>
        <w:t>Yousaf, I., &amp; Yarovaya, L. (2022). Static and dynamic connectedness between NFTs, Defi and other assets: Portfolio implication. </w:t>
      </w:r>
      <w:r w:rsidRPr="00A421A0">
        <w:rPr>
          <w:rFonts w:ascii="Times New Roman" w:hAnsi="Times New Roman" w:cs="Times New Roman"/>
          <w:i/>
          <w:iCs/>
        </w:rPr>
        <w:t>Global Finance Journal</w:t>
      </w:r>
      <w:r w:rsidRPr="00A421A0">
        <w:rPr>
          <w:rFonts w:ascii="Times New Roman" w:hAnsi="Times New Roman" w:cs="Times New Roman"/>
        </w:rPr>
        <w:t>, </w:t>
      </w:r>
      <w:r w:rsidRPr="00A421A0">
        <w:rPr>
          <w:rFonts w:ascii="Times New Roman" w:hAnsi="Times New Roman" w:cs="Times New Roman"/>
          <w:i/>
          <w:iCs/>
        </w:rPr>
        <w:t>53</w:t>
      </w:r>
      <w:r w:rsidRPr="00A421A0">
        <w:rPr>
          <w:rFonts w:ascii="Times New Roman" w:hAnsi="Times New Roman" w:cs="Times New Roman"/>
        </w:rPr>
        <w:t>, 100719.</w:t>
      </w:r>
    </w:p>
    <w:p w14:paraId="071E0155" w14:textId="4976633D" w:rsidR="007B3EC1" w:rsidRDefault="007B3EC1" w:rsidP="00A421A0">
      <w:pPr>
        <w:spacing w:after="0" w:line="240" w:lineRule="auto"/>
        <w:ind w:left="720" w:hanging="720"/>
        <w:jc w:val="both"/>
        <w:rPr>
          <w:rFonts w:ascii="Times New Roman" w:hAnsi="Times New Roman" w:cs="Times New Roman"/>
        </w:rPr>
      </w:pPr>
      <w:r w:rsidRPr="00A421A0">
        <w:rPr>
          <w:rFonts w:ascii="Times New Roman" w:hAnsi="Times New Roman" w:cs="Times New Roman"/>
        </w:rPr>
        <w:t xml:space="preserve">Yousaf, I., </w:t>
      </w:r>
      <w:proofErr w:type="spellStart"/>
      <w:r w:rsidRPr="00A421A0">
        <w:rPr>
          <w:rFonts w:ascii="Times New Roman" w:hAnsi="Times New Roman" w:cs="Times New Roman"/>
        </w:rPr>
        <w:t>Nekhili</w:t>
      </w:r>
      <w:proofErr w:type="spellEnd"/>
      <w:r w:rsidRPr="00A421A0">
        <w:rPr>
          <w:rFonts w:ascii="Times New Roman" w:hAnsi="Times New Roman" w:cs="Times New Roman"/>
        </w:rPr>
        <w:t xml:space="preserve">, R., &amp; </w:t>
      </w:r>
      <w:proofErr w:type="spellStart"/>
      <w:r w:rsidRPr="00A421A0">
        <w:rPr>
          <w:rFonts w:ascii="Times New Roman" w:hAnsi="Times New Roman" w:cs="Times New Roman"/>
        </w:rPr>
        <w:t>Gubareva</w:t>
      </w:r>
      <w:proofErr w:type="spellEnd"/>
      <w:r w:rsidRPr="00A421A0">
        <w:rPr>
          <w:rFonts w:ascii="Times New Roman" w:hAnsi="Times New Roman" w:cs="Times New Roman"/>
        </w:rPr>
        <w:t>, M. (2022). Linkages between DeFi assets and conventional currencies: Evidence from the COVID-19 pandemic. </w:t>
      </w:r>
      <w:r w:rsidRPr="00A421A0">
        <w:rPr>
          <w:rFonts w:ascii="Times New Roman" w:hAnsi="Times New Roman" w:cs="Times New Roman"/>
          <w:i/>
          <w:iCs/>
        </w:rPr>
        <w:t>International Review of Financial Analysis</w:t>
      </w:r>
      <w:r w:rsidRPr="00A421A0">
        <w:rPr>
          <w:rFonts w:ascii="Times New Roman" w:hAnsi="Times New Roman" w:cs="Times New Roman"/>
        </w:rPr>
        <w:t>, </w:t>
      </w:r>
      <w:r w:rsidRPr="00A421A0">
        <w:rPr>
          <w:rFonts w:ascii="Times New Roman" w:hAnsi="Times New Roman" w:cs="Times New Roman"/>
          <w:i/>
          <w:iCs/>
        </w:rPr>
        <w:t>81</w:t>
      </w:r>
      <w:r w:rsidRPr="00A421A0">
        <w:rPr>
          <w:rFonts w:ascii="Times New Roman" w:hAnsi="Times New Roman" w:cs="Times New Roman"/>
        </w:rPr>
        <w:t>, 102082.</w:t>
      </w:r>
    </w:p>
    <w:p w14:paraId="0FA698F7" w14:textId="69BC6F7D" w:rsidR="007B3EC1" w:rsidRPr="00A421A0" w:rsidRDefault="007B3EC1" w:rsidP="00A421A0">
      <w:pPr>
        <w:spacing w:after="0" w:line="240" w:lineRule="auto"/>
        <w:ind w:left="720" w:hanging="720"/>
        <w:jc w:val="both"/>
        <w:rPr>
          <w:rFonts w:ascii="Times New Roman" w:hAnsi="Times New Roman" w:cs="Times New Roman"/>
        </w:rPr>
      </w:pPr>
      <w:r w:rsidRPr="007B3EC1">
        <w:rPr>
          <w:rFonts w:ascii="Times New Roman" w:hAnsi="Times New Roman" w:cs="Times New Roman"/>
          <w:highlight w:val="cyan"/>
        </w:rPr>
        <w:t>Yousaf, I., &amp; Goodell, J. W. (2023). Reputational contagion and the fall of FTX: Examining the response of tokens to the delegitimization of FTT. </w:t>
      </w:r>
      <w:r w:rsidRPr="007B3EC1">
        <w:rPr>
          <w:rFonts w:ascii="Times New Roman" w:hAnsi="Times New Roman" w:cs="Times New Roman"/>
          <w:i/>
          <w:iCs/>
          <w:highlight w:val="cyan"/>
        </w:rPr>
        <w:t>Finance Research Letters</w:t>
      </w:r>
      <w:r w:rsidRPr="007B3EC1">
        <w:rPr>
          <w:rFonts w:ascii="Times New Roman" w:hAnsi="Times New Roman" w:cs="Times New Roman"/>
          <w:highlight w:val="cyan"/>
        </w:rPr>
        <w:t>, </w:t>
      </w:r>
      <w:r w:rsidRPr="007B3EC1">
        <w:rPr>
          <w:rFonts w:ascii="Times New Roman" w:hAnsi="Times New Roman" w:cs="Times New Roman"/>
          <w:i/>
          <w:iCs/>
          <w:highlight w:val="cyan"/>
        </w:rPr>
        <w:t>54</w:t>
      </w:r>
      <w:r w:rsidRPr="007B3EC1">
        <w:rPr>
          <w:rFonts w:ascii="Times New Roman" w:hAnsi="Times New Roman" w:cs="Times New Roman"/>
          <w:highlight w:val="cyan"/>
        </w:rPr>
        <w:t>, 103704.</w:t>
      </w:r>
    </w:p>
    <w:p w14:paraId="7763C75B" w14:textId="77777777" w:rsidR="007B3EC1" w:rsidRPr="0065228D" w:rsidRDefault="007B3EC1" w:rsidP="004C0C38">
      <w:pPr>
        <w:spacing w:after="0" w:line="240" w:lineRule="auto"/>
        <w:ind w:left="720" w:hanging="720"/>
        <w:jc w:val="both"/>
        <w:rPr>
          <w:rFonts w:ascii="Times New Roman" w:hAnsi="Times New Roman" w:cs="Times New Roman"/>
          <w:sz w:val="24"/>
          <w:szCs w:val="24"/>
        </w:rPr>
      </w:pPr>
    </w:p>
    <w:p w14:paraId="6F21762C" w14:textId="77777777" w:rsidR="00D412A8" w:rsidRDefault="00D412A8" w:rsidP="00F84F21">
      <w:pPr>
        <w:spacing w:line="360" w:lineRule="auto"/>
        <w:contextualSpacing/>
        <w:jc w:val="both"/>
        <w:rPr>
          <w:rFonts w:ascii="Times New Roman" w:hAnsi="Times New Roman" w:cs="Times New Roman"/>
          <w:sz w:val="24"/>
          <w:szCs w:val="24"/>
        </w:rPr>
      </w:pPr>
    </w:p>
    <w:p w14:paraId="6149AD67" w14:textId="6FF64792" w:rsidR="007B3EC1" w:rsidRPr="0065228D" w:rsidRDefault="007B3EC1" w:rsidP="00F84F21">
      <w:pPr>
        <w:spacing w:line="360" w:lineRule="auto"/>
        <w:contextualSpacing/>
        <w:jc w:val="both"/>
        <w:rPr>
          <w:rFonts w:ascii="Times New Roman" w:hAnsi="Times New Roman" w:cs="Times New Roman"/>
          <w:sz w:val="24"/>
          <w:szCs w:val="24"/>
        </w:rPr>
        <w:sectPr w:rsidR="007B3EC1" w:rsidRPr="0065228D" w:rsidSect="0086092F">
          <w:footerReference w:type="default" r:id="rId8"/>
          <w:pgSz w:w="11906" w:h="16838"/>
          <w:pgMar w:top="1440" w:right="1440" w:bottom="1440" w:left="1440" w:header="708" w:footer="708" w:gutter="0"/>
          <w:pgNumType w:start="1"/>
          <w:cols w:space="708"/>
          <w:titlePg/>
          <w:docGrid w:linePitch="360"/>
        </w:sectPr>
      </w:pPr>
    </w:p>
    <w:p w14:paraId="527AFA10" w14:textId="77777777" w:rsidR="00835A65" w:rsidRPr="0065228D" w:rsidRDefault="00835A65" w:rsidP="00835A65">
      <w:pPr>
        <w:rPr>
          <w:rFonts w:ascii="Times New Roman" w:hAnsi="Times New Roman" w:cs="Times New Roman"/>
          <w:sz w:val="24"/>
          <w:szCs w:val="24"/>
        </w:rPr>
      </w:pPr>
      <w:r w:rsidRPr="0065228D">
        <w:rPr>
          <w:rFonts w:ascii="Times New Roman" w:hAnsi="Times New Roman" w:cs="Times New Roman"/>
          <w:b/>
          <w:bCs/>
          <w:sz w:val="24"/>
          <w:szCs w:val="24"/>
        </w:rPr>
        <w:lastRenderedPageBreak/>
        <w:t>Table 1. Summary statistics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0"/>
        <w:gridCol w:w="1285"/>
        <w:gridCol w:w="1473"/>
        <w:gridCol w:w="1427"/>
        <w:gridCol w:w="1285"/>
        <w:gridCol w:w="1418"/>
        <w:gridCol w:w="1365"/>
        <w:gridCol w:w="1600"/>
        <w:gridCol w:w="1365"/>
      </w:tblGrid>
      <w:tr w:rsidR="00835A65" w:rsidRPr="0065228D" w14:paraId="0708706B" w14:textId="77777777" w:rsidTr="00E063A1">
        <w:trPr>
          <w:trHeight w:val="495"/>
        </w:trPr>
        <w:tc>
          <w:tcPr>
            <w:tcW w:w="1650" w:type="dxa"/>
            <w:tcBorders>
              <w:top w:val="single" w:sz="4" w:space="0" w:color="auto"/>
              <w:bottom w:val="single" w:sz="4" w:space="0" w:color="auto"/>
            </w:tcBorders>
            <w:noWrap/>
            <w:vAlign w:val="center"/>
            <w:hideMark/>
          </w:tcPr>
          <w:p w14:paraId="52D8159F" w14:textId="77777777" w:rsidR="00835A65" w:rsidRPr="0065228D" w:rsidRDefault="00835A65" w:rsidP="00835A65">
            <w:pPr>
              <w:rPr>
                <w:rFonts w:ascii="Times New Roman" w:hAnsi="Times New Roman" w:cs="Times New Roman"/>
              </w:rPr>
            </w:pPr>
          </w:p>
        </w:tc>
        <w:tc>
          <w:tcPr>
            <w:tcW w:w="1285" w:type="dxa"/>
            <w:tcBorders>
              <w:top w:val="single" w:sz="4" w:space="0" w:color="auto"/>
              <w:bottom w:val="single" w:sz="4" w:space="0" w:color="auto"/>
            </w:tcBorders>
            <w:noWrap/>
            <w:vAlign w:val="center"/>
            <w:hideMark/>
          </w:tcPr>
          <w:p w14:paraId="46C25E7C" w14:textId="77777777" w:rsidR="00835A65" w:rsidRPr="0065228D" w:rsidRDefault="00835A65" w:rsidP="00835A65">
            <w:pPr>
              <w:rPr>
                <w:rFonts w:ascii="Times New Roman" w:hAnsi="Times New Roman" w:cs="Times New Roman"/>
                <w:b/>
                <w:bCs/>
              </w:rPr>
            </w:pPr>
            <w:r w:rsidRPr="0065228D">
              <w:rPr>
                <w:rFonts w:ascii="Times New Roman" w:hAnsi="Times New Roman" w:cs="Times New Roman"/>
                <w:b/>
                <w:bCs/>
              </w:rPr>
              <w:t xml:space="preserve"> Mean</w:t>
            </w:r>
          </w:p>
        </w:tc>
        <w:tc>
          <w:tcPr>
            <w:tcW w:w="1473" w:type="dxa"/>
            <w:tcBorders>
              <w:top w:val="single" w:sz="4" w:space="0" w:color="auto"/>
              <w:bottom w:val="single" w:sz="4" w:space="0" w:color="auto"/>
            </w:tcBorders>
            <w:noWrap/>
            <w:vAlign w:val="center"/>
            <w:hideMark/>
          </w:tcPr>
          <w:p w14:paraId="29AFA034" w14:textId="77777777" w:rsidR="00835A65" w:rsidRPr="0065228D" w:rsidRDefault="00835A65" w:rsidP="00835A65">
            <w:pPr>
              <w:rPr>
                <w:rFonts w:ascii="Times New Roman" w:hAnsi="Times New Roman" w:cs="Times New Roman"/>
                <w:b/>
                <w:bCs/>
              </w:rPr>
            </w:pPr>
            <w:r w:rsidRPr="0065228D">
              <w:rPr>
                <w:rFonts w:ascii="Times New Roman" w:hAnsi="Times New Roman" w:cs="Times New Roman"/>
                <w:b/>
                <w:bCs/>
              </w:rPr>
              <w:t xml:space="preserve"> Maximum</w:t>
            </w:r>
          </w:p>
        </w:tc>
        <w:tc>
          <w:tcPr>
            <w:tcW w:w="1427" w:type="dxa"/>
            <w:tcBorders>
              <w:top w:val="single" w:sz="4" w:space="0" w:color="auto"/>
              <w:bottom w:val="single" w:sz="4" w:space="0" w:color="auto"/>
            </w:tcBorders>
            <w:noWrap/>
            <w:vAlign w:val="center"/>
            <w:hideMark/>
          </w:tcPr>
          <w:p w14:paraId="51A1A69C" w14:textId="77777777" w:rsidR="00835A65" w:rsidRPr="0065228D" w:rsidRDefault="00835A65" w:rsidP="00835A65">
            <w:pPr>
              <w:rPr>
                <w:rFonts w:ascii="Times New Roman" w:hAnsi="Times New Roman" w:cs="Times New Roman"/>
                <w:b/>
                <w:bCs/>
              </w:rPr>
            </w:pPr>
            <w:r w:rsidRPr="0065228D">
              <w:rPr>
                <w:rFonts w:ascii="Times New Roman" w:hAnsi="Times New Roman" w:cs="Times New Roman"/>
                <w:b/>
                <w:bCs/>
              </w:rPr>
              <w:t xml:space="preserve"> Minimum</w:t>
            </w:r>
          </w:p>
        </w:tc>
        <w:tc>
          <w:tcPr>
            <w:tcW w:w="1285" w:type="dxa"/>
            <w:tcBorders>
              <w:top w:val="single" w:sz="4" w:space="0" w:color="auto"/>
              <w:bottom w:val="single" w:sz="4" w:space="0" w:color="auto"/>
            </w:tcBorders>
            <w:noWrap/>
            <w:vAlign w:val="center"/>
            <w:hideMark/>
          </w:tcPr>
          <w:p w14:paraId="41817F98" w14:textId="77777777" w:rsidR="00835A65" w:rsidRPr="0065228D" w:rsidRDefault="00835A65" w:rsidP="00835A65">
            <w:pPr>
              <w:rPr>
                <w:rFonts w:ascii="Times New Roman" w:hAnsi="Times New Roman" w:cs="Times New Roman"/>
                <w:b/>
                <w:bCs/>
              </w:rPr>
            </w:pPr>
            <w:r w:rsidRPr="0065228D">
              <w:rPr>
                <w:rFonts w:ascii="Times New Roman" w:hAnsi="Times New Roman" w:cs="Times New Roman"/>
                <w:b/>
                <w:bCs/>
              </w:rPr>
              <w:t xml:space="preserve"> Std. Dev.</w:t>
            </w:r>
          </w:p>
        </w:tc>
        <w:tc>
          <w:tcPr>
            <w:tcW w:w="1418" w:type="dxa"/>
            <w:tcBorders>
              <w:top w:val="single" w:sz="4" w:space="0" w:color="auto"/>
              <w:bottom w:val="single" w:sz="4" w:space="0" w:color="auto"/>
            </w:tcBorders>
            <w:noWrap/>
            <w:vAlign w:val="center"/>
            <w:hideMark/>
          </w:tcPr>
          <w:p w14:paraId="2008CAA7" w14:textId="77777777" w:rsidR="00835A65" w:rsidRPr="0065228D" w:rsidRDefault="00835A65" w:rsidP="00835A65">
            <w:pPr>
              <w:rPr>
                <w:rFonts w:ascii="Times New Roman" w:hAnsi="Times New Roman" w:cs="Times New Roman"/>
                <w:b/>
                <w:bCs/>
              </w:rPr>
            </w:pPr>
            <w:r w:rsidRPr="0065228D">
              <w:rPr>
                <w:rFonts w:ascii="Times New Roman" w:hAnsi="Times New Roman" w:cs="Times New Roman"/>
                <w:b/>
                <w:bCs/>
              </w:rPr>
              <w:t xml:space="preserve"> Skewness</w:t>
            </w:r>
          </w:p>
        </w:tc>
        <w:tc>
          <w:tcPr>
            <w:tcW w:w="1365" w:type="dxa"/>
            <w:tcBorders>
              <w:top w:val="single" w:sz="4" w:space="0" w:color="auto"/>
              <w:bottom w:val="single" w:sz="4" w:space="0" w:color="auto"/>
            </w:tcBorders>
            <w:noWrap/>
            <w:vAlign w:val="center"/>
            <w:hideMark/>
          </w:tcPr>
          <w:p w14:paraId="0C5339BE" w14:textId="77777777" w:rsidR="00835A65" w:rsidRPr="0065228D" w:rsidRDefault="00835A65" w:rsidP="00835A65">
            <w:pPr>
              <w:rPr>
                <w:rFonts w:ascii="Times New Roman" w:hAnsi="Times New Roman" w:cs="Times New Roman"/>
                <w:b/>
                <w:bCs/>
              </w:rPr>
            </w:pPr>
            <w:r w:rsidRPr="0065228D">
              <w:rPr>
                <w:rFonts w:ascii="Times New Roman" w:hAnsi="Times New Roman" w:cs="Times New Roman"/>
                <w:b/>
                <w:bCs/>
              </w:rPr>
              <w:t xml:space="preserve"> Kurtosis</w:t>
            </w:r>
          </w:p>
        </w:tc>
        <w:tc>
          <w:tcPr>
            <w:tcW w:w="1600" w:type="dxa"/>
            <w:tcBorders>
              <w:top w:val="single" w:sz="4" w:space="0" w:color="auto"/>
              <w:bottom w:val="single" w:sz="4" w:space="0" w:color="auto"/>
            </w:tcBorders>
            <w:noWrap/>
            <w:vAlign w:val="center"/>
            <w:hideMark/>
          </w:tcPr>
          <w:p w14:paraId="6FDAF607" w14:textId="77777777" w:rsidR="00835A65" w:rsidRPr="0065228D" w:rsidRDefault="00835A65" w:rsidP="00835A65">
            <w:pPr>
              <w:rPr>
                <w:rFonts w:ascii="Times New Roman" w:hAnsi="Times New Roman" w:cs="Times New Roman"/>
                <w:b/>
                <w:bCs/>
              </w:rPr>
            </w:pPr>
            <w:r w:rsidRPr="0065228D">
              <w:rPr>
                <w:rFonts w:ascii="Times New Roman" w:hAnsi="Times New Roman" w:cs="Times New Roman"/>
                <w:b/>
                <w:bCs/>
              </w:rPr>
              <w:t xml:space="preserve"> Jarque-Bera</w:t>
            </w:r>
          </w:p>
        </w:tc>
        <w:tc>
          <w:tcPr>
            <w:tcW w:w="1365" w:type="dxa"/>
            <w:tcBorders>
              <w:top w:val="single" w:sz="4" w:space="0" w:color="auto"/>
              <w:bottom w:val="single" w:sz="4" w:space="0" w:color="auto"/>
            </w:tcBorders>
            <w:noWrap/>
            <w:vAlign w:val="center"/>
            <w:hideMark/>
          </w:tcPr>
          <w:p w14:paraId="3E1D59BD" w14:textId="77777777" w:rsidR="00835A65" w:rsidRPr="0065228D" w:rsidRDefault="00835A65" w:rsidP="00835A65">
            <w:pPr>
              <w:rPr>
                <w:rFonts w:ascii="Times New Roman" w:hAnsi="Times New Roman" w:cs="Times New Roman"/>
                <w:b/>
                <w:bCs/>
              </w:rPr>
            </w:pPr>
            <w:r w:rsidRPr="0065228D">
              <w:rPr>
                <w:rFonts w:ascii="Times New Roman" w:hAnsi="Times New Roman" w:cs="Times New Roman"/>
                <w:b/>
                <w:bCs/>
              </w:rPr>
              <w:t>ADF</w:t>
            </w:r>
          </w:p>
        </w:tc>
      </w:tr>
      <w:tr w:rsidR="00835A65" w:rsidRPr="0065228D" w14:paraId="0AE76B4E" w14:textId="77777777" w:rsidTr="00E063A1">
        <w:trPr>
          <w:trHeight w:val="495"/>
        </w:trPr>
        <w:tc>
          <w:tcPr>
            <w:tcW w:w="12868" w:type="dxa"/>
            <w:gridSpan w:val="9"/>
            <w:tcBorders>
              <w:top w:val="single" w:sz="4" w:space="0" w:color="auto"/>
              <w:bottom w:val="nil"/>
            </w:tcBorders>
            <w:noWrap/>
            <w:vAlign w:val="center"/>
          </w:tcPr>
          <w:p w14:paraId="69CD7AA8" w14:textId="77777777" w:rsidR="00835A65" w:rsidRPr="0065228D" w:rsidRDefault="00835A65" w:rsidP="00835A65">
            <w:pPr>
              <w:rPr>
                <w:rFonts w:ascii="Times New Roman" w:hAnsi="Times New Roman" w:cs="Times New Roman"/>
              </w:rPr>
            </w:pPr>
            <w:r w:rsidRPr="0065228D">
              <w:rPr>
                <w:rFonts w:ascii="Times New Roman" w:hAnsi="Times New Roman" w:cs="Times New Roman"/>
                <w:b/>
                <w:bCs/>
              </w:rPr>
              <w:t>Panel A. DEX tokens</w:t>
            </w:r>
          </w:p>
        </w:tc>
      </w:tr>
      <w:tr w:rsidR="00835A65" w:rsidRPr="0065228D" w14:paraId="195556FB" w14:textId="77777777" w:rsidTr="00E063A1">
        <w:trPr>
          <w:trHeight w:val="495"/>
        </w:trPr>
        <w:tc>
          <w:tcPr>
            <w:tcW w:w="1650" w:type="dxa"/>
            <w:tcBorders>
              <w:top w:val="nil"/>
            </w:tcBorders>
            <w:noWrap/>
            <w:vAlign w:val="center"/>
            <w:hideMark/>
          </w:tcPr>
          <w:p w14:paraId="6B0C54DE"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RUNE</w:t>
            </w:r>
          </w:p>
        </w:tc>
        <w:tc>
          <w:tcPr>
            <w:tcW w:w="1285" w:type="dxa"/>
            <w:tcBorders>
              <w:top w:val="nil"/>
            </w:tcBorders>
            <w:noWrap/>
            <w:vAlign w:val="center"/>
            <w:hideMark/>
          </w:tcPr>
          <w:p w14:paraId="5320B811"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0.0149</w:t>
            </w:r>
          </w:p>
        </w:tc>
        <w:tc>
          <w:tcPr>
            <w:tcW w:w="1473" w:type="dxa"/>
            <w:tcBorders>
              <w:top w:val="nil"/>
            </w:tcBorders>
            <w:noWrap/>
            <w:vAlign w:val="center"/>
            <w:hideMark/>
          </w:tcPr>
          <w:p w14:paraId="294241EA"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0.5622</w:t>
            </w:r>
          </w:p>
        </w:tc>
        <w:tc>
          <w:tcPr>
            <w:tcW w:w="1427" w:type="dxa"/>
            <w:tcBorders>
              <w:top w:val="nil"/>
            </w:tcBorders>
            <w:noWrap/>
            <w:vAlign w:val="center"/>
            <w:hideMark/>
          </w:tcPr>
          <w:p w14:paraId="6DE76A66"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-0.4250</w:t>
            </w:r>
          </w:p>
        </w:tc>
        <w:tc>
          <w:tcPr>
            <w:tcW w:w="1285" w:type="dxa"/>
            <w:tcBorders>
              <w:top w:val="nil"/>
            </w:tcBorders>
            <w:noWrap/>
            <w:vAlign w:val="center"/>
            <w:hideMark/>
          </w:tcPr>
          <w:p w14:paraId="61E9B454"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0.108</w:t>
            </w:r>
          </w:p>
        </w:tc>
        <w:tc>
          <w:tcPr>
            <w:tcW w:w="1418" w:type="dxa"/>
            <w:tcBorders>
              <w:top w:val="nil"/>
            </w:tcBorders>
            <w:noWrap/>
            <w:vAlign w:val="center"/>
            <w:hideMark/>
          </w:tcPr>
          <w:p w14:paraId="5DB7DC4C"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0.406</w:t>
            </w:r>
          </w:p>
        </w:tc>
        <w:tc>
          <w:tcPr>
            <w:tcW w:w="1365" w:type="dxa"/>
            <w:tcBorders>
              <w:top w:val="nil"/>
            </w:tcBorders>
            <w:noWrap/>
            <w:vAlign w:val="center"/>
            <w:hideMark/>
          </w:tcPr>
          <w:p w14:paraId="718B2B05"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4.983</w:t>
            </w:r>
          </w:p>
        </w:tc>
        <w:tc>
          <w:tcPr>
            <w:tcW w:w="1600" w:type="dxa"/>
            <w:tcBorders>
              <w:top w:val="nil"/>
            </w:tcBorders>
            <w:noWrap/>
            <w:vAlign w:val="center"/>
            <w:hideMark/>
          </w:tcPr>
          <w:p w14:paraId="02FE4FBD"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136.4***</w:t>
            </w:r>
          </w:p>
        </w:tc>
        <w:tc>
          <w:tcPr>
            <w:tcW w:w="1365" w:type="dxa"/>
            <w:tcBorders>
              <w:top w:val="nil"/>
            </w:tcBorders>
            <w:noWrap/>
            <w:vAlign w:val="center"/>
            <w:hideMark/>
          </w:tcPr>
          <w:p w14:paraId="7145AEF1"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-27.158***</w:t>
            </w:r>
          </w:p>
        </w:tc>
      </w:tr>
      <w:tr w:rsidR="00835A65" w:rsidRPr="0065228D" w14:paraId="2ACCCDB0" w14:textId="77777777" w:rsidTr="00E063A1">
        <w:trPr>
          <w:trHeight w:val="495"/>
        </w:trPr>
        <w:tc>
          <w:tcPr>
            <w:tcW w:w="1650" w:type="dxa"/>
            <w:noWrap/>
            <w:vAlign w:val="center"/>
            <w:hideMark/>
          </w:tcPr>
          <w:p w14:paraId="79F6964C"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LRC</w:t>
            </w:r>
          </w:p>
        </w:tc>
        <w:tc>
          <w:tcPr>
            <w:tcW w:w="1285" w:type="dxa"/>
            <w:noWrap/>
            <w:vAlign w:val="center"/>
            <w:hideMark/>
          </w:tcPr>
          <w:p w14:paraId="03F0EDE1"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0.0091</w:t>
            </w:r>
          </w:p>
        </w:tc>
        <w:tc>
          <w:tcPr>
            <w:tcW w:w="1473" w:type="dxa"/>
            <w:noWrap/>
            <w:vAlign w:val="center"/>
            <w:hideMark/>
          </w:tcPr>
          <w:p w14:paraId="4CE2856A"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1.0999</w:t>
            </w:r>
          </w:p>
        </w:tc>
        <w:tc>
          <w:tcPr>
            <w:tcW w:w="1427" w:type="dxa"/>
            <w:noWrap/>
            <w:vAlign w:val="center"/>
            <w:hideMark/>
          </w:tcPr>
          <w:p w14:paraId="29250196"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-0.4388</w:t>
            </w:r>
          </w:p>
        </w:tc>
        <w:tc>
          <w:tcPr>
            <w:tcW w:w="1285" w:type="dxa"/>
            <w:noWrap/>
            <w:vAlign w:val="center"/>
            <w:hideMark/>
          </w:tcPr>
          <w:p w14:paraId="0BBA9550"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0.106</w:t>
            </w:r>
          </w:p>
        </w:tc>
        <w:tc>
          <w:tcPr>
            <w:tcW w:w="1418" w:type="dxa"/>
            <w:noWrap/>
            <w:vAlign w:val="center"/>
            <w:hideMark/>
          </w:tcPr>
          <w:p w14:paraId="0FFECBEC"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3.310</w:t>
            </w:r>
          </w:p>
        </w:tc>
        <w:tc>
          <w:tcPr>
            <w:tcW w:w="1365" w:type="dxa"/>
            <w:noWrap/>
            <w:vAlign w:val="center"/>
            <w:hideMark/>
          </w:tcPr>
          <w:p w14:paraId="3CE1D681"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29.105</w:t>
            </w:r>
          </w:p>
        </w:tc>
        <w:tc>
          <w:tcPr>
            <w:tcW w:w="1600" w:type="dxa"/>
            <w:noWrap/>
            <w:vAlign w:val="center"/>
            <w:hideMark/>
          </w:tcPr>
          <w:p w14:paraId="3EEEEE6D"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21547.5***</w:t>
            </w:r>
          </w:p>
        </w:tc>
        <w:tc>
          <w:tcPr>
            <w:tcW w:w="1365" w:type="dxa"/>
            <w:noWrap/>
            <w:vAlign w:val="center"/>
            <w:hideMark/>
          </w:tcPr>
          <w:p w14:paraId="6F3DA416"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-25.504***</w:t>
            </w:r>
          </w:p>
        </w:tc>
      </w:tr>
      <w:tr w:rsidR="00835A65" w:rsidRPr="0065228D" w14:paraId="6C9FD4D3" w14:textId="77777777" w:rsidTr="00E063A1">
        <w:trPr>
          <w:trHeight w:val="495"/>
        </w:trPr>
        <w:tc>
          <w:tcPr>
            <w:tcW w:w="1650" w:type="dxa"/>
            <w:noWrap/>
            <w:vAlign w:val="center"/>
            <w:hideMark/>
          </w:tcPr>
          <w:p w14:paraId="0DFBAFC8"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GNO</w:t>
            </w:r>
          </w:p>
        </w:tc>
        <w:tc>
          <w:tcPr>
            <w:tcW w:w="1285" w:type="dxa"/>
            <w:noWrap/>
            <w:vAlign w:val="center"/>
            <w:hideMark/>
          </w:tcPr>
          <w:p w14:paraId="0B935324"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0.0064</w:t>
            </w:r>
          </w:p>
        </w:tc>
        <w:tc>
          <w:tcPr>
            <w:tcW w:w="1473" w:type="dxa"/>
            <w:noWrap/>
            <w:vAlign w:val="center"/>
            <w:hideMark/>
          </w:tcPr>
          <w:p w14:paraId="2DE94A7F"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0.3901</w:t>
            </w:r>
          </w:p>
        </w:tc>
        <w:tc>
          <w:tcPr>
            <w:tcW w:w="1427" w:type="dxa"/>
            <w:noWrap/>
            <w:vAlign w:val="center"/>
            <w:hideMark/>
          </w:tcPr>
          <w:p w14:paraId="69DBA960"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-0.3487</w:t>
            </w:r>
          </w:p>
        </w:tc>
        <w:tc>
          <w:tcPr>
            <w:tcW w:w="1285" w:type="dxa"/>
            <w:noWrap/>
            <w:vAlign w:val="center"/>
            <w:hideMark/>
          </w:tcPr>
          <w:p w14:paraId="2AFDAD68"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0.067</w:t>
            </w:r>
          </w:p>
        </w:tc>
        <w:tc>
          <w:tcPr>
            <w:tcW w:w="1418" w:type="dxa"/>
            <w:noWrap/>
            <w:vAlign w:val="center"/>
            <w:hideMark/>
          </w:tcPr>
          <w:p w14:paraId="60F226FA"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0.657</w:t>
            </w:r>
          </w:p>
        </w:tc>
        <w:tc>
          <w:tcPr>
            <w:tcW w:w="1365" w:type="dxa"/>
            <w:noWrap/>
            <w:vAlign w:val="center"/>
            <w:hideMark/>
          </w:tcPr>
          <w:p w14:paraId="44CE2780"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8.668</w:t>
            </w:r>
          </w:p>
        </w:tc>
        <w:tc>
          <w:tcPr>
            <w:tcW w:w="1600" w:type="dxa"/>
            <w:noWrap/>
            <w:vAlign w:val="center"/>
            <w:hideMark/>
          </w:tcPr>
          <w:p w14:paraId="33CE3BCF"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1005.8***</w:t>
            </w:r>
          </w:p>
        </w:tc>
        <w:tc>
          <w:tcPr>
            <w:tcW w:w="1365" w:type="dxa"/>
            <w:noWrap/>
            <w:vAlign w:val="center"/>
            <w:hideMark/>
          </w:tcPr>
          <w:p w14:paraId="09D933AB"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-26.492***</w:t>
            </w:r>
          </w:p>
        </w:tc>
      </w:tr>
      <w:tr w:rsidR="00835A65" w:rsidRPr="0065228D" w14:paraId="0DB34A80" w14:textId="77777777" w:rsidTr="00E063A1">
        <w:trPr>
          <w:trHeight w:val="495"/>
        </w:trPr>
        <w:tc>
          <w:tcPr>
            <w:tcW w:w="12868" w:type="dxa"/>
            <w:gridSpan w:val="9"/>
            <w:noWrap/>
            <w:vAlign w:val="center"/>
          </w:tcPr>
          <w:p w14:paraId="4AB49B36" w14:textId="77777777" w:rsidR="00835A65" w:rsidRPr="0065228D" w:rsidRDefault="00835A65" w:rsidP="00835A65">
            <w:pPr>
              <w:rPr>
                <w:rFonts w:ascii="Times New Roman" w:hAnsi="Times New Roman" w:cs="Times New Roman"/>
              </w:rPr>
            </w:pPr>
            <w:r w:rsidRPr="0065228D">
              <w:rPr>
                <w:rFonts w:ascii="Times New Roman" w:hAnsi="Times New Roman" w:cs="Times New Roman"/>
                <w:b/>
                <w:bCs/>
              </w:rPr>
              <w:t>Panel B. CEX tokens</w:t>
            </w:r>
          </w:p>
        </w:tc>
      </w:tr>
      <w:tr w:rsidR="00835A65" w:rsidRPr="0065228D" w14:paraId="571C634B" w14:textId="77777777" w:rsidTr="00E063A1">
        <w:trPr>
          <w:trHeight w:val="495"/>
        </w:trPr>
        <w:tc>
          <w:tcPr>
            <w:tcW w:w="1650" w:type="dxa"/>
            <w:noWrap/>
            <w:vAlign w:val="center"/>
            <w:hideMark/>
          </w:tcPr>
          <w:p w14:paraId="323DC8D9"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BNB</w:t>
            </w:r>
          </w:p>
        </w:tc>
        <w:tc>
          <w:tcPr>
            <w:tcW w:w="1285" w:type="dxa"/>
            <w:noWrap/>
            <w:vAlign w:val="center"/>
            <w:hideMark/>
          </w:tcPr>
          <w:p w14:paraId="074EF717"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0.0060</w:t>
            </w:r>
          </w:p>
        </w:tc>
        <w:tc>
          <w:tcPr>
            <w:tcW w:w="1473" w:type="dxa"/>
            <w:noWrap/>
            <w:vAlign w:val="center"/>
            <w:hideMark/>
          </w:tcPr>
          <w:p w14:paraId="7B69E10D"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0.6976</w:t>
            </w:r>
          </w:p>
        </w:tc>
        <w:tc>
          <w:tcPr>
            <w:tcW w:w="1427" w:type="dxa"/>
            <w:noWrap/>
            <w:vAlign w:val="center"/>
            <w:hideMark/>
          </w:tcPr>
          <w:p w14:paraId="27EBBCAA"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-0.4190</w:t>
            </w:r>
          </w:p>
        </w:tc>
        <w:tc>
          <w:tcPr>
            <w:tcW w:w="1285" w:type="dxa"/>
            <w:noWrap/>
            <w:vAlign w:val="center"/>
            <w:hideMark/>
          </w:tcPr>
          <w:p w14:paraId="19B192DD"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0.067</w:t>
            </w:r>
          </w:p>
        </w:tc>
        <w:tc>
          <w:tcPr>
            <w:tcW w:w="1418" w:type="dxa"/>
            <w:noWrap/>
            <w:vAlign w:val="center"/>
            <w:hideMark/>
          </w:tcPr>
          <w:p w14:paraId="4C5BD83D"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1.466</w:t>
            </w:r>
          </w:p>
        </w:tc>
        <w:tc>
          <w:tcPr>
            <w:tcW w:w="1365" w:type="dxa"/>
            <w:noWrap/>
            <w:vAlign w:val="center"/>
            <w:hideMark/>
          </w:tcPr>
          <w:p w14:paraId="7A837F96"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23.390</w:t>
            </w:r>
          </w:p>
        </w:tc>
        <w:tc>
          <w:tcPr>
            <w:tcW w:w="1600" w:type="dxa"/>
            <w:noWrap/>
            <w:vAlign w:val="center"/>
            <w:hideMark/>
          </w:tcPr>
          <w:p w14:paraId="21C29F1F"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12606.7***</w:t>
            </w:r>
          </w:p>
        </w:tc>
        <w:tc>
          <w:tcPr>
            <w:tcW w:w="1365" w:type="dxa"/>
            <w:noWrap/>
            <w:vAlign w:val="center"/>
            <w:hideMark/>
          </w:tcPr>
          <w:p w14:paraId="425F2507"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-17.077***</w:t>
            </w:r>
          </w:p>
        </w:tc>
      </w:tr>
      <w:tr w:rsidR="00835A65" w:rsidRPr="0065228D" w14:paraId="47497002" w14:textId="77777777" w:rsidTr="00E063A1">
        <w:trPr>
          <w:trHeight w:val="495"/>
        </w:trPr>
        <w:tc>
          <w:tcPr>
            <w:tcW w:w="1650" w:type="dxa"/>
            <w:noWrap/>
            <w:vAlign w:val="center"/>
            <w:hideMark/>
          </w:tcPr>
          <w:p w14:paraId="771A27B5"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LEO</w:t>
            </w:r>
          </w:p>
        </w:tc>
        <w:tc>
          <w:tcPr>
            <w:tcW w:w="1285" w:type="dxa"/>
            <w:noWrap/>
            <w:vAlign w:val="center"/>
            <w:hideMark/>
          </w:tcPr>
          <w:p w14:paraId="4172476F"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0.0029</w:t>
            </w:r>
          </w:p>
        </w:tc>
        <w:tc>
          <w:tcPr>
            <w:tcW w:w="1473" w:type="dxa"/>
            <w:noWrap/>
            <w:vAlign w:val="center"/>
            <w:hideMark/>
          </w:tcPr>
          <w:p w14:paraId="582B50C1"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0.5548</w:t>
            </w:r>
          </w:p>
        </w:tc>
        <w:tc>
          <w:tcPr>
            <w:tcW w:w="1427" w:type="dxa"/>
            <w:noWrap/>
            <w:vAlign w:val="center"/>
            <w:hideMark/>
          </w:tcPr>
          <w:p w14:paraId="10C5D761"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-0.1809</w:t>
            </w:r>
          </w:p>
        </w:tc>
        <w:tc>
          <w:tcPr>
            <w:tcW w:w="1285" w:type="dxa"/>
            <w:noWrap/>
            <w:vAlign w:val="center"/>
            <w:hideMark/>
          </w:tcPr>
          <w:p w14:paraId="10E460DC"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0.042</w:t>
            </w:r>
          </w:p>
        </w:tc>
        <w:tc>
          <w:tcPr>
            <w:tcW w:w="1418" w:type="dxa"/>
            <w:noWrap/>
            <w:vAlign w:val="center"/>
            <w:hideMark/>
          </w:tcPr>
          <w:p w14:paraId="24648960"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4.170</w:t>
            </w:r>
          </w:p>
        </w:tc>
        <w:tc>
          <w:tcPr>
            <w:tcW w:w="1365" w:type="dxa"/>
            <w:noWrap/>
            <w:vAlign w:val="center"/>
            <w:hideMark/>
          </w:tcPr>
          <w:p w14:paraId="3FF6FD38"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52.319</w:t>
            </w:r>
          </w:p>
        </w:tc>
        <w:tc>
          <w:tcPr>
            <w:tcW w:w="1600" w:type="dxa"/>
            <w:noWrap/>
            <w:vAlign w:val="center"/>
            <w:hideMark/>
          </w:tcPr>
          <w:p w14:paraId="015D22EA"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74328.1***</w:t>
            </w:r>
          </w:p>
        </w:tc>
        <w:tc>
          <w:tcPr>
            <w:tcW w:w="1365" w:type="dxa"/>
            <w:noWrap/>
            <w:vAlign w:val="center"/>
            <w:hideMark/>
          </w:tcPr>
          <w:p w14:paraId="6D112F1D"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-31.212***</w:t>
            </w:r>
          </w:p>
        </w:tc>
      </w:tr>
      <w:tr w:rsidR="00835A65" w:rsidRPr="0065228D" w14:paraId="2AE4B4EC" w14:textId="77777777" w:rsidTr="00E063A1">
        <w:trPr>
          <w:trHeight w:val="495"/>
        </w:trPr>
        <w:tc>
          <w:tcPr>
            <w:tcW w:w="1650" w:type="dxa"/>
            <w:noWrap/>
            <w:vAlign w:val="center"/>
            <w:hideMark/>
          </w:tcPr>
          <w:p w14:paraId="675AE77F"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FTT</w:t>
            </w:r>
          </w:p>
        </w:tc>
        <w:tc>
          <w:tcPr>
            <w:tcW w:w="1285" w:type="dxa"/>
            <w:noWrap/>
            <w:vAlign w:val="center"/>
            <w:hideMark/>
          </w:tcPr>
          <w:p w14:paraId="256FED1F"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0.0061</w:t>
            </w:r>
          </w:p>
        </w:tc>
        <w:tc>
          <w:tcPr>
            <w:tcW w:w="1473" w:type="dxa"/>
            <w:noWrap/>
            <w:vAlign w:val="center"/>
            <w:hideMark/>
          </w:tcPr>
          <w:p w14:paraId="51E88D03"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0.3438</w:t>
            </w:r>
          </w:p>
        </w:tc>
        <w:tc>
          <w:tcPr>
            <w:tcW w:w="1427" w:type="dxa"/>
            <w:noWrap/>
            <w:vAlign w:val="center"/>
            <w:hideMark/>
          </w:tcPr>
          <w:p w14:paraId="61768241"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-0.2751</w:t>
            </w:r>
          </w:p>
        </w:tc>
        <w:tc>
          <w:tcPr>
            <w:tcW w:w="1285" w:type="dxa"/>
            <w:noWrap/>
            <w:vAlign w:val="center"/>
            <w:hideMark/>
          </w:tcPr>
          <w:p w14:paraId="1A6FF379"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0.057</w:t>
            </w:r>
          </w:p>
        </w:tc>
        <w:tc>
          <w:tcPr>
            <w:tcW w:w="1418" w:type="dxa"/>
            <w:noWrap/>
            <w:vAlign w:val="center"/>
            <w:hideMark/>
          </w:tcPr>
          <w:p w14:paraId="53DC2619"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0.738</w:t>
            </w:r>
          </w:p>
        </w:tc>
        <w:tc>
          <w:tcPr>
            <w:tcW w:w="1365" w:type="dxa"/>
            <w:noWrap/>
            <w:vAlign w:val="center"/>
            <w:hideMark/>
          </w:tcPr>
          <w:p w14:paraId="3FAE6F50"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8.655</w:t>
            </w:r>
          </w:p>
        </w:tc>
        <w:tc>
          <w:tcPr>
            <w:tcW w:w="1600" w:type="dxa"/>
            <w:noWrap/>
            <w:vAlign w:val="center"/>
            <w:hideMark/>
          </w:tcPr>
          <w:p w14:paraId="21F12EED"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1014.7***</w:t>
            </w:r>
          </w:p>
        </w:tc>
        <w:tc>
          <w:tcPr>
            <w:tcW w:w="1365" w:type="dxa"/>
            <w:noWrap/>
            <w:vAlign w:val="center"/>
            <w:hideMark/>
          </w:tcPr>
          <w:p w14:paraId="3CA1EBED"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-26.245***</w:t>
            </w:r>
          </w:p>
        </w:tc>
      </w:tr>
      <w:tr w:rsidR="00835A65" w:rsidRPr="0065228D" w14:paraId="728BD302" w14:textId="77777777" w:rsidTr="00E063A1">
        <w:trPr>
          <w:trHeight w:val="495"/>
        </w:trPr>
        <w:tc>
          <w:tcPr>
            <w:tcW w:w="12868" w:type="dxa"/>
            <w:gridSpan w:val="9"/>
            <w:noWrap/>
            <w:vAlign w:val="center"/>
          </w:tcPr>
          <w:p w14:paraId="22FD82B3" w14:textId="77777777" w:rsidR="00835A65" w:rsidRPr="0065228D" w:rsidRDefault="00835A65" w:rsidP="00835A65">
            <w:pPr>
              <w:rPr>
                <w:rFonts w:ascii="Times New Roman" w:hAnsi="Times New Roman" w:cs="Times New Roman"/>
              </w:rPr>
            </w:pPr>
            <w:r w:rsidRPr="0065228D">
              <w:rPr>
                <w:rFonts w:ascii="Times New Roman" w:hAnsi="Times New Roman" w:cs="Times New Roman"/>
                <w:b/>
                <w:bCs/>
              </w:rPr>
              <w:t>Panel C.</w:t>
            </w:r>
            <w:r w:rsidRPr="0065228D">
              <w:rPr>
                <w:rFonts w:ascii="Times New Roman" w:hAnsi="Times New Roman" w:cs="Times New Roman"/>
              </w:rPr>
              <w:t xml:space="preserve"> </w:t>
            </w:r>
            <w:r w:rsidRPr="0065228D">
              <w:rPr>
                <w:rFonts w:ascii="Times New Roman" w:hAnsi="Times New Roman" w:cs="Times New Roman"/>
                <w:b/>
                <w:bCs/>
              </w:rPr>
              <w:t>Other asset classes</w:t>
            </w:r>
          </w:p>
        </w:tc>
      </w:tr>
      <w:tr w:rsidR="00835A65" w:rsidRPr="0065228D" w14:paraId="25E6A03C" w14:textId="77777777" w:rsidTr="00E063A1">
        <w:trPr>
          <w:trHeight w:val="495"/>
        </w:trPr>
        <w:tc>
          <w:tcPr>
            <w:tcW w:w="1650" w:type="dxa"/>
            <w:noWrap/>
            <w:vAlign w:val="center"/>
            <w:hideMark/>
          </w:tcPr>
          <w:p w14:paraId="792AE697"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GOLD</w:t>
            </w:r>
          </w:p>
        </w:tc>
        <w:tc>
          <w:tcPr>
            <w:tcW w:w="1285" w:type="dxa"/>
            <w:noWrap/>
            <w:vAlign w:val="center"/>
            <w:hideMark/>
          </w:tcPr>
          <w:p w14:paraId="7DDD1A39"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0.0005</w:t>
            </w:r>
          </w:p>
        </w:tc>
        <w:tc>
          <w:tcPr>
            <w:tcW w:w="1473" w:type="dxa"/>
            <w:noWrap/>
            <w:vAlign w:val="center"/>
            <w:hideMark/>
          </w:tcPr>
          <w:p w14:paraId="26440827"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0.0450</w:t>
            </w:r>
          </w:p>
        </w:tc>
        <w:tc>
          <w:tcPr>
            <w:tcW w:w="1427" w:type="dxa"/>
            <w:noWrap/>
            <w:vAlign w:val="center"/>
            <w:hideMark/>
          </w:tcPr>
          <w:p w14:paraId="1AF974FF"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-0.0566</w:t>
            </w:r>
          </w:p>
        </w:tc>
        <w:tc>
          <w:tcPr>
            <w:tcW w:w="1285" w:type="dxa"/>
            <w:noWrap/>
            <w:vAlign w:val="center"/>
            <w:hideMark/>
          </w:tcPr>
          <w:p w14:paraId="6F0A1048"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0.010</w:t>
            </w:r>
          </w:p>
        </w:tc>
        <w:tc>
          <w:tcPr>
            <w:tcW w:w="1418" w:type="dxa"/>
            <w:noWrap/>
            <w:vAlign w:val="center"/>
            <w:hideMark/>
          </w:tcPr>
          <w:p w14:paraId="701F9C74"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-0.529</w:t>
            </w:r>
          </w:p>
        </w:tc>
        <w:tc>
          <w:tcPr>
            <w:tcW w:w="1365" w:type="dxa"/>
            <w:noWrap/>
            <w:vAlign w:val="center"/>
            <w:hideMark/>
          </w:tcPr>
          <w:p w14:paraId="07C2098D"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6.656</w:t>
            </w:r>
          </w:p>
        </w:tc>
        <w:tc>
          <w:tcPr>
            <w:tcW w:w="1600" w:type="dxa"/>
            <w:noWrap/>
            <w:vAlign w:val="center"/>
            <w:hideMark/>
          </w:tcPr>
          <w:p w14:paraId="39F51FFE"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430.4***</w:t>
            </w:r>
          </w:p>
        </w:tc>
        <w:tc>
          <w:tcPr>
            <w:tcW w:w="1365" w:type="dxa"/>
            <w:noWrap/>
            <w:vAlign w:val="center"/>
            <w:hideMark/>
          </w:tcPr>
          <w:p w14:paraId="0BD92ED7"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-25.468***</w:t>
            </w:r>
          </w:p>
        </w:tc>
      </w:tr>
      <w:tr w:rsidR="00835A65" w:rsidRPr="0065228D" w14:paraId="0577D4D9" w14:textId="77777777" w:rsidTr="00E063A1">
        <w:trPr>
          <w:trHeight w:val="495"/>
        </w:trPr>
        <w:tc>
          <w:tcPr>
            <w:tcW w:w="1650" w:type="dxa"/>
            <w:noWrap/>
            <w:vAlign w:val="center"/>
            <w:hideMark/>
          </w:tcPr>
          <w:p w14:paraId="1B9DE522" w14:textId="5A3EFC3B" w:rsidR="00835A65" w:rsidRPr="0065228D" w:rsidRDefault="00037A5A" w:rsidP="00835A65">
            <w:pPr>
              <w:rPr>
                <w:rFonts w:ascii="Times New Roman" w:hAnsi="Times New Roman" w:cs="Times New Roman"/>
              </w:rPr>
            </w:pPr>
            <w:r w:rsidRPr="0065228D">
              <w:rPr>
                <w:rFonts w:ascii="Times New Roman" w:hAnsi="Times New Roman" w:cs="Times New Roman"/>
              </w:rPr>
              <w:t>OIL</w:t>
            </w:r>
          </w:p>
        </w:tc>
        <w:tc>
          <w:tcPr>
            <w:tcW w:w="1285" w:type="dxa"/>
            <w:noWrap/>
            <w:vAlign w:val="center"/>
            <w:hideMark/>
          </w:tcPr>
          <w:p w14:paraId="136BF9D5"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-0.0031</w:t>
            </w:r>
          </w:p>
        </w:tc>
        <w:tc>
          <w:tcPr>
            <w:tcW w:w="1473" w:type="dxa"/>
            <w:noWrap/>
            <w:vAlign w:val="center"/>
            <w:hideMark/>
          </w:tcPr>
          <w:p w14:paraId="305C27DD"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0.5309</w:t>
            </w:r>
          </w:p>
        </w:tc>
        <w:tc>
          <w:tcPr>
            <w:tcW w:w="1427" w:type="dxa"/>
            <w:noWrap/>
            <w:vAlign w:val="center"/>
            <w:hideMark/>
          </w:tcPr>
          <w:p w14:paraId="5A7207B3"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-3.0197</w:t>
            </w:r>
          </w:p>
        </w:tc>
        <w:tc>
          <w:tcPr>
            <w:tcW w:w="1285" w:type="dxa"/>
            <w:noWrap/>
            <w:vAlign w:val="center"/>
            <w:hideMark/>
          </w:tcPr>
          <w:p w14:paraId="639E43A1"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0.132</w:t>
            </w:r>
          </w:p>
        </w:tc>
        <w:tc>
          <w:tcPr>
            <w:tcW w:w="1418" w:type="dxa"/>
            <w:noWrap/>
            <w:vAlign w:val="center"/>
            <w:hideMark/>
          </w:tcPr>
          <w:p w14:paraId="49955D04"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-17.950</w:t>
            </w:r>
          </w:p>
        </w:tc>
        <w:tc>
          <w:tcPr>
            <w:tcW w:w="1365" w:type="dxa"/>
            <w:noWrap/>
            <w:vAlign w:val="center"/>
            <w:hideMark/>
          </w:tcPr>
          <w:p w14:paraId="021E4104"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400.604</w:t>
            </w:r>
          </w:p>
        </w:tc>
        <w:tc>
          <w:tcPr>
            <w:tcW w:w="1600" w:type="dxa"/>
            <w:noWrap/>
            <w:vAlign w:val="center"/>
            <w:hideMark/>
          </w:tcPr>
          <w:p w14:paraId="5DB0F2C5"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4734840.0***</w:t>
            </w:r>
          </w:p>
        </w:tc>
        <w:tc>
          <w:tcPr>
            <w:tcW w:w="1365" w:type="dxa"/>
            <w:noWrap/>
            <w:vAlign w:val="center"/>
            <w:hideMark/>
          </w:tcPr>
          <w:p w14:paraId="685E51DF"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-19.743***</w:t>
            </w:r>
          </w:p>
        </w:tc>
      </w:tr>
      <w:tr w:rsidR="00835A65" w:rsidRPr="0065228D" w14:paraId="31496C07" w14:textId="77777777" w:rsidTr="00E063A1">
        <w:trPr>
          <w:trHeight w:val="495"/>
        </w:trPr>
        <w:tc>
          <w:tcPr>
            <w:tcW w:w="1650" w:type="dxa"/>
            <w:noWrap/>
            <w:vAlign w:val="center"/>
            <w:hideMark/>
          </w:tcPr>
          <w:p w14:paraId="612D2D78"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BTC</w:t>
            </w:r>
          </w:p>
        </w:tc>
        <w:tc>
          <w:tcPr>
            <w:tcW w:w="1285" w:type="dxa"/>
            <w:noWrap/>
            <w:vAlign w:val="center"/>
            <w:hideMark/>
          </w:tcPr>
          <w:p w14:paraId="1D364DFB"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0.0030</w:t>
            </w:r>
          </w:p>
        </w:tc>
        <w:tc>
          <w:tcPr>
            <w:tcW w:w="1473" w:type="dxa"/>
            <w:noWrap/>
            <w:vAlign w:val="center"/>
            <w:hideMark/>
          </w:tcPr>
          <w:p w14:paraId="475A538D"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0.2111</w:t>
            </w:r>
          </w:p>
        </w:tc>
        <w:tc>
          <w:tcPr>
            <w:tcW w:w="1427" w:type="dxa"/>
            <w:noWrap/>
            <w:vAlign w:val="center"/>
            <w:hideMark/>
          </w:tcPr>
          <w:p w14:paraId="6F4418FE"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-0.3717</w:t>
            </w:r>
          </w:p>
        </w:tc>
        <w:tc>
          <w:tcPr>
            <w:tcW w:w="1285" w:type="dxa"/>
            <w:noWrap/>
            <w:vAlign w:val="center"/>
            <w:hideMark/>
          </w:tcPr>
          <w:p w14:paraId="227FC123"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0.044</w:t>
            </w:r>
          </w:p>
        </w:tc>
        <w:tc>
          <w:tcPr>
            <w:tcW w:w="1418" w:type="dxa"/>
            <w:noWrap/>
            <w:vAlign w:val="center"/>
            <w:hideMark/>
          </w:tcPr>
          <w:p w14:paraId="1A210EBE"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-0.568</w:t>
            </w:r>
          </w:p>
        </w:tc>
        <w:tc>
          <w:tcPr>
            <w:tcW w:w="1365" w:type="dxa"/>
            <w:noWrap/>
            <w:vAlign w:val="center"/>
            <w:hideMark/>
          </w:tcPr>
          <w:p w14:paraId="013F5D41"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11.614</w:t>
            </w:r>
          </w:p>
        </w:tc>
        <w:tc>
          <w:tcPr>
            <w:tcW w:w="1600" w:type="dxa"/>
            <w:noWrap/>
            <w:vAlign w:val="center"/>
            <w:hideMark/>
          </w:tcPr>
          <w:p w14:paraId="76E92C00"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2242.7***</w:t>
            </w:r>
          </w:p>
        </w:tc>
        <w:tc>
          <w:tcPr>
            <w:tcW w:w="1365" w:type="dxa"/>
            <w:noWrap/>
            <w:vAlign w:val="center"/>
            <w:hideMark/>
          </w:tcPr>
          <w:p w14:paraId="6A49EE57"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-27.566***</w:t>
            </w:r>
          </w:p>
        </w:tc>
      </w:tr>
      <w:tr w:rsidR="00835A65" w:rsidRPr="0065228D" w14:paraId="470E6A1E" w14:textId="77777777" w:rsidTr="00E063A1">
        <w:trPr>
          <w:trHeight w:val="495"/>
        </w:trPr>
        <w:tc>
          <w:tcPr>
            <w:tcW w:w="1650" w:type="dxa"/>
            <w:noWrap/>
            <w:vAlign w:val="center"/>
            <w:hideMark/>
          </w:tcPr>
          <w:p w14:paraId="68C21C03"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REIT</w:t>
            </w:r>
          </w:p>
        </w:tc>
        <w:tc>
          <w:tcPr>
            <w:tcW w:w="1285" w:type="dxa"/>
            <w:noWrap/>
            <w:vAlign w:val="center"/>
            <w:hideMark/>
          </w:tcPr>
          <w:p w14:paraId="79B98643"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0.0005</w:t>
            </w:r>
          </w:p>
        </w:tc>
        <w:tc>
          <w:tcPr>
            <w:tcW w:w="1473" w:type="dxa"/>
            <w:noWrap/>
            <w:vAlign w:val="center"/>
            <w:hideMark/>
          </w:tcPr>
          <w:p w14:paraId="5D60BD1C"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0.0899</w:t>
            </w:r>
          </w:p>
        </w:tc>
        <w:tc>
          <w:tcPr>
            <w:tcW w:w="1427" w:type="dxa"/>
            <w:noWrap/>
            <w:vAlign w:val="center"/>
            <w:hideMark/>
          </w:tcPr>
          <w:p w14:paraId="6343D647"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-0.1794</w:t>
            </w:r>
          </w:p>
        </w:tc>
        <w:tc>
          <w:tcPr>
            <w:tcW w:w="1285" w:type="dxa"/>
            <w:noWrap/>
            <w:vAlign w:val="center"/>
            <w:hideMark/>
          </w:tcPr>
          <w:p w14:paraId="3C804C57"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0.018</w:t>
            </w:r>
          </w:p>
        </w:tc>
        <w:tc>
          <w:tcPr>
            <w:tcW w:w="1418" w:type="dxa"/>
            <w:noWrap/>
            <w:vAlign w:val="center"/>
            <w:hideMark/>
          </w:tcPr>
          <w:p w14:paraId="20FD8AB0"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-1.546</w:t>
            </w:r>
          </w:p>
        </w:tc>
        <w:tc>
          <w:tcPr>
            <w:tcW w:w="1365" w:type="dxa"/>
            <w:noWrap/>
            <w:vAlign w:val="center"/>
            <w:hideMark/>
          </w:tcPr>
          <w:p w14:paraId="39BE36B0"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23.806</w:t>
            </w:r>
          </w:p>
        </w:tc>
        <w:tc>
          <w:tcPr>
            <w:tcW w:w="1600" w:type="dxa"/>
            <w:noWrap/>
            <w:vAlign w:val="center"/>
            <w:hideMark/>
          </w:tcPr>
          <w:p w14:paraId="5144D2FB"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13144.5***</w:t>
            </w:r>
          </w:p>
        </w:tc>
        <w:tc>
          <w:tcPr>
            <w:tcW w:w="1365" w:type="dxa"/>
            <w:noWrap/>
            <w:vAlign w:val="center"/>
            <w:hideMark/>
          </w:tcPr>
          <w:p w14:paraId="585EC73E"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-9.844***</w:t>
            </w:r>
          </w:p>
        </w:tc>
      </w:tr>
      <w:tr w:rsidR="00835A65" w:rsidRPr="0065228D" w14:paraId="1771E88E" w14:textId="77777777" w:rsidTr="00E063A1">
        <w:trPr>
          <w:trHeight w:val="495"/>
        </w:trPr>
        <w:tc>
          <w:tcPr>
            <w:tcW w:w="1650" w:type="dxa"/>
            <w:noWrap/>
            <w:vAlign w:val="center"/>
            <w:hideMark/>
          </w:tcPr>
          <w:p w14:paraId="0F09DD83"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EQUITY</w:t>
            </w:r>
          </w:p>
        </w:tc>
        <w:tc>
          <w:tcPr>
            <w:tcW w:w="1285" w:type="dxa"/>
            <w:noWrap/>
            <w:vAlign w:val="center"/>
            <w:hideMark/>
          </w:tcPr>
          <w:p w14:paraId="0883B18D"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0.0005</w:t>
            </w:r>
          </w:p>
        </w:tc>
        <w:tc>
          <w:tcPr>
            <w:tcW w:w="1473" w:type="dxa"/>
            <w:noWrap/>
            <w:vAlign w:val="center"/>
            <w:hideMark/>
          </w:tcPr>
          <w:p w14:paraId="3F3F2239"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0.0877</w:t>
            </w:r>
          </w:p>
        </w:tc>
        <w:tc>
          <w:tcPr>
            <w:tcW w:w="1427" w:type="dxa"/>
            <w:noWrap/>
            <w:vAlign w:val="center"/>
            <w:hideMark/>
          </w:tcPr>
          <w:p w14:paraId="7410C0CB"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-0.0991</w:t>
            </w:r>
          </w:p>
        </w:tc>
        <w:tc>
          <w:tcPr>
            <w:tcW w:w="1285" w:type="dxa"/>
            <w:noWrap/>
            <w:vAlign w:val="center"/>
            <w:hideMark/>
          </w:tcPr>
          <w:p w14:paraId="41C10EA7"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0.013</w:t>
            </w:r>
          </w:p>
        </w:tc>
        <w:tc>
          <w:tcPr>
            <w:tcW w:w="1418" w:type="dxa"/>
            <w:noWrap/>
            <w:vAlign w:val="center"/>
            <w:hideMark/>
          </w:tcPr>
          <w:p w14:paraId="265BED84"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-1.047</w:t>
            </w:r>
          </w:p>
        </w:tc>
        <w:tc>
          <w:tcPr>
            <w:tcW w:w="1365" w:type="dxa"/>
            <w:noWrap/>
            <w:vAlign w:val="center"/>
            <w:hideMark/>
          </w:tcPr>
          <w:p w14:paraId="2FB3BA6B"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19.102</w:t>
            </w:r>
          </w:p>
        </w:tc>
        <w:tc>
          <w:tcPr>
            <w:tcW w:w="1600" w:type="dxa"/>
            <w:noWrap/>
            <w:vAlign w:val="center"/>
            <w:hideMark/>
          </w:tcPr>
          <w:p w14:paraId="1D037011"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7832.9***</w:t>
            </w:r>
          </w:p>
        </w:tc>
        <w:tc>
          <w:tcPr>
            <w:tcW w:w="1365" w:type="dxa"/>
            <w:noWrap/>
            <w:vAlign w:val="center"/>
            <w:hideMark/>
          </w:tcPr>
          <w:p w14:paraId="27EF03CF"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-7.528***</w:t>
            </w:r>
          </w:p>
        </w:tc>
      </w:tr>
      <w:tr w:rsidR="00835A65" w:rsidRPr="0065228D" w14:paraId="52C21DFB" w14:textId="77777777" w:rsidTr="00E063A1">
        <w:trPr>
          <w:trHeight w:val="495"/>
        </w:trPr>
        <w:tc>
          <w:tcPr>
            <w:tcW w:w="1650" w:type="dxa"/>
            <w:noWrap/>
            <w:vAlign w:val="center"/>
            <w:hideMark/>
          </w:tcPr>
          <w:p w14:paraId="07F34696"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BOND</w:t>
            </w:r>
          </w:p>
        </w:tc>
        <w:tc>
          <w:tcPr>
            <w:tcW w:w="1285" w:type="dxa"/>
            <w:noWrap/>
            <w:vAlign w:val="center"/>
            <w:hideMark/>
          </w:tcPr>
          <w:p w14:paraId="1AE7A869"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-0.0001</w:t>
            </w:r>
          </w:p>
        </w:tc>
        <w:tc>
          <w:tcPr>
            <w:tcW w:w="1473" w:type="dxa"/>
            <w:noWrap/>
            <w:vAlign w:val="center"/>
            <w:hideMark/>
          </w:tcPr>
          <w:p w14:paraId="4434754C"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0.0706</w:t>
            </w:r>
          </w:p>
        </w:tc>
        <w:tc>
          <w:tcPr>
            <w:tcW w:w="1427" w:type="dxa"/>
            <w:noWrap/>
            <w:vAlign w:val="center"/>
            <w:hideMark/>
          </w:tcPr>
          <w:p w14:paraId="2B84C472"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-0.0496</w:t>
            </w:r>
          </w:p>
        </w:tc>
        <w:tc>
          <w:tcPr>
            <w:tcW w:w="1285" w:type="dxa"/>
            <w:noWrap/>
            <w:vAlign w:val="center"/>
            <w:hideMark/>
          </w:tcPr>
          <w:p w14:paraId="1F71091B"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0.006</w:t>
            </w:r>
          </w:p>
        </w:tc>
        <w:tc>
          <w:tcPr>
            <w:tcW w:w="1418" w:type="dxa"/>
            <w:noWrap/>
            <w:vAlign w:val="center"/>
            <w:hideMark/>
          </w:tcPr>
          <w:p w14:paraId="4E77136B"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0.464</w:t>
            </w:r>
          </w:p>
        </w:tc>
        <w:tc>
          <w:tcPr>
            <w:tcW w:w="1365" w:type="dxa"/>
            <w:noWrap/>
            <w:vAlign w:val="center"/>
            <w:hideMark/>
          </w:tcPr>
          <w:p w14:paraId="4930DC11"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40.821</w:t>
            </w:r>
          </w:p>
        </w:tc>
        <w:tc>
          <w:tcPr>
            <w:tcW w:w="1600" w:type="dxa"/>
            <w:noWrap/>
            <w:vAlign w:val="center"/>
            <w:hideMark/>
          </w:tcPr>
          <w:p w14:paraId="72775D1A"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42520.1***</w:t>
            </w:r>
          </w:p>
        </w:tc>
        <w:tc>
          <w:tcPr>
            <w:tcW w:w="1365" w:type="dxa"/>
            <w:noWrap/>
            <w:vAlign w:val="center"/>
            <w:hideMark/>
          </w:tcPr>
          <w:p w14:paraId="683BA1FC"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-10.682***</w:t>
            </w:r>
          </w:p>
        </w:tc>
      </w:tr>
      <w:tr w:rsidR="00835A65" w:rsidRPr="0065228D" w14:paraId="21C473A9" w14:textId="77777777" w:rsidTr="00E063A1">
        <w:trPr>
          <w:trHeight w:val="495"/>
        </w:trPr>
        <w:tc>
          <w:tcPr>
            <w:tcW w:w="1650" w:type="dxa"/>
            <w:noWrap/>
            <w:vAlign w:val="center"/>
            <w:hideMark/>
          </w:tcPr>
          <w:p w14:paraId="7C05136D" w14:textId="27914F4E" w:rsidR="00835A65" w:rsidRPr="0065228D" w:rsidRDefault="00835A65" w:rsidP="00835A65">
            <w:pPr>
              <w:rPr>
                <w:rFonts w:ascii="Times New Roman" w:hAnsi="Times New Roman" w:cs="Times New Roman"/>
              </w:rPr>
            </w:pPr>
            <w:r w:rsidRPr="0065228D">
              <w:rPr>
                <w:rFonts w:ascii="Times New Roman" w:hAnsi="Times New Roman" w:cs="Times New Roman"/>
              </w:rPr>
              <w:t>USD</w:t>
            </w:r>
            <w:r w:rsidR="00CB6025">
              <w:rPr>
                <w:rFonts w:ascii="Times New Roman" w:hAnsi="Times New Roman" w:cs="Times New Roman"/>
              </w:rPr>
              <w:t xml:space="preserve"> I</w:t>
            </w:r>
            <w:r w:rsidRPr="0065228D">
              <w:rPr>
                <w:rFonts w:ascii="Times New Roman" w:hAnsi="Times New Roman" w:cs="Times New Roman"/>
              </w:rPr>
              <w:t>NDEX</w:t>
            </w:r>
          </w:p>
        </w:tc>
        <w:tc>
          <w:tcPr>
            <w:tcW w:w="1285" w:type="dxa"/>
            <w:noWrap/>
            <w:vAlign w:val="center"/>
            <w:hideMark/>
          </w:tcPr>
          <w:p w14:paraId="69C7365B"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0.0001</w:t>
            </w:r>
          </w:p>
        </w:tc>
        <w:tc>
          <w:tcPr>
            <w:tcW w:w="1473" w:type="dxa"/>
            <w:noWrap/>
            <w:vAlign w:val="center"/>
            <w:hideMark/>
          </w:tcPr>
          <w:p w14:paraId="1A7D2158"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0.0160</w:t>
            </w:r>
          </w:p>
        </w:tc>
        <w:tc>
          <w:tcPr>
            <w:tcW w:w="1427" w:type="dxa"/>
            <w:noWrap/>
            <w:vAlign w:val="center"/>
            <w:hideMark/>
          </w:tcPr>
          <w:p w14:paraId="4D74F01B"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-0.0168</w:t>
            </w:r>
          </w:p>
        </w:tc>
        <w:tc>
          <w:tcPr>
            <w:tcW w:w="1285" w:type="dxa"/>
            <w:noWrap/>
            <w:vAlign w:val="center"/>
            <w:hideMark/>
          </w:tcPr>
          <w:p w14:paraId="1A2C0C0F"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0.004</w:t>
            </w:r>
          </w:p>
        </w:tc>
        <w:tc>
          <w:tcPr>
            <w:tcW w:w="1418" w:type="dxa"/>
            <w:noWrap/>
            <w:vAlign w:val="center"/>
            <w:hideMark/>
          </w:tcPr>
          <w:p w14:paraId="26D76388"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0.298</w:t>
            </w:r>
          </w:p>
        </w:tc>
        <w:tc>
          <w:tcPr>
            <w:tcW w:w="1365" w:type="dxa"/>
            <w:noWrap/>
            <w:vAlign w:val="center"/>
            <w:hideMark/>
          </w:tcPr>
          <w:p w14:paraId="30122835"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5.202</w:t>
            </w:r>
          </w:p>
        </w:tc>
        <w:tc>
          <w:tcPr>
            <w:tcW w:w="1600" w:type="dxa"/>
            <w:noWrap/>
            <w:vAlign w:val="center"/>
            <w:hideMark/>
          </w:tcPr>
          <w:p w14:paraId="439D3DE3"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154.6***</w:t>
            </w:r>
          </w:p>
        </w:tc>
        <w:tc>
          <w:tcPr>
            <w:tcW w:w="1365" w:type="dxa"/>
            <w:noWrap/>
            <w:vAlign w:val="center"/>
            <w:hideMark/>
          </w:tcPr>
          <w:p w14:paraId="025C15FE"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t>-24.113***</w:t>
            </w:r>
          </w:p>
        </w:tc>
      </w:tr>
    </w:tbl>
    <w:p w14:paraId="0895F1B1" w14:textId="2EED71D5" w:rsidR="00835A65" w:rsidRPr="0065228D" w:rsidRDefault="00835A65" w:rsidP="00835A65">
      <w:pPr>
        <w:rPr>
          <w:rFonts w:ascii="Times New Roman" w:hAnsi="Times New Roman" w:cs="Times New Roman"/>
          <w:sz w:val="18"/>
          <w:szCs w:val="18"/>
        </w:rPr>
      </w:pPr>
      <w:r w:rsidRPr="0065228D">
        <w:rPr>
          <w:rFonts w:ascii="Times New Roman" w:hAnsi="Times New Roman" w:cs="Times New Roman"/>
          <w:sz w:val="18"/>
          <w:szCs w:val="18"/>
        </w:rPr>
        <w:t xml:space="preserve">Notes: </w:t>
      </w:r>
      <w:bookmarkStart w:id="34" w:name="_Hlk103527679"/>
      <w:r w:rsidRPr="0065228D">
        <w:rPr>
          <w:rFonts w:ascii="Times New Roman" w:hAnsi="Times New Roman" w:cs="Times New Roman"/>
          <w:sz w:val="18"/>
          <w:szCs w:val="18"/>
        </w:rPr>
        <w:t>DEX-</w:t>
      </w:r>
      <w:r w:rsidRPr="0065228D">
        <w:t xml:space="preserve"> </w:t>
      </w:r>
      <w:r w:rsidRPr="0065228D">
        <w:rPr>
          <w:rFonts w:ascii="Times New Roman" w:hAnsi="Times New Roman" w:cs="Times New Roman"/>
          <w:sz w:val="18"/>
          <w:szCs w:val="18"/>
        </w:rPr>
        <w:t>Decentralized Exchange, CEX-</w:t>
      </w:r>
      <w:r w:rsidRPr="0065228D">
        <w:t xml:space="preserve"> </w:t>
      </w:r>
      <w:r w:rsidRPr="0065228D">
        <w:rPr>
          <w:rFonts w:ascii="Times New Roman" w:hAnsi="Times New Roman" w:cs="Times New Roman"/>
          <w:sz w:val="18"/>
          <w:szCs w:val="18"/>
        </w:rPr>
        <w:t>Centralized Exchange, RUNE-</w:t>
      </w:r>
      <w:r w:rsidR="0046263F">
        <w:rPr>
          <w:rFonts w:ascii="Times New Roman" w:hAnsi="Times New Roman" w:cs="Times New Roman"/>
          <w:sz w:val="18"/>
          <w:szCs w:val="18"/>
        </w:rPr>
        <w:t xml:space="preserve"> </w:t>
      </w:r>
      <w:proofErr w:type="spellStart"/>
      <w:r w:rsidRPr="0065228D">
        <w:rPr>
          <w:rFonts w:ascii="Times New Roman" w:hAnsi="Times New Roman" w:cs="Times New Roman"/>
          <w:sz w:val="18"/>
          <w:szCs w:val="18"/>
        </w:rPr>
        <w:t>THORChain</w:t>
      </w:r>
      <w:proofErr w:type="spellEnd"/>
      <w:r w:rsidRPr="0065228D">
        <w:rPr>
          <w:rFonts w:ascii="Times New Roman" w:hAnsi="Times New Roman" w:cs="Times New Roman"/>
          <w:sz w:val="18"/>
          <w:szCs w:val="18"/>
        </w:rPr>
        <w:t>, LRC-</w:t>
      </w:r>
      <w:r w:rsidR="0046263F">
        <w:rPr>
          <w:rFonts w:ascii="Times New Roman" w:hAnsi="Times New Roman" w:cs="Times New Roman"/>
          <w:sz w:val="18"/>
          <w:szCs w:val="18"/>
        </w:rPr>
        <w:t xml:space="preserve"> </w:t>
      </w:r>
      <w:proofErr w:type="spellStart"/>
      <w:proofErr w:type="gramStart"/>
      <w:r w:rsidRPr="0065228D">
        <w:rPr>
          <w:rFonts w:ascii="Times New Roman" w:hAnsi="Times New Roman" w:cs="Times New Roman"/>
          <w:sz w:val="18"/>
          <w:szCs w:val="18"/>
        </w:rPr>
        <w:t>Loopring</w:t>
      </w:r>
      <w:proofErr w:type="spellEnd"/>
      <w:r w:rsidRPr="0065228D">
        <w:rPr>
          <w:rFonts w:ascii="Times New Roman" w:hAnsi="Times New Roman" w:cs="Times New Roman"/>
          <w:sz w:val="18"/>
          <w:szCs w:val="18"/>
        </w:rPr>
        <w:t> ,</w:t>
      </w:r>
      <w:proofErr w:type="gramEnd"/>
      <w:r w:rsidRPr="0065228D">
        <w:rPr>
          <w:rFonts w:ascii="Times New Roman" w:hAnsi="Times New Roman" w:cs="Times New Roman"/>
          <w:sz w:val="18"/>
          <w:szCs w:val="18"/>
        </w:rPr>
        <w:t xml:space="preserve"> GNO-</w:t>
      </w:r>
      <w:r w:rsidR="0046263F">
        <w:rPr>
          <w:rFonts w:ascii="Times New Roman" w:hAnsi="Times New Roman" w:cs="Times New Roman"/>
          <w:sz w:val="18"/>
          <w:szCs w:val="18"/>
        </w:rPr>
        <w:t xml:space="preserve"> </w:t>
      </w:r>
      <w:r w:rsidRPr="0065228D">
        <w:rPr>
          <w:rFonts w:ascii="Times New Roman" w:hAnsi="Times New Roman" w:cs="Times New Roman"/>
          <w:sz w:val="18"/>
          <w:szCs w:val="18"/>
        </w:rPr>
        <w:t>Gnosis, BNB-</w:t>
      </w:r>
      <w:r w:rsidR="0046263F">
        <w:rPr>
          <w:rFonts w:ascii="Times New Roman" w:hAnsi="Times New Roman" w:cs="Times New Roman"/>
          <w:sz w:val="18"/>
          <w:szCs w:val="18"/>
        </w:rPr>
        <w:t xml:space="preserve"> </w:t>
      </w:r>
      <w:proofErr w:type="spellStart"/>
      <w:r w:rsidRPr="0065228D">
        <w:rPr>
          <w:rFonts w:ascii="Times New Roman" w:hAnsi="Times New Roman" w:cs="Times New Roman"/>
          <w:sz w:val="18"/>
          <w:szCs w:val="18"/>
        </w:rPr>
        <w:t>Binance</w:t>
      </w:r>
      <w:proofErr w:type="spellEnd"/>
      <w:r w:rsidRPr="0065228D">
        <w:rPr>
          <w:rFonts w:ascii="Times New Roman" w:hAnsi="Times New Roman" w:cs="Times New Roman"/>
          <w:sz w:val="18"/>
          <w:szCs w:val="18"/>
        </w:rPr>
        <w:t xml:space="preserve"> Coin, LEO-</w:t>
      </w:r>
      <w:r w:rsidR="0046263F">
        <w:rPr>
          <w:rFonts w:ascii="Times New Roman" w:hAnsi="Times New Roman" w:cs="Times New Roman"/>
          <w:sz w:val="18"/>
          <w:szCs w:val="18"/>
        </w:rPr>
        <w:t xml:space="preserve"> </w:t>
      </w:r>
      <w:r w:rsidRPr="0065228D">
        <w:rPr>
          <w:rFonts w:ascii="Times New Roman" w:hAnsi="Times New Roman" w:cs="Times New Roman"/>
          <w:sz w:val="18"/>
          <w:szCs w:val="18"/>
        </w:rPr>
        <w:t>UNUS SED LEO, FTT-</w:t>
      </w:r>
      <w:r w:rsidR="0046263F">
        <w:rPr>
          <w:rFonts w:ascii="Times New Roman" w:hAnsi="Times New Roman" w:cs="Times New Roman"/>
          <w:sz w:val="18"/>
          <w:szCs w:val="18"/>
        </w:rPr>
        <w:t xml:space="preserve"> </w:t>
      </w:r>
      <w:r w:rsidRPr="0065228D">
        <w:rPr>
          <w:rFonts w:ascii="Times New Roman" w:hAnsi="Times New Roman" w:cs="Times New Roman"/>
          <w:sz w:val="18"/>
          <w:szCs w:val="18"/>
        </w:rPr>
        <w:t>FTX Token, BTC-</w:t>
      </w:r>
      <w:r w:rsidR="0046263F">
        <w:rPr>
          <w:rFonts w:ascii="Times New Roman" w:hAnsi="Times New Roman" w:cs="Times New Roman"/>
          <w:sz w:val="18"/>
          <w:szCs w:val="18"/>
        </w:rPr>
        <w:t xml:space="preserve"> </w:t>
      </w:r>
      <w:r w:rsidRPr="0065228D">
        <w:rPr>
          <w:rFonts w:ascii="Times New Roman" w:hAnsi="Times New Roman" w:cs="Times New Roman"/>
          <w:sz w:val="18"/>
          <w:szCs w:val="18"/>
        </w:rPr>
        <w:t xml:space="preserve">Bitcoin, </w:t>
      </w:r>
      <w:bookmarkEnd w:id="34"/>
      <w:r w:rsidRPr="0065228D">
        <w:rPr>
          <w:rFonts w:ascii="Times New Roman" w:hAnsi="Times New Roman" w:cs="Times New Roman"/>
          <w:sz w:val="18"/>
          <w:szCs w:val="18"/>
        </w:rPr>
        <w:t>Std. Dev-</w:t>
      </w:r>
      <w:r w:rsidR="0046263F">
        <w:rPr>
          <w:rFonts w:ascii="Times New Roman" w:hAnsi="Times New Roman" w:cs="Times New Roman"/>
          <w:sz w:val="18"/>
          <w:szCs w:val="18"/>
        </w:rPr>
        <w:t xml:space="preserve"> </w:t>
      </w:r>
      <w:r w:rsidRPr="0065228D">
        <w:rPr>
          <w:rFonts w:ascii="Times New Roman" w:hAnsi="Times New Roman" w:cs="Times New Roman"/>
          <w:sz w:val="18"/>
          <w:szCs w:val="18"/>
        </w:rPr>
        <w:t>Standard deviation, ADF-</w:t>
      </w:r>
      <w:r w:rsidRPr="0065228D">
        <w:t xml:space="preserve"> </w:t>
      </w:r>
      <w:r w:rsidRPr="0065228D">
        <w:rPr>
          <w:rFonts w:ascii="Times New Roman" w:hAnsi="Times New Roman" w:cs="Times New Roman"/>
          <w:sz w:val="18"/>
          <w:szCs w:val="18"/>
        </w:rPr>
        <w:t>Augmented Dickey Fuller Test. *** indicates the level of significance at 1 per</w:t>
      </w:r>
      <w:r w:rsidR="0046263F">
        <w:rPr>
          <w:rFonts w:ascii="Times New Roman" w:hAnsi="Times New Roman" w:cs="Times New Roman"/>
          <w:sz w:val="18"/>
          <w:szCs w:val="18"/>
        </w:rPr>
        <w:t xml:space="preserve"> </w:t>
      </w:r>
      <w:r w:rsidRPr="0065228D">
        <w:rPr>
          <w:rFonts w:ascii="Times New Roman" w:hAnsi="Times New Roman" w:cs="Times New Roman"/>
          <w:sz w:val="18"/>
          <w:szCs w:val="18"/>
        </w:rPr>
        <w:t>cent.</w:t>
      </w:r>
    </w:p>
    <w:p w14:paraId="7B65CEDE" w14:textId="77777777" w:rsidR="00835A65" w:rsidRPr="0065228D" w:rsidRDefault="00835A65" w:rsidP="00835A65">
      <w:pPr>
        <w:rPr>
          <w:rFonts w:ascii="Times New Roman" w:hAnsi="Times New Roman" w:cs="Times New Roman"/>
          <w:b/>
          <w:bCs/>
          <w:sz w:val="24"/>
          <w:szCs w:val="24"/>
        </w:rPr>
      </w:pPr>
      <w:r w:rsidRPr="0065228D">
        <w:rPr>
          <w:rFonts w:ascii="Times New Roman" w:hAnsi="Times New Roman" w:cs="Times New Roman"/>
          <w:b/>
          <w:bCs/>
          <w:sz w:val="24"/>
          <w:szCs w:val="24"/>
        </w:rPr>
        <w:lastRenderedPageBreak/>
        <w:t>Table 2. Unconditional correlations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1396"/>
        <w:gridCol w:w="1119"/>
        <w:gridCol w:w="733"/>
        <w:gridCol w:w="733"/>
        <w:gridCol w:w="733"/>
        <w:gridCol w:w="733"/>
        <w:gridCol w:w="733"/>
        <w:gridCol w:w="828"/>
        <w:gridCol w:w="733"/>
        <w:gridCol w:w="733"/>
        <w:gridCol w:w="733"/>
        <w:gridCol w:w="1035"/>
        <w:gridCol w:w="840"/>
        <w:gridCol w:w="1396"/>
      </w:tblGrid>
      <w:tr w:rsidR="00E063A1" w:rsidRPr="0065228D" w14:paraId="7D49FDA3" w14:textId="77777777" w:rsidTr="000D6BCB">
        <w:trPr>
          <w:trHeight w:val="380"/>
        </w:trPr>
        <w:tc>
          <w:tcPr>
            <w:tcW w:w="146" w:type="pct"/>
            <w:tcBorders>
              <w:top w:val="single" w:sz="4" w:space="0" w:color="auto"/>
              <w:bottom w:val="single" w:sz="4" w:space="0" w:color="auto"/>
              <w:right w:val="nil"/>
            </w:tcBorders>
          </w:tcPr>
          <w:p w14:paraId="1213546F" w14:textId="77777777" w:rsidR="00E063A1" w:rsidRPr="0065228D" w:rsidRDefault="00E063A1" w:rsidP="00835A65">
            <w:pPr>
              <w:rPr>
                <w:rFonts w:ascii="Times New Roman" w:hAnsi="Times New Roman" w:cs="Times New Roman"/>
              </w:rPr>
            </w:pPr>
          </w:p>
        </w:tc>
        <w:tc>
          <w:tcPr>
            <w:tcW w:w="445" w:type="pct"/>
            <w:tcBorders>
              <w:top w:val="single" w:sz="4" w:space="0" w:color="auto"/>
              <w:left w:val="nil"/>
              <w:bottom w:val="single" w:sz="4" w:space="0" w:color="auto"/>
              <w:right w:val="single" w:sz="4" w:space="0" w:color="auto"/>
            </w:tcBorders>
            <w:noWrap/>
            <w:vAlign w:val="center"/>
          </w:tcPr>
          <w:p w14:paraId="7F866270" w14:textId="67466165" w:rsidR="00E063A1" w:rsidRPr="0065228D" w:rsidRDefault="00E063A1" w:rsidP="00835A65">
            <w:pPr>
              <w:rPr>
                <w:rFonts w:ascii="Times New Roman" w:hAnsi="Times New Roman" w:cs="Times New Roman"/>
              </w:rPr>
            </w:pPr>
          </w:p>
        </w:tc>
        <w:tc>
          <w:tcPr>
            <w:tcW w:w="1512" w:type="pct"/>
            <w:gridSpan w:val="3"/>
            <w:tcBorders>
              <w:top w:val="single" w:sz="4" w:space="0" w:color="auto"/>
              <w:left w:val="single" w:sz="4" w:space="0" w:color="auto"/>
              <w:bottom w:val="single" w:sz="4" w:space="0" w:color="auto"/>
              <w:right w:val="single" w:sz="4" w:space="0" w:color="auto"/>
            </w:tcBorders>
            <w:noWrap/>
            <w:vAlign w:val="center"/>
          </w:tcPr>
          <w:p w14:paraId="78979FEB" w14:textId="11A47C88" w:rsidR="00E063A1" w:rsidRPr="0065228D" w:rsidRDefault="00E063A1" w:rsidP="00835A65">
            <w:pPr>
              <w:rPr>
                <w:rFonts w:ascii="Times New Roman" w:hAnsi="Times New Roman" w:cs="Times New Roman"/>
              </w:rPr>
            </w:pPr>
            <w:r>
              <w:rPr>
                <w:rFonts w:ascii="Times New Roman" w:hAnsi="Times New Roman" w:cs="Times New Roman"/>
              </w:rPr>
              <w:t xml:space="preserve">DEX tokens </w:t>
            </w:r>
          </w:p>
        </w:tc>
        <w:tc>
          <w:tcPr>
            <w:tcW w:w="801" w:type="pct"/>
            <w:gridSpan w:val="3"/>
            <w:tcBorders>
              <w:top w:val="single" w:sz="4" w:space="0" w:color="auto"/>
              <w:left w:val="single" w:sz="4" w:space="0" w:color="auto"/>
              <w:bottom w:val="single" w:sz="4" w:space="0" w:color="auto"/>
              <w:right w:val="single" w:sz="4" w:space="0" w:color="auto"/>
            </w:tcBorders>
            <w:noWrap/>
            <w:vAlign w:val="center"/>
          </w:tcPr>
          <w:p w14:paraId="4EC52EFA" w14:textId="446378ED" w:rsidR="00E063A1" w:rsidRPr="0065228D" w:rsidRDefault="00E063A1" w:rsidP="00835A65">
            <w:pPr>
              <w:rPr>
                <w:rFonts w:ascii="Times New Roman" w:hAnsi="Times New Roman" w:cs="Times New Roman"/>
              </w:rPr>
            </w:pPr>
            <w:r>
              <w:rPr>
                <w:rFonts w:ascii="Times New Roman" w:hAnsi="Times New Roman" w:cs="Times New Roman"/>
              </w:rPr>
              <w:t xml:space="preserve">CEX tokens </w:t>
            </w:r>
          </w:p>
        </w:tc>
        <w:tc>
          <w:tcPr>
            <w:tcW w:w="267" w:type="pct"/>
            <w:tcBorders>
              <w:top w:val="single" w:sz="4" w:space="0" w:color="auto"/>
              <w:left w:val="single" w:sz="4" w:space="0" w:color="auto"/>
              <w:bottom w:val="single" w:sz="4" w:space="0" w:color="auto"/>
            </w:tcBorders>
            <w:noWrap/>
            <w:vAlign w:val="center"/>
          </w:tcPr>
          <w:p w14:paraId="7DA80B14" w14:textId="77777777" w:rsidR="00E063A1" w:rsidRPr="0065228D" w:rsidRDefault="00E063A1" w:rsidP="00835A65">
            <w:pPr>
              <w:rPr>
                <w:rFonts w:ascii="Times New Roman" w:hAnsi="Times New Roman" w:cs="Times New Roman"/>
              </w:rPr>
            </w:pPr>
          </w:p>
        </w:tc>
        <w:tc>
          <w:tcPr>
            <w:tcW w:w="267" w:type="pct"/>
            <w:tcBorders>
              <w:top w:val="single" w:sz="4" w:space="0" w:color="auto"/>
              <w:bottom w:val="single" w:sz="4" w:space="0" w:color="auto"/>
            </w:tcBorders>
            <w:noWrap/>
            <w:vAlign w:val="center"/>
          </w:tcPr>
          <w:p w14:paraId="32BDEB70" w14:textId="77777777" w:rsidR="00E063A1" w:rsidRPr="0065228D" w:rsidRDefault="00E063A1" w:rsidP="00835A65">
            <w:pPr>
              <w:rPr>
                <w:rFonts w:ascii="Times New Roman" w:hAnsi="Times New Roman" w:cs="Times New Roman"/>
              </w:rPr>
            </w:pPr>
          </w:p>
        </w:tc>
        <w:tc>
          <w:tcPr>
            <w:tcW w:w="267" w:type="pct"/>
            <w:tcBorders>
              <w:top w:val="single" w:sz="4" w:space="0" w:color="auto"/>
              <w:bottom w:val="single" w:sz="4" w:space="0" w:color="auto"/>
            </w:tcBorders>
            <w:noWrap/>
            <w:vAlign w:val="center"/>
          </w:tcPr>
          <w:p w14:paraId="3AFDF431" w14:textId="77777777" w:rsidR="00E063A1" w:rsidRPr="0065228D" w:rsidRDefault="00E063A1" w:rsidP="00835A65">
            <w:pPr>
              <w:rPr>
                <w:rFonts w:ascii="Times New Roman" w:hAnsi="Times New Roman" w:cs="Times New Roman"/>
              </w:rPr>
            </w:pPr>
          </w:p>
        </w:tc>
        <w:tc>
          <w:tcPr>
            <w:tcW w:w="267" w:type="pct"/>
            <w:tcBorders>
              <w:top w:val="single" w:sz="4" w:space="0" w:color="auto"/>
              <w:bottom w:val="single" w:sz="4" w:space="0" w:color="auto"/>
            </w:tcBorders>
            <w:noWrap/>
            <w:vAlign w:val="center"/>
          </w:tcPr>
          <w:p w14:paraId="3B8DC0BC" w14:textId="77777777" w:rsidR="00E063A1" w:rsidRPr="0065228D" w:rsidRDefault="00E063A1" w:rsidP="00835A65">
            <w:pPr>
              <w:rPr>
                <w:rFonts w:ascii="Times New Roman" w:hAnsi="Times New Roman" w:cs="Times New Roman"/>
              </w:rPr>
            </w:pPr>
          </w:p>
        </w:tc>
        <w:tc>
          <w:tcPr>
            <w:tcW w:w="317" w:type="pct"/>
            <w:tcBorders>
              <w:top w:val="single" w:sz="4" w:space="0" w:color="auto"/>
              <w:bottom w:val="single" w:sz="4" w:space="0" w:color="auto"/>
            </w:tcBorders>
            <w:noWrap/>
            <w:vAlign w:val="center"/>
          </w:tcPr>
          <w:p w14:paraId="4827CA55" w14:textId="77777777" w:rsidR="00E063A1" w:rsidRPr="0065228D" w:rsidRDefault="00E063A1" w:rsidP="00835A65">
            <w:pPr>
              <w:rPr>
                <w:rFonts w:ascii="Times New Roman" w:hAnsi="Times New Roman" w:cs="Times New Roman"/>
              </w:rPr>
            </w:pPr>
          </w:p>
        </w:tc>
        <w:tc>
          <w:tcPr>
            <w:tcW w:w="267" w:type="pct"/>
            <w:tcBorders>
              <w:top w:val="single" w:sz="4" w:space="0" w:color="auto"/>
              <w:bottom w:val="single" w:sz="4" w:space="0" w:color="auto"/>
            </w:tcBorders>
            <w:noWrap/>
            <w:vAlign w:val="center"/>
          </w:tcPr>
          <w:p w14:paraId="3989F725" w14:textId="77777777" w:rsidR="00E063A1" w:rsidRPr="0065228D" w:rsidRDefault="00E063A1" w:rsidP="00835A65">
            <w:pPr>
              <w:rPr>
                <w:rFonts w:ascii="Times New Roman" w:hAnsi="Times New Roman" w:cs="Times New Roman"/>
              </w:rPr>
            </w:pPr>
          </w:p>
        </w:tc>
        <w:tc>
          <w:tcPr>
            <w:tcW w:w="445" w:type="pct"/>
            <w:tcBorders>
              <w:top w:val="single" w:sz="4" w:space="0" w:color="auto"/>
              <w:bottom w:val="single" w:sz="4" w:space="0" w:color="auto"/>
            </w:tcBorders>
            <w:noWrap/>
            <w:vAlign w:val="center"/>
          </w:tcPr>
          <w:p w14:paraId="7CDB1F3A" w14:textId="77777777" w:rsidR="00E063A1" w:rsidRPr="0065228D" w:rsidRDefault="00E063A1" w:rsidP="00835A65">
            <w:pPr>
              <w:rPr>
                <w:rFonts w:ascii="Times New Roman" w:hAnsi="Times New Roman" w:cs="Times New Roman"/>
              </w:rPr>
            </w:pPr>
          </w:p>
        </w:tc>
      </w:tr>
      <w:tr w:rsidR="00E063A1" w:rsidRPr="0065228D" w14:paraId="3461BFCE" w14:textId="77777777" w:rsidTr="000D6BCB">
        <w:trPr>
          <w:trHeight w:val="544"/>
        </w:trPr>
        <w:tc>
          <w:tcPr>
            <w:tcW w:w="146" w:type="pct"/>
            <w:tcBorders>
              <w:top w:val="single" w:sz="4" w:space="0" w:color="auto"/>
              <w:bottom w:val="single" w:sz="4" w:space="0" w:color="auto"/>
              <w:right w:val="nil"/>
            </w:tcBorders>
          </w:tcPr>
          <w:p w14:paraId="719C9F67" w14:textId="77777777" w:rsidR="00E063A1" w:rsidRPr="0065228D" w:rsidRDefault="00E063A1" w:rsidP="00835A65">
            <w:pPr>
              <w:rPr>
                <w:rFonts w:ascii="Times New Roman" w:hAnsi="Times New Roman" w:cs="Times New Roman"/>
              </w:rPr>
            </w:pPr>
          </w:p>
        </w:tc>
        <w:tc>
          <w:tcPr>
            <w:tcW w:w="445" w:type="pct"/>
            <w:tcBorders>
              <w:top w:val="single" w:sz="4" w:space="0" w:color="auto"/>
              <w:left w:val="nil"/>
              <w:bottom w:val="single" w:sz="4" w:space="0" w:color="auto"/>
              <w:right w:val="single" w:sz="4" w:space="0" w:color="auto"/>
            </w:tcBorders>
            <w:noWrap/>
            <w:vAlign w:val="center"/>
            <w:hideMark/>
          </w:tcPr>
          <w:p w14:paraId="0BBE0400" w14:textId="0A9AD9A7" w:rsidR="00E063A1" w:rsidRPr="0065228D" w:rsidRDefault="00E063A1" w:rsidP="00835A65">
            <w:pPr>
              <w:rPr>
                <w:rFonts w:ascii="Times New Roman" w:hAnsi="Times New Roman" w:cs="Times New Roman"/>
              </w:rPr>
            </w:pPr>
          </w:p>
        </w:tc>
        <w:tc>
          <w:tcPr>
            <w:tcW w:w="979" w:type="pct"/>
            <w:tcBorders>
              <w:top w:val="single" w:sz="4" w:space="0" w:color="auto"/>
              <w:left w:val="single" w:sz="4" w:space="0" w:color="auto"/>
              <w:bottom w:val="single" w:sz="4" w:space="0" w:color="auto"/>
            </w:tcBorders>
            <w:noWrap/>
            <w:vAlign w:val="center"/>
            <w:hideMark/>
          </w:tcPr>
          <w:p w14:paraId="13AC3677" w14:textId="77777777" w:rsidR="00E063A1" w:rsidRPr="0065228D" w:rsidRDefault="00E063A1" w:rsidP="00835A65">
            <w:pPr>
              <w:rPr>
                <w:rFonts w:ascii="Times New Roman" w:hAnsi="Times New Roman" w:cs="Times New Roman"/>
              </w:rPr>
            </w:pPr>
            <w:r w:rsidRPr="0065228D">
              <w:rPr>
                <w:rFonts w:ascii="Times New Roman" w:hAnsi="Times New Roman" w:cs="Times New Roman"/>
              </w:rPr>
              <w:t>RUNE</w:t>
            </w:r>
          </w:p>
        </w:tc>
        <w:tc>
          <w:tcPr>
            <w:tcW w:w="266" w:type="pct"/>
            <w:tcBorders>
              <w:top w:val="single" w:sz="4" w:space="0" w:color="auto"/>
              <w:bottom w:val="single" w:sz="4" w:space="0" w:color="auto"/>
            </w:tcBorders>
            <w:noWrap/>
            <w:vAlign w:val="center"/>
            <w:hideMark/>
          </w:tcPr>
          <w:p w14:paraId="50B22B20" w14:textId="77777777" w:rsidR="00E063A1" w:rsidRPr="0065228D" w:rsidRDefault="00E063A1" w:rsidP="00835A65">
            <w:pPr>
              <w:rPr>
                <w:rFonts w:ascii="Times New Roman" w:hAnsi="Times New Roman" w:cs="Times New Roman"/>
              </w:rPr>
            </w:pPr>
            <w:r w:rsidRPr="0065228D">
              <w:rPr>
                <w:rFonts w:ascii="Times New Roman" w:hAnsi="Times New Roman" w:cs="Times New Roman"/>
              </w:rPr>
              <w:t>LRC</w:t>
            </w:r>
          </w:p>
        </w:tc>
        <w:tc>
          <w:tcPr>
            <w:tcW w:w="267" w:type="pct"/>
            <w:tcBorders>
              <w:top w:val="single" w:sz="4" w:space="0" w:color="auto"/>
              <w:bottom w:val="single" w:sz="4" w:space="0" w:color="auto"/>
              <w:right w:val="single" w:sz="4" w:space="0" w:color="auto"/>
            </w:tcBorders>
            <w:noWrap/>
            <w:vAlign w:val="center"/>
            <w:hideMark/>
          </w:tcPr>
          <w:p w14:paraId="5E2D57CB" w14:textId="77777777" w:rsidR="00E063A1" w:rsidRPr="0065228D" w:rsidRDefault="00E063A1" w:rsidP="00835A65">
            <w:pPr>
              <w:rPr>
                <w:rFonts w:ascii="Times New Roman" w:hAnsi="Times New Roman" w:cs="Times New Roman"/>
              </w:rPr>
            </w:pPr>
            <w:r w:rsidRPr="0065228D">
              <w:rPr>
                <w:rFonts w:ascii="Times New Roman" w:hAnsi="Times New Roman" w:cs="Times New Roman"/>
              </w:rPr>
              <w:t>GNO</w:t>
            </w:r>
          </w:p>
        </w:tc>
        <w:tc>
          <w:tcPr>
            <w:tcW w:w="267" w:type="pct"/>
            <w:tcBorders>
              <w:top w:val="single" w:sz="4" w:space="0" w:color="auto"/>
              <w:left w:val="single" w:sz="4" w:space="0" w:color="auto"/>
              <w:bottom w:val="single" w:sz="4" w:space="0" w:color="auto"/>
            </w:tcBorders>
            <w:noWrap/>
            <w:vAlign w:val="center"/>
            <w:hideMark/>
          </w:tcPr>
          <w:p w14:paraId="0C8DF98A" w14:textId="77777777" w:rsidR="00E063A1" w:rsidRPr="0065228D" w:rsidRDefault="00E063A1" w:rsidP="00835A65">
            <w:pPr>
              <w:rPr>
                <w:rFonts w:ascii="Times New Roman" w:hAnsi="Times New Roman" w:cs="Times New Roman"/>
              </w:rPr>
            </w:pPr>
            <w:r w:rsidRPr="0065228D">
              <w:rPr>
                <w:rFonts w:ascii="Times New Roman" w:hAnsi="Times New Roman" w:cs="Times New Roman"/>
              </w:rPr>
              <w:t>BNB</w:t>
            </w:r>
          </w:p>
        </w:tc>
        <w:tc>
          <w:tcPr>
            <w:tcW w:w="267" w:type="pct"/>
            <w:tcBorders>
              <w:top w:val="single" w:sz="4" w:space="0" w:color="auto"/>
              <w:bottom w:val="single" w:sz="4" w:space="0" w:color="auto"/>
            </w:tcBorders>
            <w:noWrap/>
            <w:vAlign w:val="center"/>
            <w:hideMark/>
          </w:tcPr>
          <w:p w14:paraId="3DAAE119" w14:textId="77777777" w:rsidR="00E063A1" w:rsidRPr="0065228D" w:rsidRDefault="00E063A1" w:rsidP="00835A65">
            <w:pPr>
              <w:rPr>
                <w:rFonts w:ascii="Times New Roman" w:hAnsi="Times New Roman" w:cs="Times New Roman"/>
              </w:rPr>
            </w:pPr>
            <w:r w:rsidRPr="0065228D">
              <w:rPr>
                <w:rFonts w:ascii="Times New Roman" w:hAnsi="Times New Roman" w:cs="Times New Roman"/>
              </w:rPr>
              <w:t>LEO</w:t>
            </w:r>
          </w:p>
        </w:tc>
        <w:tc>
          <w:tcPr>
            <w:tcW w:w="267" w:type="pct"/>
            <w:tcBorders>
              <w:top w:val="single" w:sz="4" w:space="0" w:color="auto"/>
              <w:bottom w:val="single" w:sz="4" w:space="0" w:color="auto"/>
              <w:right w:val="single" w:sz="4" w:space="0" w:color="auto"/>
            </w:tcBorders>
            <w:noWrap/>
            <w:vAlign w:val="center"/>
            <w:hideMark/>
          </w:tcPr>
          <w:p w14:paraId="5F8A5E3D" w14:textId="77777777" w:rsidR="00E063A1" w:rsidRPr="0065228D" w:rsidRDefault="00E063A1" w:rsidP="00835A65">
            <w:pPr>
              <w:rPr>
                <w:rFonts w:ascii="Times New Roman" w:hAnsi="Times New Roman" w:cs="Times New Roman"/>
              </w:rPr>
            </w:pPr>
            <w:r w:rsidRPr="0065228D">
              <w:rPr>
                <w:rFonts w:ascii="Times New Roman" w:hAnsi="Times New Roman" w:cs="Times New Roman"/>
              </w:rPr>
              <w:t>FTT</w:t>
            </w:r>
          </w:p>
        </w:tc>
        <w:tc>
          <w:tcPr>
            <w:tcW w:w="267" w:type="pct"/>
            <w:tcBorders>
              <w:top w:val="single" w:sz="4" w:space="0" w:color="auto"/>
              <w:left w:val="single" w:sz="4" w:space="0" w:color="auto"/>
              <w:bottom w:val="single" w:sz="4" w:space="0" w:color="auto"/>
            </w:tcBorders>
            <w:noWrap/>
            <w:vAlign w:val="center"/>
            <w:hideMark/>
          </w:tcPr>
          <w:p w14:paraId="5A4E220D" w14:textId="77777777" w:rsidR="00E063A1" w:rsidRPr="0065228D" w:rsidRDefault="00E063A1" w:rsidP="00835A65">
            <w:pPr>
              <w:rPr>
                <w:rFonts w:ascii="Times New Roman" w:hAnsi="Times New Roman" w:cs="Times New Roman"/>
              </w:rPr>
            </w:pPr>
            <w:r w:rsidRPr="0065228D">
              <w:rPr>
                <w:rFonts w:ascii="Times New Roman" w:hAnsi="Times New Roman" w:cs="Times New Roman"/>
              </w:rPr>
              <w:t>GOLD</w:t>
            </w:r>
          </w:p>
        </w:tc>
        <w:tc>
          <w:tcPr>
            <w:tcW w:w="267" w:type="pct"/>
            <w:tcBorders>
              <w:top w:val="single" w:sz="4" w:space="0" w:color="auto"/>
              <w:bottom w:val="single" w:sz="4" w:space="0" w:color="auto"/>
            </w:tcBorders>
            <w:noWrap/>
            <w:vAlign w:val="center"/>
            <w:hideMark/>
          </w:tcPr>
          <w:p w14:paraId="027D290A" w14:textId="0BE65F46" w:rsidR="00E063A1" w:rsidRPr="0065228D" w:rsidRDefault="00E063A1" w:rsidP="00835A65">
            <w:pPr>
              <w:rPr>
                <w:rFonts w:ascii="Times New Roman" w:hAnsi="Times New Roman" w:cs="Times New Roman"/>
              </w:rPr>
            </w:pPr>
            <w:r w:rsidRPr="0065228D">
              <w:rPr>
                <w:rFonts w:ascii="Times New Roman" w:hAnsi="Times New Roman" w:cs="Times New Roman"/>
              </w:rPr>
              <w:t>OIL</w:t>
            </w:r>
          </w:p>
        </w:tc>
        <w:tc>
          <w:tcPr>
            <w:tcW w:w="267" w:type="pct"/>
            <w:tcBorders>
              <w:top w:val="single" w:sz="4" w:space="0" w:color="auto"/>
              <w:bottom w:val="single" w:sz="4" w:space="0" w:color="auto"/>
            </w:tcBorders>
            <w:noWrap/>
            <w:vAlign w:val="center"/>
            <w:hideMark/>
          </w:tcPr>
          <w:p w14:paraId="169C0FB8" w14:textId="77777777" w:rsidR="00E063A1" w:rsidRPr="0065228D" w:rsidRDefault="00E063A1" w:rsidP="00835A65">
            <w:pPr>
              <w:rPr>
                <w:rFonts w:ascii="Times New Roman" w:hAnsi="Times New Roman" w:cs="Times New Roman"/>
              </w:rPr>
            </w:pPr>
            <w:r w:rsidRPr="0065228D">
              <w:rPr>
                <w:rFonts w:ascii="Times New Roman" w:hAnsi="Times New Roman" w:cs="Times New Roman"/>
              </w:rPr>
              <w:t>BTC</w:t>
            </w:r>
          </w:p>
        </w:tc>
        <w:tc>
          <w:tcPr>
            <w:tcW w:w="267" w:type="pct"/>
            <w:tcBorders>
              <w:top w:val="single" w:sz="4" w:space="0" w:color="auto"/>
              <w:bottom w:val="single" w:sz="4" w:space="0" w:color="auto"/>
            </w:tcBorders>
            <w:noWrap/>
            <w:vAlign w:val="center"/>
            <w:hideMark/>
          </w:tcPr>
          <w:p w14:paraId="7C13CA54" w14:textId="77777777" w:rsidR="00E063A1" w:rsidRPr="0065228D" w:rsidRDefault="00E063A1" w:rsidP="00835A65">
            <w:pPr>
              <w:rPr>
                <w:rFonts w:ascii="Times New Roman" w:hAnsi="Times New Roman" w:cs="Times New Roman"/>
              </w:rPr>
            </w:pPr>
            <w:r w:rsidRPr="0065228D">
              <w:rPr>
                <w:rFonts w:ascii="Times New Roman" w:hAnsi="Times New Roman" w:cs="Times New Roman"/>
              </w:rPr>
              <w:t>REIT</w:t>
            </w:r>
          </w:p>
        </w:tc>
        <w:tc>
          <w:tcPr>
            <w:tcW w:w="317" w:type="pct"/>
            <w:tcBorders>
              <w:top w:val="single" w:sz="4" w:space="0" w:color="auto"/>
              <w:bottom w:val="single" w:sz="4" w:space="0" w:color="auto"/>
            </w:tcBorders>
            <w:noWrap/>
            <w:vAlign w:val="center"/>
            <w:hideMark/>
          </w:tcPr>
          <w:p w14:paraId="1E45EA1C" w14:textId="77777777" w:rsidR="00E063A1" w:rsidRPr="0065228D" w:rsidRDefault="00E063A1" w:rsidP="00835A65">
            <w:pPr>
              <w:rPr>
                <w:rFonts w:ascii="Times New Roman" w:hAnsi="Times New Roman" w:cs="Times New Roman"/>
              </w:rPr>
            </w:pPr>
            <w:r w:rsidRPr="0065228D">
              <w:rPr>
                <w:rFonts w:ascii="Times New Roman" w:hAnsi="Times New Roman" w:cs="Times New Roman"/>
              </w:rPr>
              <w:t>EQUITY</w:t>
            </w:r>
          </w:p>
        </w:tc>
        <w:tc>
          <w:tcPr>
            <w:tcW w:w="267" w:type="pct"/>
            <w:tcBorders>
              <w:top w:val="single" w:sz="4" w:space="0" w:color="auto"/>
              <w:bottom w:val="single" w:sz="4" w:space="0" w:color="auto"/>
            </w:tcBorders>
            <w:noWrap/>
            <w:vAlign w:val="center"/>
            <w:hideMark/>
          </w:tcPr>
          <w:p w14:paraId="7B32F5BB" w14:textId="77777777" w:rsidR="00E063A1" w:rsidRPr="0065228D" w:rsidRDefault="00E063A1" w:rsidP="00835A65">
            <w:pPr>
              <w:rPr>
                <w:rFonts w:ascii="Times New Roman" w:hAnsi="Times New Roman" w:cs="Times New Roman"/>
              </w:rPr>
            </w:pPr>
            <w:r w:rsidRPr="0065228D">
              <w:rPr>
                <w:rFonts w:ascii="Times New Roman" w:hAnsi="Times New Roman" w:cs="Times New Roman"/>
              </w:rPr>
              <w:t>BOND</w:t>
            </w:r>
          </w:p>
        </w:tc>
        <w:tc>
          <w:tcPr>
            <w:tcW w:w="445" w:type="pct"/>
            <w:tcBorders>
              <w:top w:val="single" w:sz="4" w:space="0" w:color="auto"/>
              <w:bottom w:val="single" w:sz="4" w:space="0" w:color="auto"/>
            </w:tcBorders>
            <w:noWrap/>
            <w:vAlign w:val="center"/>
            <w:hideMark/>
          </w:tcPr>
          <w:p w14:paraId="6D0A04A9" w14:textId="7E47120E" w:rsidR="00E063A1" w:rsidRPr="0065228D" w:rsidRDefault="00E063A1" w:rsidP="00835A65">
            <w:pPr>
              <w:rPr>
                <w:rFonts w:ascii="Times New Roman" w:hAnsi="Times New Roman" w:cs="Times New Roman"/>
              </w:rPr>
            </w:pPr>
            <w:r w:rsidRPr="0065228D">
              <w:rPr>
                <w:rFonts w:ascii="Times New Roman" w:hAnsi="Times New Roman" w:cs="Times New Roman"/>
              </w:rPr>
              <w:t>USD</w:t>
            </w:r>
            <w:r w:rsidR="00CB6025">
              <w:rPr>
                <w:rFonts w:ascii="Times New Roman" w:hAnsi="Times New Roman" w:cs="Times New Roman"/>
              </w:rPr>
              <w:t xml:space="preserve"> I</w:t>
            </w:r>
            <w:r w:rsidRPr="0065228D">
              <w:rPr>
                <w:rFonts w:ascii="Times New Roman" w:hAnsi="Times New Roman" w:cs="Times New Roman"/>
              </w:rPr>
              <w:t>NDEX</w:t>
            </w:r>
          </w:p>
        </w:tc>
      </w:tr>
      <w:tr w:rsidR="00E063A1" w:rsidRPr="0065228D" w14:paraId="64D6F657" w14:textId="77777777" w:rsidTr="000D6BCB">
        <w:trPr>
          <w:trHeight w:val="544"/>
        </w:trPr>
        <w:tc>
          <w:tcPr>
            <w:tcW w:w="146" w:type="pct"/>
            <w:vMerge w:val="restart"/>
            <w:tcBorders>
              <w:top w:val="single" w:sz="4" w:space="0" w:color="auto"/>
              <w:right w:val="nil"/>
            </w:tcBorders>
            <w:textDirection w:val="btLr"/>
          </w:tcPr>
          <w:p w14:paraId="1EBA0447" w14:textId="144FD388" w:rsidR="00E063A1" w:rsidRPr="0065228D" w:rsidRDefault="000D6BCB" w:rsidP="000D6BCB">
            <w:pPr>
              <w:ind w:left="113" w:right="113"/>
              <w:rPr>
                <w:rFonts w:ascii="Times New Roman" w:hAnsi="Times New Roman" w:cs="Times New Roman"/>
              </w:rPr>
            </w:pPr>
            <w:r>
              <w:rPr>
                <w:rFonts w:ascii="Times New Roman" w:hAnsi="Times New Roman" w:cs="Times New Roman"/>
              </w:rPr>
              <w:t>DEX tokens</w:t>
            </w:r>
          </w:p>
        </w:tc>
        <w:tc>
          <w:tcPr>
            <w:tcW w:w="445" w:type="pct"/>
            <w:tcBorders>
              <w:top w:val="single" w:sz="4" w:space="0" w:color="auto"/>
              <w:left w:val="nil"/>
              <w:bottom w:val="nil"/>
              <w:right w:val="single" w:sz="4" w:space="0" w:color="auto"/>
            </w:tcBorders>
            <w:noWrap/>
            <w:vAlign w:val="center"/>
            <w:hideMark/>
          </w:tcPr>
          <w:p w14:paraId="250817C8" w14:textId="209C140D" w:rsidR="00E063A1" w:rsidRPr="0065228D" w:rsidRDefault="00E063A1" w:rsidP="00835A65">
            <w:pPr>
              <w:rPr>
                <w:rFonts w:ascii="Times New Roman" w:hAnsi="Times New Roman" w:cs="Times New Roman"/>
              </w:rPr>
            </w:pPr>
            <w:r w:rsidRPr="0065228D">
              <w:rPr>
                <w:rFonts w:ascii="Times New Roman" w:hAnsi="Times New Roman" w:cs="Times New Roman"/>
              </w:rPr>
              <w:t>RUNE</w:t>
            </w:r>
          </w:p>
        </w:tc>
        <w:tc>
          <w:tcPr>
            <w:tcW w:w="979" w:type="pct"/>
            <w:tcBorders>
              <w:top w:val="single" w:sz="4" w:space="0" w:color="auto"/>
              <w:left w:val="single" w:sz="4" w:space="0" w:color="auto"/>
              <w:bottom w:val="nil"/>
            </w:tcBorders>
            <w:noWrap/>
            <w:vAlign w:val="center"/>
            <w:hideMark/>
          </w:tcPr>
          <w:p w14:paraId="4285143F"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1.000</w:t>
            </w:r>
          </w:p>
        </w:tc>
        <w:tc>
          <w:tcPr>
            <w:tcW w:w="266" w:type="pct"/>
            <w:tcBorders>
              <w:top w:val="single" w:sz="4" w:space="0" w:color="auto"/>
              <w:bottom w:val="nil"/>
            </w:tcBorders>
            <w:noWrap/>
            <w:vAlign w:val="center"/>
            <w:hideMark/>
          </w:tcPr>
          <w:p w14:paraId="06667E65" w14:textId="77777777" w:rsidR="00E063A1" w:rsidRPr="000D6BCB" w:rsidRDefault="00E063A1" w:rsidP="00835A65">
            <w:pPr>
              <w:rPr>
                <w:rFonts w:ascii="Times New Roman" w:hAnsi="Times New Roman" w:cs="Times New Roman"/>
                <w:sz w:val="20"/>
              </w:rPr>
            </w:pPr>
          </w:p>
        </w:tc>
        <w:tc>
          <w:tcPr>
            <w:tcW w:w="267" w:type="pct"/>
            <w:tcBorders>
              <w:top w:val="single" w:sz="4" w:space="0" w:color="auto"/>
              <w:bottom w:val="nil"/>
              <w:right w:val="single" w:sz="4" w:space="0" w:color="auto"/>
            </w:tcBorders>
            <w:noWrap/>
            <w:vAlign w:val="center"/>
            <w:hideMark/>
          </w:tcPr>
          <w:p w14:paraId="250BA370" w14:textId="77777777" w:rsidR="00E063A1" w:rsidRPr="000D6BCB" w:rsidRDefault="00E063A1" w:rsidP="00835A65">
            <w:pPr>
              <w:rPr>
                <w:rFonts w:ascii="Times New Roman" w:hAnsi="Times New Roman" w:cs="Times New Roman"/>
                <w:sz w:val="20"/>
              </w:rPr>
            </w:pPr>
          </w:p>
        </w:tc>
        <w:tc>
          <w:tcPr>
            <w:tcW w:w="267" w:type="pct"/>
            <w:tcBorders>
              <w:top w:val="single" w:sz="4" w:space="0" w:color="auto"/>
              <w:left w:val="single" w:sz="4" w:space="0" w:color="auto"/>
              <w:bottom w:val="nil"/>
            </w:tcBorders>
            <w:noWrap/>
            <w:vAlign w:val="center"/>
            <w:hideMark/>
          </w:tcPr>
          <w:p w14:paraId="4A89C2BF" w14:textId="77777777" w:rsidR="00E063A1" w:rsidRPr="000D6BCB" w:rsidRDefault="00E063A1" w:rsidP="00835A65">
            <w:pPr>
              <w:rPr>
                <w:rFonts w:ascii="Times New Roman" w:hAnsi="Times New Roman" w:cs="Times New Roman"/>
                <w:sz w:val="20"/>
              </w:rPr>
            </w:pPr>
          </w:p>
        </w:tc>
        <w:tc>
          <w:tcPr>
            <w:tcW w:w="267" w:type="pct"/>
            <w:tcBorders>
              <w:top w:val="single" w:sz="4" w:space="0" w:color="auto"/>
              <w:bottom w:val="nil"/>
            </w:tcBorders>
            <w:noWrap/>
            <w:vAlign w:val="center"/>
            <w:hideMark/>
          </w:tcPr>
          <w:p w14:paraId="22010908" w14:textId="77777777" w:rsidR="00E063A1" w:rsidRPr="000D6BCB" w:rsidRDefault="00E063A1" w:rsidP="00835A65">
            <w:pPr>
              <w:rPr>
                <w:rFonts w:ascii="Times New Roman" w:hAnsi="Times New Roman" w:cs="Times New Roman"/>
                <w:sz w:val="20"/>
              </w:rPr>
            </w:pPr>
          </w:p>
        </w:tc>
        <w:tc>
          <w:tcPr>
            <w:tcW w:w="267" w:type="pct"/>
            <w:tcBorders>
              <w:top w:val="single" w:sz="4" w:space="0" w:color="auto"/>
              <w:bottom w:val="nil"/>
              <w:right w:val="single" w:sz="4" w:space="0" w:color="auto"/>
            </w:tcBorders>
            <w:noWrap/>
            <w:vAlign w:val="center"/>
            <w:hideMark/>
          </w:tcPr>
          <w:p w14:paraId="1CC4441C" w14:textId="77777777" w:rsidR="00E063A1" w:rsidRPr="000D6BCB" w:rsidRDefault="00E063A1" w:rsidP="00835A65">
            <w:pPr>
              <w:rPr>
                <w:rFonts w:ascii="Times New Roman" w:hAnsi="Times New Roman" w:cs="Times New Roman"/>
                <w:sz w:val="20"/>
              </w:rPr>
            </w:pPr>
          </w:p>
        </w:tc>
        <w:tc>
          <w:tcPr>
            <w:tcW w:w="267" w:type="pct"/>
            <w:tcBorders>
              <w:top w:val="single" w:sz="4" w:space="0" w:color="auto"/>
              <w:left w:val="single" w:sz="4" w:space="0" w:color="auto"/>
              <w:bottom w:val="nil"/>
            </w:tcBorders>
            <w:noWrap/>
            <w:vAlign w:val="center"/>
            <w:hideMark/>
          </w:tcPr>
          <w:p w14:paraId="3075B599" w14:textId="77777777" w:rsidR="00E063A1" w:rsidRPr="000D6BCB" w:rsidRDefault="00E063A1" w:rsidP="00835A65">
            <w:pPr>
              <w:rPr>
                <w:rFonts w:ascii="Times New Roman" w:hAnsi="Times New Roman" w:cs="Times New Roman"/>
                <w:sz w:val="20"/>
              </w:rPr>
            </w:pPr>
          </w:p>
        </w:tc>
        <w:tc>
          <w:tcPr>
            <w:tcW w:w="267" w:type="pct"/>
            <w:tcBorders>
              <w:top w:val="single" w:sz="4" w:space="0" w:color="auto"/>
              <w:bottom w:val="nil"/>
            </w:tcBorders>
            <w:noWrap/>
            <w:vAlign w:val="center"/>
            <w:hideMark/>
          </w:tcPr>
          <w:p w14:paraId="2EC476BD" w14:textId="77777777" w:rsidR="00E063A1" w:rsidRPr="000D6BCB" w:rsidRDefault="00E063A1" w:rsidP="00835A65">
            <w:pPr>
              <w:rPr>
                <w:rFonts w:ascii="Times New Roman" w:hAnsi="Times New Roman" w:cs="Times New Roman"/>
                <w:sz w:val="20"/>
              </w:rPr>
            </w:pPr>
          </w:p>
        </w:tc>
        <w:tc>
          <w:tcPr>
            <w:tcW w:w="267" w:type="pct"/>
            <w:tcBorders>
              <w:top w:val="single" w:sz="4" w:space="0" w:color="auto"/>
              <w:bottom w:val="nil"/>
            </w:tcBorders>
            <w:noWrap/>
            <w:vAlign w:val="center"/>
            <w:hideMark/>
          </w:tcPr>
          <w:p w14:paraId="420C076D" w14:textId="77777777" w:rsidR="00E063A1" w:rsidRPr="000D6BCB" w:rsidRDefault="00E063A1" w:rsidP="00835A65">
            <w:pPr>
              <w:rPr>
                <w:rFonts w:ascii="Times New Roman" w:hAnsi="Times New Roman" w:cs="Times New Roman"/>
                <w:sz w:val="20"/>
              </w:rPr>
            </w:pPr>
          </w:p>
        </w:tc>
        <w:tc>
          <w:tcPr>
            <w:tcW w:w="267" w:type="pct"/>
            <w:tcBorders>
              <w:top w:val="single" w:sz="4" w:space="0" w:color="auto"/>
              <w:bottom w:val="nil"/>
            </w:tcBorders>
            <w:noWrap/>
            <w:vAlign w:val="center"/>
            <w:hideMark/>
          </w:tcPr>
          <w:p w14:paraId="6285C779" w14:textId="77777777" w:rsidR="00E063A1" w:rsidRPr="000D6BCB" w:rsidRDefault="00E063A1" w:rsidP="00835A65">
            <w:pPr>
              <w:rPr>
                <w:rFonts w:ascii="Times New Roman" w:hAnsi="Times New Roman" w:cs="Times New Roman"/>
                <w:sz w:val="20"/>
              </w:rPr>
            </w:pPr>
          </w:p>
        </w:tc>
        <w:tc>
          <w:tcPr>
            <w:tcW w:w="317" w:type="pct"/>
            <w:tcBorders>
              <w:top w:val="single" w:sz="4" w:space="0" w:color="auto"/>
              <w:bottom w:val="nil"/>
            </w:tcBorders>
            <w:noWrap/>
            <w:vAlign w:val="center"/>
            <w:hideMark/>
          </w:tcPr>
          <w:p w14:paraId="414255DB" w14:textId="77777777" w:rsidR="00E063A1" w:rsidRPr="000D6BCB" w:rsidRDefault="00E063A1" w:rsidP="00835A65">
            <w:pPr>
              <w:rPr>
                <w:rFonts w:ascii="Times New Roman" w:hAnsi="Times New Roman" w:cs="Times New Roman"/>
                <w:sz w:val="20"/>
              </w:rPr>
            </w:pPr>
          </w:p>
        </w:tc>
        <w:tc>
          <w:tcPr>
            <w:tcW w:w="267" w:type="pct"/>
            <w:tcBorders>
              <w:top w:val="single" w:sz="4" w:space="0" w:color="auto"/>
              <w:bottom w:val="nil"/>
            </w:tcBorders>
            <w:noWrap/>
            <w:vAlign w:val="center"/>
            <w:hideMark/>
          </w:tcPr>
          <w:p w14:paraId="28E497CA" w14:textId="77777777" w:rsidR="00E063A1" w:rsidRPr="000D6BCB" w:rsidRDefault="00E063A1" w:rsidP="00835A65">
            <w:pPr>
              <w:rPr>
                <w:rFonts w:ascii="Times New Roman" w:hAnsi="Times New Roman" w:cs="Times New Roman"/>
                <w:sz w:val="20"/>
              </w:rPr>
            </w:pPr>
          </w:p>
        </w:tc>
        <w:tc>
          <w:tcPr>
            <w:tcW w:w="445" w:type="pct"/>
            <w:tcBorders>
              <w:top w:val="single" w:sz="4" w:space="0" w:color="auto"/>
              <w:bottom w:val="nil"/>
            </w:tcBorders>
            <w:noWrap/>
            <w:vAlign w:val="center"/>
            <w:hideMark/>
          </w:tcPr>
          <w:p w14:paraId="649FE311" w14:textId="77777777" w:rsidR="00E063A1" w:rsidRPr="000D6BCB" w:rsidRDefault="00E063A1" w:rsidP="00835A65">
            <w:pPr>
              <w:rPr>
                <w:rFonts w:ascii="Times New Roman" w:hAnsi="Times New Roman" w:cs="Times New Roman"/>
                <w:sz w:val="20"/>
              </w:rPr>
            </w:pPr>
          </w:p>
        </w:tc>
      </w:tr>
      <w:tr w:rsidR="00E063A1" w:rsidRPr="0065228D" w14:paraId="39C5BCC4" w14:textId="77777777" w:rsidTr="000D6BCB">
        <w:trPr>
          <w:trHeight w:val="544"/>
        </w:trPr>
        <w:tc>
          <w:tcPr>
            <w:tcW w:w="146" w:type="pct"/>
            <w:vMerge/>
            <w:tcBorders>
              <w:right w:val="nil"/>
            </w:tcBorders>
          </w:tcPr>
          <w:p w14:paraId="5A7A07DE" w14:textId="77777777" w:rsidR="00E063A1" w:rsidRPr="0065228D" w:rsidRDefault="00E063A1" w:rsidP="00835A65">
            <w:pPr>
              <w:rPr>
                <w:rFonts w:ascii="Times New Roman" w:hAnsi="Times New Roman" w:cs="Times New Roman"/>
              </w:rPr>
            </w:pPr>
          </w:p>
        </w:tc>
        <w:tc>
          <w:tcPr>
            <w:tcW w:w="445" w:type="pct"/>
            <w:tcBorders>
              <w:top w:val="nil"/>
              <w:left w:val="nil"/>
              <w:bottom w:val="nil"/>
              <w:right w:val="single" w:sz="4" w:space="0" w:color="auto"/>
            </w:tcBorders>
            <w:noWrap/>
            <w:vAlign w:val="center"/>
            <w:hideMark/>
          </w:tcPr>
          <w:p w14:paraId="25B5486A" w14:textId="6142CB31" w:rsidR="00E063A1" w:rsidRPr="0065228D" w:rsidRDefault="00E063A1" w:rsidP="00835A65">
            <w:pPr>
              <w:rPr>
                <w:rFonts w:ascii="Times New Roman" w:hAnsi="Times New Roman" w:cs="Times New Roman"/>
              </w:rPr>
            </w:pPr>
            <w:r w:rsidRPr="0065228D">
              <w:rPr>
                <w:rFonts w:ascii="Times New Roman" w:hAnsi="Times New Roman" w:cs="Times New Roman"/>
              </w:rPr>
              <w:t>LRC</w:t>
            </w:r>
          </w:p>
        </w:tc>
        <w:tc>
          <w:tcPr>
            <w:tcW w:w="979" w:type="pct"/>
            <w:tcBorders>
              <w:top w:val="nil"/>
              <w:left w:val="single" w:sz="4" w:space="0" w:color="auto"/>
              <w:bottom w:val="nil"/>
            </w:tcBorders>
            <w:noWrap/>
            <w:vAlign w:val="center"/>
            <w:hideMark/>
          </w:tcPr>
          <w:p w14:paraId="36A7D80F"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0.403</w:t>
            </w:r>
          </w:p>
        </w:tc>
        <w:tc>
          <w:tcPr>
            <w:tcW w:w="266" w:type="pct"/>
            <w:tcBorders>
              <w:top w:val="nil"/>
              <w:bottom w:val="nil"/>
            </w:tcBorders>
            <w:noWrap/>
            <w:vAlign w:val="center"/>
            <w:hideMark/>
          </w:tcPr>
          <w:p w14:paraId="60189136"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1.000</w:t>
            </w:r>
          </w:p>
        </w:tc>
        <w:tc>
          <w:tcPr>
            <w:tcW w:w="267" w:type="pct"/>
            <w:tcBorders>
              <w:top w:val="nil"/>
              <w:bottom w:val="nil"/>
              <w:right w:val="single" w:sz="4" w:space="0" w:color="auto"/>
            </w:tcBorders>
            <w:noWrap/>
            <w:vAlign w:val="center"/>
            <w:hideMark/>
          </w:tcPr>
          <w:p w14:paraId="2987B5B0" w14:textId="77777777" w:rsidR="00E063A1" w:rsidRPr="000D6BCB" w:rsidRDefault="00E063A1" w:rsidP="00835A65">
            <w:pPr>
              <w:rPr>
                <w:rFonts w:ascii="Times New Roman" w:hAnsi="Times New Roman" w:cs="Times New Roman"/>
                <w:sz w:val="20"/>
              </w:rPr>
            </w:pPr>
          </w:p>
        </w:tc>
        <w:tc>
          <w:tcPr>
            <w:tcW w:w="267" w:type="pct"/>
            <w:tcBorders>
              <w:top w:val="nil"/>
              <w:left w:val="single" w:sz="4" w:space="0" w:color="auto"/>
              <w:bottom w:val="nil"/>
            </w:tcBorders>
            <w:noWrap/>
            <w:vAlign w:val="center"/>
            <w:hideMark/>
          </w:tcPr>
          <w:p w14:paraId="5651D815" w14:textId="77777777" w:rsidR="00E063A1" w:rsidRPr="000D6BCB" w:rsidRDefault="00E063A1" w:rsidP="00835A65">
            <w:pPr>
              <w:rPr>
                <w:rFonts w:ascii="Times New Roman" w:hAnsi="Times New Roman" w:cs="Times New Roman"/>
                <w:sz w:val="20"/>
              </w:rPr>
            </w:pPr>
          </w:p>
        </w:tc>
        <w:tc>
          <w:tcPr>
            <w:tcW w:w="267" w:type="pct"/>
            <w:tcBorders>
              <w:top w:val="nil"/>
              <w:bottom w:val="nil"/>
            </w:tcBorders>
            <w:noWrap/>
            <w:vAlign w:val="center"/>
            <w:hideMark/>
          </w:tcPr>
          <w:p w14:paraId="1CDB91D8" w14:textId="77777777" w:rsidR="00E063A1" w:rsidRPr="000D6BCB" w:rsidRDefault="00E063A1" w:rsidP="00835A65">
            <w:pPr>
              <w:rPr>
                <w:rFonts w:ascii="Times New Roman" w:hAnsi="Times New Roman" w:cs="Times New Roman"/>
                <w:sz w:val="20"/>
              </w:rPr>
            </w:pPr>
          </w:p>
        </w:tc>
        <w:tc>
          <w:tcPr>
            <w:tcW w:w="267" w:type="pct"/>
            <w:tcBorders>
              <w:top w:val="nil"/>
              <w:bottom w:val="nil"/>
              <w:right w:val="single" w:sz="4" w:space="0" w:color="auto"/>
            </w:tcBorders>
            <w:noWrap/>
            <w:vAlign w:val="center"/>
            <w:hideMark/>
          </w:tcPr>
          <w:p w14:paraId="2E76DABF" w14:textId="77777777" w:rsidR="00E063A1" w:rsidRPr="000D6BCB" w:rsidRDefault="00E063A1" w:rsidP="00835A65">
            <w:pPr>
              <w:rPr>
                <w:rFonts w:ascii="Times New Roman" w:hAnsi="Times New Roman" w:cs="Times New Roman"/>
                <w:sz w:val="20"/>
              </w:rPr>
            </w:pPr>
          </w:p>
        </w:tc>
        <w:tc>
          <w:tcPr>
            <w:tcW w:w="267" w:type="pct"/>
            <w:tcBorders>
              <w:top w:val="nil"/>
              <w:left w:val="single" w:sz="4" w:space="0" w:color="auto"/>
              <w:bottom w:val="nil"/>
            </w:tcBorders>
            <w:noWrap/>
            <w:vAlign w:val="center"/>
            <w:hideMark/>
          </w:tcPr>
          <w:p w14:paraId="20B28B9C" w14:textId="77777777" w:rsidR="00E063A1" w:rsidRPr="000D6BCB" w:rsidRDefault="00E063A1" w:rsidP="00835A65">
            <w:pPr>
              <w:rPr>
                <w:rFonts w:ascii="Times New Roman" w:hAnsi="Times New Roman" w:cs="Times New Roman"/>
                <w:sz w:val="20"/>
              </w:rPr>
            </w:pPr>
          </w:p>
        </w:tc>
        <w:tc>
          <w:tcPr>
            <w:tcW w:w="267" w:type="pct"/>
            <w:tcBorders>
              <w:top w:val="nil"/>
              <w:bottom w:val="nil"/>
            </w:tcBorders>
            <w:noWrap/>
            <w:vAlign w:val="center"/>
            <w:hideMark/>
          </w:tcPr>
          <w:p w14:paraId="7CA29850" w14:textId="77777777" w:rsidR="00E063A1" w:rsidRPr="000D6BCB" w:rsidRDefault="00E063A1" w:rsidP="00835A65">
            <w:pPr>
              <w:rPr>
                <w:rFonts w:ascii="Times New Roman" w:hAnsi="Times New Roman" w:cs="Times New Roman"/>
                <w:sz w:val="20"/>
              </w:rPr>
            </w:pPr>
          </w:p>
        </w:tc>
        <w:tc>
          <w:tcPr>
            <w:tcW w:w="267" w:type="pct"/>
            <w:tcBorders>
              <w:top w:val="nil"/>
              <w:bottom w:val="nil"/>
            </w:tcBorders>
            <w:noWrap/>
            <w:vAlign w:val="center"/>
            <w:hideMark/>
          </w:tcPr>
          <w:p w14:paraId="04BA418F" w14:textId="77777777" w:rsidR="00E063A1" w:rsidRPr="000D6BCB" w:rsidRDefault="00E063A1" w:rsidP="00835A65">
            <w:pPr>
              <w:rPr>
                <w:rFonts w:ascii="Times New Roman" w:hAnsi="Times New Roman" w:cs="Times New Roman"/>
                <w:sz w:val="20"/>
              </w:rPr>
            </w:pPr>
          </w:p>
        </w:tc>
        <w:tc>
          <w:tcPr>
            <w:tcW w:w="267" w:type="pct"/>
            <w:tcBorders>
              <w:top w:val="nil"/>
              <w:bottom w:val="nil"/>
            </w:tcBorders>
            <w:noWrap/>
            <w:vAlign w:val="center"/>
            <w:hideMark/>
          </w:tcPr>
          <w:p w14:paraId="7871AE3D" w14:textId="77777777" w:rsidR="00E063A1" w:rsidRPr="000D6BCB" w:rsidRDefault="00E063A1" w:rsidP="00835A65">
            <w:pPr>
              <w:rPr>
                <w:rFonts w:ascii="Times New Roman" w:hAnsi="Times New Roman" w:cs="Times New Roman"/>
                <w:sz w:val="20"/>
              </w:rPr>
            </w:pPr>
          </w:p>
        </w:tc>
        <w:tc>
          <w:tcPr>
            <w:tcW w:w="317" w:type="pct"/>
            <w:tcBorders>
              <w:top w:val="nil"/>
              <w:bottom w:val="nil"/>
            </w:tcBorders>
            <w:noWrap/>
            <w:vAlign w:val="center"/>
            <w:hideMark/>
          </w:tcPr>
          <w:p w14:paraId="3C364934" w14:textId="77777777" w:rsidR="00E063A1" w:rsidRPr="000D6BCB" w:rsidRDefault="00E063A1" w:rsidP="00835A65">
            <w:pPr>
              <w:rPr>
                <w:rFonts w:ascii="Times New Roman" w:hAnsi="Times New Roman" w:cs="Times New Roman"/>
                <w:sz w:val="20"/>
              </w:rPr>
            </w:pPr>
          </w:p>
        </w:tc>
        <w:tc>
          <w:tcPr>
            <w:tcW w:w="267" w:type="pct"/>
            <w:tcBorders>
              <w:top w:val="nil"/>
              <w:bottom w:val="nil"/>
            </w:tcBorders>
            <w:noWrap/>
            <w:vAlign w:val="center"/>
            <w:hideMark/>
          </w:tcPr>
          <w:p w14:paraId="09A3313A" w14:textId="77777777" w:rsidR="00E063A1" w:rsidRPr="000D6BCB" w:rsidRDefault="00E063A1" w:rsidP="00835A65">
            <w:pPr>
              <w:rPr>
                <w:rFonts w:ascii="Times New Roman" w:hAnsi="Times New Roman" w:cs="Times New Roman"/>
                <w:sz w:val="20"/>
              </w:rPr>
            </w:pPr>
          </w:p>
        </w:tc>
        <w:tc>
          <w:tcPr>
            <w:tcW w:w="445" w:type="pct"/>
            <w:tcBorders>
              <w:top w:val="nil"/>
              <w:bottom w:val="nil"/>
            </w:tcBorders>
            <w:noWrap/>
            <w:vAlign w:val="center"/>
            <w:hideMark/>
          </w:tcPr>
          <w:p w14:paraId="54A42FAC" w14:textId="77777777" w:rsidR="00E063A1" w:rsidRPr="000D6BCB" w:rsidRDefault="00E063A1" w:rsidP="00835A65">
            <w:pPr>
              <w:rPr>
                <w:rFonts w:ascii="Times New Roman" w:hAnsi="Times New Roman" w:cs="Times New Roman"/>
                <w:sz w:val="20"/>
              </w:rPr>
            </w:pPr>
          </w:p>
        </w:tc>
      </w:tr>
      <w:tr w:rsidR="00E063A1" w:rsidRPr="0065228D" w14:paraId="2EFEFCD6" w14:textId="77777777" w:rsidTr="000D6BCB">
        <w:trPr>
          <w:trHeight w:val="544"/>
        </w:trPr>
        <w:tc>
          <w:tcPr>
            <w:tcW w:w="146" w:type="pct"/>
            <w:vMerge/>
            <w:tcBorders>
              <w:bottom w:val="single" w:sz="4" w:space="0" w:color="auto"/>
              <w:right w:val="nil"/>
            </w:tcBorders>
          </w:tcPr>
          <w:p w14:paraId="2DDBCBBF" w14:textId="77777777" w:rsidR="00E063A1" w:rsidRPr="0065228D" w:rsidRDefault="00E063A1" w:rsidP="00835A65">
            <w:pPr>
              <w:rPr>
                <w:rFonts w:ascii="Times New Roman" w:hAnsi="Times New Roman" w:cs="Times New Roman"/>
              </w:rPr>
            </w:pPr>
          </w:p>
        </w:tc>
        <w:tc>
          <w:tcPr>
            <w:tcW w:w="445" w:type="pct"/>
            <w:tcBorders>
              <w:top w:val="nil"/>
              <w:left w:val="nil"/>
              <w:bottom w:val="single" w:sz="4" w:space="0" w:color="auto"/>
              <w:right w:val="single" w:sz="4" w:space="0" w:color="auto"/>
            </w:tcBorders>
            <w:noWrap/>
            <w:vAlign w:val="center"/>
            <w:hideMark/>
          </w:tcPr>
          <w:p w14:paraId="71E77887" w14:textId="168CAD29" w:rsidR="00E063A1" w:rsidRPr="0065228D" w:rsidRDefault="00E063A1" w:rsidP="00835A65">
            <w:pPr>
              <w:rPr>
                <w:rFonts w:ascii="Times New Roman" w:hAnsi="Times New Roman" w:cs="Times New Roman"/>
              </w:rPr>
            </w:pPr>
            <w:r w:rsidRPr="0065228D">
              <w:rPr>
                <w:rFonts w:ascii="Times New Roman" w:hAnsi="Times New Roman" w:cs="Times New Roman"/>
              </w:rPr>
              <w:t>GNO</w:t>
            </w:r>
          </w:p>
        </w:tc>
        <w:tc>
          <w:tcPr>
            <w:tcW w:w="979" w:type="pct"/>
            <w:tcBorders>
              <w:top w:val="nil"/>
              <w:left w:val="single" w:sz="4" w:space="0" w:color="auto"/>
              <w:bottom w:val="single" w:sz="4" w:space="0" w:color="auto"/>
            </w:tcBorders>
            <w:noWrap/>
            <w:vAlign w:val="center"/>
            <w:hideMark/>
          </w:tcPr>
          <w:p w14:paraId="5807BE44"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0.361</w:t>
            </w:r>
          </w:p>
        </w:tc>
        <w:tc>
          <w:tcPr>
            <w:tcW w:w="266" w:type="pct"/>
            <w:tcBorders>
              <w:top w:val="nil"/>
              <w:bottom w:val="single" w:sz="4" w:space="0" w:color="auto"/>
            </w:tcBorders>
            <w:noWrap/>
            <w:vAlign w:val="center"/>
            <w:hideMark/>
          </w:tcPr>
          <w:p w14:paraId="3C1B0DD8"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0.445</w:t>
            </w:r>
          </w:p>
        </w:tc>
        <w:tc>
          <w:tcPr>
            <w:tcW w:w="267" w:type="pct"/>
            <w:tcBorders>
              <w:top w:val="nil"/>
              <w:bottom w:val="single" w:sz="4" w:space="0" w:color="auto"/>
              <w:right w:val="single" w:sz="4" w:space="0" w:color="auto"/>
            </w:tcBorders>
            <w:noWrap/>
            <w:vAlign w:val="center"/>
            <w:hideMark/>
          </w:tcPr>
          <w:p w14:paraId="74EEFAD2"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1.000</w:t>
            </w:r>
          </w:p>
        </w:tc>
        <w:tc>
          <w:tcPr>
            <w:tcW w:w="267" w:type="pct"/>
            <w:tcBorders>
              <w:top w:val="nil"/>
              <w:left w:val="single" w:sz="4" w:space="0" w:color="auto"/>
              <w:bottom w:val="single" w:sz="4" w:space="0" w:color="auto"/>
            </w:tcBorders>
            <w:noWrap/>
            <w:vAlign w:val="center"/>
            <w:hideMark/>
          </w:tcPr>
          <w:p w14:paraId="0F1944F3" w14:textId="77777777" w:rsidR="00E063A1" w:rsidRPr="000D6BCB" w:rsidRDefault="00E063A1" w:rsidP="00835A65">
            <w:pPr>
              <w:rPr>
                <w:rFonts w:ascii="Times New Roman" w:hAnsi="Times New Roman" w:cs="Times New Roman"/>
                <w:sz w:val="20"/>
              </w:rPr>
            </w:pPr>
          </w:p>
        </w:tc>
        <w:tc>
          <w:tcPr>
            <w:tcW w:w="267" w:type="pct"/>
            <w:tcBorders>
              <w:top w:val="nil"/>
              <w:bottom w:val="single" w:sz="4" w:space="0" w:color="auto"/>
            </w:tcBorders>
            <w:noWrap/>
            <w:vAlign w:val="center"/>
            <w:hideMark/>
          </w:tcPr>
          <w:p w14:paraId="5776DF17" w14:textId="77777777" w:rsidR="00E063A1" w:rsidRPr="000D6BCB" w:rsidRDefault="00E063A1" w:rsidP="00835A65">
            <w:pPr>
              <w:rPr>
                <w:rFonts w:ascii="Times New Roman" w:hAnsi="Times New Roman" w:cs="Times New Roman"/>
                <w:sz w:val="20"/>
              </w:rPr>
            </w:pPr>
          </w:p>
        </w:tc>
        <w:tc>
          <w:tcPr>
            <w:tcW w:w="267" w:type="pct"/>
            <w:tcBorders>
              <w:top w:val="nil"/>
              <w:bottom w:val="single" w:sz="4" w:space="0" w:color="auto"/>
              <w:right w:val="single" w:sz="4" w:space="0" w:color="auto"/>
            </w:tcBorders>
            <w:noWrap/>
            <w:vAlign w:val="center"/>
            <w:hideMark/>
          </w:tcPr>
          <w:p w14:paraId="065953C5" w14:textId="77777777" w:rsidR="00E063A1" w:rsidRPr="000D6BCB" w:rsidRDefault="00E063A1" w:rsidP="00835A65">
            <w:pPr>
              <w:rPr>
                <w:rFonts w:ascii="Times New Roman" w:hAnsi="Times New Roman" w:cs="Times New Roman"/>
                <w:sz w:val="20"/>
              </w:rPr>
            </w:pPr>
          </w:p>
        </w:tc>
        <w:tc>
          <w:tcPr>
            <w:tcW w:w="267" w:type="pct"/>
            <w:tcBorders>
              <w:top w:val="nil"/>
              <w:left w:val="single" w:sz="4" w:space="0" w:color="auto"/>
              <w:bottom w:val="single" w:sz="4" w:space="0" w:color="auto"/>
            </w:tcBorders>
            <w:noWrap/>
            <w:vAlign w:val="center"/>
            <w:hideMark/>
          </w:tcPr>
          <w:p w14:paraId="2BEF5AF3" w14:textId="77777777" w:rsidR="00E063A1" w:rsidRPr="000D6BCB" w:rsidRDefault="00E063A1" w:rsidP="00835A65">
            <w:pPr>
              <w:rPr>
                <w:rFonts w:ascii="Times New Roman" w:hAnsi="Times New Roman" w:cs="Times New Roman"/>
                <w:sz w:val="20"/>
              </w:rPr>
            </w:pPr>
          </w:p>
        </w:tc>
        <w:tc>
          <w:tcPr>
            <w:tcW w:w="267" w:type="pct"/>
            <w:tcBorders>
              <w:top w:val="nil"/>
              <w:bottom w:val="single" w:sz="4" w:space="0" w:color="auto"/>
            </w:tcBorders>
            <w:noWrap/>
            <w:vAlign w:val="center"/>
            <w:hideMark/>
          </w:tcPr>
          <w:p w14:paraId="1880E077" w14:textId="77777777" w:rsidR="00E063A1" w:rsidRPr="000D6BCB" w:rsidRDefault="00E063A1" w:rsidP="00835A65">
            <w:pPr>
              <w:rPr>
                <w:rFonts w:ascii="Times New Roman" w:hAnsi="Times New Roman" w:cs="Times New Roman"/>
                <w:sz w:val="20"/>
              </w:rPr>
            </w:pPr>
          </w:p>
        </w:tc>
        <w:tc>
          <w:tcPr>
            <w:tcW w:w="267" w:type="pct"/>
            <w:tcBorders>
              <w:top w:val="nil"/>
              <w:bottom w:val="single" w:sz="4" w:space="0" w:color="auto"/>
            </w:tcBorders>
            <w:noWrap/>
            <w:vAlign w:val="center"/>
            <w:hideMark/>
          </w:tcPr>
          <w:p w14:paraId="232FF3F3" w14:textId="77777777" w:rsidR="00E063A1" w:rsidRPr="000D6BCB" w:rsidRDefault="00E063A1" w:rsidP="00835A65">
            <w:pPr>
              <w:rPr>
                <w:rFonts w:ascii="Times New Roman" w:hAnsi="Times New Roman" w:cs="Times New Roman"/>
                <w:sz w:val="20"/>
              </w:rPr>
            </w:pPr>
          </w:p>
        </w:tc>
        <w:tc>
          <w:tcPr>
            <w:tcW w:w="267" w:type="pct"/>
            <w:tcBorders>
              <w:top w:val="nil"/>
              <w:bottom w:val="single" w:sz="4" w:space="0" w:color="auto"/>
            </w:tcBorders>
            <w:noWrap/>
            <w:vAlign w:val="center"/>
            <w:hideMark/>
          </w:tcPr>
          <w:p w14:paraId="01AE6608" w14:textId="77777777" w:rsidR="00E063A1" w:rsidRPr="000D6BCB" w:rsidRDefault="00E063A1" w:rsidP="00835A65">
            <w:pPr>
              <w:rPr>
                <w:rFonts w:ascii="Times New Roman" w:hAnsi="Times New Roman" w:cs="Times New Roman"/>
                <w:sz w:val="20"/>
              </w:rPr>
            </w:pPr>
          </w:p>
        </w:tc>
        <w:tc>
          <w:tcPr>
            <w:tcW w:w="317" w:type="pct"/>
            <w:tcBorders>
              <w:top w:val="nil"/>
              <w:bottom w:val="single" w:sz="4" w:space="0" w:color="auto"/>
            </w:tcBorders>
            <w:noWrap/>
            <w:vAlign w:val="center"/>
            <w:hideMark/>
          </w:tcPr>
          <w:p w14:paraId="1A8CEF97" w14:textId="77777777" w:rsidR="00E063A1" w:rsidRPr="000D6BCB" w:rsidRDefault="00E063A1" w:rsidP="00835A65">
            <w:pPr>
              <w:rPr>
                <w:rFonts w:ascii="Times New Roman" w:hAnsi="Times New Roman" w:cs="Times New Roman"/>
                <w:sz w:val="20"/>
              </w:rPr>
            </w:pPr>
          </w:p>
        </w:tc>
        <w:tc>
          <w:tcPr>
            <w:tcW w:w="267" w:type="pct"/>
            <w:tcBorders>
              <w:top w:val="nil"/>
              <w:bottom w:val="single" w:sz="4" w:space="0" w:color="auto"/>
            </w:tcBorders>
            <w:noWrap/>
            <w:vAlign w:val="center"/>
            <w:hideMark/>
          </w:tcPr>
          <w:p w14:paraId="2BD02D8E" w14:textId="77777777" w:rsidR="00E063A1" w:rsidRPr="000D6BCB" w:rsidRDefault="00E063A1" w:rsidP="00835A65">
            <w:pPr>
              <w:rPr>
                <w:rFonts w:ascii="Times New Roman" w:hAnsi="Times New Roman" w:cs="Times New Roman"/>
                <w:sz w:val="20"/>
              </w:rPr>
            </w:pPr>
          </w:p>
        </w:tc>
        <w:tc>
          <w:tcPr>
            <w:tcW w:w="445" w:type="pct"/>
            <w:tcBorders>
              <w:top w:val="nil"/>
              <w:bottom w:val="single" w:sz="4" w:space="0" w:color="auto"/>
            </w:tcBorders>
            <w:noWrap/>
            <w:vAlign w:val="center"/>
            <w:hideMark/>
          </w:tcPr>
          <w:p w14:paraId="6C7065D1" w14:textId="77777777" w:rsidR="00E063A1" w:rsidRPr="000D6BCB" w:rsidRDefault="00E063A1" w:rsidP="00835A65">
            <w:pPr>
              <w:rPr>
                <w:rFonts w:ascii="Times New Roman" w:hAnsi="Times New Roman" w:cs="Times New Roman"/>
                <w:sz w:val="20"/>
              </w:rPr>
            </w:pPr>
          </w:p>
        </w:tc>
      </w:tr>
      <w:tr w:rsidR="000D6BCB" w:rsidRPr="0065228D" w14:paraId="2E117382" w14:textId="77777777" w:rsidTr="000D6BCB">
        <w:trPr>
          <w:trHeight w:val="544"/>
        </w:trPr>
        <w:tc>
          <w:tcPr>
            <w:tcW w:w="146" w:type="pct"/>
            <w:vMerge w:val="restart"/>
            <w:tcBorders>
              <w:top w:val="single" w:sz="4" w:space="0" w:color="auto"/>
              <w:right w:val="nil"/>
            </w:tcBorders>
            <w:textDirection w:val="btLr"/>
          </w:tcPr>
          <w:p w14:paraId="5AF88CFA" w14:textId="545AC4F4" w:rsidR="000D6BCB" w:rsidRPr="0065228D" w:rsidRDefault="000D6BCB" w:rsidP="000D6BCB">
            <w:pPr>
              <w:ind w:left="113" w:right="113"/>
              <w:rPr>
                <w:rFonts w:ascii="Times New Roman" w:hAnsi="Times New Roman" w:cs="Times New Roman"/>
              </w:rPr>
            </w:pPr>
            <w:r>
              <w:rPr>
                <w:rFonts w:ascii="Times New Roman" w:hAnsi="Times New Roman" w:cs="Times New Roman"/>
              </w:rPr>
              <w:t xml:space="preserve">CEX tokens </w:t>
            </w:r>
          </w:p>
        </w:tc>
        <w:tc>
          <w:tcPr>
            <w:tcW w:w="445" w:type="pct"/>
            <w:tcBorders>
              <w:top w:val="single" w:sz="4" w:space="0" w:color="auto"/>
              <w:left w:val="nil"/>
              <w:bottom w:val="nil"/>
              <w:right w:val="single" w:sz="4" w:space="0" w:color="auto"/>
            </w:tcBorders>
            <w:noWrap/>
            <w:vAlign w:val="center"/>
            <w:hideMark/>
          </w:tcPr>
          <w:p w14:paraId="0736659A" w14:textId="64242DA9" w:rsidR="000D6BCB" w:rsidRPr="0065228D" w:rsidRDefault="000D6BCB" w:rsidP="00835A65">
            <w:pPr>
              <w:rPr>
                <w:rFonts w:ascii="Times New Roman" w:hAnsi="Times New Roman" w:cs="Times New Roman"/>
              </w:rPr>
            </w:pPr>
            <w:r w:rsidRPr="0065228D">
              <w:rPr>
                <w:rFonts w:ascii="Times New Roman" w:hAnsi="Times New Roman" w:cs="Times New Roman"/>
              </w:rPr>
              <w:t>BNB</w:t>
            </w:r>
          </w:p>
        </w:tc>
        <w:tc>
          <w:tcPr>
            <w:tcW w:w="979" w:type="pct"/>
            <w:tcBorders>
              <w:top w:val="single" w:sz="4" w:space="0" w:color="auto"/>
              <w:left w:val="single" w:sz="4" w:space="0" w:color="auto"/>
              <w:bottom w:val="nil"/>
            </w:tcBorders>
            <w:noWrap/>
            <w:vAlign w:val="center"/>
            <w:hideMark/>
          </w:tcPr>
          <w:p w14:paraId="4CE47FD7"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sz w:val="20"/>
              </w:rPr>
              <w:t>0.434</w:t>
            </w:r>
          </w:p>
        </w:tc>
        <w:tc>
          <w:tcPr>
            <w:tcW w:w="266" w:type="pct"/>
            <w:tcBorders>
              <w:top w:val="single" w:sz="4" w:space="0" w:color="auto"/>
              <w:bottom w:val="nil"/>
            </w:tcBorders>
            <w:noWrap/>
            <w:vAlign w:val="center"/>
            <w:hideMark/>
          </w:tcPr>
          <w:p w14:paraId="75092C1A"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sz w:val="20"/>
              </w:rPr>
              <w:t>0.436</w:t>
            </w:r>
          </w:p>
        </w:tc>
        <w:tc>
          <w:tcPr>
            <w:tcW w:w="267" w:type="pct"/>
            <w:tcBorders>
              <w:top w:val="single" w:sz="4" w:space="0" w:color="auto"/>
              <w:bottom w:val="nil"/>
              <w:right w:val="single" w:sz="4" w:space="0" w:color="auto"/>
            </w:tcBorders>
            <w:noWrap/>
            <w:vAlign w:val="center"/>
            <w:hideMark/>
          </w:tcPr>
          <w:p w14:paraId="7BEDC8D8"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sz w:val="20"/>
              </w:rPr>
              <w:t>0.471</w:t>
            </w:r>
          </w:p>
        </w:tc>
        <w:tc>
          <w:tcPr>
            <w:tcW w:w="267" w:type="pct"/>
            <w:tcBorders>
              <w:top w:val="single" w:sz="4" w:space="0" w:color="auto"/>
              <w:left w:val="single" w:sz="4" w:space="0" w:color="auto"/>
              <w:bottom w:val="nil"/>
            </w:tcBorders>
            <w:noWrap/>
            <w:vAlign w:val="center"/>
            <w:hideMark/>
          </w:tcPr>
          <w:p w14:paraId="6C3EF9C8"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sz w:val="20"/>
              </w:rPr>
              <w:t>1.000</w:t>
            </w:r>
          </w:p>
        </w:tc>
        <w:tc>
          <w:tcPr>
            <w:tcW w:w="267" w:type="pct"/>
            <w:tcBorders>
              <w:top w:val="single" w:sz="4" w:space="0" w:color="auto"/>
              <w:bottom w:val="nil"/>
            </w:tcBorders>
            <w:noWrap/>
            <w:vAlign w:val="center"/>
            <w:hideMark/>
          </w:tcPr>
          <w:p w14:paraId="47015C7A" w14:textId="77777777" w:rsidR="000D6BCB" w:rsidRPr="000D6BCB" w:rsidRDefault="000D6BCB" w:rsidP="00835A65">
            <w:pPr>
              <w:rPr>
                <w:rFonts w:ascii="Times New Roman" w:hAnsi="Times New Roman" w:cs="Times New Roman"/>
                <w:sz w:val="20"/>
              </w:rPr>
            </w:pPr>
          </w:p>
        </w:tc>
        <w:tc>
          <w:tcPr>
            <w:tcW w:w="267" w:type="pct"/>
            <w:tcBorders>
              <w:top w:val="single" w:sz="4" w:space="0" w:color="auto"/>
              <w:bottom w:val="nil"/>
              <w:right w:val="single" w:sz="4" w:space="0" w:color="auto"/>
            </w:tcBorders>
            <w:noWrap/>
            <w:vAlign w:val="center"/>
            <w:hideMark/>
          </w:tcPr>
          <w:p w14:paraId="1A4580AD" w14:textId="77777777" w:rsidR="000D6BCB" w:rsidRPr="000D6BCB" w:rsidRDefault="000D6BCB" w:rsidP="00835A65">
            <w:pPr>
              <w:rPr>
                <w:rFonts w:ascii="Times New Roman" w:hAnsi="Times New Roman" w:cs="Times New Roman"/>
                <w:sz w:val="20"/>
              </w:rPr>
            </w:pPr>
          </w:p>
        </w:tc>
        <w:tc>
          <w:tcPr>
            <w:tcW w:w="267" w:type="pct"/>
            <w:tcBorders>
              <w:top w:val="single" w:sz="4" w:space="0" w:color="auto"/>
              <w:left w:val="single" w:sz="4" w:space="0" w:color="auto"/>
              <w:bottom w:val="nil"/>
            </w:tcBorders>
            <w:noWrap/>
            <w:vAlign w:val="center"/>
            <w:hideMark/>
          </w:tcPr>
          <w:p w14:paraId="776623D8" w14:textId="77777777" w:rsidR="000D6BCB" w:rsidRPr="000D6BCB" w:rsidRDefault="000D6BCB" w:rsidP="00835A65">
            <w:pPr>
              <w:rPr>
                <w:rFonts w:ascii="Times New Roman" w:hAnsi="Times New Roman" w:cs="Times New Roman"/>
                <w:sz w:val="20"/>
              </w:rPr>
            </w:pPr>
          </w:p>
        </w:tc>
        <w:tc>
          <w:tcPr>
            <w:tcW w:w="267" w:type="pct"/>
            <w:tcBorders>
              <w:top w:val="single" w:sz="4" w:space="0" w:color="auto"/>
              <w:bottom w:val="nil"/>
            </w:tcBorders>
            <w:noWrap/>
            <w:vAlign w:val="center"/>
            <w:hideMark/>
          </w:tcPr>
          <w:p w14:paraId="2479FBBF" w14:textId="77777777" w:rsidR="000D6BCB" w:rsidRPr="000D6BCB" w:rsidRDefault="000D6BCB" w:rsidP="00835A65">
            <w:pPr>
              <w:rPr>
                <w:rFonts w:ascii="Times New Roman" w:hAnsi="Times New Roman" w:cs="Times New Roman"/>
                <w:sz w:val="20"/>
              </w:rPr>
            </w:pPr>
          </w:p>
        </w:tc>
        <w:tc>
          <w:tcPr>
            <w:tcW w:w="267" w:type="pct"/>
            <w:tcBorders>
              <w:top w:val="single" w:sz="4" w:space="0" w:color="auto"/>
              <w:bottom w:val="nil"/>
            </w:tcBorders>
            <w:noWrap/>
            <w:vAlign w:val="center"/>
            <w:hideMark/>
          </w:tcPr>
          <w:p w14:paraId="76BBA5FA" w14:textId="77777777" w:rsidR="000D6BCB" w:rsidRPr="000D6BCB" w:rsidRDefault="000D6BCB" w:rsidP="00835A65">
            <w:pPr>
              <w:rPr>
                <w:rFonts w:ascii="Times New Roman" w:hAnsi="Times New Roman" w:cs="Times New Roman"/>
                <w:sz w:val="20"/>
              </w:rPr>
            </w:pPr>
          </w:p>
        </w:tc>
        <w:tc>
          <w:tcPr>
            <w:tcW w:w="267" w:type="pct"/>
            <w:tcBorders>
              <w:top w:val="single" w:sz="4" w:space="0" w:color="auto"/>
              <w:bottom w:val="nil"/>
            </w:tcBorders>
            <w:noWrap/>
            <w:vAlign w:val="center"/>
            <w:hideMark/>
          </w:tcPr>
          <w:p w14:paraId="17DB4EA0" w14:textId="77777777" w:rsidR="000D6BCB" w:rsidRPr="000D6BCB" w:rsidRDefault="000D6BCB" w:rsidP="00835A65">
            <w:pPr>
              <w:rPr>
                <w:rFonts w:ascii="Times New Roman" w:hAnsi="Times New Roman" w:cs="Times New Roman"/>
                <w:sz w:val="20"/>
              </w:rPr>
            </w:pPr>
          </w:p>
        </w:tc>
        <w:tc>
          <w:tcPr>
            <w:tcW w:w="317" w:type="pct"/>
            <w:tcBorders>
              <w:top w:val="single" w:sz="4" w:space="0" w:color="auto"/>
              <w:bottom w:val="nil"/>
            </w:tcBorders>
            <w:noWrap/>
            <w:vAlign w:val="center"/>
            <w:hideMark/>
          </w:tcPr>
          <w:p w14:paraId="53640BB1" w14:textId="77777777" w:rsidR="000D6BCB" w:rsidRPr="000D6BCB" w:rsidRDefault="000D6BCB" w:rsidP="00835A65">
            <w:pPr>
              <w:rPr>
                <w:rFonts w:ascii="Times New Roman" w:hAnsi="Times New Roman" w:cs="Times New Roman"/>
                <w:sz w:val="20"/>
              </w:rPr>
            </w:pPr>
          </w:p>
        </w:tc>
        <w:tc>
          <w:tcPr>
            <w:tcW w:w="267" w:type="pct"/>
            <w:tcBorders>
              <w:top w:val="single" w:sz="4" w:space="0" w:color="auto"/>
              <w:bottom w:val="nil"/>
            </w:tcBorders>
            <w:noWrap/>
            <w:vAlign w:val="center"/>
            <w:hideMark/>
          </w:tcPr>
          <w:p w14:paraId="40216EA6" w14:textId="77777777" w:rsidR="000D6BCB" w:rsidRPr="000D6BCB" w:rsidRDefault="000D6BCB" w:rsidP="00835A65">
            <w:pPr>
              <w:rPr>
                <w:rFonts w:ascii="Times New Roman" w:hAnsi="Times New Roman" w:cs="Times New Roman"/>
                <w:sz w:val="20"/>
              </w:rPr>
            </w:pPr>
          </w:p>
        </w:tc>
        <w:tc>
          <w:tcPr>
            <w:tcW w:w="445" w:type="pct"/>
            <w:tcBorders>
              <w:top w:val="single" w:sz="4" w:space="0" w:color="auto"/>
              <w:bottom w:val="nil"/>
            </w:tcBorders>
            <w:noWrap/>
            <w:vAlign w:val="center"/>
            <w:hideMark/>
          </w:tcPr>
          <w:p w14:paraId="5D9EBEFA" w14:textId="77777777" w:rsidR="000D6BCB" w:rsidRPr="000D6BCB" w:rsidRDefault="000D6BCB" w:rsidP="00835A65">
            <w:pPr>
              <w:rPr>
                <w:rFonts w:ascii="Times New Roman" w:hAnsi="Times New Roman" w:cs="Times New Roman"/>
                <w:sz w:val="20"/>
              </w:rPr>
            </w:pPr>
          </w:p>
        </w:tc>
      </w:tr>
      <w:tr w:rsidR="000D6BCB" w:rsidRPr="0065228D" w14:paraId="00DD4784" w14:textId="77777777" w:rsidTr="000D6BCB">
        <w:trPr>
          <w:trHeight w:val="544"/>
        </w:trPr>
        <w:tc>
          <w:tcPr>
            <w:tcW w:w="146" w:type="pct"/>
            <w:vMerge/>
            <w:tcBorders>
              <w:right w:val="nil"/>
            </w:tcBorders>
          </w:tcPr>
          <w:p w14:paraId="55957824" w14:textId="77777777" w:rsidR="000D6BCB" w:rsidRPr="0065228D" w:rsidRDefault="000D6BCB" w:rsidP="00835A65">
            <w:pPr>
              <w:rPr>
                <w:rFonts w:ascii="Times New Roman" w:hAnsi="Times New Roman" w:cs="Times New Roman"/>
              </w:rPr>
            </w:pPr>
          </w:p>
        </w:tc>
        <w:tc>
          <w:tcPr>
            <w:tcW w:w="445" w:type="pct"/>
            <w:tcBorders>
              <w:top w:val="nil"/>
              <w:left w:val="nil"/>
              <w:bottom w:val="nil"/>
              <w:right w:val="single" w:sz="4" w:space="0" w:color="auto"/>
            </w:tcBorders>
            <w:noWrap/>
            <w:vAlign w:val="center"/>
            <w:hideMark/>
          </w:tcPr>
          <w:p w14:paraId="6E891146" w14:textId="0C4531D5" w:rsidR="000D6BCB" w:rsidRPr="0065228D" w:rsidRDefault="000D6BCB" w:rsidP="00835A65">
            <w:pPr>
              <w:rPr>
                <w:rFonts w:ascii="Times New Roman" w:hAnsi="Times New Roman" w:cs="Times New Roman"/>
              </w:rPr>
            </w:pPr>
            <w:r w:rsidRPr="0065228D">
              <w:rPr>
                <w:rFonts w:ascii="Times New Roman" w:hAnsi="Times New Roman" w:cs="Times New Roman"/>
              </w:rPr>
              <w:t>LEO</w:t>
            </w:r>
          </w:p>
        </w:tc>
        <w:tc>
          <w:tcPr>
            <w:tcW w:w="979" w:type="pct"/>
            <w:tcBorders>
              <w:top w:val="nil"/>
              <w:left w:val="single" w:sz="4" w:space="0" w:color="auto"/>
              <w:bottom w:val="nil"/>
            </w:tcBorders>
            <w:noWrap/>
            <w:vAlign w:val="center"/>
            <w:hideMark/>
          </w:tcPr>
          <w:p w14:paraId="1B689C79"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sz w:val="20"/>
              </w:rPr>
              <w:t>0.066</w:t>
            </w:r>
          </w:p>
        </w:tc>
        <w:tc>
          <w:tcPr>
            <w:tcW w:w="266" w:type="pct"/>
            <w:tcBorders>
              <w:top w:val="nil"/>
              <w:bottom w:val="nil"/>
            </w:tcBorders>
            <w:noWrap/>
            <w:vAlign w:val="center"/>
            <w:hideMark/>
          </w:tcPr>
          <w:p w14:paraId="1747931E"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sz w:val="20"/>
              </w:rPr>
              <w:t>0.039</w:t>
            </w:r>
          </w:p>
        </w:tc>
        <w:tc>
          <w:tcPr>
            <w:tcW w:w="267" w:type="pct"/>
            <w:tcBorders>
              <w:top w:val="nil"/>
              <w:bottom w:val="nil"/>
              <w:right w:val="single" w:sz="4" w:space="0" w:color="auto"/>
            </w:tcBorders>
            <w:noWrap/>
            <w:vAlign w:val="center"/>
            <w:hideMark/>
          </w:tcPr>
          <w:p w14:paraId="2FE3B27A"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sz w:val="20"/>
              </w:rPr>
              <w:t>0.099</w:t>
            </w:r>
          </w:p>
        </w:tc>
        <w:tc>
          <w:tcPr>
            <w:tcW w:w="267" w:type="pct"/>
            <w:tcBorders>
              <w:top w:val="nil"/>
              <w:left w:val="single" w:sz="4" w:space="0" w:color="auto"/>
              <w:bottom w:val="nil"/>
            </w:tcBorders>
            <w:noWrap/>
            <w:vAlign w:val="center"/>
            <w:hideMark/>
          </w:tcPr>
          <w:p w14:paraId="4D42BE39"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sz w:val="20"/>
              </w:rPr>
              <w:t>0.127</w:t>
            </w:r>
          </w:p>
        </w:tc>
        <w:tc>
          <w:tcPr>
            <w:tcW w:w="267" w:type="pct"/>
            <w:tcBorders>
              <w:top w:val="nil"/>
              <w:bottom w:val="nil"/>
            </w:tcBorders>
            <w:noWrap/>
            <w:vAlign w:val="center"/>
            <w:hideMark/>
          </w:tcPr>
          <w:p w14:paraId="14886AA0"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sz w:val="20"/>
              </w:rPr>
              <w:t>1.000</w:t>
            </w:r>
          </w:p>
        </w:tc>
        <w:tc>
          <w:tcPr>
            <w:tcW w:w="267" w:type="pct"/>
            <w:tcBorders>
              <w:top w:val="nil"/>
              <w:bottom w:val="nil"/>
              <w:right w:val="single" w:sz="4" w:space="0" w:color="auto"/>
            </w:tcBorders>
            <w:noWrap/>
            <w:vAlign w:val="center"/>
            <w:hideMark/>
          </w:tcPr>
          <w:p w14:paraId="506F2E67" w14:textId="77777777" w:rsidR="000D6BCB" w:rsidRPr="000D6BCB" w:rsidRDefault="000D6BCB" w:rsidP="00835A65">
            <w:pPr>
              <w:rPr>
                <w:rFonts w:ascii="Times New Roman" w:hAnsi="Times New Roman" w:cs="Times New Roman"/>
                <w:sz w:val="20"/>
              </w:rPr>
            </w:pPr>
          </w:p>
        </w:tc>
        <w:tc>
          <w:tcPr>
            <w:tcW w:w="267" w:type="pct"/>
            <w:tcBorders>
              <w:top w:val="nil"/>
              <w:left w:val="single" w:sz="4" w:space="0" w:color="auto"/>
              <w:bottom w:val="nil"/>
            </w:tcBorders>
            <w:noWrap/>
            <w:vAlign w:val="center"/>
            <w:hideMark/>
          </w:tcPr>
          <w:p w14:paraId="5453FAAF" w14:textId="77777777" w:rsidR="000D6BCB" w:rsidRPr="000D6BCB" w:rsidRDefault="000D6BCB" w:rsidP="00835A65">
            <w:pPr>
              <w:rPr>
                <w:rFonts w:ascii="Times New Roman" w:hAnsi="Times New Roman" w:cs="Times New Roman"/>
                <w:sz w:val="20"/>
              </w:rPr>
            </w:pPr>
          </w:p>
        </w:tc>
        <w:tc>
          <w:tcPr>
            <w:tcW w:w="267" w:type="pct"/>
            <w:tcBorders>
              <w:top w:val="nil"/>
              <w:bottom w:val="nil"/>
            </w:tcBorders>
            <w:noWrap/>
            <w:vAlign w:val="center"/>
            <w:hideMark/>
          </w:tcPr>
          <w:p w14:paraId="34C5008A" w14:textId="77777777" w:rsidR="000D6BCB" w:rsidRPr="000D6BCB" w:rsidRDefault="000D6BCB" w:rsidP="00835A65">
            <w:pPr>
              <w:rPr>
                <w:rFonts w:ascii="Times New Roman" w:hAnsi="Times New Roman" w:cs="Times New Roman"/>
                <w:sz w:val="20"/>
              </w:rPr>
            </w:pPr>
          </w:p>
        </w:tc>
        <w:tc>
          <w:tcPr>
            <w:tcW w:w="267" w:type="pct"/>
            <w:tcBorders>
              <w:top w:val="nil"/>
              <w:bottom w:val="nil"/>
            </w:tcBorders>
            <w:noWrap/>
            <w:vAlign w:val="center"/>
            <w:hideMark/>
          </w:tcPr>
          <w:p w14:paraId="04B2765E" w14:textId="77777777" w:rsidR="000D6BCB" w:rsidRPr="000D6BCB" w:rsidRDefault="000D6BCB" w:rsidP="00835A65">
            <w:pPr>
              <w:rPr>
                <w:rFonts w:ascii="Times New Roman" w:hAnsi="Times New Roman" w:cs="Times New Roman"/>
                <w:sz w:val="20"/>
              </w:rPr>
            </w:pPr>
          </w:p>
        </w:tc>
        <w:tc>
          <w:tcPr>
            <w:tcW w:w="267" w:type="pct"/>
            <w:tcBorders>
              <w:top w:val="nil"/>
              <w:bottom w:val="nil"/>
            </w:tcBorders>
            <w:noWrap/>
            <w:vAlign w:val="center"/>
            <w:hideMark/>
          </w:tcPr>
          <w:p w14:paraId="4D73AB85" w14:textId="77777777" w:rsidR="000D6BCB" w:rsidRPr="000D6BCB" w:rsidRDefault="000D6BCB" w:rsidP="00835A65">
            <w:pPr>
              <w:rPr>
                <w:rFonts w:ascii="Times New Roman" w:hAnsi="Times New Roman" w:cs="Times New Roman"/>
                <w:sz w:val="20"/>
              </w:rPr>
            </w:pPr>
          </w:p>
        </w:tc>
        <w:tc>
          <w:tcPr>
            <w:tcW w:w="317" w:type="pct"/>
            <w:tcBorders>
              <w:top w:val="nil"/>
              <w:bottom w:val="nil"/>
            </w:tcBorders>
            <w:noWrap/>
            <w:vAlign w:val="center"/>
            <w:hideMark/>
          </w:tcPr>
          <w:p w14:paraId="6987F012" w14:textId="77777777" w:rsidR="000D6BCB" w:rsidRPr="000D6BCB" w:rsidRDefault="000D6BCB" w:rsidP="00835A65">
            <w:pPr>
              <w:rPr>
                <w:rFonts w:ascii="Times New Roman" w:hAnsi="Times New Roman" w:cs="Times New Roman"/>
                <w:sz w:val="20"/>
              </w:rPr>
            </w:pPr>
          </w:p>
        </w:tc>
        <w:tc>
          <w:tcPr>
            <w:tcW w:w="267" w:type="pct"/>
            <w:tcBorders>
              <w:top w:val="nil"/>
              <w:bottom w:val="nil"/>
            </w:tcBorders>
            <w:noWrap/>
            <w:vAlign w:val="center"/>
            <w:hideMark/>
          </w:tcPr>
          <w:p w14:paraId="1F11CBD1" w14:textId="77777777" w:rsidR="000D6BCB" w:rsidRPr="000D6BCB" w:rsidRDefault="000D6BCB" w:rsidP="00835A65">
            <w:pPr>
              <w:rPr>
                <w:rFonts w:ascii="Times New Roman" w:hAnsi="Times New Roman" w:cs="Times New Roman"/>
                <w:sz w:val="20"/>
              </w:rPr>
            </w:pPr>
          </w:p>
        </w:tc>
        <w:tc>
          <w:tcPr>
            <w:tcW w:w="445" w:type="pct"/>
            <w:tcBorders>
              <w:top w:val="nil"/>
              <w:bottom w:val="nil"/>
            </w:tcBorders>
            <w:noWrap/>
            <w:vAlign w:val="center"/>
            <w:hideMark/>
          </w:tcPr>
          <w:p w14:paraId="08C4CC46" w14:textId="77777777" w:rsidR="000D6BCB" w:rsidRPr="000D6BCB" w:rsidRDefault="000D6BCB" w:rsidP="00835A65">
            <w:pPr>
              <w:rPr>
                <w:rFonts w:ascii="Times New Roman" w:hAnsi="Times New Roman" w:cs="Times New Roman"/>
                <w:sz w:val="20"/>
              </w:rPr>
            </w:pPr>
          </w:p>
        </w:tc>
      </w:tr>
      <w:tr w:rsidR="000D6BCB" w:rsidRPr="0065228D" w14:paraId="2D198449" w14:textId="77777777" w:rsidTr="000D6BCB">
        <w:trPr>
          <w:trHeight w:val="544"/>
        </w:trPr>
        <w:tc>
          <w:tcPr>
            <w:tcW w:w="146" w:type="pct"/>
            <w:vMerge/>
            <w:tcBorders>
              <w:bottom w:val="single" w:sz="4" w:space="0" w:color="auto"/>
              <w:right w:val="nil"/>
            </w:tcBorders>
          </w:tcPr>
          <w:p w14:paraId="3D47C0E4" w14:textId="77777777" w:rsidR="000D6BCB" w:rsidRPr="0065228D" w:rsidRDefault="000D6BCB" w:rsidP="00835A65">
            <w:pPr>
              <w:rPr>
                <w:rFonts w:ascii="Times New Roman" w:hAnsi="Times New Roman" w:cs="Times New Roman"/>
              </w:rPr>
            </w:pPr>
          </w:p>
        </w:tc>
        <w:tc>
          <w:tcPr>
            <w:tcW w:w="445" w:type="pct"/>
            <w:tcBorders>
              <w:top w:val="nil"/>
              <w:left w:val="nil"/>
              <w:bottom w:val="single" w:sz="4" w:space="0" w:color="auto"/>
              <w:right w:val="single" w:sz="4" w:space="0" w:color="auto"/>
            </w:tcBorders>
            <w:noWrap/>
            <w:vAlign w:val="center"/>
            <w:hideMark/>
          </w:tcPr>
          <w:p w14:paraId="440D3B44" w14:textId="622EED05" w:rsidR="000D6BCB" w:rsidRPr="0065228D" w:rsidRDefault="000D6BCB" w:rsidP="00835A65">
            <w:pPr>
              <w:rPr>
                <w:rFonts w:ascii="Times New Roman" w:hAnsi="Times New Roman" w:cs="Times New Roman"/>
              </w:rPr>
            </w:pPr>
            <w:r w:rsidRPr="0065228D">
              <w:rPr>
                <w:rFonts w:ascii="Times New Roman" w:hAnsi="Times New Roman" w:cs="Times New Roman"/>
              </w:rPr>
              <w:t>FTT</w:t>
            </w:r>
          </w:p>
        </w:tc>
        <w:tc>
          <w:tcPr>
            <w:tcW w:w="979" w:type="pct"/>
            <w:tcBorders>
              <w:top w:val="nil"/>
              <w:left w:val="single" w:sz="4" w:space="0" w:color="auto"/>
              <w:bottom w:val="single" w:sz="4" w:space="0" w:color="auto"/>
            </w:tcBorders>
            <w:noWrap/>
            <w:vAlign w:val="center"/>
            <w:hideMark/>
          </w:tcPr>
          <w:p w14:paraId="4AA76EE7"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sz w:val="20"/>
              </w:rPr>
              <w:t>0.408</w:t>
            </w:r>
          </w:p>
        </w:tc>
        <w:tc>
          <w:tcPr>
            <w:tcW w:w="266" w:type="pct"/>
            <w:tcBorders>
              <w:top w:val="nil"/>
              <w:bottom w:val="single" w:sz="4" w:space="0" w:color="auto"/>
            </w:tcBorders>
            <w:noWrap/>
            <w:vAlign w:val="center"/>
            <w:hideMark/>
          </w:tcPr>
          <w:p w14:paraId="14567900"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sz w:val="20"/>
              </w:rPr>
              <w:t>0.423</w:t>
            </w:r>
          </w:p>
        </w:tc>
        <w:tc>
          <w:tcPr>
            <w:tcW w:w="267" w:type="pct"/>
            <w:tcBorders>
              <w:top w:val="nil"/>
              <w:bottom w:val="single" w:sz="4" w:space="0" w:color="auto"/>
              <w:right w:val="single" w:sz="4" w:space="0" w:color="auto"/>
            </w:tcBorders>
            <w:noWrap/>
            <w:vAlign w:val="center"/>
            <w:hideMark/>
          </w:tcPr>
          <w:p w14:paraId="546CA9C0"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sz w:val="20"/>
              </w:rPr>
              <w:t>0.458</w:t>
            </w:r>
          </w:p>
        </w:tc>
        <w:tc>
          <w:tcPr>
            <w:tcW w:w="267" w:type="pct"/>
            <w:tcBorders>
              <w:top w:val="nil"/>
              <w:left w:val="single" w:sz="4" w:space="0" w:color="auto"/>
              <w:bottom w:val="single" w:sz="4" w:space="0" w:color="auto"/>
            </w:tcBorders>
            <w:noWrap/>
            <w:vAlign w:val="center"/>
            <w:hideMark/>
          </w:tcPr>
          <w:p w14:paraId="67B8FFCB"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sz w:val="20"/>
              </w:rPr>
              <w:t>0.651</w:t>
            </w:r>
          </w:p>
        </w:tc>
        <w:tc>
          <w:tcPr>
            <w:tcW w:w="267" w:type="pct"/>
            <w:tcBorders>
              <w:top w:val="nil"/>
              <w:bottom w:val="single" w:sz="4" w:space="0" w:color="auto"/>
            </w:tcBorders>
            <w:noWrap/>
            <w:vAlign w:val="center"/>
            <w:hideMark/>
          </w:tcPr>
          <w:p w14:paraId="3F39EECE"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sz w:val="20"/>
              </w:rPr>
              <w:t>0.111</w:t>
            </w:r>
          </w:p>
        </w:tc>
        <w:tc>
          <w:tcPr>
            <w:tcW w:w="267" w:type="pct"/>
            <w:tcBorders>
              <w:top w:val="nil"/>
              <w:bottom w:val="single" w:sz="4" w:space="0" w:color="auto"/>
              <w:right w:val="single" w:sz="4" w:space="0" w:color="auto"/>
            </w:tcBorders>
            <w:noWrap/>
            <w:vAlign w:val="center"/>
            <w:hideMark/>
          </w:tcPr>
          <w:p w14:paraId="2C8B296E"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sz w:val="20"/>
              </w:rPr>
              <w:t>1.000</w:t>
            </w:r>
          </w:p>
        </w:tc>
        <w:tc>
          <w:tcPr>
            <w:tcW w:w="267" w:type="pct"/>
            <w:tcBorders>
              <w:top w:val="nil"/>
              <w:left w:val="single" w:sz="4" w:space="0" w:color="auto"/>
              <w:bottom w:val="single" w:sz="4" w:space="0" w:color="auto"/>
            </w:tcBorders>
            <w:noWrap/>
            <w:vAlign w:val="center"/>
            <w:hideMark/>
          </w:tcPr>
          <w:p w14:paraId="71C13D92" w14:textId="77777777" w:rsidR="000D6BCB" w:rsidRPr="000D6BCB" w:rsidRDefault="000D6BCB" w:rsidP="00835A65">
            <w:pPr>
              <w:rPr>
                <w:rFonts w:ascii="Times New Roman" w:hAnsi="Times New Roman" w:cs="Times New Roman"/>
                <w:sz w:val="20"/>
              </w:rPr>
            </w:pPr>
          </w:p>
        </w:tc>
        <w:tc>
          <w:tcPr>
            <w:tcW w:w="267" w:type="pct"/>
            <w:tcBorders>
              <w:top w:val="nil"/>
              <w:bottom w:val="single" w:sz="4" w:space="0" w:color="auto"/>
            </w:tcBorders>
            <w:noWrap/>
            <w:vAlign w:val="center"/>
            <w:hideMark/>
          </w:tcPr>
          <w:p w14:paraId="1D63F75D" w14:textId="77777777" w:rsidR="000D6BCB" w:rsidRPr="000D6BCB" w:rsidRDefault="000D6BCB" w:rsidP="00835A65">
            <w:pPr>
              <w:rPr>
                <w:rFonts w:ascii="Times New Roman" w:hAnsi="Times New Roman" w:cs="Times New Roman"/>
                <w:sz w:val="20"/>
              </w:rPr>
            </w:pPr>
          </w:p>
        </w:tc>
        <w:tc>
          <w:tcPr>
            <w:tcW w:w="267" w:type="pct"/>
            <w:tcBorders>
              <w:top w:val="nil"/>
              <w:bottom w:val="single" w:sz="4" w:space="0" w:color="auto"/>
            </w:tcBorders>
            <w:noWrap/>
            <w:vAlign w:val="center"/>
            <w:hideMark/>
          </w:tcPr>
          <w:p w14:paraId="1F155EDD" w14:textId="77777777" w:rsidR="000D6BCB" w:rsidRPr="000D6BCB" w:rsidRDefault="000D6BCB" w:rsidP="00835A65">
            <w:pPr>
              <w:rPr>
                <w:rFonts w:ascii="Times New Roman" w:hAnsi="Times New Roman" w:cs="Times New Roman"/>
                <w:sz w:val="20"/>
              </w:rPr>
            </w:pPr>
          </w:p>
        </w:tc>
        <w:tc>
          <w:tcPr>
            <w:tcW w:w="267" w:type="pct"/>
            <w:tcBorders>
              <w:top w:val="nil"/>
              <w:bottom w:val="single" w:sz="4" w:space="0" w:color="auto"/>
            </w:tcBorders>
            <w:noWrap/>
            <w:vAlign w:val="center"/>
            <w:hideMark/>
          </w:tcPr>
          <w:p w14:paraId="11E500FB" w14:textId="77777777" w:rsidR="000D6BCB" w:rsidRPr="000D6BCB" w:rsidRDefault="000D6BCB" w:rsidP="00835A65">
            <w:pPr>
              <w:rPr>
                <w:rFonts w:ascii="Times New Roman" w:hAnsi="Times New Roman" w:cs="Times New Roman"/>
                <w:sz w:val="20"/>
              </w:rPr>
            </w:pPr>
          </w:p>
        </w:tc>
        <w:tc>
          <w:tcPr>
            <w:tcW w:w="317" w:type="pct"/>
            <w:tcBorders>
              <w:top w:val="nil"/>
              <w:bottom w:val="single" w:sz="4" w:space="0" w:color="auto"/>
            </w:tcBorders>
            <w:noWrap/>
            <w:vAlign w:val="center"/>
            <w:hideMark/>
          </w:tcPr>
          <w:p w14:paraId="1963559B" w14:textId="77777777" w:rsidR="000D6BCB" w:rsidRPr="000D6BCB" w:rsidRDefault="000D6BCB" w:rsidP="00835A65">
            <w:pPr>
              <w:rPr>
                <w:rFonts w:ascii="Times New Roman" w:hAnsi="Times New Roman" w:cs="Times New Roman"/>
                <w:sz w:val="20"/>
              </w:rPr>
            </w:pPr>
          </w:p>
        </w:tc>
        <w:tc>
          <w:tcPr>
            <w:tcW w:w="267" w:type="pct"/>
            <w:tcBorders>
              <w:top w:val="nil"/>
              <w:bottom w:val="single" w:sz="4" w:space="0" w:color="auto"/>
            </w:tcBorders>
            <w:noWrap/>
            <w:vAlign w:val="center"/>
            <w:hideMark/>
          </w:tcPr>
          <w:p w14:paraId="12D7EC89" w14:textId="77777777" w:rsidR="000D6BCB" w:rsidRPr="000D6BCB" w:rsidRDefault="000D6BCB" w:rsidP="00835A65">
            <w:pPr>
              <w:rPr>
                <w:rFonts w:ascii="Times New Roman" w:hAnsi="Times New Roman" w:cs="Times New Roman"/>
                <w:sz w:val="20"/>
              </w:rPr>
            </w:pPr>
          </w:p>
        </w:tc>
        <w:tc>
          <w:tcPr>
            <w:tcW w:w="445" w:type="pct"/>
            <w:tcBorders>
              <w:top w:val="nil"/>
              <w:bottom w:val="single" w:sz="4" w:space="0" w:color="auto"/>
            </w:tcBorders>
            <w:noWrap/>
            <w:vAlign w:val="center"/>
            <w:hideMark/>
          </w:tcPr>
          <w:p w14:paraId="0099F35A" w14:textId="77777777" w:rsidR="000D6BCB" w:rsidRPr="000D6BCB" w:rsidRDefault="000D6BCB" w:rsidP="00835A65">
            <w:pPr>
              <w:rPr>
                <w:rFonts w:ascii="Times New Roman" w:hAnsi="Times New Roman" w:cs="Times New Roman"/>
                <w:sz w:val="20"/>
              </w:rPr>
            </w:pPr>
          </w:p>
        </w:tc>
      </w:tr>
      <w:tr w:rsidR="00E063A1" w:rsidRPr="0065228D" w14:paraId="60DB9747" w14:textId="77777777" w:rsidTr="000D6BCB">
        <w:trPr>
          <w:trHeight w:val="544"/>
        </w:trPr>
        <w:tc>
          <w:tcPr>
            <w:tcW w:w="146" w:type="pct"/>
            <w:tcBorders>
              <w:top w:val="single" w:sz="4" w:space="0" w:color="auto"/>
              <w:right w:val="nil"/>
            </w:tcBorders>
          </w:tcPr>
          <w:p w14:paraId="4DA07201" w14:textId="77777777" w:rsidR="00E063A1" w:rsidRPr="0065228D" w:rsidRDefault="00E063A1" w:rsidP="00835A65">
            <w:pPr>
              <w:rPr>
                <w:rFonts w:ascii="Times New Roman" w:hAnsi="Times New Roman" w:cs="Times New Roman"/>
              </w:rPr>
            </w:pPr>
          </w:p>
        </w:tc>
        <w:tc>
          <w:tcPr>
            <w:tcW w:w="445" w:type="pct"/>
            <w:tcBorders>
              <w:top w:val="single" w:sz="4" w:space="0" w:color="auto"/>
              <w:left w:val="nil"/>
              <w:right w:val="single" w:sz="4" w:space="0" w:color="auto"/>
            </w:tcBorders>
            <w:noWrap/>
            <w:vAlign w:val="center"/>
            <w:hideMark/>
          </w:tcPr>
          <w:p w14:paraId="46F4AE06" w14:textId="04BFD023" w:rsidR="00E063A1" w:rsidRPr="0065228D" w:rsidRDefault="00E063A1" w:rsidP="00835A65">
            <w:pPr>
              <w:rPr>
                <w:rFonts w:ascii="Times New Roman" w:hAnsi="Times New Roman" w:cs="Times New Roman"/>
              </w:rPr>
            </w:pPr>
            <w:r w:rsidRPr="0065228D">
              <w:rPr>
                <w:rFonts w:ascii="Times New Roman" w:hAnsi="Times New Roman" w:cs="Times New Roman"/>
              </w:rPr>
              <w:t>GOLD</w:t>
            </w:r>
          </w:p>
        </w:tc>
        <w:tc>
          <w:tcPr>
            <w:tcW w:w="979" w:type="pct"/>
            <w:tcBorders>
              <w:top w:val="single" w:sz="4" w:space="0" w:color="auto"/>
              <w:left w:val="single" w:sz="4" w:space="0" w:color="auto"/>
            </w:tcBorders>
            <w:noWrap/>
            <w:vAlign w:val="center"/>
            <w:hideMark/>
          </w:tcPr>
          <w:p w14:paraId="33C508CA"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0.066</w:t>
            </w:r>
          </w:p>
        </w:tc>
        <w:tc>
          <w:tcPr>
            <w:tcW w:w="266" w:type="pct"/>
            <w:tcBorders>
              <w:top w:val="single" w:sz="4" w:space="0" w:color="auto"/>
            </w:tcBorders>
            <w:noWrap/>
            <w:vAlign w:val="center"/>
            <w:hideMark/>
          </w:tcPr>
          <w:p w14:paraId="28EEFF0E"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0.113</w:t>
            </w:r>
          </w:p>
        </w:tc>
        <w:tc>
          <w:tcPr>
            <w:tcW w:w="267" w:type="pct"/>
            <w:tcBorders>
              <w:top w:val="single" w:sz="4" w:space="0" w:color="auto"/>
              <w:right w:val="single" w:sz="4" w:space="0" w:color="auto"/>
            </w:tcBorders>
            <w:noWrap/>
            <w:vAlign w:val="center"/>
            <w:hideMark/>
          </w:tcPr>
          <w:p w14:paraId="73BB9579"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0.065</w:t>
            </w:r>
          </w:p>
        </w:tc>
        <w:tc>
          <w:tcPr>
            <w:tcW w:w="267" w:type="pct"/>
            <w:tcBorders>
              <w:top w:val="single" w:sz="4" w:space="0" w:color="auto"/>
              <w:left w:val="single" w:sz="4" w:space="0" w:color="auto"/>
            </w:tcBorders>
            <w:noWrap/>
            <w:vAlign w:val="center"/>
            <w:hideMark/>
          </w:tcPr>
          <w:p w14:paraId="7E62378B"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0.098</w:t>
            </w:r>
          </w:p>
        </w:tc>
        <w:tc>
          <w:tcPr>
            <w:tcW w:w="267" w:type="pct"/>
            <w:tcBorders>
              <w:top w:val="single" w:sz="4" w:space="0" w:color="auto"/>
            </w:tcBorders>
            <w:noWrap/>
            <w:vAlign w:val="center"/>
            <w:hideMark/>
          </w:tcPr>
          <w:p w14:paraId="18F9C19D"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-0.033</w:t>
            </w:r>
          </w:p>
        </w:tc>
        <w:tc>
          <w:tcPr>
            <w:tcW w:w="267" w:type="pct"/>
            <w:tcBorders>
              <w:top w:val="single" w:sz="4" w:space="0" w:color="auto"/>
              <w:right w:val="single" w:sz="4" w:space="0" w:color="auto"/>
            </w:tcBorders>
            <w:noWrap/>
            <w:vAlign w:val="center"/>
            <w:hideMark/>
          </w:tcPr>
          <w:p w14:paraId="40857016"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0.085</w:t>
            </w:r>
          </w:p>
        </w:tc>
        <w:tc>
          <w:tcPr>
            <w:tcW w:w="267" w:type="pct"/>
            <w:tcBorders>
              <w:top w:val="single" w:sz="4" w:space="0" w:color="auto"/>
              <w:left w:val="single" w:sz="4" w:space="0" w:color="auto"/>
            </w:tcBorders>
            <w:noWrap/>
            <w:vAlign w:val="center"/>
            <w:hideMark/>
          </w:tcPr>
          <w:p w14:paraId="5A29E3D7"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1.000</w:t>
            </w:r>
          </w:p>
        </w:tc>
        <w:tc>
          <w:tcPr>
            <w:tcW w:w="267" w:type="pct"/>
            <w:tcBorders>
              <w:top w:val="single" w:sz="4" w:space="0" w:color="auto"/>
            </w:tcBorders>
            <w:noWrap/>
            <w:vAlign w:val="center"/>
            <w:hideMark/>
          </w:tcPr>
          <w:p w14:paraId="1416A5DF" w14:textId="77777777" w:rsidR="00E063A1" w:rsidRPr="000D6BCB" w:rsidRDefault="00E063A1" w:rsidP="00835A65">
            <w:pPr>
              <w:rPr>
                <w:rFonts w:ascii="Times New Roman" w:hAnsi="Times New Roman" w:cs="Times New Roman"/>
                <w:sz w:val="20"/>
              </w:rPr>
            </w:pPr>
          </w:p>
        </w:tc>
        <w:tc>
          <w:tcPr>
            <w:tcW w:w="267" w:type="pct"/>
            <w:tcBorders>
              <w:top w:val="single" w:sz="4" w:space="0" w:color="auto"/>
            </w:tcBorders>
            <w:noWrap/>
            <w:vAlign w:val="center"/>
            <w:hideMark/>
          </w:tcPr>
          <w:p w14:paraId="43E60BAB" w14:textId="77777777" w:rsidR="00E063A1" w:rsidRPr="000D6BCB" w:rsidRDefault="00E063A1" w:rsidP="00835A65">
            <w:pPr>
              <w:rPr>
                <w:rFonts w:ascii="Times New Roman" w:hAnsi="Times New Roman" w:cs="Times New Roman"/>
                <w:sz w:val="20"/>
              </w:rPr>
            </w:pPr>
          </w:p>
        </w:tc>
        <w:tc>
          <w:tcPr>
            <w:tcW w:w="267" w:type="pct"/>
            <w:tcBorders>
              <w:top w:val="single" w:sz="4" w:space="0" w:color="auto"/>
            </w:tcBorders>
            <w:noWrap/>
            <w:vAlign w:val="center"/>
            <w:hideMark/>
          </w:tcPr>
          <w:p w14:paraId="6B5A66AD" w14:textId="77777777" w:rsidR="00E063A1" w:rsidRPr="000D6BCB" w:rsidRDefault="00E063A1" w:rsidP="00835A65">
            <w:pPr>
              <w:rPr>
                <w:rFonts w:ascii="Times New Roman" w:hAnsi="Times New Roman" w:cs="Times New Roman"/>
                <w:sz w:val="20"/>
              </w:rPr>
            </w:pPr>
          </w:p>
        </w:tc>
        <w:tc>
          <w:tcPr>
            <w:tcW w:w="317" w:type="pct"/>
            <w:tcBorders>
              <w:top w:val="single" w:sz="4" w:space="0" w:color="auto"/>
            </w:tcBorders>
            <w:noWrap/>
            <w:vAlign w:val="center"/>
            <w:hideMark/>
          </w:tcPr>
          <w:p w14:paraId="0621E699" w14:textId="77777777" w:rsidR="00E063A1" w:rsidRPr="000D6BCB" w:rsidRDefault="00E063A1" w:rsidP="00835A65">
            <w:pPr>
              <w:rPr>
                <w:rFonts w:ascii="Times New Roman" w:hAnsi="Times New Roman" w:cs="Times New Roman"/>
                <w:sz w:val="20"/>
              </w:rPr>
            </w:pPr>
          </w:p>
        </w:tc>
        <w:tc>
          <w:tcPr>
            <w:tcW w:w="267" w:type="pct"/>
            <w:tcBorders>
              <w:top w:val="single" w:sz="4" w:space="0" w:color="auto"/>
            </w:tcBorders>
            <w:noWrap/>
            <w:vAlign w:val="center"/>
            <w:hideMark/>
          </w:tcPr>
          <w:p w14:paraId="5D9836D9" w14:textId="77777777" w:rsidR="00E063A1" w:rsidRPr="000D6BCB" w:rsidRDefault="00E063A1" w:rsidP="00835A65">
            <w:pPr>
              <w:rPr>
                <w:rFonts w:ascii="Times New Roman" w:hAnsi="Times New Roman" w:cs="Times New Roman"/>
                <w:sz w:val="20"/>
              </w:rPr>
            </w:pPr>
          </w:p>
        </w:tc>
        <w:tc>
          <w:tcPr>
            <w:tcW w:w="445" w:type="pct"/>
            <w:tcBorders>
              <w:top w:val="single" w:sz="4" w:space="0" w:color="auto"/>
            </w:tcBorders>
            <w:noWrap/>
            <w:vAlign w:val="center"/>
            <w:hideMark/>
          </w:tcPr>
          <w:p w14:paraId="337D16AC" w14:textId="77777777" w:rsidR="00E063A1" w:rsidRPr="000D6BCB" w:rsidRDefault="00E063A1" w:rsidP="00835A65">
            <w:pPr>
              <w:rPr>
                <w:rFonts w:ascii="Times New Roman" w:hAnsi="Times New Roman" w:cs="Times New Roman"/>
                <w:sz w:val="20"/>
              </w:rPr>
            </w:pPr>
          </w:p>
        </w:tc>
      </w:tr>
      <w:tr w:rsidR="00E063A1" w:rsidRPr="0065228D" w14:paraId="5E377A0B" w14:textId="77777777" w:rsidTr="000D6BCB">
        <w:trPr>
          <w:trHeight w:val="544"/>
        </w:trPr>
        <w:tc>
          <w:tcPr>
            <w:tcW w:w="146" w:type="pct"/>
            <w:tcBorders>
              <w:right w:val="nil"/>
            </w:tcBorders>
          </w:tcPr>
          <w:p w14:paraId="551E99F6" w14:textId="77777777" w:rsidR="00E063A1" w:rsidRPr="0065228D" w:rsidRDefault="00E063A1" w:rsidP="00835A65">
            <w:pPr>
              <w:rPr>
                <w:rFonts w:ascii="Times New Roman" w:hAnsi="Times New Roman" w:cs="Times New Roman"/>
              </w:rPr>
            </w:pPr>
          </w:p>
        </w:tc>
        <w:tc>
          <w:tcPr>
            <w:tcW w:w="445" w:type="pct"/>
            <w:tcBorders>
              <w:left w:val="nil"/>
              <w:right w:val="single" w:sz="4" w:space="0" w:color="auto"/>
            </w:tcBorders>
            <w:noWrap/>
            <w:vAlign w:val="center"/>
            <w:hideMark/>
          </w:tcPr>
          <w:p w14:paraId="634773FB" w14:textId="1F427F69" w:rsidR="00E063A1" w:rsidRPr="0065228D" w:rsidRDefault="00E063A1" w:rsidP="00835A65">
            <w:pPr>
              <w:rPr>
                <w:rFonts w:ascii="Times New Roman" w:hAnsi="Times New Roman" w:cs="Times New Roman"/>
              </w:rPr>
            </w:pPr>
            <w:r w:rsidRPr="0065228D">
              <w:rPr>
                <w:rFonts w:ascii="Times New Roman" w:hAnsi="Times New Roman" w:cs="Times New Roman"/>
              </w:rPr>
              <w:t>OIL</w:t>
            </w:r>
          </w:p>
        </w:tc>
        <w:tc>
          <w:tcPr>
            <w:tcW w:w="979" w:type="pct"/>
            <w:tcBorders>
              <w:left w:val="single" w:sz="4" w:space="0" w:color="auto"/>
            </w:tcBorders>
            <w:noWrap/>
            <w:vAlign w:val="center"/>
            <w:hideMark/>
          </w:tcPr>
          <w:p w14:paraId="47394152"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0.055</w:t>
            </w:r>
          </w:p>
        </w:tc>
        <w:tc>
          <w:tcPr>
            <w:tcW w:w="266" w:type="pct"/>
            <w:noWrap/>
            <w:vAlign w:val="center"/>
            <w:hideMark/>
          </w:tcPr>
          <w:p w14:paraId="7A8BB828"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0.060</w:t>
            </w:r>
          </w:p>
        </w:tc>
        <w:tc>
          <w:tcPr>
            <w:tcW w:w="267" w:type="pct"/>
            <w:tcBorders>
              <w:right w:val="single" w:sz="4" w:space="0" w:color="auto"/>
            </w:tcBorders>
            <w:noWrap/>
            <w:vAlign w:val="center"/>
            <w:hideMark/>
          </w:tcPr>
          <w:p w14:paraId="5D24E0C6"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-0.032</w:t>
            </w:r>
          </w:p>
        </w:tc>
        <w:tc>
          <w:tcPr>
            <w:tcW w:w="267" w:type="pct"/>
            <w:tcBorders>
              <w:left w:val="single" w:sz="4" w:space="0" w:color="auto"/>
            </w:tcBorders>
            <w:noWrap/>
            <w:vAlign w:val="center"/>
            <w:hideMark/>
          </w:tcPr>
          <w:p w14:paraId="6ACFEAB6"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0.051</w:t>
            </w:r>
          </w:p>
        </w:tc>
        <w:tc>
          <w:tcPr>
            <w:tcW w:w="267" w:type="pct"/>
            <w:noWrap/>
            <w:vAlign w:val="center"/>
            <w:hideMark/>
          </w:tcPr>
          <w:p w14:paraId="456C3FB4"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-0.004</w:t>
            </w:r>
          </w:p>
        </w:tc>
        <w:tc>
          <w:tcPr>
            <w:tcW w:w="267" w:type="pct"/>
            <w:tcBorders>
              <w:right w:val="single" w:sz="4" w:space="0" w:color="auto"/>
            </w:tcBorders>
            <w:noWrap/>
            <w:vAlign w:val="center"/>
            <w:hideMark/>
          </w:tcPr>
          <w:p w14:paraId="64D4B255"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0.053</w:t>
            </w:r>
          </w:p>
        </w:tc>
        <w:tc>
          <w:tcPr>
            <w:tcW w:w="267" w:type="pct"/>
            <w:tcBorders>
              <w:left w:val="single" w:sz="4" w:space="0" w:color="auto"/>
            </w:tcBorders>
            <w:noWrap/>
            <w:vAlign w:val="center"/>
            <w:hideMark/>
          </w:tcPr>
          <w:p w14:paraId="4ECA4DD4"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0.002</w:t>
            </w:r>
          </w:p>
        </w:tc>
        <w:tc>
          <w:tcPr>
            <w:tcW w:w="267" w:type="pct"/>
            <w:noWrap/>
            <w:vAlign w:val="center"/>
            <w:hideMark/>
          </w:tcPr>
          <w:p w14:paraId="4218ADE2"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1.000</w:t>
            </w:r>
          </w:p>
        </w:tc>
        <w:tc>
          <w:tcPr>
            <w:tcW w:w="267" w:type="pct"/>
            <w:noWrap/>
            <w:vAlign w:val="center"/>
            <w:hideMark/>
          </w:tcPr>
          <w:p w14:paraId="47D39835" w14:textId="77777777" w:rsidR="00E063A1" w:rsidRPr="000D6BCB" w:rsidRDefault="00E063A1" w:rsidP="00835A65">
            <w:pPr>
              <w:rPr>
                <w:rFonts w:ascii="Times New Roman" w:hAnsi="Times New Roman" w:cs="Times New Roman"/>
                <w:sz w:val="20"/>
              </w:rPr>
            </w:pPr>
          </w:p>
        </w:tc>
        <w:tc>
          <w:tcPr>
            <w:tcW w:w="267" w:type="pct"/>
            <w:noWrap/>
            <w:vAlign w:val="center"/>
            <w:hideMark/>
          </w:tcPr>
          <w:p w14:paraId="1B8312AE" w14:textId="77777777" w:rsidR="00E063A1" w:rsidRPr="000D6BCB" w:rsidRDefault="00E063A1" w:rsidP="00835A65">
            <w:pPr>
              <w:rPr>
                <w:rFonts w:ascii="Times New Roman" w:hAnsi="Times New Roman" w:cs="Times New Roman"/>
                <w:sz w:val="20"/>
              </w:rPr>
            </w:pPr>
          </w:p>
        </w:tc>
        <w:tc>
          <w:tcPr>
            <w:tcW w:w="317" w:type="pct"/>
            <w:noWrap/>
            <w:vAlign w:val="center"/>
            <w:hideMark/>
          </w:tcPr>
          <w:p w14:paraId="0E70667F" w14:textId="77777777" w:rsidR="00E063A1" w:rsidRPr="000D6BCB" w:rsidRDefault="00E063A1" w:rsidP="00835A65">
            <w:pPr>
              <w:rPr>
                <w:rFonts w:ascii="Times New Roman" w:hAnsi="Times New Roman" w:cs="Times New Roman"/>
                <w:sz w:val="20"/>
              </w:rPr>
            </w:pPr>
          </w:p>
        </w:tc>
        <w:tc>
          <w:tcPr>
            <w:tcW w:w="267" w:type="pct"/>
            <w:noWrap/>
            <w:vAlign w:val="center"/>
            <w:hideMark/>
          </w:tcPr>
          <w:p w14:paraId="0918BBFB" w14:textId="77777777" w:rsidR="00E063A1" w:rsidRPr="000D6BCB" w:rsidRDefault="00E063A1" w:rsidP="00835A65">
            <w:pPr>
              <w:rPr>
                <w:rFonts w:ascii="Times New Roman" w:hAnsi="Times New Roman" w:cs="Times New Roman"/>
                <w:sz w:val="20"/>
              </w:rPr>
            </w:pPr>
          </w:p>
        </w:tc>
        <w:tc>
          <w:tcPr>
            <w:tcW w:w="445" w:type="pct"/>
            <w:noWrap/>
            <w:vAlign w:val="center"/>
            <w:hideMark/>
          </w:tcPr>
          <w:p w14:paraId="14F0353F" w14:textId="77777777" w:rsidR="00E063A1" w:rsidRPr="000D6BCB" w:rsidRDefault="00E063A1" w:rsidP="00835A65">
            <w:pPr>
              <w:rPr>
                <w:rFonts w:ascii="Times New Roman" w:hAnsi="Times New Roman" w:cs="Times New Roman"/>
                <w:sz w:val="20"/>
              </w:rPr>
            </w:pPr>
          </w:p>
        </w:tc>
      </w:tr>
      <w:tr w:rsidR="00E063A1" w:rsidRPr="0065228D" w14:paraId="0148095C" w14:textId="77777777" w:rsidTr="000D6BCB">
        <w:trPr>
          <w:trHeight w:val="544"/>
        </w:trPr>
        <w:tc>
          <w:tcPr>
            <w:tcW w:w="146" w:type="pct"/>
            <w:tcBorders>
              <w:right w:val="nil"/>
            </w:tcBorders>
          </w:tcPr>
          <w:p w14:paraId="73AA97FF" w14:textId="77777777" w:rsidR="00E063A1" w:rsidRPr="0065228D" w:rsidRDefault="00E063A1" w:rsidP="00835A65">
            <w:pPr>
              <w:rPr>
                <w:rFonts w:ascii="Times New Roman" w:hAnsi="Times New Roman" w:cs="Times New Roman"/>
              </w:rPr>
            </w:pPr>
          </w:p>
        </w:tc>
        <w:tc>
          <w:tcPr>
            <w:tcW w:w="445" w:type="pct"/>
            <w:tcBorders>
              <w:left w:val="nil"/>
              <w:right w:val="single" w:sz="4" w:space="0" w:color="auto"/>
            </w:tcBorders>
            <w:noWrap/>
            <w:vAlign w:val="center"/>
            <w:hideMark/>
          </w:tcPr>
          <w:p w14:paraId="1151CEC4" w14:textId="120562C3" w:rsidR="00E063A1" w:rsidRPr="0065228D" w:rsidRDefault="00E063A1" w:rsidP="00835A65">
            <w:pPr>
              <w:rPr>
                <w:rFonts w:ascii="Times New Roman" w:hAnsi="Times New Roman" w:cs="Times New Roman"/>
              </w:rPr>
            </w:pPr>
            <w:r w:rsidRPr="0065228D">
              <w:rPr>
                <w:rFonts w:ascii="Times New Roman" w:hAnsi="Times New Roman" w:cs="Times New Roman"/>
              </w:rPr>
              <w:t>BTC</w:t>
            </w:r>
          </w:p>
        </w:tc>
        <w:tc>
          <w:tcPr>
            <w:tcW w:w="979" w:type="pct"/>
            <w:tcBorders>
              <w:left w:val="single" w:sz="4" w:space="0" w:color="auto"/>
            </w:tcBorders>
            <w:noWrap/>
            <w:vAlign w:val="center"/>
            <w:hideMark/>
          </w:tcPr>
          <w:p w14:paraId="0A75F5B8"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0.428</w:t>
            </w:r>
          </w:p>
        </w:tc>
        <w:tc>
          <w:tcPr>
            <w:tcW w:w="266" w:type="pct"/>
            <w:noWrap/>
            <w:vAlign w:val="center"/>
            <w:hideMark/>
          </w:tcPr>
          <w:p w14:paraId="6A605661"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0.443</w:t>
            </w:r>
          </w:p>
        </w:tc>
        <w:tc>
          <w:tcPr>
            <w:tcW w:w="267" w:type="pct"/>
            <w:tcBorders>
              <w:right w:val="single" w:sz="4" w:space="0" w:color="auto"/>
            </w:tcBorders>
            <w:noWrap/>
            <w:vAlign w:val="center"/>
            <w:hideMark/>
          </w:tcPr>
          <w:p w14:paraId="0CDEAC78"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0.547</w:t>
            </w:r>
          </w:p>
        </w:tc>
        <w:tc>
          <w:tcPr>
            <w:tcW w:w="267" w:type="pct"/>
            <w:tcBorders>
              <w:left w:val="single" w:sz="4" w:space="0" w:color="auto"/>
            </w:tcBorders>
            <w:noWrap/>
            <w:vAlign w:val="center"/>
            <w:hideMark/>
          </w:tcPr>
          <w:p w14:paraId="558B3A47"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0.646</w:t>
            </w:r>
          </w:p>
        </w:tc>
        <w:tc>
          <w:tcPr>
            <w:tcW w:w="267" w:type="pct"/>
            <w:noWrap/>
            <w:vAlign w:val="center"/>
            <w:hideMark/>
          </w:tcPr>
          <w:p w14:paraId="5947A8F5"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0.124</w:t>
            </w:r>
          </w:p>
        </w:tc>
        <w:tc>
          <w:tcPr>
            <w:tcW w:w="267" w:type="pct"/>
            <w:tcBorders>
              <w:right w:val="single" w:sz="4" w:space="0" w:color="auto"/>
            </w:tcBorders>
            <w:noWrap/>
            <w:vAlign w:val="center"/>
            <w:hideMark/>
          </w:tcPr>
          <w:p w14:paraId="2D299FD0"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0.658</w:t>
            </w:r>
          </w:p>
        </w:tc>
        <w:tc>
          <w:tcPr>
            <w:tcW w:w="267" w:type="pct"/>
            <w:tcBorders>
              <w:left w:val="single" w:sz="4" w:space="0" w:color="auto"/>
            </w:tcBorders>
            <w:noWrap/>
            <w:vAlign w:val="center"/>
            <w:hideMark/>
          </w:tcPr>
          <w:p w14:paraId="30E4BC1D"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0.117</w:t>
            </w:r>
          </w:p>
        </w:tc>
        <w:tc>
          <w:tcPr>
            <w:tcW w:w="267" w:type="pct"/>
            <w:noWrap/>
            <w:vAlign w:val="center"/>
            <w:hideMark/>
          </w:tcPr>
          <w:p w14:paraId="52117E4C"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0.062</w:t>
            </w:r>
          </w:p>
        </w:tc>
        <w:tc>
          <w:tcPr>
            <w:tcW w:w="267" w:type="pct"/>
            <w:noWrap/>
            <w:vAlign w:val="center"/>
            <w:hideMark/>
          </w:tcPr>
          <w:p w14:paraId="04271AAE"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1.000</w:t>
            </w:r>
          </w:p>
        </w:tc>
        <w:tc>
          <w:tcPr>
            <w:tcW w:w="267" w:type="pct"/>
            <w:noWrap/>
            <w:vAlign w:val="center"/>
            <w:hideMark/>
          </w:tcPr>
          <w:p w14:paraId="6B373C5B" w14:textId="77777777" w:rsidR="00E063A1" w:rsidRPr="000D6BCB" w:rsidRDefault="00E063A1" w:rsidP="00835A65">
            <w:pPr>
              <w:rPr>
                <w:rFonts w:ascii="Times New Roman" w:hAnsi="Times New Roman" w:cs="Times New Roman"/>
                <w:sz w:val="20"/>
              </w:rPr>
            </w:pPr>
          </w:p>
        </w:tc>
        <w:tc>
          <w:tcPr>
            <w:tcW w:w="317" w:type="pct"/>
            <w:noWrap/>
            <w:vAlign w:val="center"/>
            <w:hideMark/>
          </w:tcPr>
          <w:p w14:paraId="41136346" w14:textId="77777777" w:rsidR="00E063A1" w:rsidRPr="000D6BCB" w:rsidRDefault="00E063A1" w:rsidP="00835A65">
            <w:pPr>
              <w:rPr>
                <w:rFonts w:ascii="Times New Roman" w:hAnsi="Times New Roman" w:cs="Times New Roman"/>
                <w:sz w:val="20"/>
              </w:rPr>
            </w:pPr>
          </w:p>
        </w:tc>
        <w:tc>
          <w:tcPr>
            <w:tcW w:w="267" w:type="pct"/>
            <w:noWrap/>
            <w:vAlign w:val="center"/>
            <w:hideMark/>
          </w:tcPr>
          <w:p w14:paraId="1FD443C8" w14:textId="77777777" w:rsidR="00E063A1" w:rsidRPr="000D6BCB" w:rsidRDefault="00E063A1" w:rsidP="00835A65">
            <w:pPr>
              <w:rPr>
                <w:rFonts w:ascii="Times New Roman" w:hAnsi="Times New Roman" w:cs="Times New Roman"/>
                <w:sz w:val="20"/>
              </w:rPr>
            </w:pPr>
          </w:p>
        </w:tc>
        <w:tc>
          <w:tcPr>
            <w:tcW w:w="445" w:type="pct"/>
            <w:noWrap/>
            <w:vAlign w:val="center"/>
            <w:hideMark/>
          </w:tcPr>
          <w:p w14:paraId="2D3910D8" w14:textId="77777777" w:rsidR="00E063A1" w:rsidRPr="000D6BCB" w:rsidRDefault="00E063A1" w:rsidP="00835A65">
            <w:pPr>
              <w:rPr>
                <w:rFonts w:ascii="Times New Roman" w:hAnsi="Times New Roman" w:cs="Times New Roman"/>
                <w:sz w:val="20"/>
              </w:rPr>
            </w:pPr>
          </w:p>
        </w:tc>
      </w:tr>
      <w:tr w:rsidR="00E063A1" w:rsidRPr="0065228D" w14:paraId="509DA70D" w14:textId="77777777" w:rsidTr="000D6BCB">
        <w:trPr>
          <w:trHeight w:val="544"/>
        </w:trPr>
        <w:tc>
          <w:tcPr>
            <w:tcW w:w="146" w:type="pct"/>
            <w:tcBorders>
              <w:right w:val="nil"/>
            </w:tcBorders>
          </w:tcPr>
          <w:p w14:paraId="003A6DD2" w14:textId="77777777" w:rsidR="00E063A1" w:rsidRPr="0065228D" w:rsidRDefault="00E063A1" w:rsidP="00835A65">
            <w:pPr>
              <w:rPr>
                <w:rFonts w:ascii="Times New Roman" w:hAnsi="Times New Roman" w:cs="Times New Roman"/>
              </w:rPr>
            </w:pPr>
          </w:p>
        </w:tc>
        <w:tc>
          <w:tcPr>
            <w:tcW w:w="445" w:type="pct"/>
            <w:tcBorders>
              <w:left w:val="nil"/>
              <w:right w:val="single" w:sz="4" w:space="0" w:color="auto"/>
            </w:tcBorders>
            <w:noWrap/>
            <w:vAlign w:val="center"/>
            <w:hideMark/>
          </w:tcPr>
          <w:p w14:paraId="439BCE90" w14:textId="72960493" w:rsidR="00E063A1" w:rsidRPr="0065228D" w:rsidRDefault="00E063A1" w:rsidP="00835A65">
            <w:pPr>
              <w:rPr>
                <w:rFonts w:ascii="Times New Roman" w:hAnsi="Times New Roman" w:cs="Times New Roman"/>
              </w:rPr>
            </w:pPr>
            <w:r w:rsidRPr="0065228D">
              <w:rPr>
                <w:rFonts w:ascii="Times New Roman" w:hAnsi="Times New Roman" w:cs="Times New Roman"/>
              </w:rPr>
              <w:t>REIT</w:t>
            </w:r>
          </w:p>
        </w:tc>
        <w:tc>
          <w:tcPr>
            <w:tcW w:w="979" w:type="pct"/>
            <w:tcBorders>
              <w:left w:val="single" w:sz="4" w:space="0" w:color="auto"/>
            </w:tcBorders>
            <w:noWrap/>
            <w:vAlign w:val="center"/>
            <w:hideMark/>
          </w:tcPr>
          <w:p w14:paraId="4B50305F"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0.171</w:t>
            </w:r>
          </w:p>
        </w:tc>
        <w:tc>
          <w:tcPr>
            <w:tcW w:w="266" w:type="pct"/>
            <w:noWrap/>
            <w:vAlign w:val="center"/>
            <w:hideMark/>
          </w:tcPr>
          <w:p w14:paraId="5E5C8B72"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0.153</w:t>
            </w:r>
          </w:p>
        </w:tc>
        <w:tc>
          <w:tcPr>
            <w:tcW w:w="267" w:type="pct"/>
            <w:tcBorders>
              <w:right w:val="single" w:sz="4" w:space="0" w:color="auto"/>
            </w:tcBorders>
            <w:noWrap/>
            <w:vAlign w:val="center"/>
            <w:hideMark/>
          </w:tcPr>
          <w:p w14:paraId="1F5E7393"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0.164</w:t>
            </w:r>
          </w:p>
        </w:tc>
        <w:tc>
          <w:tcPr>
            <w:tcW w:w="267" w:type="pct"/>
            <w:tcBorders>
              <w:left w:val="single" w:sz="4" w:space="0" w:color="auto"/>
            </w:tcBorders>
            <w:noWrap/>
            <w:vAlign w:val="center"/>
            <w:hideMark/>
          </w:tcPr>
          <w:p w14:paraId="05849C1B"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0.237</w:t>
            </w:r>
          </w:p>
        </w:tc>
        <w:tc>
          <w:tcPr>
            <w:tcW w:w="267" w:type="pct"/>
            <w:noWrap/>
            <w:vAlign w:val="center"/>
            <w:hideMark/>
          </w:tcPr>
          <w:p w14:paraId="4B657925"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0.001</w:t>
            </w:r>
          </w:p>
        </w:tc>
        <w:tc>
          <w:tcPr>
            <w:tcW w:w="267" w:type="pct"/>
            <w:tcBorders>
              <w:right w:val="single" w:sz="4" w:space="0" w:color="auto"/>
            </w:tcBorders>
            <w:noWrap/>
            <w:vAlign w:val="center"/>
            <w:hideMark/>
          </w:tcPr>
          <w:p w14:paraId="0EE56945"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0.126</w:t>
            </w:r>
          </w:p>
        </w:tc>
        <w:tc>
          <w:tcPr>
            <w:tcW w:w="267" w:type="pct"/>
            <w:tcBorders>
              <w:left w:val="single" w:sz="4" w:space="0" w:color="auto"/>
            </w:tcBorders>
            <w:noWrap/>
            <w:vAlign w:val="center"/>
            <w:hideMark/>
          </w:tcPr>
          <w:p w14:paraId="120433F7"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0.121</w:t>
            </w:r>
          </w:p>
        </w:tc>
        <w:tc>
          <w:tcPr>
            <w:tcW w:w="267" w:type="pct"/>
            <w:noWrap/>
            <w:vAlign w:val="center"/>
            <w:hideMark/>
          </w:tcPr>
          <w:p w14:paraId="464A518A"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0.110</w:t>
            </w:r>
          </w:p>
        </w:tc>
        <w:tc>
          <w:tcPr>
            <w:tcW w:w="267" w:type="pct"/>
            <w:noWrap/>
            <w:vAlign w:val="center"/>
            <w:hideMark/>
          </w:tcPr>
          <w:p w14:paraId="2C26E790"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0.242</w:t>
            </w:r>
          </w:p>
        </w:tc>
        <w:tc>
          <w:tcPr>
            <w:tcW w:w="267" w:type="pct"/>
            <w:noWrap/>
            <w:vAlign w:val="center"/>
            <w:hideMark/>
          </w:tcPr>
          <w:p w14:paraId="6B8E3D47"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1.000</w:t>
            </w:r>
          </w:p>
        </w:tc>
        <w:tc>
          <w:tcPr>
            <w:tcW w:w="317" w:type="pct"/>
            <w:noWrap/>
            <w:vAlign w:val="center"/>
            <w:hideMark/>
          </w:tcPr>
          <w:p w14:paraId="4AD1AEF3" w14:textId="77777777" w:rsidR="00E063A1" w:rsidRPr="000D6BCB" w:rsidRDefault="00E063A1" w:rsidP="00835A65">
            <w:pPr>
              <w:rPr>
                <w:rFonts w:ascii="Times New Roman" w:hAnsi="Times New Roman" w:cs="Times New Roman"/>
                <w:sz w:val="20"/>
              </w:rPr>
            </w:pPr>
          </w:p>
        </w:tc>
        <w:tc>
          <w:tcPr>
            <w:tcW w:w="267" w:type="pct"/>
            <w:noWrap/>
            <w:vAlign w:val="center"/>
            <w:hideMark/>
          </w:tcPr>
          <w:p w14:paraId="69317851" w14:textId="77777777" w:rsidR="00E063A1" w:rsidRPr="000D6BCB" w:rsidRDefault="00E063A1" w:rsidP="00835A65">
            <w:pPr>
              <w:rPr>
                <w:rFonts w:ascii="Times New Roman" w:hAnsi="Times New Roman" w:cs="Times New Roman"/>
                <w:sz w:val="20"/>
              </w:rPr>
            </w:pPr>
          </w:p>
        </w:tc>
        <w:tc>
          <w:tcPr>
            <w:tcW w:w="445" w:type="pct"/>
            <w:noWrap/>
            <w:vAlign w:val="center"/>
            <w:hideMark/>
          </w:tcPr>
          <w:p w14:paraId="29E1A5AD" w14:textId="77777777" w:rsidR="00E063A1" w:rsidRPr="000D6BCB" w:rsidRDefault="00E063A1" w:rsidP="00835A65">
            <w:pPr>
              <w:rPr>
                <w:rFonts w:ascii="Times New Roman" w:hAnsi="Times New Roman" w:cs="Times New Roman"/>
                <w:sz w:val="20"/>
              </w:rPr>
            </w:pPr>
          </w:p>
        </w:tc>
      </w:tr>
      <w:tr w:rsidR="00E063A1" w:rsidRPr="0065228D" w14:paraId="6A117F4C" w14:textId="77777777" w:rsidTr="000D6BCB">
        <w:trPr>
          <w:trHeight w:val="544"/>
        </w:trPr>
        <w:tc>
          <w:tcPr>
            <w:tcW w:w="146" w:type="pct"/>
            <w:tcBorders>
              <w:right w:val="nil"/>
            </w:tcBorders>
          </w:tcPr>
          <w:p w14:paraId="2E0CCC91" w14:textId="77777777" w:rsidR="00E063A1" w:rsidRPr="0065228D" w:rsidRDefault="00E063A1" w:rsidP="00835A65">
            <w:pPr>
              <w:rPr>
                <w:rFonts w:ascii="Times New Roman" w:hAnsi="Times New Roman" w:cs="Times New Roman"/>
              </w:rPr>
            </w:pPr>
          </w:p>
        </w:tc>
        <w:tc>
          <w:tcPr>
            <w:tcW w:w="445" w:type="pct"/>
            <w:tcBorders>
              <w:left w:val="nil"/>
              <w:right w:val="single" w:sz="4" w:space="0" w:color="auto"/>
            </w:tcBorders>
            <w:noWrap/>
            <w:vAlign w:val="center"/>
            <w:hideMark/>
          </w:tcPr>
          <w:p w14:paraId="4B1E8952" w14:textId="5C93D2DA" w:rsidR="00E063A1" w:rsidRPr="0065228D" w:rsidRDefault="00E063A1" w:rsidP="00835A65">
            <w:pPr>
              <w:rPr>
                <w:rFonts w:ascii="Times New Roman" w:hAnsi="Times New Roman" w:cs="Times New Roman"/>
              </w:rPr>
            </w:pPr>
            <w:r w:rsidRPr="0065228D">
              <w:rPr>
                <w:rFonts w:ascii="Times New Roman" w:hAnsi="Times New Roman" w:cs="Times New Roman"/>
              </w:rPr>
              <w:t>EQUITY</w:t>
            </w:r>
          </w:p>
        </w:tc>
        <w:tc>
          <w:tcPr>
            <w:tcW w:w="979" w:type="pct"/>
            <w:tcBorders>
              <w:left w:val="single" w:sz="4" w:space="0" w:color="auto"/>
            </w:tcBorders>
            <w:noWrap/>
            <w:vAlign w:val="center"/>
            <w:hideMark/>
          </w:tcPr>
          <w:p w14:paraId="6D86E255"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0.199</w:t>
            </w:r>
          </w:p>
        </w:tc>
        <w:tc>
          <w:tcPr>
            <w:tcW w:w="266" w:type="pct"/>
            <w:noWrap/>
            <w:vAlign w:val="center"/>
            <w:hideMark/>
          </w:tcPr>
          <w:p w14:paraId="6AA5C505"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0.191</w:t>
            </w:r>
          </w:p>
        </w:tc>
        <w:tc>
          <w:tcPr>
            <w:tcW w:w="267" w:type="pct"/>
            <w:tcBorders>
              <w:right w:val="single" w:sz="4" w:space="0" w:color="auto"/>
            </w:tcBorders>
            <w:noWrap/>
            <w:vAlign w:val="center"/>
            <w:hideMark/>
          </w:tcPr>
          <w:p w14:paraId="7484519E"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0.252</w:t>
            </w:r>
          </w:p>
        </w:tc>
        <w:tc>
          <w:tcPr>
            <w:tcW w:w="267" w:type="pct"/>
            <w:tcBorders>
              <w:left w:val="single" w:sz="4" w:space="0" w:color="auto"/>
            </w:tcBorders>
            <w:noWrap/>
            <w:vAlign w:val="center"/>
            <w:hideMark/>
          </w:tcPr>
          <w:p w14:paraId="133BFD75"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0.293</w:t>
            </w:r>
          </w:p>
        </w:tc>
        <w:tc>
          <w:tcPr>
            <w:tcW w:w="267" w:type="pct"/>
            <w:noWrap/>
            <w:vAlign w:val="center"/>
            <w:hideMark/>
          </w:tcPr>
          <w:p w14:paraId="7F772A12"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0.026</w:t>
            </w:r>
          </w:p>
        </w:tc>
        <w:tc>
          <w:tcPr>
            <w:tcW w:w="267" w:type="pct"/>
            <w:tcBorders>
              <w:right w:val="single" w:sz="4" w:space="0" w:color="auto"/>
            </w:tcBorders>
            <w:noWrap/>
            <w:vAlign w:val="center"/>
            <w:hideMark/>
          </w:tcPr>
          <w:p w14:paraId="1995FA10"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0.212</w:t>
            </w:r>
          </w:p>
        </w:tc>
        <w:tc>
          <w:tcPr>
            <w:tcW w:w="267" w:type="pct"/>
            <w:tcBorders>
              <w:left w:val="single" w:sz="4" w:space="0" w:color="auto"/>
            </w:tcBorders>
            <w:noWrap/>
            <w:vAlign w:val="center"/>
            <w:hideMark/>
          </w:tcPr>
          <w:p w14:paraId="29A705AA"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0.096</w:t>
            </w:r>
          </w:p>
        </w:tc>
        <w:tc>
          <w:tcPr>
            <w:tcW w:w="267" w:type="pct"/>
            <w:noWrap/>
            <w:vAlign w:val="center"/>
            <w:hideMark/>
          </w:tcPr>
          <w:p w14:paraId="07911A09"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0.121</w:t>
            </w:r>
          </w:p>
        </w:tc>
        <w:tc>
          <w:tcPr>
            <w:tcW w:w="267" w:type="pct"/>
            <w:noWrap/>
            <w:vAlign w:val="center"/>
            <w:hideMark/>
          </w:tcPr>
          <w:p w14:paraId="64A0857D"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0.347</w:t>
            </w:r>
          </w:p>
        </w:tc>
        <w:tc>
          <w:tcPr>
            <w:tcW w:w="267" w:type="pct"/>
            <w:noWrap/>
            <w:vAlign w:val="center"/>
            <w:hideMark/>
          </w:tcPr>
          <w:p w14:paraId="7D2DEB6A"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0.810</w:t>
            </w:r>
          </w:p>
        </w:tc>
        <w:tc>
          <w:tcPr>
            <w:tcW w:w="317" w:type="pct"/>
            <w:noWrap/>
            <w:vAlign w:val="center"/>
            <w:hideMark/>
          </w:tcPr>
          <w:p w14:paraId="65AD4DFF"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1.000</w:t>
            </w:r>
          </w:p>
        </w:tc>
        <w:tc>
          <w:tcPr>
            <w:tcW w:w="267" w:type="pct"/>
            <w:noWrap/>
            <w:vAlign w:val="center"/>
            <w:hideMark/>
          </w:tcPr>
          <w:p w14:paraId="44961FA8" w14:textId="77777777" w:rsidR="00E063A1" w:rsidRPr="000D6BCB" w:rsidRDefault="00E063A1" w:rsidP="00835A65">
            <w:pPr>
              <w:rPr>
                <w:rFonts w:ascii="Times New Roman" w:hAnsi="Times New Roman" w:cs="Times New Roman"/>
                <w:sz w:val="20"/>
              </w:rPr>
            </w:pPr>
          </w:p>
        </w:tc>
        <w:tc>
          <w:tcPr>
            <w:tcW w:w="445" w:type="pct"/>
            <w:noWrap/>
            <w:vAlign w:val="center"/>
            <w:hideMark/>
          </w:tcPr>
          <w:p w14:paraId="4E4938B6" w14:textId="77777777" w:rsidR="00E063A1" w:rsidRPr="000D6BCB" w:rsidRDefault="00E063A1" w:rsidP="00835A65">
            <w:pPr>
              <w:rPr>
                <w:rFonts w:ascii="Times New Roman" w:hAnsi="Times New Roman" w:cs="Times New Roman"/>
                <w:sz w:val="20"/>
              </w:rPr>
            </w:pPr>
          </w:p>
        </w:tc>
      </w:tr>
      <w:tr w:rsidR="00E063A1" w:rsidRPr="0065228D" w14:paraId="1EC41C95" w14:textId="77777777" w:rsidTr="000D6BCB">
        <w:trPr>
          <w:trHeight w:val="544"/>
        </w:trPr>
        <w:tc>
          <w:tcPr>
            <w:tcW w:w="146" w:type="pct"/>
            <w:tcBorders>
              <w:right w:val="nil"/>
            </w:tcBorders>
          </w:tcPr>
          <w:p w14:paraId="628800B7" w14:textId="77777777" w:rsidR="00E063A1" w:rsidRPr="0065228D" w:rsidRDefault="00E063A1" w:rsidP="00835A65">
            <w:pPr>
              <w:rPr>
                <w:rFonts w:ascii="Times New Roman" w:hAnsi="Times New Roman" w:cs="Times New Roman"/>
              </w:rPr>
            </w:pPr>
          </w:p>
        </w:tc>
        <w:tc>
          <w:tcPr>
            <w:tcW w:w="445" w:type="pct"/>
            <w:tcBorders>
              <w:left w:val="nil"/>
              <w:right w:val="single" w:sz="4" w:space="0" w:color="auto"/>
            </w:tcBorders>
            <w:noWrap/>
            <w:vAlign w:val="center"/>
            <w:hideMark/>
          </w:tcPr>
          <w:p w14:paraId="3C4D7701" w14:textId="3C109099" w:rsidR="00E063A1" w:rsidRPr="0065228D" w:rsidRDefault="00E063A1" w:rsidP="00835A65">
            <w:pPr>
              <w:rPr>
                <w:rFonts w:ascii="Times New Roman" w:hAnsi="Times New Roman" w:cs="Times New Roman"/>
              </w:rPr>
            </w:pPr>
            <w:r w:rsidRPr="0065228D">
              <w:rPr>
                <w:rFonts w:ascii="Times New Roman" w:hAnsi="Times New Roman" w:cs="Times New Roman"/>
              </w:rPr>
              <w:t>BOND</w:t>
            </w:r>
          </w:p>
        </w:tc>
        <w:tc>
          <w:tcPr>
            <w:tcW w:w="979" w:type="pct"/>
            <w:tcBorders>
              <w:left w:val="single" w:sz="4" w:space="0" w:color="auto"/>
            </w:tcBorders>
            <w:noWrap/>
            <w:vAlign w:val="center"/>
            <w:hideMark/>
          </w:tcPr>
          <w:p w14:paraId="02DB2687"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0.040</w:t>
            </w:r>
          </w:p>
        </w:tc>
        <w:tc>
          <w:tcPr>
            <w:tcW w:w="266" w:type="pct"/>
            <w:noWrap/>
            <w:vAlign w:val="center"/>
            <w:hideMark/>
          </w:tcPr>
          <w:p w14:paraId="2C61AF42"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0.044</w:t>
            </w:r>
          </w:p>
        </w:tc>
        <w:tc>
          <w:tcPr>
            <w:tcW w:w="267" w:type="pct"/>
            <w:tcBorders>
              <w:right w:val="single" w:sz="4" w:space="0" w:color="auto"/>
            </w:tcBorders>
            <w:noWrap/>
            <w:vAlign w:val="center"/>
            <w:hideMark/>
          </w:tcPr>
          <w:p w14:paraId="3A8D42E2"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0.053</w:t>
            </w:r>
          </w:p>
        </w:tc>
        <w:tc>
          <w:tcPr>
            <w:tcW w:w="267" w:type="pct"/>
            <w:tcBorders>
              <w:left w:val="single" w:sz="4" w:space="0" w:color="auto"/>
            </w:tcBorders>
            <w:noWrap/>
            <w:vAlign w:val="center"/>
            <w:hideMark/>
          </w:tcPr>
          <w:p w14:paraId="584BA2A7"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0.103</w:t>
            </w:r>
          </w:p>
        </w:tc>
        <w:tc>
          <w:tcPr>
            <w:tcW w:w="267" w:type="pct"/>
            <w:noWrap/>
            <w:vAlign w:val="center"/>
            <w:hideMark/>
          </w:tcPr>
          <w:p w14:paraId="68ABD69A"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-0.055</w:t>
            </w:r>
          </w:p>
        </w:tc>
        <w:tc>
          <w:tcPr>
            <w:tcW w:w="267" w:type="pct"/>
            <w:tcBorders>
              <w:right w:val="single" w:sz="4" w:space="0" w:color="auto"/>
            </w:tcBorders>
            <w:noWrap/>
            <w:vAlign w:val="center"/>
            <w:hideMark/>
          </w:tcPr>
          <w:p w14:paraId="2354CE67"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0.033</w:t>
            </w:r>
          </w:p>
        </w:tc>
        <w:tc>
          <w:tcPr>
            <w:tcW w:w="267" w:type="pct"/>
            <w:tcBorders>
              <w:left w:val="single" w:sz="4" w:space="0" w:color="auto"/>
            </w:tcBorders>
            <w:noWrap/>
            <w:vAlign w:val="center"/>
            <w:hideMark/>
          </w:tcPr>
          <w:p w14:paraId="077F13F2"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0.272</w:t>
            </w:r>
          </w:p>
        </w:tc>
        <w:tc>
          <w:tcPr>
            <w:tcW w:w="267" w:type="pct"/>
            <w:noWrap/>
            <w:vAlign w:val="center"/>
            <w:hideMark/>
          </w:tcPr>
          <w:p w14:paraId="312CEC2E"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0.050</w:t>
            </w:r>
          </w:p>
        </w:tc>
        <w:tc>
          <w:tcPr>
            <w:tcW w:w="267" w:type="pct"/>
            <w:noWrap/>
            <w:vAlign w:val="center"/>
            <w:hideMark/>
          </w:tcPr>
          <w:p w14:paraId="236D5C35"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0.123</w:t>
            </w:r>
          </w:p>
        </w:tc>
        <w:tc>
          <w:tcPr>
            <w:tcW w:w="267" w:type="pct"/>
            <w:noWrap/>
            <w:vAlign w:val="center"/>
            <w:hideMark/>
          </w:tcPr>
          <w:p w14:paraId="35771946"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0.291</w:t>
            </w:r>
          </w:p>
        </w:tc>
        <w:tc>
          <w:tcPr>
            <w:tcW w:w="317" w:type="pct"/>
            <w:noWrap/>
            <w:vAlign w:val="center"/>
            <w:hideMark/>
          </w:tcPr>
          <w:p w14:paraId="351158DD"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0.243</w:t>
            </w:r>
          </w:p>
        </w:tc>
        <w:tc>
          <w:tcPr>
            <w:tcW w:w="267" w:type="pct"/>
            <w:noWrap/>
            <w:vAlign w:val="center"/>
            <w:hideMark/>
          </w:tcPr>
          <w:p w14:paraId="758AE63B"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1.000</w:t>
            </w:r>
          </w:p>
        </w:tc>
        <w:tc>
          <w:tcPr>
            <w:tcW w:w="445" w:type="pct"/>
            <w:noWrap/>
            <w:vAlign w:val="center"/>
            <w:hideMark/>
          </w:tcPr>
          <w:p w14:paraId="6CAF5E5E" w14:textId="77777777" w:rsidR="00E063A1" w:rsidRPr="000D6BCB" w:rsidRDefault="00E063A1" w:rsidP="00835A65">
            <w:pPr>
              <w:rPr>
                <w:rFonts w:ascii="Times New Roman" w:hAnsi="Times New Roman" w:cs="Times New Roman"/>
                <w:sz w:val="20"/>
              </w:rPr>
            </w:pPr>
          </w:p>
        </w:tc>
      </w:tr>
      <w:tr w:rsidR="00E063A1" w:rsidRPr="0065228D" w14:paraId="20CC3BE7" w14:textId="77777777" w:rsidTr="000D6BCB">
        <w:trPr>
          <w:trHeight w:val="544"/>
        </w:trPr>
        <w:tc>
          <w:tcPr>
            <w:tcW w:w="146" w:type="pct"/>
            <w:tcBorders>
              <w:right w:val="nil"/>
            </w:tcBorders>
          </w:tcPr>
          <w:p w14:paraId="3C3657CD" w14:textId="77777777" w:rsidR="00E063A1" w:rsidRPr="0065228D" w:rsidRDefault="00E063A1" w:rsidP="00835A65">
            <w:pPr>
              <w:rPr>
                <w:rFonts w:ascii="Times New Roman" w:hAnsi="Times New Roman" w:cs="Times New Roman"/>
              </w:rPr>
            </w:pPr>
          </w:p>
        </w:tc>
        <w:tc>
          <w:tcPr>
            <w:tcW w:w="445" w:type="pct"/>
            <w:tcBorders>
              <w:left w:val="nil"/>
              <w:bottom w:val="single" w:sz="4" w:space="0" w:color="auto"/>
              <w:right w:val="single" w:sz="4" w:space="0" w:color="auto"/>
            </w:tcBorders>
            <w:noWrap/>
            <w:vAlign w:val="center"/>
            <w:hideMark/>
          </w:tcPr>
          <w:p w14:paraId="64895146" w14:textId="72E9E602" w:rsidR="00E063A1" w:rsidRPr="0065228D" w:rsidRDefault="00E063A1" w:rsidP="00835A65">
            <w:pPr>
              <w:rPr>
                <w:rFonts w:ascii="Times New Roman" w:hAnsi="Times New Roman" w:cs="Times New Roman"/>
              </w:rPr>
            </w:pPr>
            <w:r w:rsidRPr="0065228D">
              <w:rPr>
                <w:rFonts w:ascii="Times New Roman" w:hAnsi="Times New Roman" w:cs="Times New Roman"/>
              </w:rPr>
              <w:t>USD</w:t>
            </w:r>
            <w:r w:rsidR="00CB6025">
              <w:rPr>
                <w:rFonts w:ascii="Times New Roman" w:hAnsi="Times New Roman" w:cs="Times New Roman"/>
              </w:rPr>
              <w:t xml:space="preserve"> I</w:t>
            </w:r>
            <w:r w:rsidRPr="0065228D">
              <w:rPr>
                <w:rFonts w:ascii="Times New Roman" w:hAnsi="Times New Roman" w:cs="Times New Roman"/>
              </w:rPr>
              <w:t>NDEX</w:t>
            </w:r>
          </w:p>
        </w:tc>
        <w:tc>
          <w:tcPr>
            <w:tcW w:w="979" w:type="pct"/>
            <w:tcBorders>
              <w:left w:val="single" w:sz="4" w:space="0" w:color="auto"/>
              <w:bottom w:val="single" w:sz="4" w:space="0" w:color="auto"/>
            </w:tcBorders>
            <w:noWrap/>
            <w:vAlign w:val="center"/>
            <w:hideMark/>
          </w:tcPr>
          <w:p w14:paraId="02FFDFC5"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-0.069</w:t>
            </w:r>
          </w:p>
        </w:tc>
        <w:tc>
          <w:tcPr>
            <w:tcW w:w="266" w:type="pct"/>
            <w:tcBorders>
              <w:bottom w:val="single" w:sz="4" w:space="0" w:color="auto"/>
            </w:tcBorders>
            <w:noWrap/>
            <w:vAlign w:val="center"/>
            <w:hideMark/>
          </w:tcPr>
          <w:p w14:paraId="2D384D47"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-0.090</w:t>
            </w:r>
          </w:p>
        </w:tc>
        <w:tc>
          <w:tcPr>
            <w:tcW w:w="267" w:type="pct"/>
            <w:tcBorders>
              <w:bottom w:val="single" w:sz="4" w:space="0" w:color="auto"/>
              <w:right w:val="single" w:sz="4" w:space="0" w:color="auto"/>
            </w:tcBorders>
            <w:noWrap/>
            <w:vAlign w:val="center"/>
            <w:hideMark/>
          </w:tcPr>
          <w:p w14:paraId="63F965EC"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-0.082</w:t>
            </w:r>
          </w:p>
        </w:tc>
        <w:tc>
          <w:tcPr>
            <w:tcW w:w="267" w:type="pct"/>
            <w:tcBorders>
              <w:left w:val="single" w:sz="4" w:space="0" w:color="auto"/>
              <w:bottom w:val="single" w:sz="4" w:space="0" w:color="auto"/>
            </w:tcBorders>
            <w:noWrap/>
            <w:vAlign w:val="center"/>
            <w:hideMark/>
          </w:tcPr>
          <w:p w14:paraId="71C80A5D"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-0.069</w:t>
            </w:r>
          </w:p>
        </w:tc>
        <w:tc>
          <w:tcPr>
            <w:tcW w:w="267" w:type="pct"/>
            <w:tcBorders>
              <w:bottom w:val="single" w:sz="4" w:space="0" w:color="auto"/>
            </w:tcBorders>
            <w:noWrap/>
            <w:vAlign w:val="center"/>
            <w:hideMark/>
          </w:tcPr>
          <w:p w14:paraId="224286C0"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0.052</w:t>
            </w:r>
          </w:p>
        </w:tc>
        <w:tc>
          <w:tcPr>
            <w:tcW w:w="267" w:type="pct"/>
            <w:tcBorders>
              <w:bottom w:val="single" w:sz="4" w:space="0" w:color="auto"/>
              <w:right w:val="single" w:sz="4" w:space="0" w:color="auto"/>
            </w:tcBorders>
            <w:noWrap/>
            <w:vAlign w:val="center"/>
            <w:hideMark/>
          </w:tcPr>
          <w:p w14:paraId="6D383C0E"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-0.115</w:t>
            </w:r>
          </w:p>
        </w:tc>
        <w:tc>
          <w:tcPr>
            <w:tcW w:w="267" w:type="pct"/>
            <w:tcBorders>
              <w:left w:val="single" w:sz="4" w:space="0" w:color="auto"/>
            </w:tcBorders>
            <w:noWrap/>
            <w:vAlign w:val="center"/>
            <w:hideMark/>
          </w:tcPr>
          <w:p w14:paraId="2164C9CB"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-0.327</w:t>
            </w:r>
          </w:p>
        </w:tc>
        <w:tc>
          <w:tcPr>
            <w:tcW w:w="267" w:type="pct"/>
            <w:noWrap/>
            <w:vAlign w:val="center"/>
            <w:hideMark/>
          </w:tcPr>
          <w:p w14:paraId="329E2905"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-0.010</w:t>
            </w:r>
          </w:p>
        </w:tc>
        <w:tc>
          <w:tcPr>
            <w:tcW w:w="267" w:type="pct"/>
            <w:noWrap/>
            <w:vAlign w:val="center"/>
            <w:hideMark/>
          </w:tcPr>
          <w:p w14:paraId="78986819"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-0.089</w:t>
            </w:r>
          </w:p>
        </w:tc>
        <w:tc>
          <w:tcPr>
            <w:tcW w:w="267" w:type="pct"/>
            <w:noWrap/>
            <w:vAlign w:val="center"/>
            <w:hideMark/>
          </w:tcPr>
          <w:p w14:paraId="09DE8BA2"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-0.118</w:t>
            </w:r>
          </w:p>
        </w:tc>
        <w:tc>
          <w:tcPr>
            <w:tcW w:w="317" w:type="pct"/>
            <w:noWrap/>
            <w:vAlign w:val="center"/>
            <w:hideMark/>
          </w:tcPr>
          <w:p w14:paraId="399F85C4"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-0.177</w:t>
            </w:r>
          </w:p>
        </w:tc>
        <w:tc>
          <w:tcPr>
            <w:tcW w:w="267" w:type="pct"/>
            <w:noWrap/>
            <w:vAlign w:val="center"/>
            <w:hideMark/>
          </w:tcPr>
          <w:p w14:paraId="37DB87B8"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-0.270</w:t>
            </w:r>
          </w:p>
        </w:tc>
        <w:tc>
          <w:tcPr>
            <w:tcW w:w="445" w:type="pct"/>
            <w:noWrap/>
            <w:vAlign w:val="center"/>
            <w:hideMark/>
          </w:tcPr>
          <w:p w14:paraId="7BF27DAC" w14:textId="77777777" w:rsidR="00E063A1" w:rsidRPr="000D6BCB" w:rsidRDefault="00E063A1" w:rsidP="00835A65">
            <w:pPr>
              <w:rPr>
                <w:rFonts w:ascii="Times New Roman" w:hAnsi="Times New Roman" w:cs="Times New Roman"/>
                <w:sz w:val="20"/>
              </w:rPr>
            </w:pPr>
            <w:r w:rsidRPr="000D6BCB">
              <w:rPr>
                <w:rFonts w:ascii="Times New Roman" w:hAnsi="Times New Roman" w:cs="Times New Roman"/>
                <w:sz w:val="20"/>
              </w:rPr>
              <w:t>1.000</w:t>
            </w:r>
          </w:p>
        </w:tc>
      </w:tr>
    </w:tbl>
    <w:p w14:paraId="5622CFAE" w14:textId="660DBF16" w:rsidR="00835A65" w:rsidRPr="0065228D" w:rsidRDefault="00835A65" w:rsidP="00835A65">
      <w:pPr>
        <w:rPr>
          <w:rFonts w:ascii="Times New Roman" w:hAnsi="Times New Roman" w:cs="Times New Roman"/>
          <w:sz w:val="18"/>
          <w:szCs w:val="18"/>
        </w:rPr>
      </w:pPr>
      <w:r w:rsidRPr="0065228D">
        <w:rPr>
          <w:rFonts w:ascii="Times New Roman" w:hAnsi="Times New Roman" w:cs="Times New Roman"/>
          <w:sz w:val="18"/>
          <w:szCs w:val="18"/>
        </w:rPr>
        <w:t xml:space="preserve">Notes: </w:t>
      </w:r>
      <w:bookmarkStart w:id="35" w:name="_Hlk103528644"/>
      <w:r w:rsidRPr="0065228D">
        <w:rPr>
          <w:rFonts w:ascii="Times New Roman" w:hAnsi="Times New Roman" w:cs="Times New Roman"/>
          <w:sz w:val="18"/>
          <w:szCs w:val="18"/>
        </w:rPr>
        <w:t xml:space="preserve">DEX- Decentralized Exchange, CEX- Centralized Exchange, </w:t>
      </w:r>
      <w:bookmarkStart w:id="36" w:name="_Hlk103536622"/>
      <w:r w:rsidRPr="0065228D">
        <w:rPr>
          <w:rFonts w:ascii="Times New Roman" w:hAnsi="Times New Roman" w:cs="Times New Roman"/>
          <w:sz w:val="18"/>
          <w:szCs w:val="18"/>
        </w:rPr>
        <w:t>RUNE-</w:t>
      </w:r>
      <w:r w:rsidR="0046263F">
        <w:rPr>
          <w:rFonts w:ascii="Times New Roman" w:hAnsi="Times New Roman" w:cs="Times New Roman"/>
          <w:sz w:val="18"/>
          <w:szCs w:val="18"/>
        </w:rPr>
        <w:t xml:space="preserve"> </w:t>
      </w:r>
      <w:proofErr w:type="spellStart"/>
      <w:r w:rsidRPr="0065228D">
        <w:rPr>
          <w:rFonts w:ascii="Times New Roman" w:hAnsi="Times New Roman" w:cs="Times New Roman"/>
          <w:sz w:val="18"/>
          <w:szCs w:val="18"/>
        </w:rPr>
        <w:t>THORChain</w:t>
      </w:r>
      <w:proofErr w:type="spellEnd"/>
      <w:r w:rsidRPr="0065228D">
        <w:rPr>
          <w:rFonts w:ascii="Times New Roman" w:hAnsi="Times New Roman" w:cs="Times New Roman"/>
          <w:sz w:val="18"/>
          <w:szCs w:val="18"/>
        </w:rPr>
        <w:t>, LRC-</w:t>
      </w:r>
      <w:r w:rsidR="0046263F">
        <w:rPr>
          <w:rFonts w:ascii="Times New Roman" w:hAnsi="Times New Roman" w:cs="Times New Roman"/>
          <w:sz w:val="18"/>
          <w:szCs w:val="18"/>
        </w:rPr>
        <w:t xml:space="preserve"> </w:t>
      </w:r>
      <w:proofErr w:type="spellStart"/>
      <w:proofErr w:type="gramStart"/>
      <w:r w:rsidRPr="0065228D">
        <w:rPr>
          <w:rFonts w:ascii="Times New Roman" w:hAnsi="Times New Roman" w:cs="Times New Roman"/>
          <w:sz w:val="18"/>
          <w:szCs w:val="18"/>
        </w:rPr>
        <w:t>Loopring</w:t>
      </w:r>
      <w:proofErr w:type="spellEnd"/>
      <w:r w:rsidRPr="0065228D">
        <w:rPr>
          <w:rFonts w:ascii="Times New Roman" w:hAnsi="Times New Roman" w:cs="Times New Roman"/>
          <w:sz w:val="18"/>
          <w:szCs w:val="18"/>
        </w:rPr>
        <w:t> ,</w:t>
      </w:r>
      <w:proofErr w:type="gramEnd"/>
      <w:r w:rsidRPr="0065228D">
        <w:rPr>
          <w:rFonts w:ascii="Times New Roman" w:hAnsi="Times New Roman" w:cs="Times New Roman"/>
          <w:sz w:val="18"/>
          <w:szCs w:val="18"/>
        </w:rPr>
        <w:t xml:space="preserve"> GNO-</w:t>
      </w:r>
      <w:r w:rsidR="0046263F">
        <w:rPr>
          <w:rFonts w:ascii="Times New Roman" w:hAnsi="Times New Roman" w:cs="Times New Roman"/>
          <w:sz w:val="18"/>
          <w:szCs w:val="18"/>
        </w:rPr>
        <w:t xml:space="preserve"> </w:t>
      </w:r>
      <w:r w:rsidRPr="0065228D">
        <w:rPr>
          <w:rFonts w:ascii="Times New Roman" w:hAnsi="Times New Roman" w:cs="Times New Roman"/>
          <w:sz w:val="18"/>
          <w:szCs w:val="18"/>
        </w:rPr>
        <w:t>Gnosis, BNB-</w:t>
      </w:r>
      <w:r w:rsidR="0046263F">
        <w:rPr>
          <w:rFonts w:ascii="Times New Roman" w:hAnsi="Times New Roman" w:cs="Times New Roman"/>
          <w:sz w:val="18"/>
          <w:szCs w:val="18"/>
        </w:rPr>
        <w:t xml:space="preserve"> </w:t>
      </w:r>
      <w:proofErr w:type="spellStart"/>
      <w:r w:rsidRPr="0065228D">
        <w:rPr>
          <w:rFonts w:ascii="Times New Roman" w:hAnsi="Times New Roman" w:cs="Times New Roman"/>
          <w:sz w:val="18"/>
          <w:szCs w:val="18"/>
        </w:rPr>
        <w:t>Binance</w:t>
      </w:r>
      <w:proofErr w:type="spellEnd"/>
      <w:r w:rsidRPr="0065228D">
        <w:rPr>
          <w:rFonts w:ascii="Times New Roman" w:hAnsi="Times New Roman" w:cs="Times New Roman"/>
          <w:sz w:val="18"/>
          <w:szCs w:val="18"/>
        </w:rPr>
        <w:t xml:space="preserve"> Coin, LEO-</w:t>
      </w:r>
      <w:r w:rsidR="0046263F">
        <w:rPr>
          <w:rFonts w:ascii="Times New Roman" w:hAnsi="Times New Roman" w:cs="Times New Roman"/>
          <w:sz w:val="18"/>
          <w:szCs w:val="18"/>
        </w:rPr>
        <w:t xml:space="preserve"> </w:t>
      </w:r>
      <w:r w:rsidRPr="0065228D">
        <w:rPr>
          <w:rFonts w:ascii="Times New Roman" w:hAnsi="Times New Roman" w:cs="Times New Roman"/>
          <w:sz w:val="18"/>
          <w:szCs w:val="18"/>
        </w:rPr>
        <w:t>UNUS SED LEO, FTT-</w:t>
      </w:r>
      <w:r w:rsidR="0046263F">
        <w:rPr>
          <w:rFonts w:ascii="Times New Roman" w:hAnsi="Times New Roman" w:cs="Times New Roman"/>
          <w:sz w:val="18"/>
          <w:szCs w:val="18"/>
        </w:rPr>
        <w:t xml:space="preserve"> </w:t>
      </w:r>
      <w:r w:rsidRPr="0065228D">
        <w:rPr>
          <w:rFonts w:ascii="Times New Roman" w:hAnsi="Times New Roman" w:cs="Times New Roman"/>
          <w:sz w:val="18"/>
          <w:szCs w:val="18"/>
        </w:rPr>
        <w:t xml:space="preserve">FTX Token, </w:t>
      </w:r>
      <w:bookmarkEnd w:id="36"/>
      <w:r w:rsidRPr="0065228D">
        <w:rPr>
          <w:rFonts w:ascii="Times New Roman" w:hAnsi="Times New Roman" w:cs="Times New Roman"/>
          <w:sz w:val="18"/>
          <w:szCs w:val="18"/>
        </w:rPr>
        <w:t>BTC-</w:t>
      </w:r>
      <w:r w:rsidR="0046263F">
        <w:rPr>
          <w:rFonts w:ascii="Times New Roman" w:hAnsi="Times New Roman" w:cs="Times New Roman"/>
          <w:sz w:val="18"/>
          <w:szCs w:val="18"/>
        </w:rPr>
        <w:t xml:space="preserve"> </w:t>
      </w:r>
      <w:r w:rsidRPr="0065228D">
        <w:rPr>
          <w:rFonts w:ascii="Times New Roman" w:hAnsi="Times New Roman" w:cs="Times New Roman"/>
          <w:sz w:val="18"/>
          <w:szCs w:val="18"/>
        </w:rPr>
        <w:t>Bitcoin.</w:t>
      </w:r>
      <w:bookmarkEnd w:id="35"/>
    </w:p>
    <w:p w14:paraId="108619FC" w14:textId="77777777" w:rsidR="00835A65" w:rsidRPr="0065228D" w:rsidRDefault="00835A65" w:rsidP="00835A65">
      <w:pPr>
        <w:rPr>
          <w:rFonts w:ascii="Times New Roman" w:hAnsi="Times New Roman" w:cs="Times New Roman"/>
          <w:sz w:val="18"/>
          <w:szCs w:val="18"/>
        </w:rPr>
      </w:pPr>
    </w:p>
    <w:p w14:paraId="039F8EE0" w14:textId="77777777" w:rsidR="00835A65" w:rsidRPr="0065228D" w:rsidRDefault="00835A65" w:rsidP="00835A65">
      <w:pPr>
        <w:rPr>
          <w:rFonts w:ascii="Times New Roman" w:hAnsi="Times New Roman" w:cs="Times New Roman"/>
        </w:rPr>
      </w:pPr>
    </w:p>
    <w:p w14:paraId="1B38CEF1"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object w:dxaOrig="10225" w:dyaOrig="7921" w14:anchorId="324D1B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6.5pt;height:396pt" o:ole="">
            <v:imagedata r:id="rId9" o:title=""/>
          </v:shape>
          <o:OLEObject Type="Embed" ProgID="EViews.Workfile.2" ShapeID="_x0000_i1025" DrawAspect="Content" ObjectID="_1756816811" r:id="rId10"/>
        </w:object>
      </w:r>
    </w:p>
    <w:p w14:paraId="3BF58F6C" w14:textId="19FA12CB" w:rsidR="00835A65" w:rsidRPr="0065228D" w:rsidRDefault="00835A65" w:rsidP="00835A65">
      <w:pPr>
        <w:rPr>
          <w:rFonts w:ascii="Times New Roman" w:hAnsi="Times New Roman" w:cs="Times New Roman"/>
          <w:sz w:val="24"/>
          <w:szCs w:val="24"/>
        </w:rPr>
      </w:pPr>
      <w:r w:rsidRPr="0065228D">
        <w:rPr>
          <w:rFonts w:ascii="Times New Roman" w:hAnsi="Times New Roman" w:cs="Times New Roman"/>
          <w:b/>
          <w:bCs/>
          <w:sz w:val="24"/>
          <w:szCs w:val="24"/>
        </w:rPr>
        <w:t>Figure 1.</w:t>
      </w:r>
      <w:r w:rsidRPr="0065228D">
        <w:rPr>
          <w:rFonts w:ascii="Times New Roman" w:hAnsi="Times New Roman" w:cs="Times New Roman"/>
          <w:sz w:val="24"/>
          <w:szCs w:val="24"/>
        </w:rPr>
        <w:t xml:space="preserve"> Prices of DEX tokens, CEX tokens, and other assets</w:t>
      </w:r>
    </w:p>
    <w:p w14:paraId="568C01C4" w14:textId="77777777" w:rsidR="00835A65" w:rsidRPr="0065228D" w:rsidRDefault="00835A65" w:rsidP="00835A65">
      <w:pPr>
        <w:rPr>
          <w:rFonts w:ascii="Times New Roman" w:hAnsi="Times New Roman" w:cs="Times New Roman"/>
        </w:rPr>
      </w:pPr>
    </w:p>
    <w:p w14:paraId="542CACBF"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object w:dxaOrig="10201" w:dyaOrig="8197" w14:anchorId="53224744">
          <v:shape id="_x0000_i1026" type="#_x0000_t75" style="width:619.5pt;height:411pt" o:ole="">
            <v:imagedata r:id="rId11" o:title=""/>
          </v:shape>
          <o:OLEObject Type="Embed" ProgID="EViews.Workfile.2" ShapeID="_x0000_i1026" DrawAspect="Content" ObjectID="_1756816812" r:id="rId12"/>
        </w:object>
      </w:r>
    </w:p>
    <w:p w14:paraId="0628CF63" w14:textId="4649C36F" w:rsidR="00835A65" w:rsidRPr="0065228D" w:rsidRDefault="00835A65" w:rsidP="00835A65">
      <w:pPr>
        <w:rPr>
          <w:rFonts w:ascii="Times New Roman" w:hAnsi="Times New Roman" w:cs="Times New Roman"/>
          <w:sz w:val="24"/>
          <w:szCs w:val="24"/>
        </w:rPr>
      </w:pPr>
      <w:r w:rsidRPr="0065228D">
        <w:rPr>
          <w:rFonts w:ascii="Times New Roman" w:hAnsi="Times New Roman" w:cs="Times New Roman"/>
          <w:b/>
          <w:bCs/>
          <w:sz w:val="24"/>
          <w:szCs w:val="24"/>
        </w:rPr>
        <w:t>Figure 2.</w:t>
      </w:r>
      <w:r w:rsidRPr="0065228D">
        <w:rPr>
          <w:rFonts w:ascii="Times New Roman" w:hAnsi="Times New Roman" w:cs="Times New Roman"/>
          <w:sz w:val="24"/>
          <w:szCs w:val="24"/>
        </w:rPr>
        <w:t xml:space="preserve"> Returns of DEX tokens, CEX tokens, and other assets</w:t>
      </w:r>
    </w:p>
    <w:p w14:paraId="07097BF7" w14:textId="77777777" w:rsidR="000D6BCB" w:rsidRDefault="000D6BCB" w:rsidP="00835A65">
      <w:pPr>
        <w:rPr>
          <w:rFonts w:ascii="Times New Roman" w:hAnsi="Times New Roman" w:cs="Times New Roman"/>
          <w:b/>
          <w:bCs/>
          <w:sz w:val="24"/>
          <w:szCs w:val="24"/>
        </w:rPr>
      </w:pPr>
    </w:p>
    <w:p w14:paraId="66A8AF40" w14:textId="24E38A49" w:rsidR="00835A65" w:rsidRPr="0065228D" w:rsidRDefault="00835A65" w:rsidP="00835A65">
      <w:pPr>
        <w:rPr>
          <w:rFonts w:ascii="Times New Roman" w:hAnsi="Times New Roman" w:cs="Times New Roman"/>
          <w:sz w:val="24"/>
          <w:szCs w:val="24"/>
        </w:rPr>
      </w:pPr>
      <w:r w:rsidRPr="0065228D">
        <w:rPr>
          <w:rFonts w:ascii="Times New Roman" w:hAnsi="Times New Roman" w:cs="Times New Roman"/>
          <w:b/>
          <w:bCs/>
          <w:sz w:val="24"/>
          <w:szCs w:val="24"/>
        </w:rPr>
        <w:lastRenderedPageBreak/>
        <w:t>Table 3.</w:t>
      </w:r>
      <w:r w:rsidRPr="0065228D">
        <w:rPr>
          <w:rFonts w:ascii="Times New Roman" w:hAnsi="Times New Roman" w:cs="Times New Roman"/>
          <w:sz w:val="24"/>
          <w:szCs w:val="24"/>
        </w:rPr>
        <w:t xml:space="preserve"> </w:t>
      </w:r>
      <w:bookmarkStart w:id="37" w:name="_Hlk121664637"/>
      <w:r w:rsidRPr="0065228D">
        <w:rPr>
          <w:rFonts w:ascii="Times New Roman" w:hAnsi="Times New Roman" w:cs="Times New Roman"/>
          <w:sz w:val="24"/>
          <w:szCs w:val="24"/>
        </w:rPr>
        <w:t xml:space="preserve">Static return spillover at </w:t>
      </w:r>
      <w:r w:rsidR="006B43E8">
        <w:rPr>
          <w:rFonts w:ascii="Times New Roman" w:hAnsi="Times New Roman" w:cs="Times New Roman"/>
          <w:sz w:val="24"/>
          <w:szCs w:val="24"/>
        </w:rPr>
        <w:t xml:space="preserve">the </w:t>
      </w:r>
      <w:r w:rsidRPr="0065228D">
        <w:rPr>
          <w:rFonts w:ascii="Times New Roman" w:hAnsi="Times New Roman" w:cs="Times New Roman"/>
          <w:sz w:val="24"/>
          <w:szCs w:val="24"/>
        </w:rPr>
        <w:t xml:space="preserve">means using </w:t>
      </w:r>
      <w:r w:rsidR="0046263F">
        <w:rPr>
          <w:rFonts w:ascii="Times New Roman" w:hAnsi="Times New Roman" w:cs="Times New Roman"/>
          <w:sz w:val="24"/>
          <w:szCs w:val="24"/>
        </w:rPr>
        <w:t xml:space="preserve">the </w:t>
      </w:r>
      <w:r w:rsidRPr="0065228D">
        <w:rPr>
          <w:rFonts w:ascii="Times New Roman" w:hAnsi="Times New Roman" w:cs="Times New Roman"/>
          <w:sz w:val="24"/>
          <w:szCs w:val="24"/>
        </w:rPr>
        <w:t xml:space="preserve">Diebold and Yilmaz (2012) </w:t>
      </w:r>
      <w:proofErr w:type="gramStart"/>
      <w:r w:rsidRPr="0065228D">
        <w:rPr>
          <w:rFonts w:ascii="Times New Roman" w:hAnsi="Times New Roman" w:cs="Times New Roman"/>
          <w:sz w:val="24"/>
          <w:szCs w:val="24"/>
        </w:rPr>
        <w:t>approach</w:t>
      </w:r>
      <w:proofErr w:type="gramEnd"/>
    </w:p>
    <w:bookmarkEnd w:id="37"/>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1542"/>
        <w:gridCol w:w="815"/>
        <w:gridCol w:w="666"/>
        <w:gridCol w:w="766"/>
        <w:gridCol w:w="766"/>
        <w:gridCol w:w="733"/>
        <w:gridCol w:w="766"/>
        <w:gridCol w:w="666"/>
        <w:gridCol w:w="733"/>
        <w:gridCol w:w="766"/>
        <w:gridCol w:w="705"/>
        <w:gridCol w:w="803"/>
        <w:gridCol w:w="693"/>
        <w:gridCol w:w="1213"/>
        <w:gridCol w:w="845"/>
      </w:tblGrid>
      <w:tr w:rsidR="000D6BCB" w:rsidRPr="0065228D" w14:paraId="6607B36D" w14:textId="77777777" w:rsidTr="00AF342A">
        <w:trPr>
          <w:trHeight w:val="454"/>
        </w:trPr>
        <w:tc>
          <w:tcPr>
            <w:tcW w:w="195" w:type="pct"/>
            <w:tcBorders>
              <w:top w:val="single" w:sz="4" w:space="0" w:color="auto"/>
              <w:bottom w:val="single" w:sz="4" w:space="0" w:color="auto"/>
            </w:tcBorders>
          </w:tcPr>
          <w:p w14:paraId="510BD6B5" w14:textId="77777777" w:rsidR="000D6BCB" w:rsidRPr="0065228D" w:rsidRDefault="000D6BCB" w:rsidP="00835A65">
            <w:pPr>
              <w:rPr>
                <w:rFonts w:ascii="Times New Roman" w:hAnsi="Times New Roman" w:cs="Times New Roman"/>
              </w:rPr>
            </w:pPr>
          </w:p>
        </w:tc>
        <w:tc>
          <w:tcPr>
            <w:tcW w:w="638" w:type="pct"/>
            <w:tcBorders>
              <w:top w:val="single" w:sz="4" w:space="0" w:color="auto"/>
              <w:bottom w:val="single" w:sz="4" w:space="0" w:color="auto"/>
              <w:right w:val="single" w:sz="4" w:space="0" w:color="auto"/>
            </w:tcBorders>
            <w:noWrap/>
            <w:vAlign w:val="center"/>
          </w:tcPr>
          <w:p w14:paraId="313FDB3B" w14:textId="3D390F46" w:rsidR="000D6BCB" w:rsidRPr="0065228D" w:rsidRDefault="000D6BCB" w:rsidP="00835A65">
            <w:pPr>
              <w:rPr>
                <w:rFonts w:ascii="Times New Roman" w:hAnsi="Times New Roman" w:cs="Times New Roman"/>
              </w:rPr>
            </w:pPr>
          </w:p>
        </w:tc>
        <w:tc>
          <w:tcPr>
            <w:tcW w:w="825" w:type="pct"/>
            <w:gridSpan w:val="3"/>
            <w:tcBorders>
              <w:top w:val="single" w:sz="4" w:space="0" w:color="auto"/>
              <w:left w:val="single" w:sz="4" w:space="0" w:color="auto"/>
              <w:bottom w:val="single" w:sz="4" w:space="0" w:color="auto"/>
              <w:right w:val="single" w:sz="4" w:space="0" w:color="auto"/>
            </w:tcBorders>
            <w:noWrap/>
            <w:vAlign w:val="center"/>
          </w:tcPr>
          <w:p w14:paraId="58D7B43B" w14:textId="54D0F985" w:rsidR="000D6BCB" w:rsidRPr="0065228D" w:rsidRDefault="000D6BCB" w:rsidP="00835A65">
            <w:pPr>
              <w:rPr>
                <w:rFonts w:ascii="Times New Roman" w:hAnsi="Times New Roman" w:cs="Times New Roman"/>
              </w:rPr>
            </w:pPr>
            <w:r>
              <w:rPr>
                <w:rFonts w:ascii="Times New Roman" w:hAnsi="Times New Roman" w:cs="Times New Roman"/>
              </w:rPr>
              <w:t xml:space="preserve">DEX tokens </w:t>
            </w:r>
          </w:p>
        </w:tc>
        <w:tc>
          <w:tcPr>
            <w:tcW w:w="867" w:type="pct"/>
            <w:gridSpan w:val="3"/>
            <w:tcBorders>
              <w:top w:val="single" w:sz="4" w:space="0" w:color="auto"/>
              <w:left w:val="single" w:sz="4" w:space="0" w:color="auto"/>
              <w:bottom w:val="single" w:sz="4" w:space="0" w:color="auto"/>
              <w:right w:val="single" w:sz="4" w:space="0" w:color="auto"/>
            </w:tcBorders>
            <w:noWrap/>
            <w:vAlign w:val="center"/>
          </w:tcPr>
          <w:p w14:paraId="7B5435D1" w14:textId="093DBCA8" w:rsidR="000D6BCB" w:rsidRPr="0065228D" w:rsidRDefault="000D6BCB" w:rsidP="00835A65">
            <w:pPr>
              <w:rPr>
                <w:rFonts w:ascii="Times New Roman" w:hAnsi="Times New Roman" w:cs="Times New Roman"/>
              </w:rPr>
            </w:pPr>
            <w:r>
              <w:rPr>
                <w:rFonts w:ascii="Times New Roman" w:hAnsi="Times New Roman" w:cs="Times New Roman"/>
              </w:rPr>
              <w:t>CEX tokens</w:t>
            </w:r>
          </w:p>
        </w:tc>
        <w:tc>
          <w:tcPr>
            <w:tcW w:w="265" w:type="pct"/>
            <w:tcBorders>
              <w:top w:val="single" w:sz="4" w:space="0" w:color="auto"/>
              <w:left w:val="single" w:sz="4" w:space="0" w:color="auto"/>
              <w:bottom w:val="single" w:sz="4" w:space="0" w:color="auto"/>
            </w:tcBorders>
            <w:noWrap/>
            <w:vAlign w:val="center"/>
          </w:tcPr>
          <w:p w14:paraId="68A18424" w14:textId="77777777" w:rsidR="000D6BCB" w:rsidRPr="0065228D" w:rsidRDefault="000D6BCB" w:rsidP="00835A65">
            <w:pPr>
              <w:rPr>
                <w:rFonts w:ascii="Times New Roman" w:hAnsi="Times New Roman" w:cs="Times New Roman"/>
              </w:rPr>
            </w:pPr>
          </w:p>
        </w:tc>
        <w:tc>
          <w:tcPr>
            <w:tcW w:w="306" w:type="pct"/>
            <w:tcBorders>
              <w:top w:val="single" w:sz="4" w:space="0" w:color="auto"/>
              <w:bottom w:val="single" w:sz="4" w:space="0" w:color="auto"/>
            </w:tcBorders>
            <w:noWrap/>
            <w:vAlign w:val="center"/>
          </w:tcPr>
          <w:p w14:paraId="1757449A" w14:textId="77777777" w:rsidR="000D6BCB" w:rsidRPr="0065228D" w:rsidRDefault="000D6BCB" w:rsidP="00835A65">
            <w:pPr>
              <w:rPr>
                <w:rFonts w:ascii="Times New Roman" w:hAnsi="Times New Roman" w:cs="Times New Roman"/>
              </w:rPr>
            </w:pPr>
          </w:p>
        </w:tc>
        <w:tc>
          <w:tcPr>
            <w:tcW w:w="281" w:type="pct"/>
            <w:tcBorders>
              <w:top w:val="single" w:sz="4" w:space="0" w:color="auto"/>
              <w:bottom w:val="single" w:sz="4" w:space="0" w:color="auto"/>
            </w:tcBorders>
            <w:noWrap/>
            <w:vAlign w:val="center"/>
          </w:tcPr>
          <w:p w14:paraId="09EF9487" w14:textId="77777777" w:rsidR="000D6BCB" w:rsidRPr="0065228D" w:rsidRDefault="000D6BCB" w:rsidP="00835A65">
            <w:pPr>
              <w:rPr>
                <w:rFonts w:ascii="Times New Roman" w:hAnsi="Times New Roman" w:cs="Times New Roman"/>
              </w:rPr>
            </w:pPr>
          </w:p>
        </w:tc>
        <w:tc>
          <w:tcPr>
            <w:tcW w:w="265" w:type="pct"/>
            <w:tcBorders>
              <w:top w:val="single" w:sz="4" w:space="0" w:color="auto"/>
              <w:bottom w:val="single" w:sz="4" w:space="0" w:color="auto"/>
            </w:tcBorders>
            <w:noWrap/>
            <w:vAlign w:val="center"/>
          </w:tcPr>
          <w:p w14:paraId="4721A495" w14:textId="77777777" w:rsidR="000D6BCB" w:rsidRPr="0065228D" w:rsidRDefault="000D6BCB" w:rsidP="00835A65">
            <w:pPr>
              <w:rPr>
                <w:rFonts w:ascii="Times New Roman" w:hAnsi="Times New Roman" w:cs="Times New Roman"/>
              </w:rPr>
            </w:pPr>
          </w:p>
        </w:tc>
        <w:tc>
          <w:tcPr>
            <w:tcW w:w="281" w:type="pct"/>
            <w:tcBorders>
              <w:top w:val="single" w:sz="4" w:space="0" w:color="auto"/>
              <w:bottom w:val="single" w:sz="4" w:space="0" w:color="auto"/>
            </w:tcBorders>
            <w:noWrap/>
            <w:vAlign w:val="center"/>
          </w:tcPr>
          <w:p w14:paraId="70B3C20A" w14:textId="77777777" w:rsidR="000D6BCB" w:rsidRPr="0065228D" w:rsidRDefault="000D6BCB" w:rsidP="00835A65">
            <w:pPr>
              <w:rPr>
                <w:rFonts w:ascii="Times New Roman" w:hAnsi="Times New Roman" w:cs="Times New Roman"/>
              </w:rPr>
            </w:pPr>
          </w:p>
        </w:tc>
        <w:tc>
          <w:tcPr>
            <w:tcW w:w="265" w:type="pct"/>
            <w:tcBorders>
              <w:top w:val="single" w:sz="4" w:space="0" w:color="auto"/>
              <w:bottom w:val="single" w:sz="4" w:space="0" w:color="auto"/>
            </w:tcBorders>
            <w:noWrap/>
            <w:vAlign w:val="center"/>
          </w:tcPr>
          <w:p w14:paraId="3B27F8A3" w14:textId="77777777" w:rsidR="000D6BCB" w:rsidRPr="0065228D" w:rsidRDefault="000D6BCB" w:rsidP="00835A65">
            <w:pPr>
              <w:rPr>
                <w:rFonts w:ascii="Times New Roman" w:hAnsi="Times New Roman" w:cs="Times New Roman"/>
              </w:rPr>
            </w:pPr>
          </w:p>
        </w:tc>
        <w:tc>
          <w:tcPr>
            <w:tcW w:w="417" w:type="pct"/>
            <w:tcBorders>
              <w:top w:val="single" w:sz="4" w:space="0" w:color="auto"/>
              <w:bottom w:val="single" w:sz="4" w:space="0" w:color="auto"/>
            </w:tcBorders>
            <w:noWrap/>
            <w:vAlign w:val="center"/>
          </w:tcPr>
          <w:p w14:paraId="077A5A90" w14:textId="77777777" w:rsidR="000D6BCB" w:rsidRPr="0065228D" w:rsidRDefault="000D6BCB" w:rsidP="00835A65">
            <w:pPr>
              <w:rPr>
                <w:rFonts w:ascii="Times New Roman" w:hAnsi="Times New Roman" w:cs="Times New Roman"/>
              </w:rPr>
            </w:pPr>
          </w:p>
        </w:tc>
        <w:tc>
          <w:tcPr>
            <w:tcW w:w="398" w:type="pct"/>
            <w:tcBorders>
              <w:top w:val="single" w:sz="4" w:space="0" w:color="auto"/>
              <w:bottom w:val="single" w:sz="4" w:space="0" w:color="auto"/>
            </w:tcBorders>
            <w:noWrap/>
            <w:vAlign w:val="center"/>
          </w:tcPr>
          <w:p w14:paraId="7BF0F584" w14:textId="77777777" w:rsidR="000D6BCB" w:rsidRPr="0065228D" w:rsidRDefault="000D6BCB" w:rsidP="00835A65">
            <w:pPr>
              <w:rPr>
                <w:rFonts w:ascii="Times New Roman" w:hAnsi="Times New Roman" w:cs="Times New Roman"/>
              </w:rPr>
            </w:pPr>
          </w:p>
        </w:tc>
      </w:tr>
      <w:tr w:rsidR="000D6BCB" w:rsidRPr="0065228D" w14:paraId="69E0923C" w14:textId="77777777" w:rsidTr="00AF342A">
        <w:trPr>
          <w:trHeight w:val="454"/>
        </w:trPr>
        <w:tc>
          <w:tcPr>
            <w:tcW w:w="195" w:type="pct"/>
            <w:tcBorders>
              <w:top w:val="single" w:sz="4" w:space="0" w:color="auto"/>
              <w:bottom w:val="single" w:sz="4" w:space="0" w:color="auto"/>
            </w:tcBorders>
          </w:tcPr>
          <w:p w14:paraId="708EF7E6" w14:textId="77777777" w:rsidR="000D6BCB" w:rsidRPr="0065228D" w:rsidRDefault="000D6BCB" w:rsidP="00835A65">
            <w:pPr>
              <w:rPr>
                <w:rFonts w:ascii="Times New Roman" w:hAnsi="Times New Roman" w:cs="Times New Roman"/>
              </w:rPr>
            </w:pPr>
          </w:p>
        </w:tc>
        <w:tc>
          <w:tcPr>
            <w:tcW w:w="638" w:type="pct"/>
            <w:tcBorders>
              <w:top w:val="single" w:sz="4" w:space="0" w:color="auto"/>
              <w:bottom w:val="single" w:sz="4" w:space="0" w:color="auto"/>
              <w:right w:val="single" w:sz="4" w:space="0" w:color="auto"/>
            </w:tcBorders>
            <w:noWrap/>
            <w:vAlign w:val="center"/>
          </w:tcPr>
          <w:p w14:paraId="7058237B" w14:textId="4E38B545" w:rsidR="000D6BCB" w:rsidRPr="0065228D" w:rsidRDefault="000D6BCB" w:rsidP="00835A65">
            <w:pPr>
              <w:rPr>
                <w:rFonts w:ascii="Times New Roman" w:hAnsi="Times New Roman" w:cs="Times New Roman"/>
              </w:rPr>
            </w:pPr>
          </w:p>
        </w:tc>
        <w:tc>
          <w:tcPr>
            <w:tcW w:w="280" w:type="pct"/>
            <w:tcBorders>
              <w:top w:val="single" w:sz="4" w:space="0" w:color="auto"/>
              <w:left w:val="single" w:sz="4" w:space="0" w:color="auto"/>
              <w:bottom w:val="single" w:sz="4" w:space="0" w:color="auto"/>
            </w:tcBorders>
            <w:noWrap/>
            <w:vAlign w:val="center"/>
          </w:tcPr>
          <w:p w14:paraId="005621D8" w14:textId="77777777" w:rsidR="000D6BCB" w:rsidRPr="0065228D" w:rsidRDefault="000D6BCB" w:rsidP="00835A65">
            <w:pPr>
              <w:rPr>
                <w:rFonts w:ascii="Times New Roman" w:hAnsi="Times New Roman" w:cs="Times New Roman"/>
              </w:rPr>
            </w:pPr>
            <w:r w:rsidRPr="0065228D">
              <w:rPr>
                <w:rFonts w:ascii="Times New Roman" w:hAnsi="Times New Roman" w:cs="Times New Roman"/>
              </w:rPr>
              <w:t>RUNE</w:t>
            </w:r>
          </w:p>
        </w:tc>
        <w:tc>
          <w:tcPr>
            <w:tcW w:w="264" w:type="pct"/>
            <w:tcBorders>
              <w:top w:val="single" w:sz="4" w:space="0" w:color="auto"/>
              <w:bottom w:val="single" w:sz="4" w:space="0" w:color="auto"/>
            </w:tcBorders>
            <w:noWrap/>
            <w:vAlign w:val="center"/>
          </w:tcPr>
          <w:p w14:paraId="035D0E33" w14:textId="77777777" w:rsidR="000D6BCB" w:rsidRPr="0065228D" w:rsidRDefault="000D6BCB" w:rsidP="00835A65">
            <w:pPr>
              <w:rPr>
                <w:rFonts w:ascii="Times New Roman" w:hAnsi="Times New Roman" w:cs="Times New Roman"/>
              </w:rPr>
            </w:pPr>
            <w:r w:rsidRPr="0065228D">
              <w:rPr>
                <w:rFonts w:ascii="Times New Roman" w:hAnsi="Times New Roman" w:cs="Times New Roman"/>
              </w:rPr>
              <w:t>LRC</w:t>
            </w:r>
          </w:p>
        </w:tc>
        <w:tc>
          <w:tcPr>
            <w:tcW w:w="281" w:type="pct"/>
            <w:tcBorders>
              <w:top w:val="single" w:sz="4" w:space="0" w:color="auto"/>
              <w:bottom w:val="single" w:sz="4" w:space="0" w:color="auto"/>
              <w:right w:val="single" w:sz="4" w:space="0" w:color="auto"/>
            </w:tcBorders>
            <w:noWrap/>
            <w:vAlign w:val="center"/>
          </w:tcPr>
          <w:p w14:paraId="23F66CE2" w14:textId="77777777" w:rsidR="000D6BCB" w:rsidRPr="0065228D" w:rsidRDefault="000D6BCB" w:rsidP="00835A65">
            <w:pPr>
              <w:rPr>
                <w:rFonts w:ascii="Times New Roman" w:hAnsi="Times New Roman" w:cs="Times New Roman"/>
              </w:rPr>
            </w:pPr>
            <w:r w:rsidRPr="0065228D">
              <w:rPr>
                <w:rFonts w:ascii="Times New Roman" w:hAnsi="Times New Roman" w:cs="Times New Roman"/>
              </w:rPr>
              <w:t>GNO</w:t>
            </w:r>
          </w:p>
        </w:tc>
        <w:tc>
          <w:tcPr>
            <w:tcW w:w="281" w:type="pct"/>
            <w:tcBorders>
              <w:top w:val="single" w:sz="4" w:space="0" w:color="auto"/>
              <w:left w:val="single" w:sz="4" w:space="0" w:color="auto"/>
              <w:bottom w:val="single" w:sz="4" w:space="0" w:color="auto"/>
            </w:tcBorders>
            <w:noWrap/>
            <w:vAlign w:val="center"/>
          </w:tcPr>
          <w:p w14:paraId="3FBBDE59" w14:textId="77777777" w:rsidR="000D6BCB" w:rsidRPr="0065228D" w:rsidRDefault="000D6BCB" w:rsidP="00835A65">
            <w:pPr>
              <w:rPr>
                <w:rFonts w:ascii="Times New Roman" w:hAnsi="Times New Roman" w:cs="Times New Roman"/>
              </w:rPr>
            </w:pPr>
            <w:r w:rsidRPr="0065228D">
              <w:rPr>
                <w:rFonts w:ascii="Times New Roman" w:hAnsi="Times New Roman" w:cs="Times New Roman"/>
              </w:rPr>
              <w:t>BNB</w:t>
            </w:r>
          </w:p>
        </w:tc>
        <w:tc>
          <w:tcPr>
            <w:tcW w:w="306" w:type="pct"/>
            <w:tcBorders>
              <w:top w:val="single" w:sz="4" w:space="0" w:color="auto"/>
              <w:bottom w:val="single" w:sz="4" w:space="0" w:color="auto"/>
            </w:tcBorders>
            <w:noWrap/>
            <w:vAlign w:val="center"/>
          </w:tcPr>
          <w:p w14:paraId="254DD17D" w14:textId="77777777" w:rsidR="000D6BCB" w:rsidRPr="0065228D" w:rsidRDefault="000D6BCB" w:rsidP="00835A65">
            <w:pPr>
              <w:rPr>
                <w:rFonts w:ascii="Times New Roman" w:hAnsi="Times New Roman" w:cs="Times New Roman"/>
              </w:rPr>
            </w:pPr>
            <w:r w:rsidRPr="0065228D">
              <w:rPr>
                <w:rFonts w:ascii="Times New Roman" w:hAnsi="Times New Roman" w:cs="Times New Roman"/>
              </w:rPr>
              <w:t>LEO</w:t>
            </w:r>
          </w:p>
        </w:tc>
        <w:tc>
          <w:tcPr>
            <w:tcW w:w="281" w:type="pct"/>
            <w:tcBorders>
              <w:top w:val="single" w:sz="4" w:space="0" w:color="auto"/>
              <w:bottom w:val="single" w:sz="4" w:space="0" w:color="auto"/>
              <w:right w:val="single" w:sz="4" w:space="0" w:color="auto"/>
            </w:tcBorders>
            <w:noWrap/>
            <w:vAlign w:val="center"/>
          </w:tcPr>
          <w:p w14:paraId="356A7FC7" w14:textId="77777777" w:rsidR="000D6BCB" w:rsidRPr="0065228D" w:rsidRDefault="000D6BCB" w:rsidP="00835A65">
            <w:pPr>
              <w:rPr>
                <w:rFonts w:ascii="Times New Roman" w:hAnsi="Times New Roman" w:cs="Times New Roman"/>
              </w:rPr>
            </w:pPr>
            <w:r w:rsidRPr="0065228D">
              <w:rPr>
                <w:rFonts w:ascii="Times New Roman" w:hAnsi="Times New Roman" w:cs="Times New Roman"/>
              </w:rPr>
              <w:t>FTT</w:t>
            </w:r>
          </w:p>
        </w:tc>
        <w:tc>
          <w:tcPr>
            <w:tcW w:w="265" w:type="pct"/>
            <w:tcBorders>
              <w:top w:val="single" w:sz="4" w:space="0" w:color="auto"/>
              <w:left w:val="single" w:sz="4" w:space="0" w:color="auto"/>
              <w:bottom w:val="single" w:sz="4" w:space="0" w:color="auto"/>
            </w:tcBorders>
            <w:noWrap/>
            <w:vAlign w:val="center"/>
          </w:tcPr>
          <w:p w14:paraId="51B4C730" w14:textId="77777777" w:rsidR="000D6BCB" w:rsidRPr="0065228D" w:rsidRDefault="000D6BCB" w:rsidP="00835A65">
            <w:pPr>
              <w:rPr>
                <w:rFonts w:ascii="Times New Roman" w:hAnsi="Times New Roman" w:cs="Times New Roman"/>
              </w:rPr>
            </w:pPr>
            <w:r w:rsidRPr="0065228D">
              <w:rPr>
                <w:rFonts w:ascii="Times New Roman" w:hAnsi="Times New Roman" w:cs="Times New Roman"/>
              </w:rPr>
              <w:t>Gold</w:t>
            </w:r>
          </w:p>
        </w:tc>
        <w:tc>
          <w:tcPr>
            <w:tcW w:w="306" w:type="pct"/>
            <w:tcBorders>
              <w:top w:val="single" w:sz="4" w:space="0" w:color="auto"/>
              <w:bottom w:val="single" w:sz="4" w:space="0" w:color="auto"/>
            </w:tcBorders>
            <w:noWrap/>
            <w:vAlign w:val="center"/>
          </w:tcPr>
          <w:p w14:paraId="1F4A6ABC" w14:textId="57CD44D8" w:rsidR="000D6BCB" w:rsidRPr="0065228D" w:rsidRDefault="000D6BCB" w:rsidP="00835A65">
            <w:pPr>
              <w:rPr>
                <w:rFonts w:ascii="Times New Roman" w:hAnsi="Times New Roman" w:cs="Times New Roman"/>
              </w:rPr>
            </w:pPr>
            <w:r w:rsidRPr="0065228D">
              <w:rPr>
                <w:rFonts w:ascii="Times New Roman" w:hAnsi="Times New Roman" w:cs="Times New Roman"/>
              </w:rPr>
              <w:t>Oil</w:t>
            </w:r>
          </w:p>
        </w:tc>
        <w:tc>
          <w:tcPr>
            <w:tcW w:w="281" w:type="pct"/>
            <w:tcBorders>
              <w:top w:val="single" w:sz="4" w:space="0" w:color="auto"/>
              <w:bottom w:val="single" w:sz="4" w:space="0" w:color="auto"/>
            </w:tcBorders>
            <w:noWrap/>
            <w:vAlign w:val="center"/>
          </w:tcPr>
          <w:p w14:paraId="04ED702A" w14:textId="77777777" w:rsidR="000D6BCB" w:rsidRPr="0065228D" w:rsidRDefault="000D6BCB" w:rsidP="00835A65">
            <w:pPr>
              <w:rPr>
                <w:rFonts w:ascii="Times New Roman" w:hAnsi="Times New Roman" w:cs="Times New Roman"/>
              </w:rPr>
            </w:pPr>
            <w:r w:rsidRPr="0065228D">
              <w:rPr>
                <w:rFonts w:ascii="Times New Roman" w:hAnsi="Times New Roman" w:cs="Times New Roman"/>
              </w:rPr>
              <w:t>BTC</w:t>
            </w:r>
          </w:p>
        </w:tc>
        <w:tc>
          <w:tcPr>
            <w:tcW w:w="265" w:type="pct"/>
            <w:tcBorders>
              <w:top w:val="single" w:sz="4" w:space="0" w:color="auto"/>
              <w:bottom w:val="single" w:sz="4" w:space="0" w:color="auto"/>
            </w:tcBorders>
            <w:noWrap/>
            <w:vAlign w:val="center"/>
          </w:tcPr>
          <w:p w14:paraId="23F4A1C6" w14:textId="77777777" w:rsidR="000D6BCB" w:rsidRPr="0065228D" w:rsidRDefault="000D6BCB" w:rsidP="00835A65">
            <w:pPr>
              <w:rPr>
                <w:rFonts w:ascii="Times New Roman" w:hAnsi="Times New Roman" w:cs="Times New Roman"/>
              </w:rPr>
            </w:pPr>
            <w:r w:rsidRPr="0065228D">
              <w:rPr>
                <w:rFonts w:ascii="Times New Roman" w:hAnsi="Times New Roman" w:cs="Times New Roman"/>
              </w:rPr>
              <w:t>REIT</w:t>
            </w:r>
          </w:p>
        </w:tc>
        <w:tc>
          <w:tcPr>
            <w:tcW w:w="281" w:type="pct"/>
            <w:tcBorders>
              <w:top w:val="single" w:sz="4" w:space="0" w:color="auto"/>
              <w:bottom w:val="single" w:sz="4" w:space="0" w:color="auto"/>
            </w:tcBorders>
            <w:noWrap/>
            <w:vAlign w:val="center"/>
          </w:tcPr>
          <w:p w14:paraId="7AEEEA57" w14:textId="77777777" w:rsidR="000D6BCB" w:rsidRPr="0065228D" w:rsidRDefault="000D6BCB" w:rsidP="00835A65">
            <w:pPr>
              <w:rPr>
                <w:rFonts w:ascii="Times New Roman" w:hAnsi="Times New Roman" w:cs="Times New Roman"/>
              </w:rPr>
            </w:pPr>
            <w:r w:rsidRPr="0065228D">
              <w:rPr>
                <w:rFonts w:ascii="Times New Roman" w:hAnsi="Times New Roman" w:cs="Times New Roman"/>
              </w:rPr>
              <w:t>Equity</w:t>
            </w:r>
          </w:p>
        </w:tc>
        <w:tc>
          <w:tcPr>
            <w:tcW w:w="265" w:type="pct"/>
            <w:tcBorders>
              <w:top w:val="single" w:sz="4" w:space="0" w:color="auto"/>
              <w:bottom w:val="single" w:sz="4" w:space="0" w:color="auto"/>
            </w:tcBorders>
            <w:noWrap/>
            <w:vAlign w:val="center"/>
          </w:tcPr>
          <w:p w14:paraId="3AA0FB66" w14:textId="77777777" w:rsidR="000D6BCB" w:rsidRPr="0065228D" w:rsidRDefault="000D6BCB" w:rsidP="00835A65">
            <w:pPr>
              <w:rPr>
                <w:rFonts w:ascii="Times New Roman" w:hAnsi="Times New Roman" w:cs="Times New Roman"/>
              </w:rPr>
            </w:pPr>
            <w:r w:rsidRPr="0065228D">
              <w:rPr>
                <w:rFonts w:ascii="Times New Roman" w:hAnsi="Times New Roman" w:cs="Times New Roman"/>
              </w:rPr>
              <w:t>Bond</w:t>
            </w:r>
          </w:p>
        </w:tc>
        <w:tc>
          <w:tcPr>
            <w:tcW w:w="417" w:type="pct"/>
            <w:tcBorders>
              <w:top w:val="single" w:sz="4" w:space="0" w:color="auto"/>
              <w:bottom w:val="single" w:sz="4" w:space="0" w:color="auto"/>
            </w:tcBorders>
            <w:noWrap/>
            <w:vAlign w:val="center"/>
          </w:tcPr>
          <w:p w14:paraId="4CD95231" w14:textId="77777777" w:rsidR="000D6BCB" w:rsidRPr="0065228D" w:rsidRDefault="000D6BCB" w:rsidP="00835A65">
            <w:pPr>
              <w:rPr>
                <w:rFonts w:ascii="Times New Roman" w:hAnsi="Times New Roman" w:cs="Times New Roman"/>
              </w:rPr>
            </w:pPr>
            <w:proofErr w:type="spellStart"/>
            <w:r w:rsidRPr="0065228D">
              <w:rPr>
                <w:rFonts w:ascii="Times New Roman" w:hAnsi="Times New Roman" w:cs="Times New Roman"/>
              </w:rPr>
              <w:t>USD.Index</w:t>
            </w:r>
            <w:proofErr w:type="spellEnd"/>
          </w:p>
        </w:tc>
        <w:tc>
          <w:tcPr>
            <w:tcW w:w="398" w:type="pct"/>
            <w:tcBorders>
              <w:top w:val="single" w:sz="4" w:space="0" w:color="auto"/>
              <w:bottom w:val="single" w:sz="4" w:space="0" w:color="auto"/>
            </w:tcBorders>
            <w:noWrap/>
            <w:vAlign w:val="center"/>
            <w:hideMark/>
          </w:tcPr>
          <w:p w14:paraId="48330F59" w14:textId="0B05BB45" w:rsidR="000D6BCB" w:rsidRPr="0065228D" w:rsidRDefault="00CC0E8D" w:rsidP="00835A65">
            <w:pPr>
              <w:rPr>
                <w:rFonts w:ascii="Times New Roman" w:hAnsi="Times New Roman" w:cs="Times New Roman"/>
              </w:rPr>
            </w:pPr>
            <w:r>
              <w:rPr>
                <w:rFonts w:ascii="Times New Roman" w:hAnsi="Times New Roman" w:cs="Times New Roman"/>
              </w:rPr>
              <w:t>From</w:t>
            </w:r>
          </w:p>
        </w:tc>
      </w:tr>
      <w:tr w:rsidR="000D6BCB" w:rsidRPr="0065228D" w14:paraId="7AC3EB5A" w14:textId="77777777" w:rsidTr="00AF342A">
        <w:trPr>
          <w:cantSplit/>
          <w:trHeight w:val="435"/>
        </w:trPr>
        <w:tc>
          <w:tcPr>
            <w:tcW w:w="195" w:type="pct"/>
            <w:vMerge w:val="restart"/>
            <w:tcBorders>
              <w:top w:val="single" w:sz="4" w:space="0" w:color="auto"/>
            </w:tcBorders>
            <w:textDirection w:val="btLr"/>
          </w:tcPr>
          <w:p w14:paraId="38C1DB6F" w14:textId="235D17D3" w:rsidR="000D6BCB" w:rsidRPr="0065228D" w:rsidRDefault="000D6BCB" w:rsidP="000D6BCB">
            <w:pPr>
              <w:ind w:left="113" w:right="113"/>
              <w:jc w:val="center"/>
              <w:rPr>
                <w:rFonts w:ascii="Times New Roman" w:hAnsi="Times New Roman" w:cs="Times New Roman"/>
              </w:rPr>
            </w:pPr>
            <w:r>
              <w:rPr>
                <w:rFonts w:ascii="Times New Roman" w:hAnsi="Times New Roman" w:cs="Times New Roman"/>
              </w:rPr>
              <w:t>DEX tokens</w:t>
            </w:r>
          </w:p>
        </w:tc>
        <w:tc>
          <w:tcPr>
            <w:tcW w:w="638" w:type="pct"/>
            <w:tcBorders>
              <w:top w:val="single" w:sz="4" w:space="0" w:color="auto"/>
              <w:right w:val="single" w:sz="4" w:space="0" w:color="auto"/>
            </w:tcBorders>
            <w:noWrap/>
            <w:vAlign w:val="center"/>
            <w:hideMark/>
          </w:tcPr>
          <w:p w14:paraId="6756FDE2" w14:textId="37C9189C" w:rsidR="000D6BCB" w:rsidRPr="0065228D" w:rsidRDefault="000D6BCB" w:rsidP="00835A65">
            <w:pPr>
              <w:rPr>
                <w:rFonts w:ascii="Times New Roman" w:hAnsi="Times New Roman" w:cs="Times New Roman"/>
              </w:rPr>
            </w:pPr>
            <w:r w:rsidRPr="0065228D">
              <w:rPr>
                <w:rFonts w:ascii="Times New Roman" w:hAnsi="Times New Roman" w:cs="Times New Roman"/>
              </w:rPr>
              <w:t>RUNE</w:t>
            </w:r>
          </w:p>
        </w:tc>
        <w:tc>
          <w:tcPr>
            <w:tcW w:w="280" w:type="pct"/>
            <w:tcBorders>
              <w:top w:val="single" w:sz="4" w:space="0" w:color="auto"/>
              <w:left w:val="single" w:sz="4" w:space="0" w:color="auto"/>
            </w:tcBorders>
            <w:shd w:val="clear" w:color="auto" w:fill="auto"/>
            <w:noWrap/>
            <w:vAlign w:val="center"/>
            <w:hideMark/>
          </w:tcPr>
          <w:p w14:paraId="0F56AB22"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45.84</w:t>
            </w:r>
          </w:p>
        </w:tc>
        <w:tc>
          <w:tcPr>
            <w:tcW w:w="264" w:type="pct"/>
            <w:tcBorders>
              <w:top w:val="single" w:sz="4" w:space="0" w:color="auto"/>
            </w:tcBorders>
            <w:shd w:val="clear" w:color="auto" w:fill="auto"/>
            <w:noWrap/>
            <w:vAlign w:val="center"/>
            <w:hideMark/>
          </w:tcPr>
          <w:p w14:paraId="0AEFFDA3"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9.25</w:t>
            </w:r>
          </w:p>
        </w:tc>
        <w:tc>
          <w:tcPr>
            <w:tcW w:w="281" w:type="pct"/>
            <w:tcBorders>
              <w:top w:val="single" w:sz="4" w:space="0" w:color="auto"/>
              <w:right w:val="single" w:sz="4" w:space="0" w:color="auto"/>
            </w:tcBorders>
            <w:shd w:val="clear" w:color="auto" w:fill="auto"/>
            <w:noWrap/>
            <w:vAlign w:val="center"/>
            <w:hideMark/>
          </w:tcPr>
          <w:p w14:paraId="33E2183A"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6.89</w:t>
            </w:r>
          </w:p>
        </w:tc>
        <w:tc>
          <w:tcPr>
            <w:tcW w:w="281" w:type="pct"/>
            <w:tcBorders>
              <w:top w:val="single" w:sz="4" w:space="0" w:color="auto"/>
              <w:left w:val="single" w:sz="4" w:space="0" w:color="auto"/>
            </w:tcBorders>
            <w:shd w:val="clear" w:color="auto" w:fill="auto"/>
            <w:noWrap/>
            <w:vAlign w:val="center"/>
            <w:hideMark/>
          </w:tcPr>
          <w:p w14:paraId="03C843E3"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10.63</w:t>
            </w:r>
          </w:p>
        </w:tc>
        <w:tc>
          <w:tcPr>
            <w:tcW w:w="306" w:type="pct"/>
            <w:tcBorders>
              <w:top w:val="single" w:sz="4" w:space="0" w:color="auto"/>
            </w:tcBorders>
            <w:shd w:val="clear" w:color="auto" w:fill="auto"/>
            <w:noWrap/>
            <w:vAlign w:val="center"/>
            <w:hideMark/>
          </w:tcPr>
          <w:p w14:paraId="34E114A3"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1.55</w:t>
            </w:r>
          </w:p>
        </w:tc>
        <w:tc>
          <w:tcPr>
            <w:tcW w:w="281" w:type="pct"/>
            <w:tcBorders>
              <w:top w:val="single" w:sz="4" w:space="0" w:color="auto"/>
              <w:right w:val="single" w:sz="4" w:space="0" w:color="auto"/>
            </w:tcBorders>
            <w:shd w:val="clear" w:color="auto" w:fill="auto"/>
            <w:noWrap/>
            <w:vAlign w:val="center"/>
            <w:hideMark/>
          </w:tcPr>
          <w:p w14:paraId="39E17B65"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8.95</w:t>
            </w:r>
          </w:p>
        </w:tc>
        <w:tc>
          <w:tcPr>
            <w:tcW w:w="265" w:type="pct"/>
            <w:tcBorders>
              <w:top w:val="single" w:sz="4" w:space="0" w:color="auto"/>
              <w:left w:val="single" w:sz="4" w:space="0" w:color="auto"/>
            </w:tcBorders>
            <w:shd w:val="clear" w:color="auto" w:fill="auto"/>
            <w:noWrap/>
            <w:vAlign w:val="center"/>
            <w:hideMark/>
          </w:tcPr>
          <w:p w14:paraId="1A47A4CA"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1.15</w:t>
            </w:r>
          </w:p>
        </w:tc>
        <w:tc>
          <w:tcPr>
            <w:tcW w:w="306" w:type="pct"/>
            <w:tcBorders>
              <w:top w:val="single" w:sz="4" w:space="0" w:color="auto"/>
            </w:tcBorders>
            <w:shd w:val="clear" w:color="auto" w:fill="auto"/>
            <w:noWrap/>
            <w:vAlign w:val="center"/>
            <w:hideMark/>
          </w:tcPr>
          <w:p w14:paraId="49899DB8"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0.76</w:t>
            </w:r>
          </w:p>
        </w:tc>
        <w:tc>
          <w:tcPr>
            <w:tcW w:w="281" w:type="pct"/>
            <w:tcBorders>
              <w:top w:val="single" w:sz="4" w:space="0" w:color="auto"/>
            </w:tcBorders>
            <w:shd w:val="clear" w:color="auto" w:fill="auto"/>
            <w:noWrap/>
            <w:vAlign w:val="center"/>
            <w:hideMark/>
          </w:tcPr>
          <w:p w14:paraId="3F74687F"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9.17</w:t>
            </w:r>
          </w:p>
        </w:tc>
        <w:tc>
          <w:tcPr>
            <w:tcW w:w="265" w:type="pct"/>
            <w:tcBorders>
              <w:top w:val="single" w:sz="4" w:space="0" w:color="auto"/>
            </w:tcBorders>
            <w:shd w:val="clear" w:color="auto" w:fill="auto"/>
            <w:noWrap/>
            <w:vAlign w:val="center"/>
            <w:hideMark/>
          </w:tcPr>
          <w:p w14:paraId="6FD9A301"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2.03</w:t>
            </w:r>
          </w:p>
        </w:tc>
        <w:tc>
          <w:tcPr>
            <w:tcW w:w="281" w:type="pct"/>
            <w:tcBorders>
              <w:top w:val="single" w:sz="4" w:space="0" w:color="auto"/>
            </w:tcBorders>
            <w:shd w:val="clear" w:color="auto" w:fill="auto"/>
            <w:noWrap/>
            <w:vAlign w:val="center"/>
            <w:hideMark/>
          </w:tcPr>
          <w:p w14:paraId="0B4F5986"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2.44</w:t>
            </w:r>
          </w:p>
        </w:tc>
        <w:tc>
          <w:tcPr>
            <w:tcW w:w="265" w:type="pct"/>
            <w:tcBorders>
              <w:top w:val="single" w:sz="4" w:space="0" w:color="auto"/>
            </w:tcBorders>
            <w:shd w:val="clear" w:color="auto" w:fill="auto"/>
            <w:noWrap/>
            <w:vAlign w:val="center"/>
            <w:hideMark/>
          </w:tcPr>
          <w:p w14:paraId="7E2A1C67"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0.45</w:t>
            </w:r>
          </w:p>
        </w:tc>
        <w:tc>
          <w:tcPr>
            <w:tcW w:w="417" w:type="pct"/>
            <w:tcBorders>
              <w:top w:val="single" w:sz="4" w:space="0" w:color="auto"/>
            </w:tcBorders>
            <w:shd w:val="clear" w:color="auto" w:fill="auto"/>
            <w:noWrap/>
            <w:vAlign w:val="center"/>
            <w:hideMark/>
          </w:tcPr>
          <w:p w14:paraId="30909A7F"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0.90</w:t>
            </w:r>
          </w:p>
        </w:tc>
        <w:tc>
          <w:tcPr>
            <w:tcW w:w="398" w:type="pct"/>
            <w:tcBorders>
              <w:top w:val="single" w:sz="4" w:space="0" w:color="auto"/>
            </w:tcBorders>
            <w:shd w:val="clear" w:color="auto" w:fill="auto"/>
            <w:noWrap/>
            <w:vAlign w:val="center"/>
            <w:hideMark/>
          </w:tcPr>
          <w:p w14:paraId="3683D660"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54.16</w:t>
            </w:r>
          </w:p>
        </w:tc>
      </w:tr>
      <w:tr w:rsidR="000D6BCB" w:rsidRPr="0065228D" w14:paraId="2ADB220A" w14:textId="77777777" w:rsidTr="000D6BCB">
        <w:trPr>
          <w:trHeight w:val="454"/>
        </w:trPr>
        <w:tc>
          <w:tcPr>
            <w:tcW w:w="195" w:type="pct"/>
            <w:vMerge/>
          </w:tcPr>
          <w:p w14:paraId="682C4667" w14:textId="77777777" w:rsidR="000D6BCB" w:rsidRPr="0065228D" w:rsidRDefault="000D6BCB" w:rsidP="00835A65">
            <w:pPr>
              <w:rPr>
                <w:rFonts w:ascii="Times New Roman" w:hAnsi="Times New Roman" w:cs="Times New Roman"/>
              </w:rPr>
            </w:pPr>
          </w:p>
        </w:tc>
        <w:tc>
          <w:tcPr>
            <w:tcW w:w="638" w:type="pct"/>
            <w:tcBorders>
              <w:right w:val="single" w:sz="4" w:space="0" w:color="auto"/>
            </w:tcBorders>
            <w:noWrap/>
            <w:vAlign w:val="center"/>
            <w:hideMark/>
          </w:tcPr>
          <w:p w14:paraId="4928CAAA" w14:textId="000C0519" w:rsidR="000D6BCB" w:rsidRPr="0065228D" w:rsidRDefault="000D6BCB" w:rsidP="00835A65">
            <w:pPr>
              <w:rPr>
                <w:rFonts w:ascii="Times New Roman" w:hAnsi="Times New Roman" w:cs="Times New Roman"/>
              </w:rPr>
            </w:pPr>
            <w:r w:rsidRPr="0065228D">
              <w:rPr>
                <w:rFonts w:ascii="Times New Roman" w:hAnsi="Times New Roman" w:cs="Times New Roman"/>
              </w:rPr>
              <w:t>LRC</w:t>
            </w:r>
          </w:p>
        </w:tc>
        <w:tc>
          <w:tcPr>
            <w:tcW w:w="280" w:type="pct"/>
            <w:tcBorders>
              <w:left w:val="single" w:sz="4" w:space="0" w:color="auto"/>
            </w:tcBorders>
            <w:shd w:val="clear" w:color="auto" w:fill="auto"/>
            <w:noWrap/>
            <w:vAlign w:val="center"/>
            <w:hideMark/>
          </w:tcPr>
          <w:p w14:paraId="3CF3B60C"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8.51</w:t>
            </w:r>
          </w:p>
        </w:tc>
        <w:tc>
          <w:tcPr>
            <w:tcW w:w="264" w:type="pct"/>
            <w:shd w:val="clear" w:color="auto" w:fill="auto"/>
            <w:noWrap/>
            <w:vAlign w:val="center"/>
            <w:hideMark/>
          </w:tcPr>
          <w:p w14:paraId="6C9BBF7A"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41.67</w:t>
            </w:r>
          </w:p>
        </w:tc>
        <w:tc>
          <w:tcPr>
            <w:tcW w:w="281" w:type="pct"/>
            <w:tcBorders>
              <w:right w:val="single" w:sz="4" w:space="0" w:color="auto"/>
            </w:tcBorders>
            <w:shd w:val="clear" w:color="auto" w:fill="auto"/>
            <w:noWrap/>
            <w:vAlign w:val="center"/>
            <w:hideMark/>
          </w:tcPr>
          <w:p w14:paraId="2E0D9259"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10.51</w:t>
            </w:r>
          </w:p>
        </w:tc>
        <w:tc>
          <w:tcPr>
            <w:tcW w:w="281" w:type="pct"/>
            <w:tcBorders>
              <w:left w:val="single" w:sz="4" w:space="0" w:color="auto"/>
            </w:tcBorders>
            <w:shd w:val="clear" w:color="auto" w:fill="auto"/>
            <w:noWrap/>
            <w:vAlign w:val="center"/>
            <w:hideMark/>
          </w:tcPr>
          <w:p w14:paraId="59B430E1"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10.89</w:t>
            </w:r>
          </w:p>
        </w:tc>
        <w:tc>
          <w:tcPr>
            <w:tcW w:w="306" w:type="pct"/>
            <w:shd w:val="clear" w:color="auto" w:fill="auto"/>
            <w:noWrap/>
            <w:vAlign w:val="center"/>
            <w:hideMark/>
          </w:tcPr>
          <w:p w14:paraId="70C40BB1"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1.33</w:t>
            </w:r>
          </w:p>
        </w:tc>
        <w:tc>
          <w:tcPr>
            <w:tcW w:w="281" w:type="pct"/>
            <w:tcBorders>
              <w:right w:val="single" w:sz="4" w:space="0" w:color="auto"/>
            </w:tcBorders>
            <w:shd w:val="clear" w:color="auto" w:fill="auto"/>
            <w:noWrap/>
            <w:vAlign w:val="center"/>
            <w:hideMark/>
          </w:tcPr>
          <w:p w14:paraId="2C016AFB"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8.95</w:t>
            </w:r>
          </w:p>
        </w:tc>
        <w:tc>
          <w:tcPr>
            <w:tcW w:w="265" w:type="pct"/>
            <w:tcBorders>
              <w:left w:val="single" w:sz="4" w:space="0" w:color="auto"/>
            </w:tcBorders>
            <w:shd w:val="clear" w:color="auto" w:fill="auto"/>
            <w:noWrap/>
            <w:vAlign w:val="center"/>
            <w:hideMark/>
          </w:tcPr>
          <w:p w14:paraId="4D71E564"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1.64</w:t>
            </w:r>
          </w:p>
        </w:tc>
        <w:tc>
          <w:tcPr>
            <w:tcW w:w="306" w:type="pct"/>
            <w:shd w:val="clear" w:color="auto" w:fill="auto"/>
            <w:noWrap/>
            <w:vAlign w:val="center"/>
            <w:hideMark/>
          </w:tcPr>
          <w:p w14:paraId="257A0EBD"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0.77</w:t>
            </w:r>
          </w:p>
        </w:tc>
        <w:tc>
          <w:tcPr>
            <w:tcW w:w="281" w:type="pct"/>
            <w:shd w:val="clear" w:color="auto" w:fill="auto"/>
            <w:noWrap/>
            <w:vAlign w:val="center"/>
            <w:hideMark/>
          </w:tcPr>
          <w:p w14:paraId="5694213B"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9.28</w:t>
            </w:r>
          </w:p>
        </w:tc>
        <w:tc>
          <w:tcPr>
            <w:tcW w:w="265" w:type="pct"/>
            <w:shd w:val="clear" w:color="auto" w:fill="auto"/>
            <w:noWrap/>
            <w:vAlign w:val="center"/>
            <w:hideMark/>
          </w:tcPr>
          <w:p w14:paraId="0BCBB399"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1.77</w:t>
            </w:r>
          </w:p>
        </w:tc>
        <w:tc>
          <w:tcPr>
            <w:tcW w:w="281" w:type="pct"/>
            <w:shd w:val="clear" w:color="auto" w:fill="auto"/>
            <w:noWrap/>
            <w:vAlign w:val="center"/>
            <w:hideMark/>
          </w:tcPr>
          <w:p w14:paraId="20B59BEC"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2.09</w:t>
            </w:r>
          </w:p>
        </w:tc>
        <w:tc>
          <w:tcPr>
            <w:tcW w:w="265" w:type="pct"/>
            <w:shd w:val="clear" w:color="auto" w:fill="auto"/>
            <w:noWrap/>
            <w:vAlign w:val="center"/>
            <w:hideMark/>
          </w:tcPr>
          <w:p w14:paraId="722B6E12"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0.83</w:t>
            </w:r>
          </w:p>
        </w:tc>
        <w:tc>
          <w:tcPr>
            <w:tcW w:w="417" w:type="pct"/>
            <w:shd w:val="clear" w:color="auto" w:fill="auto"/>
            <w:noWrap/>
            <w:vAlign w:val="center"/>
            <w:hideMark/>
          </w:tcPr>
          <w:p w14:paraId="072A915E"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1.76</w:t>
            </w:r>
          </w:p>
        </w:tc>
        <w:tc>
          <w:tcPr>
            <w:tcW w:w="398" w:type="pct"/>
            <w:shd w:val="clear" w:color="auto" w:fill="auto"/>
            <w:noWrap/>
            <w:vAlign w:val="center"/>
            <w:hideMark/>
          </w:tcPr>
          <w:p w14:paraId="07177B20"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58.33</w:t>
            </w:r>
          </w:p>
        </w:tc>
      </w:tr>
      <w:tr w:rsidR="000D6BCB" w:rsidRPr="0065228D" w14:paraId="21A21783" w14:textId="77777777" w:rsidTr="00AF342A">
        <w:trPr>
          <w:trHeight w:val="454"/>
        </w:trPr>
        <w:tc>
          <w:tcPr>
            <w:tcW w:w="195" w:type="pct"/>
            <w:vMerge/>
            <w:tcBorders>
              <w:bottom w:val="single" w:sz="4" w:space="0" w:color="auto"/>
            </w:tcBorders>
          </w:tcPr>
          <w:p w14:paraId="5F9AF0A2" w14:textId="77777777" w:rsidR="000D6BCB" w:rsidRPr="0065228D" w:rsidRDefault="000D6BCB" w:rsidP="00835A65">
            <w:pPr>
              <w:rPr>
                <w:rFonts w:ascii="Times New Roman" w:hAnsi="Times New Roman" w:cs="Times New Roman"/>
              </w:rPr>
            </w:pPr>
          </w:p>
        </w:tc>
        <w:tc>
          <w:tcPr>
            <w:tcW w:w="638" w:type="pct"/>
            <w:tcBorders>
              <w:bottom w:val="single" w:sz="4" w:space="0" w:color="auto"/>
              <w:right w:val="single" w:sz="4" w:space="0" w:color="auto"/>
            </w:tcBorders>
            <w:noWrap/>
            <w:vAlign w:val="center"/>
            <w:hideMark/>
          </w:tcPr>
          <w:p w14:paraId="33B5A1F1" w14:textId="0595D1B6" w:rsidR="000D6BCB" w:rsidRPr="0065228D" w:rsidRDefault="000D6BCB" w:rsidP="00835A65">
            <w:pPr>
              <w:rPr>
                <w:rFonts w:ascii="Times New Roman" w:hAnsi="Times New Roman" w:cs="Times New Roman"/>
              </w:rPr>
            </w:pPr>
            <w:r w:rsidRPr="0065228D">
              <w:rPr>
                <w:rFonts w:ascii="Times New Roman" w:hAnsi="Times New Roman" w:cs="Times New Roman"/>
              </w:rPr>
              <w:t>GNO</w:t>
            </w:r>
          </w:p>
        </w:tc>
        <w:tc>
          <w:tcPr>
            <w:tcW w:w="280" w:type="pct"/>
            <w:tcBorders>
              <w:left w:val="single" w:sz="4" w:space="0" w:color="auto"/>
              <w:bottom w:val="single" w:sz="4" w:space="0" w:color="auto"/>
            </w:tcBorders>
            <w:shd w:val="clear" w:color="auto" w:fill="auto"/>
            <w:noWrap/>
            <w:vAlign w:val="center"/>
            <w:hideMark/>
          </w:tcPr>
          <w:p w14:paraId="5A1258E4"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6.10</w:t>
            </w:r>
          </w:p>
        </w:tc>
        <w:tc>
          <w:tcPr>
            <w:tcW w:w="264" w:type="pct"/>
            <w:tcBorders>
              <w:bottom w:val="single" w:sz="4" w:space="0" w:color="auto"/>
            </w:tcBorders>
            <w:shd w:val="clear" w:color="auto" w:fill="auto"/>
            <w:noWrap/>
            <w:vAlign w:val="center"/>
            <w:hideMark/>
          </w:tcPr>
          <w:p w14:paraId="0CE90177"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9.92</w:t>
            </w:r>
          </w:p>
        </w:tc>
        <w:tc>
          <w:tcPr>
            <w:tcW w:w="281" w:type="pct"/>
            <w:tcBorders>
              <w:bottom w:val="single" w:sz="4" w:space="0" w:color="auto"/>
              <w:right w:val="single" w:sz="4" w:space="0" w:color="auto"/>
            </w:tcBorders>
            <w:shd w:val="clear" w:color="auto" w:fill="auto"/>
            <w:noWrap/>
            <w:vAlign w:val="center"/>
            <w:hideMark/>
          </w:tcPr>
          <w:p w14:paraId="61E9F584"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40.95</w:t>
            </w:r>
          </w:p>
        </w:tc>
        <w:tc>
          <w:tcPr>
            <w:tcW w:w="281" w:type="pct"/>
            <w:tcBorders>
              <w:left w:val="single" w:sz="4" w:space="0" w:color="auto"/>
              <w:bottom w:val="single" w:sz="4" w:space="0" w:color="auto"/>
            </w:tcBorders>
            <w:shd w:val="clear" w:color="auto" w:fill="auto"/>
            <w:noWrap/>
            <w:vAlign w:val="center"/>
            <w:hideMark/>
          </w:tcPr>
          <w:p w14:paraId="677CA723"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11.52</w:t>
            </w:r>
          </w:p>
        </w:tc>
        <w:tc>
          <w:tcPr>
            <w:tcW w:w="306" w:type="pct"/>
            <w:tcBorders>
              <w:bottom w:val="single" w:sz="4" w:space="0" w:color="auto"/>
            </w:tcBorders>
            <w:shd w:val="clear" w:color="auto" w:fill="auto"/>
            <w:noWrap/>
            <w:vAlign w:val="center"/>
            <w:hideMark/>
          </w:tcPr>
          <w:p w14:paraId="3424CFEB"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0.82</w:t>
            </w:r>
          </w:p>
        </w:tc>
        <w:tc>
          <w:tcPr>
            <w:tcW w:w="281" w:type="pct"/>
            <w:tcBorders>
              <w:bottom w:val="single" w:sz="4" w:space="0" w:color="auto"/>
              <w:right w:val="single" w:sz="4" w:space="0" w:color="auto"/>
            </w:tcBorders>
            <w:shd w:val="clear" w:color="auto" w:fill="auto"/>
            <w:noWrap/>
            <w:vAlign w:val="center"/>
            <w:hideMark/>
          </w:tcPr>
          <w:p w14:paraId="03493AEC"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10.42</w:t>
            </w:r>
          </w:p>
        </w:tc>
        <w:tc>
          <w:tcPr>
            <w:tcW w:w="265" w:type="pct"/>
            <w:tcBorders>
              <w:left w:val="single" w:sz="4" w:space="0" w:color="auto"/>
              <w:bottom w:val="single" w:sz="4" w:space="0" w:color="auto"/>
            </w:tcBorders>
            <w:shd w:val="clear" w:color="auto" w:fill="auto"/>
            <w:noWrap/>
            <w:vAlign w:val="center"/>
            <w:hideMark/>
          </w:tcPr>
          <w:p w14:paraId="2B662D54"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1.29</w:t>
            </w:r>
          </w:p>
        </w:tc>
        <w:tc>
          <w:tcPr>
            <w:tcW w:w="306" w:type="pct"/>
            <w:tcBorders>
              <w:bottom w:val="single" w:sz="4" w:space="0" w:color="auto"/>
            </w:tcBorders>
            <w:shd w:val="clear" w:color="auto" w:fill="auto"/>
            <w:noWrap/>
            <w:vAlign w:val="center"/>
            <w:hideMark/>
          </w:tcPr>
          <w:p w14:paraId="09E5AED6"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0.55</w:t>
            </w:r>
          </w:p>
        </w:tc>
        <w:tc>
          <w:tcPr>
            <w:tcW w:w="281" w:type="pct"/>
            <w:tcBorders>
              <w:bottom w:val="single" w:sz="4" w:space="0" w:color="auto"/>
            </w:tcBorders>
            <w:shd w:val="clear" w:color="auto" w:fill="auto"/>
            <w:noWrap/>
            <w:vAlign w:val="center"/>
            <w:hideMark/>
          </w:tcPr>
          <w:p w14:paraId="4B70FE84"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12.37</w:t>
            </w:r>
          </w:p>
        </w:tc>
        <w:tc>
          <w:tcPr>
            <w:tcW w:w="265" w:type="pct"/>
            <w:tcBorders>
              <w:bottom w:val="single" w:sz="4" w:space="0" w:color="auto"/>
            </w:tcBorders>
            <w:shd w:val="clear" w:color="auto" w:fill="auto"/>
            <w:noWrap/>
            <w:vAlign w:val="center"/>
            <w:hideMark/>
          </w:tcPr>
          <w:p w14:paraId="48E0DF53"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1.52</w:t>
            </w:r>
          </w:p>
        </w:tc>
        <w:tc>
          <w:tcPr>
            <w:tcW w:w="281" w:type="pct"/>
            <w:tcBorders>
              <w:bottom w:val="single" w:sz="4" w:space="0" w:color="auto"/>
            </w:tcBorders>
            <w:shd w:val="clear" w:color="auto" w:fill="auto"/>
            <w:noWrap/>
            <w:vAlign w:val="center"/>
            <w:hideMark/>
          </w:tcPr>
          <w:p w14:paraId="75E45707"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2.82</w:t>
            </w:r>
          </w:p>
        </w:tc>
        <w:tc>
          <w:tcPr>
            <w:tcW w:w="265" w:type="pct"/>
            <w:tcBorders>
              <w:bottom w:val="single" w:sz="4" w:space="0" w:color="auto"/>
            </w:tcBorders>
            <w:shd w:val="clear" w:color="auto" w:fill="auto"/>
            <w:noWrap/>
            <w:vAlign w:val="center"/>
            <w:hideMark/>
          </w:tcPr>
          <w:p w14:paraId="53EBAC9D"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0.58</w:t>
            </w:r>
          </w:p>
        </w:tc>
        <w:tc>
          <w:tcPr>
            <w:tcW w:w="417" w:type="pct"/>
            <w:tcBorders>
              <w:bottom w:val="single" w:sz="4" w:space="0" w:color="auto"/>
            </w:tcBorders>
            <w:shd w:val="clear" w:color="auto" w:fill="auto"/>
            <w:noWrap/>
            <w:vAlign w:val="center"/>
            <w:hideMark/>
          </w:tcPr>
          <w:p w14:paraId="1349F3A8"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1.15</w:t>
            </w:r>
          </w:p>
        </w:tc>
        <w:tc>
          <w:tcPr>
            <w:tcW w:w="398" w:type="pct"/>
            <w:tcBorders>
              <w:bottom w:val="single" w:sz="4" w:space="0" w:color="auto"/>
            </w:tcBorders>
            <w:shd w:val="clear" w:color="auto" w:fill="auto"/>
            <w:noWrap/>
            <w:vAlign w:val="center"/>
            <w:hideMark/>
          </w:tcPr>
          <w:p w14:paraId="171527BC"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59.05</w:t>
            </w:r>
          </w:p>
        </w:tc>
      </w:tr>
      <w:tr w:rsidR="000D6BCB" w:rsidRPr="0065228D" w14:paraId="127F27D7" w14:textId="77777777" w:rsidTr="00AF342A">
        <w:trPr>
          <w:trHeight w:val="454"/>
        </w:trPr>
        <w:tc>
          <w:tcPr>
            <w:tcW w:w="195" w:type="pct"/>
            <w:vMerge w:val="restart"/>
            <w:tcBorders>
              <w:top w:val="single" w:sz="4" w:space="0" w:color="auto"/>
            </w:tcBorders>
            <w:textDirection w:val="btLr"/>
          </w:tcPr>
          <w:p w14:paraId="7EF53F90" w14:textId="0679DA81" w:rsidR="000D6BCB" w:rsidRPr="0065228D" w:rsidRDefault="000D6BCB" w:rsidP="000D6BCB">
            <w:pPr>
              <w:ind w:left="113" w:right="113"/>
              <w:rPr>
                <w:rFonts w:ascii="Times New Roman" w:hAnsi="Times New Roman" w:cs="Times New Roman"/>
              </w:rPr>
            </w:pPr>
            <w:r>
              <w:rPr>
                <w:rFonts w:ascii="Times New Roman" w:hAnsi="Times New Roman" w:cs="Times New Roman"/>
              </w:rPr>
              <w:t>CEX tokens</w:t>
            </w:r>
          </w:p>
        </w:tc>
        <w:tc>
          <w:tcPr>
            <w:tcW w:w="638" w:type="pct"/>
            <w:tcBorders>
              <w:top w:val="single" w:sz="4" w:space="0" w:color="auto"/>
              <w:right w:val="single" w:sz="4" w:space="0" w:color="auto"/>
            </w:tcBorders>
            <w:noWrap/>
            <w:vAlign w:val="center"/>
            <w:hideMark/>
          </w:tcPr>
          <w:p w14:paraId="626CC99D" w14:textId="560E558F" w:rsidR="000D6BCB" w:rsidRPr="0065228D" w:rsidRDefault="000D6BCB" w:rsidP="00835A65">
            <w:pPr>
              <w:rPr>
                <w:rFonts w:ascii="Times New Roman" w:hAnsi="Times New Roman" w:cs="Times New Roman"/>
              </w:rPr>
            </w:pPr>
            <w:r w:rsidRPr="0065228D">
              <w:rPr>
                <w:rFonts w:ascii="Times New Roman" w:hAnsi="Times New Roman" w:cs="Times New Roman"/>
              </w:rPr>
              <w:t>BNB</w:t>
            </w:r>
          </w:p>
        </w:tc>
        <w:tc>
          <w:tcPr>
            <w:tcW w:w="280" w:type="pct"/>
            <w:tcBorders>
              <w:top w:val="single" w:sz="4" w:space="0" w:color="auto"/>
              <w:left w:val="single" w:sz="4" w:space="0" w:color="auto"/>
            </w:tcBorders>
            <w:shd w:val="clear" w:color="auto" w:fill="auto"/>
            <w:noWrap/>
            <w:vAlign w:val="center"/>
            <w:hideMark/>
          </w:tcPr>
          <w:p w14:paraId="027F81C0"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7.78</w:t>
            </w:r>
          </w:p>
        </w:tc>
        <w:tc>
          <w:tcPr>
            <w:tcW w:w="264" w:type="pct"/>
            <w:tcBorders>
              <w:top w:val="single" w:sz="4" w:space="0" w:color="auto"/>
            </w:tcBorders>
            <w:shd w:val="clear" w:color="auto" w:fill="auto"/>
            <w:noWrap/>
            <w:vAlign w:val="center"/>
            <w:hideMark/>
          </w:tcPr>
          <w:p w14:paraId="70A163EF"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8.34</w:t>
            </w:r>
          </w:p>
        </w:tc>
        <w:tc>
          <w:tcPr>
            <w:tcW w:w="281" w:type="pct"/>
            <w:tcBorders>
              <w:top w:val="single" w:sz="4" w:space="0" w:color="auto"/>
              <w:right w:val="single" w:sz="4" w:space="0" w:color="auto"/>
            </w:tcBorders>
            <w:shd w:val="clear" w:color="auto" w:fill="auto"/>
            <w:noWrap/>
            <w:vAlign w:val="center"/>
            <w:hideMark/>
          </w:tcPr>
          <w:p w14:paraId="7A83C913"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9.31</w:t>
            </w:r>
          </w:p>
        </w:tc>
        <w:tc>
          <w:tcPr>
            <w:tcW w:w="281" w:type="pct"/>
            <w:tcBorders>
              <w:top w:val="single" w:sz="4" w:space="0" w:color="auto"/>
              <w:left w:val="single" w:sz="4" w:space="0" w:color="auto"/>
            </w:tcBorders>
            <w:shd w:val="clear" w:color="auto" w:fill="auto"/>
            <w:noWrap/>
            <w:vAlign w:val="center"/>
            <w:hideMark/>
          </w:tcPr>
          <w:p w14:paraId="2CC5DB69"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32.48</w:t>
            </w:r>
          </w:p>
        </w:tc>
        <w:tc>
          <w:tcPr>
            <w:tcW w:w="306" w:type="pct"/>
            <w:tcBorders>
              <w:top w:val="single" w:sz="4" w:space="0" w:color="auto"/>
            </w:tcBorders>
            <w:shd w:val="clear" w:color="auto" w:fill="auto"/>
            <w:noWrap/>
            <w:vAlign w:val="center"/>
            <w:hideMark/>
          </w:tcPr>
          <w:p w14:paraId="3D7F0836"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1.78</w:t>
            </w:r>
          </w:p>
        </w:tc>
        <w:tc>
          <w:tcPr>
            <w:tcW w:w="281" w:type="pct"/>
            <w:tcBorders>
              <w:top w:val="single" w:sz="4" w:space="0" w:color="auto"/>
              <w:right w:val="single" w:sz="4" w:space="0" w:color="auto"/>
            </w:tcBorders>
            <w:shd w:val="clear" w:color="auto" w:fill="auto"/>
            <w:noWrap/>
            <w:vAlign w:val="center"/>
            <w:hideMark/>
          </w:tcPr>
          <w:p w14:paraId="4D6ADAE1"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15.10</w:t>
            </w:r>
          </w:p>
        </w:tc>
        <w:tc>
          <w:tcPr>
            <w:tcW w:w="265" w:type="pct"/>
            <w:tcBorders>
              <w:top w:val="single" w:sz="4" w:space="0" w:color="auto"/>
              <w:left w:val="single" w:sz="4" w:space="0" w:color="auto"/>
            </w:tcBorders>
            <w:shd w:val="clear" w:color="auto" w:fill="auto"/>
            <w:noWrap/>
            <w:vAlign w:val="center"/>
            <w:hideMark/>
          </w:tcPr>
          <w:p w14:paraId="175BCCB9"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1.48</w:t>
            </w:r>
          </w:p>
        </w:tc>
        <w:tc>
          <w:tcPr>
            <w:tcW w:w="306" w:type="pct"/>
            <w:tcBorders>
              <w:top w:val="single" w:sz="4" w:space="0" w:color="auto"/>
            </w:tcBorders>
            <w:shd w:val="clear" w:color="auto" w:fill="auto"/>
            <w:noWrap/>
            <w:vAlign w:val="center"/>
            <w:hideMark/>
          </w:tcPr>
          <w:p w14:paraId="37C986A9"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0.65</w:t>
            </w:r>
          </w:p>
        </w:tc>
        <w:tc>
          <w:tcPr>
            <w:tcW w:w="281" w:type="pct"/>
            <w:tcBorders>
              <w:top w:val="single" w:sz="4" w:space="0" w:color="auto"/>
            </w:tcBorders>
            <w:shd w:val="clear" w:color="auto" w:fill="auto"/>
            <w:noWrap/>
            <w:vAlign w:val="center"/>
            <w:hideMark/>
          </w:tcPr>
          <w:p w14:paraId="493FD6BD"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14.48</w:t>
            </w:r>
          </w:p>
        </w:tc>
        <w:tc>
          <w:tcPr>
            <w:tcW w:w="265" w:type="pct"/>
            <w:tcBorders>
              <w:top w:val="single" w:sz="4" w:space="0" w:color="auto"/>
            </w:tcBorders>
            <w:shd w:val="clear" w:color="auto" w:fill="auto"/>
            <w:noWrap/>
            <w:vAlign w:val="center"/>
            <w:hideMark/>
          </w:tcPr>
          <w:p w14:paraId="311DE63B"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2.61</w:t>
            </w:r>
          </w:p>
        </w:tc>
        <w:tc>
          <w:tcPr>
            <w:tcW w:w="281" w:type="pct"/>
            <w:tcBorders>
              <w:top w:val="single" w:sz="4" w:space="0" w:color="auto"/>
            </w:tcBorders>
            <w:shd w:val="clear" w:color="auto" w:fill="auto"/>
            <w:noWrap/>
            <w:vAlign w:val="center"/>
            <w:hideMark/>
          </w:tcPr>
          <w:p w14:paraId="6316298B"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3.83</w:t>
            </w:r>
          </w:p>
        </w:tc>
        <w:tc>
          <w:tcPr>
            <w:tcW w:w="265" w:type="pct"/>
            <w:tcBorders>
              <w:top w:val="single" w:sz="4" w:space="0" w:color="auto"/>
            </w:tcBorders>
            <w:shd w:val="clear" w:color="auto" w:fill="auto"/>
            <w:noWrap/>
            <w:vAlign w:val="center"/>
            <w:hideMark/>
          </w:tcPr>
          <w:p w14:paraId="6444979B"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0.80</w:t>
            </w:r>
          </w:p>
        </w:tc>
        <w:tc>
          <w:tcPr>
            <w:tcW w:w="417" w:type="pct"/>
            <w:tcBorders>
              <w:top w:val="single" w:sz="4" w:space="0" w:color="auto"/>
            </w:tcBorders>
            <w:shd w:val="clear" w:color="auto" w:fill="auto"/>
            <w:noWrap/>
            <w:vAlign w:val="center"/>
            <w:hideMark/>
          </w:tcPr>
          <w:p w14:paraId="3678F48B"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1.36</w:t>
            </w:r>
          </w:p>
        </w:tc>
        <w:tc>
          <w:tcPr>
            <w:tcW w:w="398" w:type="pct"/>
            <w:tcBorders>
              <w:top w:val="single" w:sz="4" w:space="0" w:color="auto"/>
            </w:tcBorders>
            <w:shd w:val="clear" w:color="auto" w:fill="auto"/>
            <w:noWrap/>
            <w:vAlign w:val="center"/>
            <w:hideMark/>
          </w:tcPr>
          <w:p w14:paraId="594A4D2A"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67.52</w:t>
            </w:r>
          </w:p>
        </w:tc>
      </w:tr>
      <w:tr w:rsidR="000D6BCB" w:rsidRPr="0065228D" w14:paraId="6F11061C" w14:textId="77777777" w:rsidTr="000D6BCB">
        <w:trPr>
          <w:trHeight w:val="454"/>
        </w:trPr>
        <w:tc>
          <w:tcPr>
            <w:tcW w:w="195" w:type="pct"/>
            <w:vMerge/>
          </w:tcPr>
          <w:p w14:paraId="57C27463" w14:textId="77777777" w:rsidR="000D6BCB" w:rsidRPr="0065228D" w:rsidRDefault="000D6BCB" w:rsidP="00835A65">
            <w:pPr>
              <w:rPr>
                <w:rFonts w:ascii="Times New Roman" w:hAnsi="Times New Roman" w:cs="Times New Roman"/>
              </w:rPr>
            </w:pPr>
          </w:p>
        </w:tc>
        <w:tc>
          <w:tcPr>
            <w:tcW w:w="638" w:type="pct"/>
            <w:tcBorders>
              <w:right w:val="single" w:sz="4" w:space="0" w:color="auto"/>
            </w:tcBorders>
            <w:noWrap/>
            <w:vAlign w:val="center"/>
            <w:hideMark/>
          </w:tcPr>
          <w:p w14:paraId="332825F1" w14:textId="219477BE" w:rsidR="000D6BCB" w:rsidRPr="0065228D" w:rsidRDefault="000D6BCB" w:rsidP="00835A65">
            <w:pPr>
              <w:rPr>
                <w:rFonts w:ascii="Times New Roman" w:hAnsi="Times New Roman" w:cs="Times New Roman"/>
              </w:rPr>
            </w:pPr>
            <w:r w:rsidRPr="0065228D">
              <w:rPr>
                <w:rFonts w:ascii="Times New Roman" w:hAnsi="Times New Roman" w:cs="Times New Roman"/>
              </w:rPr>
              <w:t>LEO</w:t>
            </w:r>
          </w:p>
        </w:tc>
        <w:tc>
          <w:tcPr>
            <w:tcW w:w="280" w:type="pct"/>
            <w:tcBorders>
              <w:left w:val="single" w:sz="4" w:space="0" w:color="auto"/>
            </w:tcBorders>
            <w:shd w:val="clear" w:color="auto" w:fill="auto"/>
            <w:noWrap/>
            <w:vAlign w:val="center"/>
            <w:hideMark/>
          </w:tcPr>
          <w:p w14:paraId="2644694A"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2.06</w:t>
            </w:r>
          </w:p>
        </w:tc>
        <w:tc>
          <w:tcPr>
            <w:tcW w:w="264" w:type="pct"/>
            <w:shd w:val="clear" w:color="auto" w:fill="auto"/>
            <w:noWrap/>
            <w:vAlign w:val="center"/>
            <w:hideMark/>
          </w:tcPr>
          <w:p w14:paraId="29881473"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2.50</w:t>
            </w:r>
          </w:p>
        </w:tc>
        <w:tc>
          <w:tcPr>
            <w:tcW w:w="281" w:type="pct"/>
            <w:tcBorders>
              <w:right w:val="single" w:sz="4" w:space="0" w:color="auto"/>
            </w:tcBorders>
            <w:shd w:val="clear" w:color="auto" w:fill="auto"/>
            <w:noWrap/>
            <w:vAlign w:val="center"/>
            <w:hideMark/>
          </w:tcPr>
          <w:p w14:paraId="64854E13"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1.62</w:t>
            </w:r>
          </w:p>
        </w:tc>
        <w:tc>
          <w:tcPr>
            <w:tcW w:w="281" w:type="pct"/>
            <w:tcBorders>
              <w:left w:val="single" w:sz="4" w:space="0" w:color="auto"/>
            </w:tcBorders>
            <w:shd w:val="clear" w:color="auto" w:fill="auto"/>
            <w:noWrap/>
            <w:vAlign w:val="center"/>
            <w:hideMark/>
          </w:tcPr>
          <w:p w14:paraId="691127FC"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4.57</w:t>
            </w:r>
          </w:p>
        </w:tc>
        <w:tc>
          <w:tcPr>
            <w:tcW w:w="306" w:type="pct"/>
            <w:shd w:val="clear" w:color="auto" w:fill="auto"/>
            <w:noWrap/>
            <w:vAlign w:val="center"/>
            <w:hideMark/>
          </w:tcPr>
          <w:p w14:paraId="5237DCC4"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74.98</w:t>
            </w:r>
          </w:p>
        </w:tc>
        <w:tc>
          <w:tcPr>
            <w:tcW w:w="281" w:type="pct"/>
            <w:tcBorders>
              <w:right w:val="single" w:sz="4" w:space="0" w:color="auto"/>
            </w:tcBorders>
            <w:shd w:val="clear" w:color="auto" w:fill="auto"/>
            <w:noWrap/>
            <w:vAlign w:val="center"/>
            <w:hideMark/>
          </w:tcPr>
          <w:p w14:paraId="441D2C76"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2.46</w:t>
            </w:r>
          </w:p>
        </w:tc>
        <w:tc>
          <w:tcPr>
            <w:tcW w:w="265" w:type="pct"/>
            <w:tcBorders>
              <w:left w:val="single" w:sz="4" w:space="0" w:color="auto"/>
            </w:tcBorders>
            <w:shd w:val="clear" w:color="auto" w:fill="auto"/>
            <w:noWrap/>
            <w:vAlign w:val="center"/>
            <w:hideMark/>
          </w:tcPr>
          <w:p w14:paraId="2E3F7BDE"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0.88</w:t>
            </w:r>
          </w:p>
        </w:tc>
        <w:tc>
          <w:tcPr>
            <w:tcW w:w="306" w:type="pct"/>
            <w:shd w:val="clear" w:color="auto" w:fill="auto"/>
            <w:noWrap/>
            <w:vAlign w:val="center"/>
            <w:hideMark/>
          </w:tcPr>
          <w:p w14:paraId="547FB4AF"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0.78</w:t>
            </w:r>
          </w:p>
        </w:tc>
        <w:tc>
          <w:tcPr>
            <w:tcW w:w="281" w:type="pct"/>
            <w:shd w:val="clear" w:color="auto" w:fill="auto"/>
            <w:noWrap/>
            <w:vAlign w:val="center"/>
            <w:hideMark/>
          </w:tcPr>
          <w:p w14:paraId="424390E4"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2.55</w:t>
            </w:r>
          </w:p>
        </w:tc>
        <w:tc>
          <w:tcPr>
            <w:tcW w:w="265" w:type="pct"/>
            <w:shd w:val="clear" w:color="auto" w:fill="auto"/>
            <w:noWrap/>
            <w:vAlign w:val="center"/>
            <w:hideMark/>
          </w:tcPr>
          <w:p w14:paraId="351A4336"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1.73</w:t>
            </w:r>
          </w:p>
        </w:tc>
        <w:tc>
          <w:tcPr>
            <w:tcW w:w="281" w:type="pct"/>
            <w:shd w:val="clear" w:color="auto" w:fill="auto"/>
            <w:noWrap/>
            <w:vAlign w:val="center"/>
            <w:hideMark/>
          </w:tcPr>
          <w:p w14:paraId="4B9133ED"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2.67</w:t>
            </w:r>
          </w:p>
        </w:tc>
        <w:tc>
          <w:tcPr>
            <w:tcW w:w="265" w:type="pct"/>
            <w:shd w:val="clear" w:color="auto" w:fill="auto"/>
            <w:noWrap/>
            <w:vAlign w:val="center"/>
            <w:hideMark/>
          </w:tcPr>
          <w:p w14:paraId="1C81E59D"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1.43</w:t>
            </w:r>
          </w:p>
        </w:tc>
        <w:tc>
          <w:tcPr>
            <w:tcW w:w="417" w:type="pct"/>
            <w:shd w:val="clear" w:color="auto" w:fill="auto"/>
            <w:noWrap/>
            <w:vAlign w:val="center"/>
            <w:hideMark/>
          </w:tcPr>
          <w:p w14:paraId="3E527BB2"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1.78</w:t>
            </w:r>
          </w:p>
        </w:tc>
        <w:tc>
          <w:tcPr>
            <w:tcW w:w="398" w:type="pct"/>
            <w:shd w:val="clear" w:color="auto" w:fill="auto"/>
            <w:noWrap/>
            <w:vAlign w:val="center"/>
            <w:hideMark/>
          </w:tcPr>
          <w:p w14:paraId="7D603653"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25.02</w:t>
            </w:r>
          </w:p>
        </w:tc>
      </w:tr>
      <w:tr w:rsidR="000D6BCB" w:rsidRPr="0065228D" w14:paraId="46F02028" w14:textId="77777777" w:rsidTr="00AF342A">
        <w:trPr>
          <w:trHeight w:val="454"/>
        </w:trPr>
        <w:tc>
          <w:tcPr>
            <w:tcW w:w="195" w:type="pct"/>
            <w:vMerge/>
            <w:tcBorders>
              <w:bottom w:val="single" w:sz="4" w:space="0" w:color="auto"/>
            </w:tcBorders>
          </w:tcPr>
          <w:p w14:paraId="13B07592" w14:textId="77777777" w:rsidR="000D6BCB" w:rsidRPr="0065228D" w:rsidRDefault="000D6BCB" w:rsidP="00835A65">
            <w:pPr>
              <w:rPr>
                <w:rFonts w:ascii="Times New Roman" w:hAnsi="Times New Roman" w:cs="Times New Roman"/>
              </w:rPr>
            </w:pPr>
          </w:p>
        </w:tc>
        <w:tc>
          <w:tcPr>
            <w:tcW w:w="638" w:type="pct"/>
            <w:tcBorders>
              <w:bottom w:val="single" w:sz="4" w:space="0" w:color="auto"/>
              <w:right w:val="single" w:sz="4" w:space="0" w:color="auto"/>
            </w:tcBorders>
            <w:noWrap/>
            <w:vAlign w:val="center"/>
            <w:hideMark/>
          </w:tcPr>
          <w:p w14:paraId="7B245907" w14:textId="59F7D4ED" w:rsidR="000D6BCB" w:rsidRPr="0065228D" w:rsidRDefault="000D6BCB" w:rsidP="00835A65">
            <w:pPr>
              <w:rPr>
                <w:rFonts w:ascii="Times New Roman" w:hAnsi="Times New Roman" w:cs="Times New Roman"/>
              </w:rPr>
            </w:pPr>
            <w:r w:rsidRPr="0065228D">
              <w:rPr>
                <w:rFonts w:ascii="Times New Roman" w:hAnsi="Times New Roman" w:cs="Times New Roman"/>
              </w:rPr>
              <w:t>FTT</w:t>
            </w:r>
          </w:p>
        </w:tc>
        <w:tc>
          <w:tcPr>
            <w:tcW w:w="280" w:type="pct"/>
            <w:tcBorders>
              <w:left w:val="single" w:sz="4" w:space="0" w:color="auto"/>
              <w:bottom w:val="single" w:sz="4" w:space="0" w:color="auto"/>
            </w:tcBorders>
            <w:shd w:val="clear" w:color="auto" w:fill="auto"/>
            <w:noWrap/>
            <w:vAlign w:val="center"/>
            <w:hideMark/>
          </w:tcPr>
          <w:p w14:paraId="3C78614C"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6.94</w:t>
            </w:r>
          </w:p>
        </w:tc>
        <w:tc>
          <w:tcPr>
            <w:tcW w:w="264" w:type="pct"/>
            <w:tcBorders>
              <w:bottom w:val="single" w:sz="4" w:space="0" w:color="auto"/>
            </w:tcBorders>
            <w:shd w:val="clear" w:color="auto" w:fill="auto"/>
            <w:noWrap/>
            <w:vAlign w:val="center"/>
            <w:hideMark/>
          </w:tcPr>
          <w:p w14:paraId="71396EE8"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7.48</w:t>
            </w:r>
          </w:p>
        </w:tc>
        <w:tc>
          <w:tcPr>
            <w:tcW w:w="281" w:type="pct"/>
            <w:tcBorders>
              <w:bottom w:val="single" w:sz="4" w:space="0" w:color="auto"/>
              <w:right w:val="single" w:sz="4" w:space="0" w:color="auto"/>
            </w:tcBorders>
            <w:shd w:val="clear" w:color="auto" w:fill="auto"/>
            <w:noWrap/>
            <w:vAlign w:val="center"/>
            <w:hideMark/>
          </w:tcPr>
          <w:p w14:paraId="4360B35E"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8.77</w:t>
            </w:r>
          </w:p>
        </w:tc>
        <w:tc>
          <w:tcPr>
            <w:tcW w:w="281" w:type="pct"/>
            <w:tcBorders>
              <w:left w:val="single" w:sz="4" w:space="0" w:color="auto"/>
              <w:bottom w:val="single" w:sz="4" w:space="0" w:color="auto"/>
            </w:tcBorders>
            <w:shd w:val="clear" w:color="auto" w:fill="auto"/>
            <w:noWrap/>
            <w:vAlign w:val="center"/>
            <w:hideMark/>
          </w:tcPr>
          <w:p w14:paraId="6FCDE501"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14.89</w:t>
            </w:r>
          </w:p>
        </w:tc>
        <w:tc>
          <w:tcPr>
            <w:tcW w:w="306" w:type="pct"/>
            <w:tcBorders>
              <w:bottom w:val="single" w:sz="4" w:space="0" w:color="auto"/>
            </w:tcBorders>
            <w:shd w:val="clear" w:color="auto" w:fill="auto"/>
            <w:noWrap/>
            <w:vAlign w:val="center"/>
            <w:hideMark/>
          </w:tcPr>
          <w:p w14:paraId="48D7389F"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1.30</w:t>
            </w:r>
          </w:p>
        </w:tc>
        <w:tc>
          <w:tcPr>
            <w:tcW w:w="281" w:type="pct"/>
            <w:tcBorders>
              <w:bottom w:val="single" w:sz="4" w:space="0" w:color="auto"/>
              <w:right w:val="single" w:sz="4" w:space="0" w:color="auto"/>
            </w:tcBorders>
            <w:shd w:val="clear" w:color="auto" w:fill="auto"/>
            <w:noWrap/>
            <w:vAlign w:val="center"/>
            <w:hideMark/>
          </w:tcPr>
          <w:p w14:paraId="03A3FCEA"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33.74</w:t>
            </w:r>
          </w:p>
        </w:tc>
        <w:tc>
          <w:tcPr>
            <w:tcW w:w="265" w:type="pct"/>
            <w:tcBorders>
              <w:left w:val="single" w:sz="4" w:space="0" w:color="auto"/>
              <w:bottom w:val="single" w:sz="4" w:space="0" w:color="auto"/>
            </w:tcBorders>
            <w:shd w:val="clear" w:color="auto" w:fill="auto"/>
            <w:noWrap/>
            <w:vAlign w:val="center"/>
            <w:hideMark/>
          </w:tcPr>
          <w:p w14:paraId="452A459E"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1.52</w:t>
            </w:r>
          </w:p>
        </w:tc>
        <w:tc>
          <w:tcPr>
            <w:tcW w:w="306" w:type="pct"/>
            <w:tcBorders>
              <w:bottom w:val="single" w:sz="4" w:space="0" w:color="auto"/>
            </w:tcBorders>
            <w:shd w:val="clear" w:color="auto" w:fill="auto"/>
            <w:noWrap/>
            <w:vAlign w:val="center"/>
            <w:hideMark/>
          </w:tcPr>
          <w:p w14:paraId="01BDA97A"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0.73</w:t>
            </w:r>
          </w:p>
        </w:tc>
        <w:tc>
          <w:tcPr>
            <w:tcW w:w="281" w:type="pct"/>
            <w:tcBorders>
              <w:bottom w:val="single" w:sz="4" w:space="0" w:color="auto"/>
            </w:tcBorders>
            <w:shd w:val="clear" w:color="auto" w:fill="auto"/>
            <w:noWrap/>
            <w:vAlign w:val="center"/>
            <w:hideMark/>
          </w:tcPr>
          <w:p w14:paraId="641B5016"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16.45</w:t>
            </w:r>
          </w:p>
        </w:tc>
        <w:tc>
          <w:tcPr>
            <w:tcW w:w="265" w:type="pct"/>
            <w:tcBorders>
              <w:bottom w:val="single" w:sz="4" w:space="0" w:color="auto"/>
            </w:tcBorders>
            <w:shd w:val="clear" w:color="auto" w:fill="auto"/>
            <w:noWrap/>
            <w:vAlign w:val="center"/>
            <w:hideMark/>
          </w:tcPr>
          <w:p w14:paraId="06DC40A1"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1.98</w:t>
            </w:r>
          </w:p>
        </w:tc>
        <w:tc>
          <w:tcPr>
            <w:tcW w:w="281" w:type="pct"/>
            <w:tcBorders>
              <w:bottom w:val="single" w:sz="4" w:space="0" w:color="auto"/>
            </w:tcBorders>
            <w:shd w:val="clear" w:color="auto" w:fill="auto"/>
            <w:noWrap/>
            <w:vAlign w:val="center"/>
            <w:hideMark/>
          </w:tcPr>
          <w:p w14:paraId="4AA8026E"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3.22</w:t>
            </w:r>
          </w:p>
        </w:tc>
        <w:tc>
          <w:tcPr>
            <w:tcW w:w="265" w:type="pct"/>
            <w:tcBorders>
              <w:bottom w:val="single" w:sz="4" w:space="0" w:color="auto"/>
            </w:tcBorders>
            <w:shd w:val="clear" w:color="auto" w:fill="auto"/>
            <w:noWrap/>
            <w:vAlign w:val="center"/>
            <w:hideMark/>
          </w:tcPr>
          <w:p w14:paraId="2A721AAB"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0.72</w:t>
            </w:r>
          </w:p>
        </w:tc>
        <w:tc>
          <w:tcPr>
            <w:tcW w:w="417" w:type="pct"/>
            <w:tcBorders>
              <w:bottom w:val="single" w:sz="4" w:space="0" w:color="auto"/>
            </w:tcBorders>
            <w:shd w:val="clear" w:color="auto" w:fill="auto"/>
            <w:noWrap/>
            <w:vAlign w:val="center"/>
            <w:hideMark/>
          </w:tcPr>
          <w:p w14:paraId="7675CA64"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2.25</w:t>
            </w:r>
          </w:p>
        </w:tc>
        <w:tc>
          <w:tcPr>
            <w:tcW w:w="398" w:type="pct"/>
            <w:tcBorders>
              <w:bottom w:val="single" w:sz="4" w:space="0" w:color="auto"/>
            </w:tcBorders>
            <w:shd w:val="clear" w:color="auto" w:fill="auto"/>
            <w:noWrap/>
            <w:vAlign w:val="center"/>
            <w:hideMark/>
          </w:tcPr>
          <w:p w14:paraId="1FE247FB"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66.26</w:t>
            </w:r>
          </w:p>
        </w:tc>
      </w:tr>
      <w:tr w:rsidR="000D6BCB" w:rsidRPr="0065228D" w14:paraId="3F7A1033" w14:textId="77777777" w:rsidTr="00AF342A">
        <w:trPr>
          <w:trHeight w:val="454"/>
        </w:trPr>
        <w:tc>
          <w:tcPr>
            <w:tcW w:w="195" w:type="pct"/>
            <w:tcBorders>
              <w:top w:val="single" w:sz="4" w:space="0" w:color="auto"/>
            </w:tcBorders>
          </w:tcPr>
          <w:p w14:paraId="21C001AB" w14:textId="77777777" w:rsidR="000D6BCB" w:rsidRPr="0065228D" w:rsidRDefault="000D6BCB" w:rsidP="00835A65">
            <w:pPr>
              <w:rPr>
                <w:rFonts w:ascii="Times New Roman" w:hAnsi="Times New Roman" w:cs="Times New Roman"/>
              </w:rPr>
            </w:pPr>
          </w:p>
        </w:tc>
        <w:tc>
          <w:tcPr>
            <w:tcW w:w="638" w:type="pct"/>
            <w:tcBorders>
              <w:top w:val="single" w:sz="4" w:space="0" w:color="auto"/>
              <w:right w:val="single" w:sz="4" w:space="0" w:color="auto"/>
            </w:tcBorders>
            <w:noWrap/>
            <w:vAlign w:val="center"/>
            <w:hideMark/>
          </w:tcPr>
          <w:p w14:paraId="050E6C50" w14:textId="739B23F9" w:rsidR="000D6BCB" w:rsidRPr="0065228D" w:rsidRDefault="000D6BCB" w:rsidP="00835A65">
            <w:pPr>
              <w:rPr>
                <w:rFonts w:ascii="Times New Roman" w:hAnsi="Times New Roman" w:cs="Times New Roman"/>
              </w:rPr>
            </w:pPr>
            <w:r w:rsidRPr="0065228D">
              <w:rPr>
                <w:rFonts w:ascii="Times New Roman" w:hAnsi="Times New Roman" w:cs="Times New Roman"/>
              </w:rPr>
              <w:t>Gold</w:t>
            </w:r>
          </w:p>
        </w:tc>
        <w:tc>
          <w:tcPr>
            <w:tcW w:w="280" w:type="pct"/>
            <w:tcBorders>
              <w:top w:val="single" w:sz="4" w:space="0" w:color="auto"/>
              <w:left w:val="single" w:sz="4" w:space="0" w:color="auto"/>
            </w:tcBorders>
            <w:shd w:val="clear" w:color="auto" w:fill="auto"/>
            <w:noWrap/>
            <w:vAlign w:val="center"/>
            <w:hideMark/>
          </w:tcPr>
          <w:p w14:paraId="155DDB02"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1.75</w:t>
            </w:r>
          </w:p>
        </w:tc>
        <w:tc>
          <w:tcPr>
            <w:tcW w:w="264" w:type="pct"/>
            <w:tcBorders>
              <w:top w:val="single" w:sz="4" w:space="0" w:color="auto"/>
            </w:tcBorders>
            <w:shd w:val="clear" w:color="auto" w:fill="auto"/>
            <w:noWrap/>
            <w:vAlign w:val="center"/>
            <w:hideMark/>
          </w:tcPr>
          <w:p w14:paraId="4CA79A11"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1.66</w:t>
            </w:r>
          </w:p>
        </w:tc>
        <w:tc>
          <w:tcPr>
            <w:tcW w:w="281" w:type="pct"/>
            <w:tcBorders>
              <w:top w:val="single" w:sz="4" w:space="0" w:color="auto"/>
              <w:right w:val="single" w:sz="4" w:space="0" w:color="auto"/>
            </w:tcBorders>
            <w:shd w:val="clear" w:color="auto" w:fill="auto"/>
            <w:noWrap/>
            <w:vAlign w:val="center"/>
            <w:hideMark/>
          </w:tcPr>
          <w:p w14:paraId="54CE5CCF"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1.76</w:t>
            </w:r>
          </w:p>
        </w:tc>
        <w:tc>
          <w:tcPr>
            <w:tcW w:w="281" w:type="pct"/>
            <w:tcBorders>
              <w:top w:val="single" w:sz="4" w:space="0" w:color="auto"/>
              <w:left w:val="single" w:sz="4" w:space="0" w:color="auto"/>
            </w:tcBorders>
            <w:shd w:val="clear" w:color="auto" w:fill="auto"/>
            <w:noWrap/>
            <w:vAlign w:val="center"/>
            <w:hideMark/>
          </w:tcPr>
          <w:p w14:paraId="0BCB5ADA"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2.81</w:t>
            </w:r>
          </w:p>
        </w:tc>
        <w:tc>
          <w:tcPr>
            <w:tcW w:w="306" w:type="pct"/>
            <w:tcBorders>
              <w:top w:val="single" w:sz="4" w:space="0" w:color="auto"/>
            </w:tcBorders>
            <w:shd w:val="clear" w:color="auto" w:fill="auto"/>
            <w:noWrap/>
            <w:vAlign w:val="center"/>
            <w:hideMark/>
          </w:tcPr>
          <w:p w14:paraId="13691505"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1.18</w:t>
            </w:r>
          </w:p>
        </w:tc>
        <w:tc>
          <w:tcPr>
            <w:tcW w:w="281" w:type="pct"/>
            <w:tcBorders>
              <w:top w:val="single" w:sz="4" w:space="0" w:color="auto"/>
              <w:right w:val="single" w:sz="4" w:space="0" w:color="auto"/>
            </w:tcBorders>
            <w:shd w:val="clear" w:color="auto" w:fill="auto"/>
            <w:noWrap/>
            <w:vAlign w:val="center"/>
            <w:hideMark/>
          </w:tcPr>
          <w:p w14:paraId="415820A8"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3.07</w:t>
            </w:r>
          </w:p>
        </w:tc>
        <w:tc>
          <w:tcPr>
            <w:tcW w:w="265" w:type="pct"/>
            <w:tcBorders>
              <w:top w:val="single" w:sz="4" w:space="0" w:color="auto"/>
              <w:left w:val="single" w:sz="4" w:space="0" w:color="auto"/>
            </w:tcBorders>
            <w:shd w:val="clear" w:color="auto" w:fill="auto"/>
            <w:noWrap/>
            <w:vAlign w:val="center"/>
            <w:hideMark/>
          </w:tcPr>
          <w:p w14:paraId="6CE99D94"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56.38</w:t>
            </w:r>
          </w:p>
        </w:tc>
        <w:tc>
          <w:tcPr>
            <w:tcW w:w="306" w:type="pct"/>
            <w:tcBorders>
              <w:top w:val="single" w:sz="4" w:space="0" w:color="auto"/>
            </w:tcBorders>
            <w:shd w:val="clear" w:color="auto" w:fill="auto"/>
            <w:noWrap/>
            <w:vAlign w:val="center"/>
            <w:hideMark/>
          </w:tcPr>
          <w:p w14:paraId="594F1AB8"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2.30</w:t>
            </w:r>
          </w:p>
        </w:tc>
        <w:tc>
          <w:tcPr>
            <w:tcW w:w="281" w:type="pct"/>
            <w:tcBorders>
              <w:top w:val="single" w:sz="4" w:space="0" w:color="auto"/>
            </w:tcBorders>
            <w:shd w:val="clear" w:color="auto" w:fill="auto"/>
            <w:noWrap/>
            <w:vAlign w:val="center"/>
            <w:hideMark/>
          </w:tcPr>
          <w:p w14:paraId="4AC0EAAC"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3.83</w:t>
            </w:r>
          </w:p>
        </w:tc>
        <w:tc>
          <w:tcPr>
            <w:tcW w:w="265" w:type="pct"/>
            <w:tcBorders>
              <w:top w:val="single" w:sz="4" w:space="0" w:color="auto"/>
            </w:tcBorders>
            <w:shd w:val="clear" w:color="auto" w:fill="auto"/>
            <w:noWrap/>
            <w:vAlign w:val="center"/>
            <w:hideMark/>
          </w:tcPr>
          <w:p w14:paraId="65F79C8D"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1.99</w:t>
            </w:r>
          </w:p>
        </w:tc>
        <w:tc>
          <w:tcPr>
            <w:tcW w:w="281" w:type="pct"/>
            <w:tcBorders>
              <w:top w:val="single" w:sz="4" w:space="0" w:color="auto"/>
            </w:tcBorders>
            <w:shd w:val="clear" w:color="auto" w:fill="auto"/>
            <w:noWrap/>
            <w:vAlign w:val="center"/>
            <w:hideMark/>
          </w:tcPr>
          <w:p w14:paraId="673DC5C8"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3.81</w:t>
            </w:r>
          </w:p>
        </w:tc>
        <w:tc>
          <w:tcPr>
            <w:tcW w:w="265" w:type="pct"/>
            <w:tcBorders>
              <w:top w:val="single" w:sz="4" w:space="0" w:color="auto"/>
            </w:tcBorders>
            <w:shd w:val="clear" w:color="auto" w:fill="auto"/>
            <w:noWrap/>
            <w:vAlign w:val="center"/>
            <w:hideMark/>
          </w:tcPr>
          <w:p w14:paraId="47D96D76"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8.07</w:t>
            </w:r>
          </w:p>
        </w:tc>
        <w:tc>
          <w:tcPr>
            <w:tcW w:w="417" w:type="pct"/>
            <w:tcBorders>
              <w:top w:val="single" w:sz="4" w:space="0" w:color="auto"/>
            </w:tcBorders>
            <w:shd w:val="clear" w:color="auto" w:fill="auto"/>
            <w:noWrap/>
            <w:vAlign w:val="center"/>
            <w:hideMark/>
          </w:tcPr>
          <w:p w14:paraId="7B491F9B"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11.39</w:t>
            </w:r>
          </w:p>
        </w:tc>
        <w:tc>
          <w:tcPr>
            <w:tcW w:w="398" w:type="pct"/>
            <w:tcBorders>
              <w:top w:val="single" w:sz="4" w:space="0" w:color="auto"/>
            </w:tcBorders>
            <w:shd w:val="clear" w:color="auto" w:fill="auto"/>
            <w:noWrap/>
            <w:vAlign w:val="center"/>
            <w:hideMark/>
          </w:tcPr>
          <w:p w14:paraId="3F4E720C"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43.62</w:t>
            </w:r>
          </w:p>
        </w:tc>
      </w:tr>
      <w:tr w:rsidR="000D6BCB" w:rsidRPr="0065228D" w14:paraId="119EBAE8" w14:textId="77777777" w:rsidTr="000D6BCB">
        <w:trPr>
          <w:trHeight w:val="454"/>
        </w:trPr>
        <w:tc>
          <w:tcPr>
            <w:tcW w:w="195" w:type="pct"/>
          </w:tcPr>
          <w:p w14:paraId="295B1E2F" w14:textId="77777777" w:rsidR="000D6BCB" w:rsidRPr="0065228D" w:rsidRDefault="000D6BCB" w:rsidP="00835A65">
            <w:pPr>
              <w:rPr>
                <w:rFonts w:ascii="Times New Roman" w:hAnsi="Times New Roman" w:cs="Times New Roman"/>
              </w:rPr>
            </w:pPr>
          </w:p>
        </w:tc>
        <w:tc>
          <w:tcPr>
            <w:tcW w:w="638" w:type="pct"/>
            <w:tcBorders>
              <w:right w:val="single" w:sz="4" w:space="0" w:color="auto"/>
            </w:tcBorders>
            <w:noWrap/>
            <w:vAlign w:val="center"/>
            <w:hideMark/>
          </w:tcPr>
          <w:p w14:paraId="48CC4633" w14:textId="5E0CBA7C" w:rsidR="000D6BCB" w:rsidRPr="0065228D" w:rsidRDefault="000D6BCB" w:rsidP="00835A65">
            <w:pPr>
              <w:rPr>
                <w:rFonts w:ascii="Times New Roman" w:hAnsi="Times New Roman" w:cs="Times New Roman"/>
              </w:rPr>
            </w:pPr>
            <w:r w:rsidRPr="0065228D">
              <w:rPr>
                <w:rFonts w:ascii="Times New Roman" w:hAnsi="Times New Roman" w:cs="Times New Roman"/>
              </w:rPr>
              <w:t>Oil</w:t>
            </w:r>
          </w:p>
        </w:tc>
        <w:tc>
          <w:tcPr>
            <w:tcW w:w="280" w:type="pct"/>
            <w:tcBorders>
              <w:left w:val="single" w:sz="4" w:space="0" w:color="auto"/>
            </w:tcBorders>
            <w:shd w:val="clear" w:color="auto" w:fill="auto"/>
            <w:noWrap/>
            <w:vAlign w:val="center"/>
            <w:hideMark/>
          </w:tcPr>
          <w:p w14:paraId="5FADEBEA"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1.94</w:t>
            </w:r>
          </w:p>
        </w:tc>
        <w:tc>
          <w:tcPr>
            <w:tcW w:w="264" w:type="pct"/>
            <w:shd w:val="clear" w:color="auto" w:fill="auto"/>
            <w:noWrap/>
            <w:vAlign w:val="center"/>
            <w:hideMark/>
          </w:tcPr>
          <w:p w14:paraId="2E406499"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2.28</w:t>
            </w:r>
          </w:p>
        </w:tc>
        <w:tc>
          <w:tcPr>
            <w:tcW w:w="281" w:type="pct"/>
            <w:tcBorders>
              <w:right w:val="single" w:sz="4" w:space="0" w:color="auto"/>
            </w:tcBorders>
            <w:shd w:val="clear" w:color="auto" w:fill="auto"/>
            <w:noWrap/>
            <w:vAlign w:val="center"/>
            <w:hideMark/>
          </w:tcPr>
          <w:p w14:paraId="77600D55"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2.09</w:t>
            </w:r>
          </w:p>
        </w:tc>
        <w:tc>
          <w:tcPr>
            <w:tcW w:w="281" w:type="pct"/>
            <w:tcBorders>
              <w:left w:val="single" w:sz="4" w:space="0" w:color="auto"/>
            </w:tcBorders>
            <w:shd w:val="clear" w:color="auto" w:fill="auto"/>
            <w:noWrap/>
            <w:vAlign w:val="center"/>
            <w:hideMark/>
          </w:tcPr>
          <w:p w14:paraId="3AEC6838"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1.37</w:t>
            </w:r>
          </w:p>
        </w:tc>
        <w:tc>
          <w:tcPr>
            <w:tcW w:w="306" w:type="pct"/>
            <w:shd w:val="clear" w:color="auto" w:fill="auto"/>
            <w:noWrap/>
            <w:vAlign w:val="center"/>
            <w:hideMark/>
          </w:tcPr>
          <w:p w14:paraId="1A670D61"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0.49</w:t>
            </w:r>
          </w:p>
        </w:tc>
        <w:tc>
          <w:tcPr>
            <w:tcW w:w="281" w:type="pct"/>
            <w:tcBorders>
              <w:right w:val="single" w:sz="4" w:space="0" w:color="auto"/>
            </w:tcBorders>
            <w:shd w:val="clear" w:color="auto" w:fill="auto"/>
            <w:noWrap/>
            <w:vAlign w:val="center"/>
            <w:hideMark/>
          </w:tcPr>
          <w:p w14:paraId="7E78FE54"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1.70</w:t>
            </w:r>
          </w:p>
        </w:tc>
        <w:tc>
          <w:tcPr>
            <w:tcW w:w="265" w:type="pct"/>
            <w:tcBorders>
              <w:left w:val="single" w:sz="4" w:space="0" w:color="auto"/>
            </w:tcBorders>
            <w:shd w:val="clear" w:color="auto" w:fill="auto"/>
            <w:noWrap/>
            <w:vAlign w:val="center"/>
            <w:hideMark/>
          </w:tcPr>
          <w:p w14:paraId="02C1D049"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2.42</w:t>
            </w:r>
          </w:p>
        </w:tc>
        <w:tc>
          <w:tcPr>
            <w:tcW w:w="306" w:type="pct"/>
            <w:shd w:val="clear" w:color="auto" w:fill="auto"/>
            <w:noWrap/>
            <w:vAlign w:val="center"/>
            <w:hideMark/>
          </w:tcPr>
          <w:p w14:paraId="6060260F"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71.31</w:t>
            </w:r>
          </w:p>
        </w:tc>
        <w:tc>
          <w:tcPr>
            <w:tcW w:w="281" w:type="pct"/>
            <w:shd w:val="clear" w:color="auto" w:fill="auto"/>
            <w:noWrap/>
            <w:vAlign w:val="center"/>
            <w:hideMark/>
          </w:tcPr>
          <w:p w14:paraId="63A0E75D"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1.60</w:t>
            </w:r>
          </w:p>
        </w:tc>
        <w:tc>
          <w:tcPr>
            <w:tcW w:w="265" w:type="pct"/>
            <w:shd w:val="clear" w:color="auto" w:fill="auto"/>
            <w:noWrap/>
            <w:vAlign w:val="center"/>
            <w:hideMark/>
          </w:tcPr>
          <w:p w14:paraId="2ED8CA6E"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2.61</w:t>
            </w:r>
          </w:p>
        </w:tc>
        <w:tc>
          <w:tcPr>
            <w:tcW w:w="281" w:type="pct"/>
            <w:shd w:val="clear" w:color="auto" w:fill="auto"/>
            <w:noWrap/>
            <w:vAlign w:val="center"/>
            <w:hideMark/>
          </w:tcPr>
          <w:p w14:paraId="4DDAAA2A"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7.23</w:t>
            </w:r>
          </w:p>
        </w:tc>
        <w:tc>
          <w:tcPr>
            <w:tcW w:w="265" w:type="pct"/>
            <w:shd w:val="clear" w:color="auto" w:fill="auto"/>
            <w:noWrap/>
            <w:vAlign w:val="center"/>
            <w:hideMark/>
          </w:tcPr>
          <w:p w14:paraId="58BEDCAE"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2.57</w:t>
            </w:r>
          </w:p>
        </w:tc>
        <w:tc>
          <w:tcPr>
            <w:tcW w:w="417" w:type="pct"/>
            <w:shd w:val="clear" w:color="auto" w:fill="auto"/>
            <w:noWrap/>
            <w:vAlign w:val="center"/>
            <w:hideMark/>
          </w:tcPr>
          <w:p w14:paraId="2D24EDBB"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2.39</w:t>
            </w:r>
          </w:p>
        </w:tc>
        <w:tc>
          <w:tcPr>
            <w:tcW w:w="398" w:type="pct"/>
            <w:shd w:val="clear" w:color="auto" w:fill="auto"/>
            <w:noWrap/>
            <w:vAlign w:val="center"/>
            <w:hideMark/>
          </w:tcPr>
          <w:p w14:paraId="7CC0F5B2"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28.69</w:t>
            </w:r>
          </w:p>
        </w:tc>
      </w:tr>
      <w:tr w:rsidR="000D6BCB" w:rsidRPr="0065228D" w14:paraId="73E4D099" w14:textId="77777777" w:rsidTr="000D6BCB">
        <w:trPr>
          <w:trHeight w:val="454"/>
        </w:trPr>
        <w:tc>
          <w:tcPr>
            <w:tcW w:w="195" w:type="pct"/>
          </w:tcPr>
          <w:p w14:paraId="03D8915C" w14:textId="77777777" w:rsidR="000D6BCB" w:rsidRPr="0065228D" w:rsidRDefault="000D6BCB" w:rsidP="00835A65">
            <w:pPr>
              <w:rPr>
                <w:rFonts w:ascii="Times New Roman" w:hAnsi="Times New Roman" w:cs="Times New Roman"/>
              </w:rPr>
            </w:pPr>
          </w:p>
        </w:tc>
        <w:tc>
          <w:tcPr>
            <w:tcW w:w="638" w:type="pct"/>
            <w:tcBorders>
              <w:right w:val="single" w:sz="4" w:space="0" w:color="auto"/>
            </w:tcBorders>
            <w:noWrap/>
            <w:vAlign w:val="center"/>
            <w:hideMark/>
          </w:tcPr>
          <w:p w14:paraId="117518E5" w14:textId="27A1C392" w:rsidR="000D6BCB" w:rsidRPr="0065228D" w:rsidRDefault="000D6BCB" w:rsidP="00835A65">
            <w:pPr>
              <w:rPr>
                <w:rFonts w:ascii="Times New Roman" w:hAnsi="Times New Roman" w:cs="Times New Roman"/>
              </w:rPr>
            </w:pPr>
            <w:r w:rsidRPr="0065228D">
              <w:rPr>
                <w:rFonts w:ascii="Times New Roman" w:hAnsi="Times New Roman" w:cs="Times New Roman"/>
              </w:rPr>
              <w:t>BTC</w:t>
            </w:r>
          </w:p>
        </w:tc>
        <w:tc>
          <w:tcPr>
            <w:tcW w:w="280" w:type="pct"/>
            <w:tcBorders>
              <w:left w:val="single" w:sz="4" w:space="0" w:color="auto"/>
            </w:tcBorders>
            <w:shd w:val="clear" w:color="auto" w:fill="auto"/>
            <w:noWrap/>
            <w:vAlign w:val="center"/>
            <w:hideMark/>
          </w:tcPr>
          <w:p w14:paraId="5448CF06"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7.13</w:t>
            </w:r>
          </w:p>
        </w:tc>
        <w:tc>
          <w:tcPr>
            <w:tcW w:w="264" w:type="pct"/>
            <w:shd w:val="clear" w:color="auto" w:fill="auto"/>
            <w:noWrap/>
            <w:vAlign w:val="center"/>
            <w:hideMark/>
          </w:tcPr>
          <w:p w14:paraId="083AFE1D"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7.61</w:t>
            </w:r>
          </w:p>
        </w:tc>
        <w:tc>
          <w:tcPr>
            <w:tcW w:w="281" w:type="pct"/>
            <w:tcBorders>
              <w:right w:val="single" w:sz="4" w:space="0" w:color="auto"/>
            </w:tcBorders>
            <w:shd w:val="clear" w:color="auto" w:fill="auto"/>
            <w:noWrap/>
            <w:vAlign w:val="center"/>
            <w:hideMark/>
          </w:tcPr>
          <w:p w14:paraId="5A334559"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10.41</w:t>
            </w:r>
          </w:p>
        </w:tc>
        <w:tc>
          <w:tcPr>
            <w:tcW w:w="281" w:type="pct"/>
            <w:tcBorders>
              <w:left w:val="single" w:sz="4" w:space="0" w:color="auto"/>
            </w:tcBorders>
            <w:shd w:val="clear" w:color="auto" w:fill="auto"/>
            <w:noWrap/>
            <w:vAlign w:val="center"/>
            <w:hideMark/>
          </w:tcPr>
          <w:p w14:paraId="7BF8449D"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14.53</w:t>
            </w:r>
          </w:p>
        </w:tc>
        <w:tc>
          <w:tcPr>
            <w:tcW w:w="306" w:type="pct"/>
            <w:shd w:val="clear" w:color="auto" w:fill="auto"/>
            <w:noWrap/>
            <w:vAlign w:val="center"/>
            <w:hideMark/>
          </w:tcPr>
          <w:p w14:paraId="7E6D40B4"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0.96</w:t>
            </w:r>
          </w:p>
        </w:tc>
        <w:tc>
          <w:tcPr>
            <w:tcW w:w="281" w:type="pct"/>
            <w:tcBorders>
              <w:right w:val="single" w:sz="4" w:space="0" w:color="auto"/>
            </w:tcBorders>
            <w:shd w:val="clear" w:color="auto" w:fill="auto"/>
            <w:noWrap/>
            <w:vAlign w:val="center"/>
            <w:hideMark/>
          </w:tcPr>
          <w:p w14:paraId="40583B64"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16.29</w:t>
            </w:r>
          </w:p>
        </w:tc>
        <w:tc>
          <w:tcPr>
            <w:tcW w:w="265" w:type="pct"/>
            <w:tcBorders>
              <w:left w:val="single" w:sz="4" w:space="0" w:color="auto"/>
            </w:tcBorders>
            <w:shd w:val="clear" w:color="auto" w:fill="auto"/>
            <w:noWrap/>
            <w:vAlign w:val="center"/>
            <w:hideMark/>
          </w:tcPr>
          <w:p w14:paraId="13EB4ADD"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2.06</w:t>
            </w:r>
          </w:p>
        </w:tc>
        <w:tc>
          <w:tcPr>
            <w:tcW w:w="306" w:type="pct"/>
            <w:shd w:val="clear" w:color="auto" w:fill="auto"/>
            <w:noWrap/>
            <w:vAlign w:val="center"/>
            <w:hideMark/>
          </w:tcPr>
          <w:p w14:paraId="44A3CA77"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0.47</w:t>
            </w:r>
          </w:p>
        </w:tc>
        <w:tc>
          <w:tcPr>
            <w:tcW w:w="281" w:type="pct"/>
            <w:shd w:val="clear" w:color="auto" w:fill="auto"/>
            <w:noWrap/>
            <w:vAlign w:val="center"/>
            <w:hideMark/>
          </w:tcPr>
          <w:p w14:paraId="5A9B0A53"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31.32</w:t>
            </w:r>
          </w:p>
        </w:tc>
        <w:tc>
          <w:tcPr>
            <w:tcW w:w="265" w:type="pct"/>
            <w:shd w:val="clear" w:color="auto" w:fill="auto"/>
            <w:noWrap/>
            <w:vAlign w:val="center"/>
            <w:hideMark/>
          </w:tcPr>
          <w:p w14:paraId="08E7FCDB"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2.14</w:t>
            </w:r>
          </w:p>
        </w:tc>
        <w:tc>
          <w:tcPr>
            <w:tcW w:w="281" w:type="pct"/>
            <w:shd w:val="clear" w:color="auto" w:fill="auto"/>
            <w:noWrap/>
            <w:vAlign w:val="center"/>
            <w:hideMark/>
          </w:tcPr>
          <w:p w14:paraId="46DC03D9"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4.09</w:t>
            </w:r>
          </w:p>
        </w:tc>
        <w:tc>
          <w:tcPr>
            <w:tcW w:w="265" w:type="pct"/>
            <w:shd w:val="clear" w:color="auto" w:fill="auto"/>
            <w:noWrap/>
            <w:vAlign w:val="center"/>
            <w:hideMark/>
          </w:tcPr>
          <w:p w14:paraId="018C6EB5"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1.00</w:t>
            </w:r>
          </w:p>
        </w:tc>
        <w:tc>
          <w:tcPr>
            <w:tcW w:w="417" w:type="pct"/>
            <w:shd w:val="clear" w:color="auto" w:fill="auto"/>
            <w:noWrap/>
            <w:vAlign w:val="center"/>
            <w:hideMark/>
          </w:tcPr>
          <w:p w14:paraId="037FC530"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2.00</w:t>
            </w:r>
          </w:p>
        </w:tc>
        <w:tc>
          <w:tcPr>
            <w:tcW w:w="398" w:type="pct"/>
            <w:shd w:val="clear" w:color="auto" w:fill="auto"/>
            <w:noWrap/>
            <w:vAlign w:val="center"/>
            <w:hideMark/>
          </w:tcPr>
          <w:p w14:paraId="57BC7517"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68.68</w:t>
            </w:r>
          </w:p>
        </w:tc>
      </w:tr>
      <w:tr w:rsidR="000D6BCB" w:rsidRPr="0065228D" w14:paraId="4741745E" w14:textId="77777777" w:rsidTr="000D6BCB">
        <w:trPr>
          <w:trHeight w:val="454"/>
        </w:trPr>
        <w:tc>
          <w:tcPr>
            <w:tcW w:w="195" w:type="pct"/>
          </w:tcPr>
          <w:p w14:paraId="76844E4C" w14:textId="77777777" w:rsidR="000D6BCB" w:rsidRPr="0065228D" w:rsidRDefault="000D6BCB" w:rsidP="00835A65">
            <w:pPr>
              <w:rPr>
                <w:rFonts w:ascii="Times New Roman" w:hAnsi="Times New Roman" w:cs="Times New Roman"/>
              </w:rPr>
            </w:pPr>
          </w:p>
        </w:tc>
        <w:tc>
          <w:tcPr>
            <w:tcW w:w="638" w:type="pct"/>
            <w:tcBorders>
              <w:right w:val="single" w:sz="4" w:space="0" w:color="auto"/>
            </w:tcBorders>
            <w:noWrap/>
            <w:vAlign w:val="center"/>
            <w:hideMark/>
          </w:tcPr>
          <w:p w14:paraId="2C2364FC" w14:textId="264D1751" w:rsidR="000D6BCB" w:rsidRPr="0065228D" w:rsidRDefault="000D6BCB" w:rsidP="00835A65">
            <w:pPr>
              <w:rPr>
                <w:rFonts w:ascii="Times New Roman" w:hAnsi="Times New Roman" w:cs="Times New Roman"/>
              </w:rPr>
            </w:pPr>
            <w:r w:rsidRPr="0065228D">
              <w:rPr>
                <w:rFonts w:ascii="Times New Roman" w:hAnsi="Times New Roman" w:cs="Times New Roman"/>
              </w:rPr>
              <w:t>REIT</w:t>
            </w:r>
          </w:p>
        </w:tc>
        <w:tc>
          <w:tcPr>
            <w:tcW w:w="280" w:type="pct"/>
            <w:tcBorders>
              <w:left w:val="single" w:sz="4" w:space="0" w:color="auto"/>
            </w:tcBorders>
            <w:shd w:val="clear" w:color="auto" w:fill="auto"/>
            <w:noWrap/>
            <w:vAlign w:val="center"/>
            <w:hideMark/>
          </w:tcPr>
          <w:p w14:paraId="64E5E47F"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1.99</w:t>
            </w:r>
          </w:p>
        </w:tc>
        <w:tc>
          <w:tcPr>
            <w:tcW w:w="264" w:type="pct"/>
            <w:shd w:val="clear" w:color="auto" w:fill="auto"/>
            <w:noWrap/>
            <w:vAlign w:val="center"/>
            <w:hideMark/>
          </w:tcPr>
          <w:p w14:paraId="627BCAE1"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2.39</w:t>
            </w:r>
          </w:p>
        </w:tc>
        <w:tc>
          <w:tcPr>
            <w:tcW w:w="281" w:type="pct"/>
            <w:tcBorders>
              <w:right w:val="single" w:sz="4" w:space="0" w:color="auto"/>
            </w:tcBorders>
            <w:shd w:val="clear" w:color="auto" w:fill="auto"/>
            <w:noWrap/>
            <w:vAlign w:val="center"/>
            <w:hideMark/>
          </w:tcPr>
          <w:p w14:paraId="42230569"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2.29</w:t>
            </w:r>
          </w:p>
        </w:tc>
        <w:tc>
          <w:tcPr>
            <w:tcW w:w="281" w:type="pct"/>
            <w:tcBorders>
              <w:left w:val="single" w:sz="4" w:space="0" w:color="auto"/>
            </w:tcBorders>
            <w:shd w:val="clear" w:color="auto" w:fill="auto"/>
            <w:noWrap/>
            <w:vAlign w:val="center"/>
            <w:hideMark/>
          </w:tcPr>
          <w:p w14:paraId="549367A8"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3.93</w:t>
            </w:r>
          </w:p>
        </w:tc>
        <w:tc>
          <w:tcPr>
            <w:tcW w:w="306" w:type="pct"/>
            <w:shd w:val="clear" w:color="auto" w:fill="auto"/>
            <w:noWrap/>
            <w:vAlign w:val="center"/>
            <w:hideMark/>
          </w:tcPr>
          <w:p w14:paraId="35FC820E"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1.03</w:t>
            </w:r>
          </w:p>
        </w:tc>
        <w:tc>
          <w:tcPr>
            <w:tcW w:w="281" w:type="pct"/>
            <w:tcBorders>
              <w:right w:val="single" w:sz="4" w:space="0" w:color="auto"/>
            </w:tcBorders>
            <w:shd w:val="clear" w:color="auto" w:fill="auto"/>
            <w:noWrap/>
            <w:vAlign w:val="center"/>
            <w:hideMark/>
          </w:tcPr>
          <w:p w14:paraId="33162DC0"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2.20</w:t>
            </w:r>
          </w:p>
        </w:tc>
        <w:tc>
          <w:tcPr>
            <w:tcW w:w="265" w:type="pct"/>
            <w:tcBorders>
              <w:left w:val="single" w:sz="4" w:space="0" w:color="auto"/>
            </w:tcBorders>
            <w:shd w:val="clear" w:color="auto" w:fill="auto"/>
            <w:noWrap/>
            <w:vAlign w:val="center"/>
            <w:hideMark/>
          </w:tcPr>
          <w:p w14:paraId="74E5F058"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2.38</w:t>
            </w:r>
          </w:p>
        </w:tc>
        <w:tc>
          <w:tcPr>
            <w:tcW w:w="306" w:type="pct"/>
            <w:shd w:val="clear" w:color="auto" w:fill="auto"/>
            <w:noWrap/>
            <w:vAlign w:val="center"/>
            <w:hideMark/>
          </w:tcPr>
          <w:p w14:paraId="344258C1"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1.94</w:t>
            </w:r>
          </w:p>
        </w:tc>
        <w:tc>
          <w:tcPr>
            <w:tcW w:w="281" w:type="pct"/>
            <w:shd w:val="clear" w:color="auto" w:fill="auto"/>
            <w:noWrap/>
            <w:vAlign w:val="center"/>
            <w:hideMark/>
          </w:tcPr>
          <w:p w14:paraId="7053B675"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3.27</w:t>
            </w:r>
          </w:p>
        </w:tc>
        <w:tc>
          <w:tcPr>
            <w:tcW w:w="265" w:type="pct"/>
            <w:shd w:val="clear" w:color="auto" w:fill="auto"/>
            <w:noWrap/>
            <w:vAlign w:val="center"/>
            <w:hideMark/>
          </w:tcPr>
          <w:p w14:paraId="568B983E"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50.13</w:t>
            </w:r>
          </w:p>
        </w:tc>
        <w:tc>
          <w:tcPr>
            <w:tcW w:w="281" w:type="pct"/>
            <w:shd w:val="clear" w:color="auto" w:fill="auto"/>
            <w:noWrap/>
            <w:vAlign w:val="center"/>
            <w:hideMark/>
          </w:tcPr>
          <w:p w14:paraId="445C7889"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22.42</w:t>
            </w:r>
          </w:p>
        </w:tc>
        <w:tc>
          <w:tcPr>
            <w:tcW w:w="265" w:type="pct"/>
            <w:shd w:val="clear" w:color="auto" w:fill="auto"/>
            <w:noWrap/>
            <w:vAlign w:val="center"/>
            <w:hideMark/>
          </w:tcPr>
          <w:p w14:paraId="2A88FCD5"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3.27</w:t>
            </w:r>
          </w:p>
        </w:tc>
        <w:tc>
          <w:tcPr>
            <w:tcW w:w="417" w:type="pct"/>
            <w:shd w:val="clear" w:color="auto" w:fill="auto"/>
            <w:noWrap/>
            <w:vAlign w:val="center"/>
            <w:hideMark/>
          </w:tcPr>
          <w:p w14:paraId="645841C8"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2.77</w:t>
            </w:r>
          </w:p>
        </w:tc>
        <w:tc>
          <w:tcPr>
            <w:tcW w:w="398" w:type="pct"/>
            <w:shd w:val="clear" w:color="auto" w:fill="auto"/>
            <w:noWrap/>
            <w:vAlign w:val="center"/>
            <w:hideMark/>
          </w:tcPr>
          <w:p w14:paraId="28E07DA9"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49.87</w:t>
            </w:r>
          </w:p>
        </w:tc>
      </w:tr>
      <w:tr w:rsidR="000D6BCB" w:rsidRPr="0065228D" w14:paraId="69230B56" w14:textId="77777777" w:rsidTr="000D6BCB">
        <w:trPr>
          <w:trHeight w:val="454"/>
        </w:trPr>
        <w:tc>
          <w:tcPr>
            <w:tcW w:w="195" w:type="pct"/>
          </w:tcPr>
          <w:p w14:paraId="7D0F0AE1" w14:textId="77777777" w:rsidR="000D6BCB" w:rsidRPr="0065228D" w:rsidRDefault="000D6BCB" w:rsidP="00835A65">
            <w:pPr>
              <w:rPr>
                <w:rFonts w:ascii="Times New Roman" w:hAnsi="Times New Roman" w:cs="Times New Roman"/>
              </w:rPr>
            </w:pPr>
          </w:p>
        </w:tc>
        <w:tc>
          <w:tcPr>
            <w:tcW w:w="638" w:type="pct"/>
            <w:tcBorders>
              <w:right w:val="single" w:sz="4" w:space="0" w:color="auto"/>
            </w:tcBorders>
            <w:noWrap/>
            <w:vAlign w:val="center"/>
            <w:hideMark/>
          </w:tcPr>
          <w:p w14:paraId="351A07ED" w14:textId="4CBCAB93" w:rsidR="000D6BCB" w:rsidRPr="0065228D" w:rsidRDefault="000D6BCB" w:rsidP="00835A65">
            <w:pPr>
              <w:rPr>
                <w:rFonts w:ascii="Times New Roman" w:hAnsi="Times New Roman" w:cs="Times New Roman"/>
              </w:rPr>
            </w:pPr>
            <w:r w:rsidRPr="0065228D">
              <w:rPr>
                <w:rFonts w:ascii="Times New Roman" w:hAnsi="Times New Roman" w:cs="Times New Roman"/>
              </w:rPr>
              <w:t>Equity</w:t>
            </w:r>
          </w:p>
        </w:tc>
        <w:tc>
          <w:tcPr>
            <w:tcW w:w="280" w:type="pct"/>
            <w:tcBorders>
              <w:left w:val="single" w:sz="4" w:space="0" w:color="auto"/>
            </w:tcBorders>
            <w:shd w:val="clear" w:color="auto" w:fill="auto"/>
            <w:noWrap/>
            <w:vAlign w:val="center"/>
            <w:hideMark/>
          </w:tcPr>
          <w:p w14:paraId="42AED767"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2.32</w:t>
            </w:r>
          </w:p>
        </w:tc>
        <w:tc>
          <w:tcPr>
            <w:tcW w:w="264" w:type="pct"/>
            <w:shd w:val="clear" w:color="auto" w:fill="auto"/>
            <w:noWrap/>
            <w:vAlign w:val="center"/>
            <w:hideMark/>
          </w:tcPr>
          <w:p w14:paraId="488A6F1F"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2.33</w:t>
            </w:r>
          </w:p>
        </w:tc>
        <w:tc>
          <w:tcPr>
            <w:tcW w:w="281" w:type="pct"/>
            <w:tcBorders>
              <w:right w:val="single" w:sz="4" w:space="0" w:color="auto"/>
            </w:tcBorders>
            <w:shd w:val="clear" w:color="auto" w:fill="auto"/>
            <w:noWrap/>
            <w:vAlign w:val="center"/>
            <w:hideMark/>
          </w:tcPr>
          <w:p w14:paraId="01D5D6E6"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3.35</w:t>
            </w:r>
          </w:p>
        </w:tc>
        <w:tc>
          <w:tcPr>
            <w:tcW w:w="281" w:type="pct"/>
            <w:tcBorders>
              <w:left w:val="single" w:sz="4" w:space="0" w:color="auto"/>
            </w:tcBorders>
            <w:shd w:val="clear" w:color="auto" w:fill="auto"/>
            <w:noWrap/>
            <w:vAlign w:val="center"/>
            <w:hideMark/>
          </w:tcPr>
          <w:p w14:paraId="03A1F8D8"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5.10</w:t>
            </w:r>
          </w:p>
        </w:tc>
        <w:tc>
          <w:tcPr>
            <w:tcW w:w="306" w:type="pct"/>
            <w:shd w:val="clear" w:color="auto" w:fill="auto"/>
            <w:noWrap/>
            <w:vAlign w:val="center"/>
            <w:hideMark/>
          </w:tcPr>
          <w:p w14:paraId="77D42E4A"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1.20</w:t>
            </w:r>
          </w:p>
        </w:tc>
        <w:tc>
          <w:tcPr>
            <w:tcW w:w="281" w:type="pct"/>
            <w:tcBorders>
              <w:right w:val="single" w:sz="4" w:space="0" w:color="auto"/>
            </w:tcBorders>
            <w:shd w:val="clear" w:color="auto" w:fill="auto"/>
            <w:noWrap/>
            <w:vAlign w:val="center"/>
            <w:hideMark/>
          </w:tcPr>
          <w:p w14:paraId="2200CA15"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3.69</w:t>
            </w:r>
          </w:p>
        </w:tc>
        <w:tc>
          <w:tcPr>
            <w:tcW w:w="265" w:type="pct"/>
            <w:tcBorders>
              <w:left w:val="single" w:sz="4" w:space="0" w:color="auto"/>
            </w:tcBorders>
            <w:shd w:val="clear" w:color="auto" w:fill="auto"/>
            <w:noWrap/>
            <w:vAlign w:val="center"/>
            <w:hideMark/>
          </w:tcPr>
          <w:p w14:paraId="13553FE7"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3.38</w:t>
            </w:r>
          </w:p>
        </w:tc>
        <w:tc>
          <w:tcPr>
            <w:tcW w:w="306" w:type="pct"/>
            <w:shd w:val="clear" w:color="auto" w:fill="auto"/>
            <w:noWrap/>
            <w:vAlign w:val="center"/>
            <w:hideMark/>
          </w:tcPr>
          <w:p w14:paraId="48814434"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4.40</w:t>
            </w:r>
          </w:p>
        </w:tc>
        <w:tc>
          <w:tcPr>
            <w:tcW w:w="281" w:type="pct"/>
            <w:shd w:val="clear" w:color="auto" w:fill="auto"/>
            <w:noWrap/>
            <w:vAlign w:val="center"/>
            <w:hideMark/>
          </w:tcPr>
          <w:p w14:paraId="22225D14"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5.23</w:t>
            </w:r>
          </w:p>
        </w:tc>
        <w:tc>
          <w:tcPr>
            <w:tcW w:w="265" w:type="pct"/>
            <w:shd w:val="clear" w:color="auto" w:fill="auto"/>
            <w:noWrap/>
            <w:vAlign w:val="center"/>
            <w:hideMark/>
          </w:tcPr>
          <w:p w14:paraId="1B59881B"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18.81</w:t>
            </w:r>
          </w:p>
        </w:tc>
        <w:tc>
          <w:tcPr>
            <w:tcW w:w="281" w:type="pct"/>
            <w:shd w:val="clear" w:color="auto" w:fill="auto"/>
            <w:noWrap/>
            <w:vAlign w:val="center"/>
            <w:hideMark/>
          </w:tcPr>
          <w:p w14:paraId="54C7445B"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42.01</w:t>
            </w:r>
          </w:p>
        </w:tc>
        <w:tc>
          <w:tcPr>
            <w:tcW w:w="265" w:type="pct"/>
            <w:shd w:val="clear" w:color="auto" w:fill="auto"/>
            <w:noWrap/>
            <w:vAlign w:val="center"/>
            <w:hideMark/>
          </w:tcPr>
          <w:p w14:paraId="7B963B02"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2.93</w:t>
            </w:r>
          </w:p>
        </w:tc>
        <w:tc>
          <w:tcPr>
            <w:tcW w:w="417" w:type="pct"/>
            <w:shd w:val="clear" w:color="auto" w:fill="auto"/>
            <w:noWrap/>
            <w:vAlign w:val="center"/>
            <w:hideMark/>
          </w:tcPr>
          <w:p w14:paraId="4D62C7C4"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5.24</w:t>
            </w:r>
          </w:p>
        </w:tc>
        <w:tc>
          <w:tcPr>
            <w:tcW w:w="398" w:type="pct"/>
            <w:shd w:val="clear" w:color="auto" w:fill="auto"/>
            <w:noWrap/>
            <w:vAlign w:val="center"/>
            <w:hideMark/>
          </w:tcPr>
          <w:p w14:paraId="619696C6"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57.99</w:t>
            </w:r>
          </w:p>
        </w:tc>
      </w:tr>
      <w:tr w:rsidR="000D6BCB" w:rsidRPr="0065228D" w14:paraId="587FBB81" w14:textId="77777777" w:rsidTr="000D6BCB">
        <w:trPr>
          <w:trHeight w:val="454"/>
        </w:trPr>
        <w:tc>
          <w:tcPr>
            <w:tcW w:w="195" w:type="pct"/>
          </w:tcPr>
          <w:p w14:paraId="291A4008" w14:textId="77777777" w:rsidR="000D6BCB" w:rsidRPr="0065228D" w:rsidRDefault="000D6BCB" w:rsidP="00835A65">
            <w:pPr>
              <w:rPr>
                <w:rFonts w:ascii="Times New Roman" w:hAnsi="Times New Roman" w:cs="Times New Roman"/>
              </w:rPr>
            </w:pPr>
          </w:p>
        </w:tc>
        <w:tc>
          <w:tcPr>
            <w:tcW w:w="638" w:type="pct"/>
            <w:tcBorders>
              <w:right w:val="single" w:sz="4" w:space="0" w:color="auto"/>
            </w:tcBorders>
            <w:noWrap/>
            <w:vAlign w:val="center"/>
            <w:hideMark/>
          </w:tcPr>
          <w:p w14:paraId="0076C12E" w14:textId="452149D5" w:rsidR="000D6BCB" w:rsidRPr="0065228D" w:rsidRDefault="000D6BCB" w:rsidP="00835A65">
            <w:pPr>
              <w:rPr>
                <w:rFonts w:ascii="Times New Roman" w:hAnsi="Times New Roman" w:cs="Times New Roman"/>
              </w:rPr>
            </w:pPr>
            <w:r w:rsidRPr="0065228D">
              <w:rPr>
                <w:rFonts w:ascii="Times New Roman" w:hAnsi="Times New Roman" w:cs="Times New Roman"/>
              </w:rPr>
              <w:t>Bond</w:t>
            </w:r>
          </w:p>
        </w:tc>
        <w:tc>
          <w:tcPr>
            <w:tcW w:w="280" w:type="pct"/>
            <w:tcBorders>
              <w:left w:val="single" w:sz="4" w:space="0" w:color="auto"/>
            </w:tcBorders>
            <w:shd w:val="clear" w:color="auto" w:fill="auto"/>
            <w:noWrap/>
            <w:vAlign w:val="center"/>
            <w:hideMark/>
          </w:tcPr>
          <w:p w14:paraId="66DDBA81"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0.75</w:t>
            </w:r>
          </w:p>
        </w:tc>
        <w:tc>
          <w:tcPr>
            <w:tcW w:w="264" w:type="pct"/>
            <w:shd w:val="clear" w:color="auto" w:fill="auto"/>
            <w:noWrap/>
            <w:vAlign w:val="center"/>
            <w:hideMark/>
          </w:tcPr>
          <w:p w14:paraId="6348DAED"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1.40</w:t>
            </w:r>
          </w:p>
        </w:tc>
        <w:tc>
          <w:tcPr>
            <w:tcW w:w="281" w:type="pct"/>
            <w:tcBorders>
              <w:right w:val="single" w:sz="4" w:space="0" w:color="auto"/>
            </w:tcBorders>
            <w:shd w:val="clear" w:color="auto" w:fill="auto"/>
            <w:noWrap/>
            <w:vAlign w:val="center"/>
            <w:hideMark/>
          </w:tcPr>
          <w:p w14:paraId="7D03A942"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1.13</w:t>
            </w:r>
          </w:p>
        </w:tc>
        <w:tc>
          <w:tcPr>
            <w:tcW w:w="281" w:type="pct"/>
            <w:tcBorders>
              <w:left w:val="single" w:sz="4" w:space="0" w:color="auto"/>
            </w:tcBorders>
            <w:shd w:val="clear" w:color="auto" w:fill="auto"/>
            <w:noWrap/>
            <w:vAlign w:val="center"/>
            <w:hideMark/>
          </w:tcPr>
          <w:p w14:paraId="10815027"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1.79</w:t>
            </w:r>
          </w:p>
        </w:tc>
        <w:tc>
          <w:tcPr>
            <w:tcW w:w="306" w:type="pct"/>
            <w:shd w:val="clear" w:color="auto" w:fill="auto"/>
            <w:noWrap/>
            <w:vAlign w:val="center"/>
            <w:hideMark/>
          </w:tcPr>
          <w:p w14:paraId="4BEC8F5B"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1.01</w:t>
            </w:r>
          </w:p>
        </w:tc>
        <w:tc>
          <w:tcPr>
            <w:tcW w:w="281" w:type="pct"/>
            <w:tcBorders>
              <w:right w:val="single" w:sz="4" w:space="0" w:color="auto"/>
            </w:tcBorders>
            <w:shd w:val="clear" w:color="auto" w:fill="auto"/>
            <w:noWrap/>
            <w:vAlign w:val="center"/>
            <w:hideMark/>
          </w:tcPr>
          <w:p w14:paraId="4D446FD2"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1.50</w:t>
            </w:r>
          </w:p>
        </w:tc>
        <w:tc>
          <w:tcPr>
            <w:tcW w:w="265" w:type="pct"/>
            <w:tcBorders>
              <w:left w:val="single" w:sz="4" w:space="0" w:color="auto"/>
            </w:tcBorders>
            <w:shd w:val="clear" w:color="auto" w:fill="auto"/>
            <w:noWrap/>
            <w:vAlign w:val="center"/>
            <w:hideMark/>
          </w:tcPr>
          <w:p w14:paraId="5582BC5B"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8.22</w:t>
            </w:r>
          </w:p>
        </w:tc>
        <w:tc>
          <w:tcPr>
            <w:tcW w:w="306" w:type="pct"/>
            <w:shd w:val="clear" w:color="auto" w:fill="auto"/>
            <w:noWrap/>
            <w:vAlign w:val="center"/>
            <w:hideMark/>
          </w:tcPr>
          <w:p w14:paraId="1380CC92"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2.05</w:t>
            </w:r>
          </w:p>
        </w:tc>
        <w:tc>
          <w:tcPr>
            <w:tcW w:w="281" w:type="pct"/>
            <w:shd w:val="clear" w:color="auto" w:fill="auto"/>
            <w:noWrap/>
            <w:vAlign w:val="center"/>
            <w:hideMark/>
          </w:tcPr>
          <w:p w14:paraId="4F34CAE4"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2.15</w:t>
            </w:r>
          </w:p>
        </w:tc>
        <w:tc>
          <w:tcPr>
            <w:tcW w:w="265" w:type="pct"/>
            <w:shd w:val="clear" w:color="auto" w:fill="auto"/>
            <w:noWrap/>
            <w:vAlign w:val="center"/>
            <w:hideMark/>
          </w:tcPr>
          <w:p w14:paraId="37585C1A"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3.80</w:t>
            </w:r>
          </w:p>
        </w:tc>
        <w:tc>
          <w:tcPr>
            <w:tcW w:w="281" w:type="pct"/>
            <w:shd w:val="clear" w:color="auto" w:fill="auto"/>
            <w:noWrap/>
            <w:vAlign w:val="center"/>
            <w:hideMark/>
          </w:tcPr>
          <w:p w14:paraId="53D23207"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3.94</w:t>
            </w:r>
          </w:p>
        </w:tc>
        <w:tc>
          <w:tcPr>
            <w:tcW w:w="265" w:type="pct"/>
            <w:shd w:val="clear" w:color="auto" w:fill="auto"/>
            <w:noWrap/>
            <w:vAlign w:val="center"/>
            <w:hideMark/>
          </w:tcPr>
          <w:p w14:paraId="41D6158D"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67.35</w:t>
            </w:r>
          </w:p>
        </w:tc>
        <w:tc>
          <w:tcPr>
            <w:tcW w:w="417" w:type="pct"/>
            <w:shd w:val="clear" w:color="auto" w:fill="auto"/>
            <w:noWrap/>
            <w:vAlign w:val="center"/>
            <w:hideMark/>
          </w:tcPr>
          <w:p w14:paraId="4D05A859"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4.92</w:t>
            </w:r>
          </w:p>
        </w:tc>
        <w:tc>
          <w:tcPr>
            <w:tcW w:w="398" w:type="pct"/>
            <w:shd w:val="clear" w:color="auto" w:fill="auto"/>
            <w:noWrap/>
            <w:vAlign w:val="center"/>
            <w:hideMark/>
          </w:tcPr>
          <w:p w14:paraId="6D184E46"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32.65</w:t>
            </w:r>
          </w:p>
        </w:tc>
      </w:tr>
      <w:tr w:rsidR="000D6BCB" w:rsidRPr="0065228D" w14:paraId="309ECF6C" w14:textId="77777777" w:rsidTr="000D6BCB">
        <w:trPr>
          <w:trHeight w:val="454"/>
        </w:trPr>
        <w:tc>
          <w:tcPr>
            <w:tcW w:w="195" w:type="pct"/>
          </w:tcPr>
          <w:p w14:paraId="66A3E9B6" w14:textId="77777777" w:rsidR="000D6BCB" w:rsidRPr="0065228D" w:rsidRDefault="000D6BCB" w:rsidP="00835A65">
            <w:pPr>
              <w:rPr>
                <w:rFonts w:ascii="Times New Roman" w:hAnsi="Times New Roman" w:cs="Times New Roman"/>
              </w:rPr>
            </w:pPr>
          </w:p>
        </w:tc>
        <w:tc>
          <w:tcPr>
            <w:tcW w:w="638" w:type="pct"/>
            <w:tcBorders>
              <w:right w:val="single" w:sz="4" w:space="0" w:color="auto"/>
            </w:tcBorders>
            <w:noWrap/>
            <w:vAlign w:val="center"/>
            <w:hideMark/>
          </w:tcPr>
          <w:p w14:paraId="3749293E" w14:textId="6F17299A" w:rsidR="000D6BCB" w:rsidRPr="0065228D" w:rsidRDefault="000D6BCB" w:rsidP="00835A65">
            <w:pPr>
              <w:rPr>
                <w:rFonts w:ascii="Times New Roman" w:hAnsi="Times New Roman" w:cs="Times New Roman"/>
              </w:rPr>
            </w:pPr>
            <w:proofErr w:type="spellStart"/>
            <w:r w:rsidRPr="0065228D">
              <w:rPr>
                <w:rFonts w:ascii="Times New Roman" w:hAnsi="Times New Roman" w:cs="Times New Roman"/>
              </w:rPr>
              <w:t>USD.Index</w:t>
            </w:r>
            <w:proofErr w:type="spellEnd"/>
          </w:p>
        </w:tc>
        <w:tc>
          <w:tcPr>
            <w:tcW w:w="280" w:type="pct"/>
            <w:tcBorders>
              <w:left w:val="single" w:sz="4" w:space="0" w:color="auto"/>
            </w:tcBorders>
            <w:shd w:val="clear" w:color="auto" w:fill="auto"/>
            <w:noWrap/>
            <w:vAlign w:val="center"/>
            <w:hideMark/>
          </w:tcPr>
          <w:p w14:paraId="0CC00026"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1.30</w:t>
            </w:r>
          </w:p>
        </w:tc>
        <w:tc>
          <w:tcPr>
            <w:tcW w:w="264" w:type="pct"/>
            <w:shd w:val="clear" w:color="auto" w:fill="auto"/>
            <w:noWrap/>
            <w:vAlign w:val="center"/>
            <w:hideMark/>
          </w:tcPr>
          <w:p w14:paraId="3CD2765D"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2.51</w:t>
            </w:r>
          </w:p>
        </w:tc>
        <w:tc>
          <w:tcPr>
            <w:tcW w:w="281" w:type="pct"/>
            <w:tcBorders>
              <w:right w:val="single" w:sz="4" w:space="0" w:color="auto"/>
            </w:tcBorders>
            <w:shd w:val="clear" w:color="auto" w:fill="auto"/>
            <w:noWrap/>
            <w:vAlign w:val="center"/>
            <w:hideMark/>
          </w:tcPr>
          <w:p w14:paraId="7113AF57"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2.49</w:t>
            </w:r>
          </w:p>
        </w:tc>
        <w:tc>
          <w:tcPr>
            <w:tcW w:w="281" w:type="pct"/>
            <w:tcBorders>
              <w:left w:val="single" w:sz="4" w:space="0" w:color="auto"/>
            </w:tcBorders>
            <w:shd w:val="clear" w:color="auto" w:fill="auto"/>
            <w:noWrap/>
            <w:vAlign w:val="center"/>
            <w:hideMark/>
          </w:tcPr>
          <w:p w14:paraId="1B3A897B"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3.64</w:t>
            </w:r>
          </w:p>
        </w:tc>
        <w:tc>
          <w:tcPr>
            <w:tcW w:w="306" w:type="pct"/>
            <w:shd w:val="clear" w:color="auto" w:fill="auto"/>
            <w:noWrap/>
            <w:vAlign w:val="center"/>
            <w:hideMark/>
          </w:tcPr>
          <w:p w14:paraId="2FB8E450"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1.10</w:t>
            </w:r>
          </w:p>
        </w:tc>
        <w:tc>
          <w:tcPr>
            <w:tcW w:w="281" w:type="pct"/>
            <w:tcBorders>
              <w:right w:val="single" w:sz="4" w:space="0" w:color="auto"/>
            </w:tcBorders>
            <w:shd w:val="clear" w:color="auto" w:fill="auto"/>
            <w:noWrap/>
            <w:vAlign w:val="center"/>
            <w:hideMark/>
          </w:tcPr>
          <w:p w14:paraId="631BA67B"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3.83</w:t>
            </w:r>
          </w:p>
        </w:tc>
        <w:tc>
          <w:tcPr>
            <w:tcW w:w="265" w:type="pct"/>
            <w:tcBorders>
              <w:left w:val="single" w:sz="4" w:space="0" w:color="auto"/>
            </w:tcBorders>
            <w:shd w:val="clear" w:color="auto" w:fill="auto"/>
            <w:noWrap/>
            <w:vAlign w:val="center"/>
            <w:hideMark/>
          </w:tcPr>
          <w:p w14:paraId="36CE9939"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11.27</w:t>
            </w:r>
          </w:p>
        </w:tc>
        <w:tc>
          <w:tcPr>
            <w:tcW w:w="306" w:type="pct"/>
            <w:shd w:val="clear" w:color="auto" w:fill="auto"/>
            <w:noWrap/>
            <w:vAlign w:val="center"/>
            <w:hideMark/>
          </w:tcPr>
          <w:p w14:paraId="2ED8DFB2"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2.04</w:t>
            </w:r>
          </w:p>
        </w:tc>
        <w:tc>
          <w:tcPr>
            <w:tcW w:w="281" w:type="pct"/>
            <w:shd w:val="clear" w:color="auto" w:fill="auto"/>
            <w:noWrap/>
            <w:vAlign w:val="center"/>
            <w:hideMark/>
          </w:tcPr>
          <w:p w14:paraId="510A8E26"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3.68</w:t>
            </w:r>
          </w:p>
        </w:tc>
        <w:tc>
          <w:tcPr>
            <w:tcW w:w="265" w:type="pct"/>
            <w:shd w:val="clear" w:color="auto" w:fill="auto"/>
            <w:noWrap/>
            <w:vAlign w:val="center"/>
            <w:hideMark/>
          </w:tcPr>
          <w:p w14:paraId="1CFC2385"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4.83</w:t>
            </w:r>
          </w:p>
        </w:tc>
        <w:tc>
          <w:tcPr>
            <w:tcW w:w="281" w:type="pct"/>
            <w:shd w:val="clear" w:color="auto" w:fill="auto"/>
            <w:noWrap/>
            <w:vAlign w:val="center"/>
            <w:hideMark/>
          </w:tcPr>
          <w:p w14:paraId="0FEB6562"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8.70</w:t>
            </w:r>
          </w:p>
        </w:tc>
        <w:tc>
          <w:tcPr>
            <w:tcW w:w="265" w:type="pct"/>
            <w:shd w:val="clear" w:color="auto" w:fill="auto"/>
            <w:noWrap/>
            <w:vAlign w:val="center"/>
            <w:hideMark/>
          </w:tcPr>
          <w:p w14:paraId="549D1FB1"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6.31</w:t>
            </w:r>
          </w:p>
        </w:tc>
        <w:tc>
          <w:tcPr>
            <w:tcW w:w="417" w:type="pct"/>
            <w:shd w:val="clear" w:color="auto" w:fill="auto"/>
            <w:noWrap/>
            <w:vAlign w:val="center"/>
            <w:hideMark/>
          </w:tcPr>
          <w:p w14:paraId="2AD5A0E5"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48.30</w:t>
            </w:r>
          </w:p>
        </w:tc>
        <w:tc>
          <w:tcPr>
            <w:tcW w:w="398" w:type="pct"/>
            <w:shd w:val="clear" w:color="auto" w:fill="auto"/>
            <w:noWrap/>
            <w:vAlign w:val="center"/>
            <w:hideMark/>
          </w:tcPr>
          <w:p w14:paraId="608A31A1"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51.70</w:t>
            </w:r>
          </w:p>
        </w:tc>
      </w:tr>
      <w:tr w:rsidR="000D6BCB" w:rsidRPr="0065228D" w14:paraId="0AA9F85B" w14:textId="77777777" w:rsidTr="000D6BCB">
        <w:trPr>
          <w:trHeight w:val="454"/>
        </w:trPr>
        <w:tc>
          <w:tcPr>
            <w:tcW w:w="195" w:type="pct"/>
          </w:tcPr>
          <w:p w14:paraId="6037E41A" w14:textId="77777777" w:rsidR="000D6BCB" w:rsidRPr="0065228D" w:rsidRDefault="000D6BCB" w:rsidP="00835A65">
            <w:pPr>
              <w:rPr>
                <w:rFonts w:ascii="Times New Roman" w:hAnsi="Times New Roman" w:cs="Times New Roman"/>
              </w:rPr>
            </w:pPr>
          </w:p>
        </w:tc>
        <w:tc>
          <w:tcPr>
            <w:tcW w:w="638" w:type="pct"/>
            <w:tcBorders>
              <w:right w:val="single" w:sz="4" w:space="0" w:color="auto"/>
            </w:tcBorders>
            <w:noWrap/>
            <w:vAlign w:val="center"/>
            <w:hideMark/>
          </w:tcPr>
          <w:p w14:paraId="57882538" w14:textId="55FA8437" w:rsidR="000D6BCB" w:rsidRPr="0065228D" w:rsidRDefault="00AD4771" w:rsidP="00835A65">
            <w:pPr>
              <w:rPr>
                <w:rFonts w:ascii="Times New Roman" w:hAnsi="Times New Roman" w:cs="Times New Roman"/>
              </w:rPr>
            </w:pPr>
            <w:r>
              <w:rPr>
                <w:rFonts w:ascii="Times New Roman" w:hAnsi="Times New Roman" w:cs="Times New Roman"/>
              </w:rPr>
              <w:t>To Others</w:t>
            </w:r>
          </w:p>
        </w:tc>
        <w:tc>
          <w:tcPr>
            <w:tcW w:w="280" w:type="pct"/>
            <w:tcBorders>
              <w:left w:val="single" w:sz="4" w:space="0" w:color="auto"/>
            </w:tcBorders>
            <w:shd w:val="clear" w:color="auto" w:fill="auto"/>
            <w:noWrap/>
            <w:vAlign w:val="center"/>
            <w:hideMark/>
          </w:tcPr>
          <w:p w14:paraId="1D08BE05"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48.57</w:t>
            </w:r>
          </w:p>
        </w:tc>
        <w:tc>
          <w:tcPr>
            <w:tcW w:w="264" w:type="pct"/>
            <w:shd w:val="clear" w:color="auto" w:fill="auto"/>
            <w:noWrap/>
            <w:vAlign w:val="center"/>
            <w:hideMark/>
          </w:tcPr>
          <w:p w14:paraId="736E9623"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57.67</w:t>
            </w:r>
          </w:p>
        </w:tc>
        <w:tc>
          <w:tcPr>
            <w:tcW w:w="281" w:type="pct"/>
            <w:tcBorders>
              <w:right w:val="single" w:sz="4" w:space="0" w:color="auto"/>
            </w:tcBorders>
            <w:shd w:val="clear" w:color="auto" w:fill="auto"/>
            <w:noWrap/>
            <w:vAlign w:val="center"/>
            <w:hideMark/>
          </w:tcPr>
          <w:p w14:paraId="7482B220"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60.62</w:t>
            </w:r>
          </w:p>
        </w:tc>
        <w:tc>
          <w:tcPr>
            <w:tcW w:w="281" w:type="pct"/>
            <w:tcBorders>
              <w:left w:val="single" w:sz="4" w:space="0" w:color="auto"/>
            </w:tcBorders>
            <w:shd w:val="clear" w:color="auto" w:fill="auto"/>
            <w:noWrap/>
            <w:vAlign w:val="center"/>
            <w:hideMark/>
          </w:tcPr>
          <w:p w14:paraId="54F867BD"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85.67</w:t>
            </w:r>
          </w:p>
        </w:tc>
        <w:tc>
          <w:tcPr>
            <w:tcW w:w="306" w:type="pct"/>
            <w:shd w:val="clear" w:color="auto" w:fill="auto"/>
            <w:noWrap/>
            <w:vAlign w:val="center"/>
            <w:hideMark/>
          </w:tcPr>
          <w:p w14:paraId="58B0B013"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13.75</w:t>
            </w:r>
          </w:p>
        </w:tc>
        <w:tc>
          <w:tcPr>
            <w:tcW w:w="281" w:type="pct"/>
            <w:tcBorders>
              <w:right w:val="single" w:sz="4" w:space="0" w:color="auto"/>
            </w:tcBorders>
            <w:shd w:val="clear" w:color="auto" w:fill="auto"/>
            <w:noWrap/>
            <w:vAlign w:val="center"/>
            <w:hideMark/>
          </w:tcPr>
          <w:p w14:paraId="0D5FB0C2"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78.16</w:t>
            </w:r>
          </w:p>
        </w:tc>
        <w:tc>
          <w:tcPr>
            <w:tcW w:w="265" w:type="pct"/>
            <w:tcBorders>
              <w:left w:val="single" w:sz="4" w:space="0" w:color="auto"/>
            </w:tcBorders>
            <w:shd w:val="clear" w:color="auto" w:fill="auto"/>
            <w:noWrap/>
            <w:vAlign w:val="center"/>
            <w:hideMark/>
          </w:tcPr>
          <w:p w14:paraId="2B0CAC83"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37.69</w:t>
            </w:r>
          </w:p>
        </w:tc>
        <w:tc>
          <w:tcPr>
            <w:tcW w:w="306" w:type="pct"/>
            <w:shd w:val="clear" w:color="auto" w:fill="auto"/>
            <w:noWrap/>
            <w:vAlign w:val="center"/>
            <w:hideMark/>
          </w:tcPr>
          <w:p w14:paraId="2042F39C"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17.43</w:t>
            </w:r>
          </w:p>
        </w:tc>
        <w:tc>
          <w:tcPr>
            <w:tcW w:w="281" w:type="pct"/>
            <w:shd w:val="clear" w:color="auto" w:fill="auto"/>
            <w:noWrap/>
            <w:vAlign w:val="center"/>
            <w:hideMark/>
          </w:tcPr>
          <w:p w14:paraId="43886F3A"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84.07</w:t>
            </w:r>
          </w:p>
        </w:tc>
        <w:tc>
          <w:tcPr>
            <w:tcW w:w="265" w:type="pct"/>
            <w:shd w:val="clear" w:color="auto" w:fill="auto"/>
            <w:noWrap/>
            <w:vAlign w:val="center"/>
            <w:hideMark/>
          </w:tcPr>
          <w:p w14:paraId="641FEFD1"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45.81</w:t>
            </w:r>
          </w:p>
        </w:tc>
        <w:tc>
          <w:tcPr>
            <w:tcW w:w="281" w:type="pct"/>
            <w:shd w:val="clear" w:color="auto" w:fill="auto"/>
            <w:noWrap/>
            <w:vAlign w:val="center"/>
            <w:hideMark/>
          </w:tcPr>
          <w:p w14:paraId="38400669"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67.24</w:t>
            </w:r>
          </w:p>
        </w:tc>
        <w:tc>
          <w:tcPr>
            <w:tcW w:w="265" w:type="pct"/>
            <w:shd w:val="clear" w:color="auto" w:fill="auto"/>
            <w:noWrap/>
            <w:vAlign w:val="center"/>
            <w:hideMark/>
          </w:tcPr>
          <w:p w14:paraId="0B42A9B0"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28.97</w:t>
            </w:r>
          </w:p>
        </w:tc>
        <w:tc>
          <w:tcPr>
            <w:tcW w:w="417" w:type="pct"/>
            <w:shd w:val="clear" w:color="auto" w:fill="auto"/>
            <w:noWrap/>
            <w:vAlign w:val="center"/>
            <w:hideMark/>
          </w:tcPr>
          <w:p w14:paraId="1774799D"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37.90</w:t>
            </w:r>
          </w:p>
        </w:tc>
        <w:tc>
          <w:tcPr>
            <w:tcW w:w="398" w:type="pct"/>
            <w:shd w:val="clear" w:color="auto" w:fill="auto"/>
            <w:noWrap/>
            <w:vAlign w:val="center"/>
            <w:hideMark/>
          </w:tcPr>
          <w:p w14:paraId="6A6A4A1C"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663.54</w:t>
            </w:r>
          </w:p>
        </w:tc>
      </w:tr>
      <w:tr w:rsidR="000D6BCB" w:rsidRPr="0065228D" w14:paraId="5872A801" w14:textId="77777777" w:rsidTr="00AF342A">
        <w:trPr>
          <w:trHeight w:val="454"/>
        </w:trPr>
        <w:tc>
          <w:tcPr>
            <w:tcW w:w="195" w:type="pct"/>
          </w:tcPr>
          <w:p w14:paraId="5B1002E9" w14:textId="77777777" w:rsidR="000D6BCB" w:rsidRPr="0065228D" w:rsidRDefault="000D6BCB" w:rsidP="00835A65">
            <w:pPr>
              <w:rPr>
                <w:rFonts w:ascii="Times New Roman" w:hAnsi="Times New Roman" w:cs="Times New Roman"/>
              </w:rPr>
            </w:pPr>
          </w:p>
        </w:tc>
        <w:tc>
          <w:tcPr>
            <w:tcW w:w="638" w:type="pct"/>
            <w:tcBorders>
              <w:right w:val="single" w:sz="4" w:space="0" w:color="auto"/>
            </w:tcBorders>
            <w:noWrap/>
            <w:vAlign w:val="center"/>
            <w:hideMark/>
          </w:tcPr>
          <w:p w14:paraId="35A968EA" w14:textId="5B36A976" w:rsidR="000D6BCB" w:rsidRPr="0065228D" w:rsidRDefault="000D6BCB" w:rsidP="00835A65">
            <w:pPr>
              <w:rPr>
                <w:rFonts w:ascii="Times New Roman" w:hAnsi="Times New Roman" w:cs="Times New Roman"/>
              </w:rPr>
            </w:pPr>
            <w:proofErr w:type="spellStart"/>
            <w:r w:rsidRPr="0065228D">
              <w:rPr>
                <w:rFonts w:ascii="Times New Roman" w:hAnsi="Times New Roman" w:cs="Times New Roman"/>
              </w:rPr>
              <w:t>Inc.Own</w:t>
            </w:r>
            <w:proofErr w:type="spellEnd"/>
          </w:p>
        </w:tc>
        <w:tc>
          <w:tcPr>
            <w:tcW w:w="280" w:type="pct"/>
            <w:tcBorders>
              <w:left w:val="single" w:sz="4" w:space="0" w:color="auto"/>
            </w:tcBorders>
            <w:shd w:val="clear" w:color="auto" w:fill="auto"/>
            <w:noWrap/>
            <w:vAlign w:val="center"/>
            <w:hideMark/>
          </w:tcPr>
          <w:p w14:paraId="3F2AB924"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94.41</w:t>
            </w:r>
          </w:p>
        </w:tc>
        <w:tc>
          <w:tcPr>
            <w:tcW w:w="264" w:type="pct"/>
            <w:shd w:val="clear" w:color="auto" w:fill="auto"/>
            <w:noWrap/>
            <w:vAlign w:val="center"/>
            <w:hideMark/>
          </w:tcPr>
          <w:p w14:paraId="650D75A3"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99.35</w:t>
            </w:r>
          </w:p>
        </w:tc>
        <w:tc>
          <w:tcPr>
            <w:tcW w:w="281" w:type="pct"/>
            <w:tcBorders>
              <w:right w:val="single" w:sz="4" w:space="0" w:color="auto"/>
            </w:tcBorders>
            <w:shd w:val="clear" w:color="auto" w:fill="auto"/>
            <w:noWrap/>
            <w:vAlign w:val="center"/>
            <w:hideMark/>
          </w:tcPr>
          <w:p w14:paraId="5066ED11"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101.56</w:t>
            </w:r>
          </w:p>
        </w:tc>
        <w:tc>
          <w:tcPr>
            <w:tcW w:w="281" w:type="pct"/>
            <w:tcBorders>
              <w:left w:val="single" w:sz="4" w:space="0" w:color="auto"/>
            </w:tcBorders>
            <w:shd w:val="clear" w:color="auto" w:fill="auto"/>
            <w:noWrap/>
            <w:vAlign w:val="center"/>
            <w:hideMark/>
          </w:tcPr>
          <w:p w14:paraId="17A192E0"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118.16</w:t>
            </w:r>
          </w:p>
        </w:tc>
        <w:tc>
          <w:tcPr>
            <w:tcW w:w="306" w:type="pct"/>
            <w:shd w:val="clear" w:color="auto" w:fill="auto"/>
            <w:noWrap/>
            <w:vAlign w:val="center"/>
            <w:hideMark/>
          </w:tcPr>
          <w:p w14:paraId="2C8C4BDB"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88.72</w:t>
            </w:r>
          </w:p>
        </w:tc>
        <w:tc>
          <w:tcPr>
            <w:tcW w:w="281" w:type="pct"/>
            <w:tcBorders>
              <w:right w:val="single" w:sz="4" w:space="0" w:color="auto"/>
            </w:tcBorders>
            <w:shd w:val="clear" w:color="auto" w:fill="auto"/>
            <w:noWrap/>
            <w:vAlign w:val="center"/>
            <w:hideMark/>
          </w:tcPr>
          <w:p w14:paraId="1D46D80B"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111.90</w:t>
            </w:r>
          </w:p>
        </w:tc>
        <w:tc>
          <w:tcPr>
            <w:tcW w:w="265" w:type="pct"/>
            <w:tcBorders>
              <w:left w:val="single" w:sz="4" w:space="0" w:color="auto"/>
            </w:tcBorders>
            <w:shd w:val="clear" w:color="auto" w:fill="auto"/>
            <w:noWrap/>
            <w:vAlign w:val="center"/>
            <w:hideMark/>
          </w:tcPr>
          <w:p w14:paraId="41DADC69"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94.07</w:t>
            </w:r>
          </w:p>
        </w:tc>
        <w:tc>
          <w:tcPr>
            <w:tcW w:w="306" w:type="pct"/>
            <w:shd w:val="clear" w:color="auto" w:fill="auto"/>
            <w:noWrap/>
            <w:vAlign w:val="center"/>
            <w:hideMark/>
          </w:tcPr>
          <w:p w14:paraId="04468DC0"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88.74</w:t>
            </w:r>
          </w:p>
        </w:tc>
        <w:tc>
          <w:tcPr>
            <w:tcW w:w="281" w:type="pct"/>
            <w:shd w:val="clear" w:color="auto" w:fill="auto"/>
            <w:noWrap/>
            <w:vAlign w:val="center"/>
            <w:hideMark/>
          </w:tcPr>
          <w:p w14:paraId="21B8BDEB"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115.38</w:t>
            </w:r>
          </w:p>
        </w:tc>
        <w:tc>
          <w:tcPr>
            <w:tcW w:w="265" w:type="pct"/>
            <w:shd w:val="clear" w:color="auto" w:fill="auto"/>
            <w:noWrap/>
            <w:vAlign w:val="center"/>
            <w:hideMark/>
          </w:tcPr>
          <w:p w14:paraId="475A9891"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95.95</w:t>
            </w:r>
          </w:p>
        </w:tc>
        <w:tc>
          <w:tcPr>
            <w:tcW w:w="281" w:type="pct"/>
            <w:shd w:val="clear" w:color="auto" w:fill="auto"/>
            <w:noWrap/>
            <w:vAlign w:val="center"/>
            <w:hideMark/>
          </w:tcPr>
          <w:p w14:paraId="799BD55A"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109.25</w:t>
            </w:r>
          </w:p>
        </w:tc>
        <w:tc>
          <w:tcPr>
            <w:tcW w:w="265" w:type="pct"/>
            <w:shd w:val="clear" w:color="auto" w:fill="auto"/>
            <w:noWrap/>
            <w:vAlign w:val="center"/>
            <w:hideMark/>
          </w:tcPr>
          <w:p w14:paraId="6A54E65D"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96.32</w:t>
            </w:r>
          </w:p>
        </w:tc>
        <w:tc>
          <w:tcPr>
            <w:tcW w:w="417" w:type="pct"/>
            <w:shd w:val="clear" w:color="auto" w:fill="auto"/>
            <w:noWrap/>
            <w:vAlign w:val="center"/>
            <w:hideMark/>
          </w:tcPr>
          <w:p w14:paraId="5616639D"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86.20</w:t>
            </w:r>
          </w:p>
        </w:tc>
        <w:tc>
          <w:tcPr>
            <w:tcW w:w="398" w:type="pct"/>
            <w:shd w:val="clear" w:color="auto" w:fill="auto"/>
            <w:noWrap/>
            <w:vAlign w:val="center"/>
            <w:hideMark/>
          </w:tcPr>
          <w:p w14:paraId="33F8521B"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TCI</w:t>
            </w:r>
          </w:p>
        </w:tc>
      </w:tr>
      <w:tr w:rsidR="000D6BCB" w:rsidRPr="0065228D" w14:paraId="2E30F933" w14:textId="77777777" w:rsidTr="00AF342A">
        <w:trPr>
          <w:trHeight w:val="454"/>
        </w:trPr>
        <w:tc>
          <w:tcPr>
            <w:tcW w:w="195" w:type="pct"/>
            <w:tcBorders>
              <w:bottom w:val="single" w:sz="4" w:space="0" w:color="auto"/>
            </w:tcBorders>
          </w:tcPr>
          <w:p w14:paraId="62B6E00B" w14:textId="77777777" w:rsidR="000D6BCB" w:rsidRPr="0065228D" w:rsidRDefault="000D6BCB" w:rsidP="00835A65">
            <w:pPr>
              <w:rPr>
                <w:rFonts w:ascii="Times New Roman" w:hAnsi="Times New Roman" w:cs="Times New Roman"/>
              </w:rPr>
            </w:pPr>
          </w:p>
        </w:tc>
        <w:tc>
          <w:tcPr>
            <w:tcW w:w="638" w:type="pct"/>
            <w:tcBorders>
              <w:bottom w:val="single" w:sz="4" w:space="0" w:color="auto"/>
              <w:right w:val="single" w:sz="4" w:space="0" w:color="auto"/>
            </w:tcBorders>
            <w:noWrap/>
            <w:vAlign w:val="center"/>
            <w:hideMark/>
          </w:tcPr>
          <w:p w14:paraId="41A4122B" w14:textId="664896A1" w:rsidR="000D6BCB" w:rsidRPr="0065228D" w:rsidRDefault="00D97C9B" w:rsidP="00835A65">
            <w:pPr>
              <w:rPr>
                <w:rFonts w:ascii="Times New Roman" w:hAnsi="Times New Roman" w:cs="Times New Roman"/>
              </w:rPr>
            </w:pPr>
            <w:r>
              <w:rPr>
                <w:rFonts w:ascii="Times New Roman" w:hAnsi="Times New Roman" w:cs="Times New Roman"/>
              </w:rPr>
              <w:t>Net</w:t>
            </w:r>
          </w:p>
        </w:tc>
        <w:tc>
          <w:tcPr>
            <w:tcW w:w="280" w:type="pct"/>
            <w:tcBorders>
              <w:left w:val="single" w:sz="4" w:space="0" w:color="auto"/>
              <w:bottom w:val="single" w:sz="4" w:space="0" w:color="auto"/>
            </w:tcBorders>
            <w:shd w:val="clear" w:color="auto" w:fill="auto"/>
            <w:noWrap/>
            <w:vAlign w:val="center"/>
            <w:hideMark/>
          </w:tcPr>
          <w:p w14:paraId="4E59D35D"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-5.59</w:t>
            </w:r>
          </w:p>
        </w:tc>
        <w:tc>
          <w:tcPr>
            <w:tcW w:w="264" w:type="pct"/>
            <w:tcBorders>
              <w:bottom w:val="single" w:sz="4" w:space="0" w:color="auto"/>
            </w:tcBorders>
            <w:shd w:val="clear" w:color="auto" w:fill="auto"/>
            <w:noWrap/>
            <w:vAlign w:val="center"/>
            <w:hideMark/>
          </w:tcPr>
          <w:p w14:paraId="670E6528"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-0.65</w:t>
            </w:r>
          </w:p>
        </w:tc>
        <w:tc>
          <w:tcPr>
            <w:tcW w:w="281" w:type="pct"/>
            <w:tcBorders>
              <w:bottom w:val="single" w:sz="4" w:space="0" w:color="auto"/>
              <w:right w:val="single" w:sz="4" w:space="0" w:color="auto"/>
            </w:tcBorders>
            <w:shd w:val="clear" w:color="auto" w:fill="auto"/>
            <w:noWrap/>
            <w:vAlign w:val="center"/>
            <w:hideMark/>
          </w:tcPr>
          <w:p w14:paraId="2E4BAF96"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1.56</w:t>
            </w:r>
          </w:p>
        </w:tc>
        <w:tc>
          <w:tcPr>
            <w:tcW w:w="281" w:type="pct"/>
            <w:tcBorders>
              <w:left w:val="single" w:sz="4" w:space="0" w:color="auto"/>
              <w:bottom w:val="single" w:sz="4" w:space="0" w:color="auto"/>
            </w:tcBorders>
            <w:shd w:val="clear" w:color="auto" w:fill="auto"/>
            <w:noWrap/>
            <w:vAlign w:val="center"/>
            <w:hideMark/>
          </w:tcPr>
          <w:p w14:paraId="289BD13B" w14:textId="77777777" w:rsidR="000D6BCB" w:rsidRPr="00AD4771" w:rsidRDefault="000D6BCB" w:rsidP="00835A65">
            <w:pPr>
              <w:rPr>
                <w:rFonts w:ascii="Times New Roman" w:hAnsi="Times New Roman" w:cs="Times New Roman"/>
                <w:b/>
                <w:sz w:val="20"/>
              </w:rPr>
            </w:pPr>
            <w:r w:rsidRPr="00AD4771">
              <w:rPr>
                <w:rFonts w:ascii="Times New Roman" w:hAnsi="Times New Roman" w:cs="Times New Roman"/>
                <w:b/>
                <w:color w:val="000000"/>
                <w:sz w:val="20"/>
              </w:rPr>
              <w:t>18.16</w:t>
            </w:r>
          </w:p>
        </w:tc>
        <w:tc>
          <w:tcPr>
            <w:tcW w:w="306" w:type="pct"/>
            <w:tcBorders>
              <w:bottom w:val="single" w:sz="4" w:space="0" w:color="auto"/>
            </w:tcBorders>
            <w:shd w:val="clear" w:color="auto" w:fill="auto"/>
            <w:noWrap/>
            <w:vAlign w:val="center"/>
            <w:hideMark/>
          </w:tcPr>
          <w:p w14:paraId="7CB67FB3"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-11.28</w:t>
            </w:r>
          </w:p>
        </w:tc>
        <w:tc>
          <w:tcPr>
            <w:tcW w:w="281" w:type="pct"/>
            <w:tcBorders>
              <w:bottom w:val="single" w:sz="4" w:space="0" w:color="auto"/>
              <w:right w:val="single" w:sz="4" w:space="0" w:color="auto"/>
            </w:tcBorders>
            <w:shd w:val="clear" w:color="auto" w:fill="auto"/>
            <w:noWrap/>
            <w:vAlign w:val="center"/>
            <w:hideMark/>
          </w:tcPr>
          <w:p w14:paraId="004DE9DF" w14:textId="77777777" w:rsidR="000D6BCB" w:rsidRPr="00AD4771" w:rsidRDefault="000D6BCB" w:rsidP="00835A65">
            <w:pPr>
              <w:rPr>
                <w:rFonts w:ascii="Times New Roman" w:hAnsi="Times New Roman" w:cs="Times New Roman"/>
                <w:b/>
                <w:sz w:val="20"/>
              </w:rPr>
            </w:pPr>
            <w:r w:rsidRPr="00AD4771">
              <w:rPr>
                <w:rFonts w:ascii="Times New Roman" w:hAnsi="Times New Roman" w:cs="Times New Roman"/>
                <w:b/>
                <w:color w:val="000000"/>
                <w:sz w:val="20"/>
              </w:rPr>
              <w:t>11.90</w:t>
            </w:r>
          </w:p>
        </w:tc>
        <w:tc>
          <w:tcPr>
            <w:tcW w:w="265" w:type="pct"/>
            <w:tcBorders>
              <w:left w:val="single" w:sz="4" w:space="0" w:color="auto"/>
              <w:bottom w:val="single" w:sz="4" w:space="0" w:color="auto"/>
            </w:tcBorders>
            <w:shd w:val="clear" w:color="auto" w:fill="auto"/>
            <w:noWrap/>
            <w:vAlign w:val="center"/>
            <w:hideMark/>
          </w:tcPr>
          <w:p w14:paraId="4811BC98"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-5.93</w:t>
            </w:r>
          </w:p>
        </w:tc>
        <w:tc>
          <w:tcPr>
            <w:tcW w:w="306" w:type="pct"/>
            <w:tcBorders>
              <w:bottom w:val="single" w:sz="4" w:space="0" w:color="auto"/>
            </w:tcBorders>
            <w:shd w:val="clear" w:color="auto" w:fill="auto"/>
            <w:noWrap/>
            <w:vAlign w:val="center"/>
            <w:hideMark/>
          </w:tcPr>
          <w:p w14:paraId="6B7CEFFB"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-11.26</w:t>
            </w:r>
          </w:p>
        </w:tc>
        <w:tc>
          <w:tcPr>
            <w:tcW w:w="281" w:type="pct"/>
            <w:tcBorders>
              <w:bottom w:val="single" w:sz="4" w:space="0" w:color="auto"/>
            </w:tcBorders>
            <w:shd w:val="clear" w:color="auto" w:fill="auto"/>
            <w:noWrap/>
            <w:vAlign w:val="center"/>
            <w:hideMark/>
          </w:tcPr>
          <w:p w14:paraId="330F5377"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15.38</w:t>
            </w:r>
          </w:p>
        </w:tc>
        <w:tc>
          <w:tcPr>
            <w:tcW w:w="265" w:type="pct"/>
            <w:tcBorders>
              <w:bottom w:val="single" w:sz="4" w:space="0" w:color="auto"/>
            </w:tcBorders>
            <w:shd w:val="clear" w:color="auto" w:fill="auto"/>
            <w:noWrap/>
            <w:vAlign w:val="center"/>
            <w:hideMark/>
          </w:tcPr>
          <w:p w14:paraId="6E01C9A1"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-4.05</w:t>
            </w:r>
          </w:p>
        </w:tc>
        <w:tc>
          <w:tcPr>
            <w:tcW w:w="281" w:type="pct"/>
            <w:tcBorders>
              <w:bottom w:val="single" w:sz="4" w:space="0" w:color="auto"/>
            </w:tcBorders>
            <w:shd w:val="clear" w:color="auto" w:fill="auto"/>
            <w:noWrap/>
            <w:vAlign w:val="center"/>
            <w:hideMark/>
          </w:tcPr>
          <w:p w14:paraId="55A117AE"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9.25</w:t>
            </w:r>
          </w:p>
        </w:tc>
        <w:tc>
          <w:tcPr>
            <w:tcW w:w="265" w:type="pct"/>
            <w:tcBorders>
              <w:bottom w:val="single" w:sz="4" w:space="0" w:color="auto"/>
            </w:tcBorders>
            <w:shd w:val="clear" w:color="auto" w:fill="auto"/>
            <w:noWrap/>
            <w:vAlign w:val="center"/>
            <w:hideMark/>
          </w:tcPr>
          <w:p w14:paraId="20164129"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-3.68</w:t>
            </w:r>
          </w:p>
        </w:tc>
        <w:tc>
          <w:tcPr>
            <w:tcW w:w="417" w:type="pct"/>
            <w:tcBorders>
              <w:bottom w:val="single" w:sz="4" w:space="0" w:color="auto"/>
            </w:tcBorders>
            <w:shd w:val="clear" w:color="auto" w:fill="auto"/>
            <w:noWrap/>
            <w:vAlign w:val="center"/>
            <w:hideMark/>
          </w:tcPr>
          <w:p w14:paraId="10CE784C" w14:textId="77777777"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-13.80</w:t>
            </w:r>
          </w:p>
        </w:tc>
        <w:tc>
          <w:tcPr>
            <w:tcW w:w="398" w:type="pct"/>
            <w:tcBorders>
              <w:bottom w:val="single" w:sz="4" w:space="0" w:color="auto"/>
            </w:tcBorders>
            <w:shd w:val="clear" w:color="auto" w:fill="auto"/>
            <w:noWrap/>
            <w:vAlign w:val="center"/>
            <w:hideMark/>
          </w:tcPr>
          <w:p w14:paraId="5BE9AA23" w14:textId="44308084" w:rsidR="000D6BCB" w:rsidRPr="000D6BCB" w:rsidRDefault="000D6BCB" w:rsidP="00835A65">
            <w:pPr>
              <w:rPr>
                <w:rFonts w:ascii="Times New Roman" w:hAnsi="Times New Roman" w:cs="Times New Roman"/>
                <w:sz w:val="20"/>
              </w:rPr>
            </w:pPr>
            <w:r w:rsidRPr="000D6BCB">
              <w:rPr>
                <w:rFonts w:ascii="Times New Roman" w:hAnsi="Times New Roman" w:cs="Times New Roman"/>
                <w:color w:val="000000"/>
                <w:sz w:val="20"/>
              </w:rPr>
              <w:t>51.04</w:t>
            </w:r>
          </w:p>
        </w:tc>
      </w:tr>
    </w:tbl>
    <w:p w14:paraId="27D4F65E" w14:textId="7800A852" w:rsidR="00835A65" w:rsidRPr="0065228D" w:rsidRDefault="00835A65" w:rsidP="00835A65">
      <w:pPr>
        <w:jc w:val="both"/>
        <w:rPr>
          <w:rFonts w:ascii="Times New Roman" w:hAnsi="Times New Roman" w:cs="Times New Roman"/>
          <w:sz w:val="18"/>
          <w:szCs w:val="18"/>
        </w:rPr>
      </w:pPr>
      <w:bookmarkStart w:id="38" w:name="_Hlk103531526"/>
      <w:r w:rsidRPr="0065228D">
        <w:rPr>
          <w:rFonts w:ascii="Times New Roman" w:hAnsi="Times New Roman" w:cs="Times New Roman"/>
          <w:sz w:val="18"/>
          <w:szCs w:val="18"/>
        </w:rPr>
        <w:t>Notes: DEX- Decentralized Exchange, CEX- Centralized Exchange, RUNE-</w:t>
      </w:r>
      <w:r w:rsidR="009C39DF">
        <w:rPr>
          <w:rFonts w:ascii="Times New Roman" w:hAnsi="Times New Roman" w:cs="Times New Roman"/>
          <w:sz w:val="18"/>
          <w:szCs w:val="18"/>
        </w:rPr>
        <w:t xml:space="preserve"> </w:t>
      </w:r>
      <w:proofErr w:type="spellStart"/>
      <w:r w:rsidRPr="0065228D">
        <w:rPr>
          <w:rFonts w:ascii="Times New Roman" w:hAnsi="Times New Roman" w:cs="Times New Roman"/>
          <w:sz w:val="18"/>
          <w:szCs w:val="18"/>
        </w:rPr>
        <w:t>THORChain</w:t>
      </w:r>
      <w:proofErr w:type="spellEnd"/>
      <w:r w:rsidRPr="0065228D">
        <w:rPr>
          <w:rFonts w:ascii="Times New Roman" w:hAnsi="Times New Roman" w:cs="Times New Roman"/>
          <w:sz w:val="18"/>
          <w:szCs w:val="18"/>
        </w:rPr>
        <w:t>, LRC-</w:t>
      </w:r>
      <w:r w:rsidR="009C39DF">
        <w:rPr>
          <w:rFonts w:ascii="Times New Roman" w:hAnsi="Times New Roman" w:cs="Times New Roman"/>
          <w:sz w:val="18"/>
          <w:szCs w:val="18"/>
        </w:rPr>
        <w:t xml:space="preserve"> </w:t>
      </w:r>
      <w:proofErr w:type="spellStart"/>
      <w:r w:rsidRPr="0065228D">
        <w:rPr>
          <w:rFonts w:ascii="Times New Roman" w:hAnsi="Times New Roman" w:cs="Times New Roman"/>
          <w:sz w:val="18"/>
          <w:szCs w:val="18"/>
        </w:rPr>
        <w:t>Loopring</w:t>
      </w:r>
      <w:proofErr w:type="spellEnd"/>
      <w:r w:rsidRPr="0065228D">
        <w:rPr>
          <w:rFonts w:ascii="Times New Roman" w:hAnsi="Times New Roman" w:cs="Times New Roman"/>
          <w:sz w:val="18"/>
          <w:szCs w:val="18"/>
        </w:rPr>
        <w:t>, GNO-</w:t>
      </w:r>
      <w:r w:rsidR="009C39DF">
        <w:rPr>
          <w:rFonts w:ascii="Times New Roman" w:hAnsi="Times New Roman" w:cs="Times New Roman"/>
          <w:sz w:val="18"/>
          <w:szCs w:val="18"/>
        </w:rPr>
        <w:t xml:space="preserve"> </w:t>
      </w:r>
      <w:r w:rsidRPr="0065228D">
        <w:rPr>
          <w:rFonts w:ascii="Times New Roman" w:hAnsi="Times New Roman" w:cs="Times New Roman"/>
          <w:sz w:val="18"/>
          <w:szCs w:val="18"/>
        </w:rPr>
        <w:t>Gnosis, BNB-</w:t>
      </w:r>
      <w:r w:rsidR="009C39DF">
        <w:rPr>
          <w:rFonts w:ascii="Times New Roman" w:hAnsi="Times New Roman" w:cs="Times New Roman"/>
          <w:sz w:val="18"/>
          <w:szCs w:val="18"/>
        </w:rPr>
        <w:t xml:space="preserve"> </w:t>
      </w:r>
      <w:proofErr w:type="spellStart"/>
      <w:r w:rsidRPr="0065228D">
        <w:rPr>
          <w:rFonts w:ascii="Times New Roman" w:hAnsi="Times New Roman" w:cs="Times New Roman"/>
          <w:sz w:val="18"/>
          <w:szCs w:val="18"/>
        </w:rPr>
        <w:t>Binance</w:t>
      </w:r>
      <w:proofErr w:type="spellEnd"/>
      <w:r w:rsidRPr="0065228D">
        <w:rPr>
          <w:rFonts w:ascii="Times New Roman" w:hAnsi="Times New Roman" w:cs="Times New Roman"/>
          <w:sz w:val="18"/>
          <w:szCs w:val="18"/>
        </w:rPr>
        <w:t xml:space="preserve"> Coin, LEO-</w:t>
      </w:r>
      <w:r w:rsidR="009C39DF">
        <w:rPr>
          <w:rFonts w:ascii="Times New Roman" w:hAnsi="Times New Roman" w:cs="Times New Roman"/>
          <w:sz w:val="18"/>
          <w:szCs w:val="18"/>
        </w:rPr>
        <w:t xml:space="preserve"> </w:t>
      </w:r>
      <w:r w:rsidRPr="0065228D">
        <w:rPr>
          <w:rFonts w:ascii="Times New Roman" w:hAnsi="Times New Roman" w:cs="Times New Roman"/>
          <w:sz w:val="18"/>
          <w:szCs w:val="18"/>
        </w:rPr>
        <w:t>UNUS SED LEO, FTT-</w:t>
      </w:r>
      <w:r w:rsidR="009C39DF">
        <w:rPr>
          <w:rFonts w:ascii="Times New Roman" w:hAnsi="Times New Roman" w:cs="Times New Roman"/>
          <w:sz w:val="18"/>
          <w:szCs w:val="18"/>
        </w:rPr>
        <w:t xml:space="preserve"> </w:t>
      </w:r>
      <w:r w:rsidRPr="0065228D">
        <w:rPr>
          <w:rFonts w:ascii="Times New Roman" w:hAnsi="Times New Roman" w:cs="Times New Roman"/>
          <w:sz w:val="18"/>
          <w:szCs w:val="18"/>
        </w:rPr>
        <w:t>FTX Token, BTC-</w:t>
      </w:r>
      <w:r w:rsidR="009C39DF">
        <w:rPr>
          <w:rFonts w:ascii="Times New Roman" w:hAnsi="Times New Roman" w:cs="Times New Roman"/>
          <w:sz w:val="18"/>
          <w:szCs w:val="18"/>
        </w:rPr>
        <w:t xml:space="preserve"> </w:t>
      </w:r>
      <w:r w:rsidRPr="0065228D">
        <w:rPr>
          <w:rFonts w:ascii="Times New Roman" w:hAnsi="Times New Roman" w:cs="Times New Roman"/>
          <w:sz w:val="18"/>
          <w:szCs w:val="18"/>
        </w:rPr>
        <w:t>Bitcoin.</w:t>
      </w:r>
    </w:p>
    <w:bookmarkEnd w:id="38"/>
    <w:p w14:paraId="2FFC29A6" w14:textId="20B500D8" w:rsidR="00835A65" w:rsidRPr="0065228D" w:rsidRDefault="00835A65" w:rsidP="00835A65">
      <w:pPr>
        <w:rPr>
          <w:rFonts w:ascii="Times New Roman" w:hAnsi="Times New Roman" w:cs="Times New Roman"/>
          <w:sz w:val="24"/>
          <w:szCs w:val="24"/>
        </w:rPr>
      </w:pPr>
      <w:r w:rsidRPr="0065228D">
        <w:rPr>
          <w:rFonts w:ascii="Times New Roman" w:hAnsi="Times New Roman" w:cs="Times New Roman"/>
          <w:b/>
          <w:bCs/>
          <w:sz w:val="24"/>
          <w:szCs w:val="24"/>
        </w:rPr>
        <w:lastRenderedPageBreak/>
        <w:t>Table 4.</w:t>
      </w:r>
      <w:r w:rsidRPr="0065228D">
        <w:rPr>
          <w:rFonts w:ascii="Times New Roman" w:hAnsi="Times New Roman" w:cs="Times New Roman"/>
          <w:sz w:val="24"/>
          <w:szCs w:val="24"/>
        </w:rPr>
        <w:t xml:space="preserve"> Static return spillover at </w:t>
      </w:r>
      <w:r w:rsidR="00B82199">
        <w:rPr>
          <w:rFonts w:ascii="Times New Roman" w:hAnsi="Times New Roman" w:cs="Times New Roman"/>
          <w:sz w:val="24"/>
          <w:szCs w:val="24"/>
        </w:rPr>
        <w:t xml:space="preserve">the </w:t>
      </w:r>
      <w:r w:rsidRPr="0065228D">
        <w:rPr>
          <w:rFonts w:ascii="Times New Roman" w:hAnsi="Times New Roman" w:cs="Times New Roman"/>
          <w:sz w:val="24"/>
          <w:szCs w:val="24"/>
        </w:rPr>
        <w:t>median quantile (Q</w:t>
      </w:r>
      <w:r w:rsidR="0065228D" w:rsidRPr="0065228D">
        <w:rPr>
          <w:rFonts w:ascii="Times New Roman" w:hAnsi="Times New Roman" w:cs="Times New Roman"/>
          <w:sz w:val="24"/>
          <w:szCs w:val="24"/>
        </w:rPr>
        <w:t xml:space="preserve"> </w:t>
      </w:r>
      <w:r w:rsidRPr="0065228D">
        <w:rPr>
          <w:rFonts w:ascii="Times New Roman" w:hAnsi="Times New Roman" w:cs="Times New Roman"/>
          <w:sz w:val="24"/>
          <w:szCs w:val="24"/>
        </w:rPr>
        <w:t>=</w:t>
      </w:r>
      <w:r w:rsidR="0065228D" w:rsidRPr="0065228D">
        <w:rPr>
          <w:rFonts w:ascii="Times New Roman" w:hAnsi="Times New Roman" w:cs="Times New Roman"/>
          <w:sz w:val="24"/>
          <w:szCs w:val="24"/>
        </w:rPr>
        <w:t xml:space="preserve"> </w:t>
      </w:r>
      <w:r w:rsidRPr="0065228D">
        <w:rPr>
          <w:rFonts w:ascii="Times New Roman" w:hAnsi="Times New Roman" w:cs="Times New Roman"/>
          <w:sz w:val="24"/>
          <w:szCs w:val="24"/>
        </w:rPr>
        <w:t>0.50)</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1213"/>
        <w:gridCol w:w="815"/>
        <w:gridCol w:w="666"/>
        <w:gridCol w:w="1084"/>
        <w:gridCol w:w="848"/>
        <w:gridCol w:w="738"/>
        <w:gridCol w:w="766"/>
        <w:gridCol w:w="666"/>
        <w:gridCol w:w="666"/>
        <w:gridCol w:w="766"/>
        <w:gridCol w:w="705"/>
        <w:gridCol w:w="803"/>
        <w:gridCol w:w="693"/>
        <w:gridCol w:w="1213"/>
        <w:gridCol w:w="836"/>
      </w:tblGrid>
      <w:tr w:rsidR="00AF342A" w:rsidRPr="0065228D" w14:paraId="26BCFFC5" w14:textId="77777777" w:rsidTr="00AF342A">
        <w:trPr>
          <w:trHeight w:val="454"/>
        </w:trPr>
        <w:tc>
          <w:tcPr>
            <w:tcW w:w="183" w:type="pct"/>
            <w:tcBorders>
              <w:top w:val="single" w:sz="4" w:space="0" w:color="auto"/>
              <w:bottom w:val="single" w:sz="4" w:space="0" w:color="auto"/>
            </w:tcBorders>
          </w:tcPr>
          <w:p w14:paraId="4143AD0C" w14:textId="77777777" w:rsidR="00AF342A" w:rsidRPr="0065228D" w:rsidRDefault="00AF342A" w:rsidP="00835A65">
            <w:pPr>
              <w:rPr>
                <w:rFonts w:ascii="Times New Roman" w:hAnsi="Times New Roman" w:cs="Times New Roman"/>
              </w:rPr>
            </w:pPr>
          </w:p>
        </w:tc>
        <w:tc>
          <w:tcPr>
            <w:tcW w:w="468" w:type="pct"/>
            <w:tcBorders>
              <w:top w:val="single" w:sz="4" w:space="0" w:color="auto"/>
              <w:bottom w:val="single" w:sz="4" w:space="0" w:color="auto"/>
              <w:right w:val="single" w:sz="4" w:space="0" w:color="auto"/>
            </w:tcBorders>
            <w:noWrap/>
            <w:vAlign w:val="center"/>
          </w:tcPr>
          <w:p w14:paraId="5C528544" w14:textId="77777777" w:rsidR="00AF342A" w:rsidRPr="0065228D" w:rsidRDefault="00AF342A" w:rsidP="00835A65">
            <w:pPr>
              <w:rPr>
                <w:rFonts w:ascii="Times New Roman" w:hAnsi="Times New Roman" w:cs="Times New Roman"/>
              </w:rPr>
            </w:pPr>
          </w:p>
        </w:tc>
        <w:tc>
          <w:tcPr>
            <w:tcW w:w="990" w:type="pct"/>
            <w:gridSpan w:val="3"/>
            <w:tcBorders>
              <w:top w:val="single" w:sz="4" w:space="0" w:color="auto"/>
              <w:left w:val="single" w:sz="4" w:space="0" w:color="auto"/>
              <w:bottom w:val="single" w:sz="4" w:space="0" w:color="auto"/>
              <w:right w:val="single" w:sz="4" w:space="0" w:color="auto"/>
            </w:tcBorders>
            <w:noWrap/>
            <w:vAlign w:val="center"/>
          </w:tcPr>
          <w:p w14:paraId="5D57F005" w14:textId="1BF5265B" w:rsidR="00AF342A" w:rsidRPr="0065228D" w:rsidRDefault="00AF342A" w:rsidP="00AF342A">
            <w:pPr>
              <w:jc w:val="center"/>
              <w:rPr>
                <w:rFonts w:ascii="Times New Roman" w:hAnsi="Times New Roman" w:cs="Times New Roman"/>
              </w:rPr>
            </w:pPr>
            <w:r>
              <w:rPr>
                <w:rFonts w:ascii="Times New Roman" w:hAnsi="Times New Roman" w:cs="Times New Roman"/>
              </w:rPr>
              <w:t>DEX tokens</w:t>
            </w:r>
          </w:p>
        </w:tc>
        <w:tc>
          <w:tcPr>
            <w:tcW w:w="908" w:type="pct"/>
            <w:gridSpan w:val="3"/>
            <w:tcBorders>
              <w:top w:val="single" w:sz="4" w:space="0" w:color="auto"/>
              <w:left w:val="single" w:sz="4" w:space="0" w:color="auto"/>
              <w:bottom w:val="single" w:sz="4" w:space="0" w:color="auto"/>
              <w:right w:val="single" w:sz="4" w:space="0" w:color="auto"/>
            </w:tcBorders>
            <w:noWrap/>
            <w:vAlign w:val="center"/>
          </w:tcPr>
          <w:p w14:paraId="624AB0BC" w14:textId="38106CDD" w:rsidR="00AF342A" w:rsidRPr="0065228D" w:rsidRDefault="00AF342A" w:rsidP="00AF342A">
            <w:pPr>
              <w:jc w:val="center"/>
              <w:rPr>
                <w:rFonts w:ascii="Times New Roman" w:hAnsi="Times New Roman" w:cs="Times New Roman"/>
              </w:rPr>
            </w:pPr>
            <w:r>
              <w:rPr>
                <w:rFonts w:ascii="Times New Roman" w:hAnsi="Times New Roman" w:cs="Times New Roman"/>
              </w:rPr>
              <w:t>CEX Tokens</w:t>
            </w:r>
          </w:p>
        </w:tc>
        <w:tc>
          <w:tcPr>
            <w:tcW w:w="257" w:type="pct"/>
            <w:tcBorders>
              <w:top w:val="single" w:sz="4" w:space="0" w:color="auto"/>
              <w:left w:val="single" w:sz="4" w:space="0" w:color="auto"/>
              <w:bottom w:val="single" w:sz="4" w:space="0" w:color="auto"/>
            </w:tcBorders>
            <w:noWrap/>
            <w:vAlign w:val="center"/>
          </w:tcPr>
          <w:p w14:paraId="666B105C" w14:textId="77777777" w:rsidR="00AF342A" w:rsidRPr="0065228D" w:rsidRDefault="00AF342A" w:rsidP="00835A65">
            <w:pPr>
              <w:rPr>
                <w:rFonts w:ascii="Times New Roman" w:hAnsi="Times New Roman" w:cs="Times New Roman"/>
              </w:rPr>
            </w:pPr>
          </w:p>
        </w:tc>
        <w:tc>
          <w:tcPr>
            <w:tcW w:w="257" w:type="pct"/>
            <w:tcBorders>
              <w:top w:val="single" w:sz="4" w:space="0" w:color="auto"/>
              <w:bottom w:val="single" w:sz="4" w:space="0" w:color="auto"/>
            </w:tcBorders>
            <w:noWrap/>
            <w:vAlign w:val="center"/>
          </w:tcPr>
          <w:p w14:paraId="345F8120" w14:textId="77777777" w:rsidR="00AF342A" w:rsidRPr="0065228D" w:rsidRDefault="00AF342A" w:rsidP="00835A65">
            <w:pPr>
              <w:rPr>
                <w:rFonts w:ascii="Times New Roman" w:hAnsi="Times New Roman" w:cs="Times New Roman"/>
              </w:rPr>
            </w:pPr>
          </w:p>
        </w:tc>
        <w:tc>
          <w:tcPr>
            <w:tcW w:w="296" w:type="pct"/>
            <w:tcBorders>
              <w:top w:val="single" w:sz="4" w:space="0" w:color="auto"/>
              <w:bottom w:val="single" w:sz="4" w:space="0" w:color="auto"/>
            </w:tcBorders>
            <w:noWrap/>
            <w:vAlign w:val="center"/>
          </w:tcPr>
          <w:p w14:paraId="4EE96B16" w14:textId="77777777" w:rsidR="00AF342A" w:rsidRPr="0065228D" w:rsidRDefault="00AF342A" w:rsidP="00835A65">
            <w:pPr>
              <w:rPr>
                <w:rFonts w:ascii="Times New Roman" w:hAnsi="Times New Roman" w:cs="Times New Roman"/>
              </w:rPr>
            </w:pPr>
          </w:p>
        </w:tc>
        <w:tc>
          <w:tcPr>
            <w:tcW w:w="272" w:type="pct"/>
            <w:tcBorders>
              <w:top w:val="single" w:sz="4" w:space="0" w:color="auto"/>
              <w:bottom w:val="single" w:sz="4" w:space="0" w:color="auto"/>
            </w:tcBorders>
            <w:noWrap/>
            <w:vAlign w:val="center"/>
          </w:tcPr>
          <w:p w14:paraId="6BBE0940" w14:textId="77777777" w:rsidR="00AF342A" w:rsidRPr="0065228D" w:rsidRDefault="00AF342A" w:rsidP="00835A65">
            <w:pPr>
              <w:rPr>
                <w:rFonts w:ascii="Times New Roman" w:hAnsi="Times New Roman" w:cs="Times New Roman"/>
              </w:rPr>
            </w:pPr>
          </w:p>
        </w:tc>
        <w:tc>
          <w:tcPr>
            <w:tcW w:w="310" w:type="pct"/>
            <w:tcBorders>
              <w:top w:val="single" w:sz="4" w:space="0" w:color="auto"/>
              <w:bottom w:val="single" w:sz="4" w:space="0" w:color="auto"/>
            </w:tcBorders>
            <w:noWrap/>
            <w:vAlign w:val="center"/>
          </w:tcPr>
          <w:p w14:paraId="7475C96B" w14:textId="77777777" w:rsidR="00AF342A" w:rsidRPr="0065228D" w:rsidRDefault="00AF342A" w:rsidP="00835A65">
            <w:pPr>
              <w:rPr>
                <w:rFonts w:ascii="Times New Roman" w:hAnsi="Times New Roman" w:cs="Times New Roman"/>
              </w:rPr>
            </w:pPr>
          </w:p>
        </w:tc>
        <w:tc>
          <w:tcPr>
            <w:tcW w:w="267" w:type="pct"/>
            <w:tcBorders>
              <w:top w:val="single" w:sz="4" w:space="0" w:color="auto"/>
              <w:bottom w:val="single" w:sz="4" w:space="0" w:color="auto"/>
            </w:tcBorders>
            <w:noWrap/>
            <w:vAlign w:val="center"/>
          </w:tcPr>
          <w:p w14:paraId="65BD00BC" w14:textId="77777777" w:rsidR="00AF342A" w:rsidRPr="0065228D" w:rsidRDefault="00AF342A" w:rsidP="00835A65">
            <w:pPr>
              <w:rPr>
                <w:rFonts w:ascii="Times New Roman" w:hAnsi="Times New Roman" w:cs="Times New Roman"/>
              </w:rPr>
            </w:pPr>
          </w:p>
        </w:tc>
        <w:tc>
          <w:tcPr>
            <w:tcW w:w="468" w:type="pct"/>
            <w:tcBorders>
              <w:top w:val="single" w:sz="4" w:space="0" w:color="auto"/>
              <w:bottom w:val="single" w:sz="4" w:space="0" w:color="auto"/>
            </w:tcBorders>
            <w:noWrap/>
            <w:vAlign w:val="center"/>
          </w:tcPr>
          <w:p w14:paraId="1ED217AC" w14:textId="77777777" w:rsidR="00AF342A" w:rsidRPr="0065228D" w:rsidRDefault="00AF342A" w:rsidP="00835A65">
            <w:pPr>
              <w:rPr>
                <w:rFonts w:ascii="Times New Roman" w:hAnsi="Times New Roman" w:cs="Times New Roman"/>
              </w:rPr>
            </w:pPr>
          </w:p>
        </w:tc>
        <w:tc>
          <w:tcPr>
            <w:tcW w:w="324" w:type="pct"/>
            <w:tcBorders>
              <w:top w:val="single" w:sz="4" w:space="0" w:color="auto"/>
              <w:bottom w:val="single" w:sz="4" w:space="0" w:color="auto"/>
            </w:tcBorders>
            <w:noWrap/>
            <w:vAlign w:val="center"/>
          </w:tcPr>
          <w:p w14:paraId="7CE2E01F" w14:textId="77777777" w:rsidR="00AF342A" w:rsidRPr="0065228D" w:rsidRDefault="00AF342A" w:rsidP="00835A65">
            <w:pPr>
              <w:rPr>
                <w:rFonts w:ascii="Times New Roman" w:hAnsi="Times New Roman" w:cs="Times New Roman"/>
              </w:rPr>
            </w:pPr>
          </w:p>
        </w:tc>
      </w:tr>
      <w:tr w:rsidR="00AF342A" w:rsidRPr="0065228D" w14:paraId="378E3D7C" w14:textId="77777777" w:rsidTr="00AF342A">
        <w:trPr>
          <w:trHeight w:val="454"/>
        </w:trPr>
        <w:tc>
          <w:tcPr>
            <w:tcW w:w="183" w:type="pct"/>
            <w:tcBorders>
              <w:top w:val="single" w:sz="4" w:space="0" w:color="auto"/>
              <w:bottom w:val="single" w:sz="4" w:space="0" w:color="auto"/>
            </w:tcBorders>
          </w:tcPr>
          <w:p w14:paraId="5EBECDDE" w14:textId="77777777" w:rsidR="00AF342A" w:rsidRPr="0065228D" w:rsidRDefault="00AF342A" w:rsidP="00835A65">
            <w:pPr>
              <w:rPr>
                <w:rFonts w:ascii="Times New Roman" w:hAnsi="Times New Roman" w:cs="Times New Roman"/>
              </w:rPr>
            </w:pPr>
          </w:p>
        </w:tc>
        <w:tc>
          <w:tcPr>
            <w:tcW w:w="468" w:type="pct"/>
            <w:tcBorders>
              <w:top w:val="single" w:sz="4" w:space="0" w:color="auto"/>
              <w:bottom w:val="single" w:sz="4" w:space="0" w:color="auto"/>
              <w:right w:val="single" w:sz="4" w:space="0" w:color="auto"/>
            </w:tcBorders>
            <w:noWrap/>
            <w:vAlign w:val="center"/>
            <w:hideMark/>
          </w:tcPr>
          <w:p w14:paraId="77D6934D" w14:textId="1E167623" w:rsidR="00AF342A" w:rsidRPr="0065228D" w:rsidRDefault="00AF342A" w:rsidP="00835A65">
            <w:pPr>
              <w:rPr>
                <w:rFonts w:ascii="Times New Roman" w:hAnsi="Times New Roman" w:cs="Times New Roman"/>
              </w:rPr>
            </w:pPr>
          </w:p>
        </w:tc>
        <w:tc>
          <w:tcPr>
            <w:tcW w:w="314" w:type="pct"/>
            <w:tcBorders>
              <w:top w:val="single" w:sz="4" w:space="0" w:color="auto"/>
              <w:left w:val="single" w:sz="4" w:space="0" w:color="auto"/>
              <w:bottom w:val="single" w:sz="4" w:space="0" w:color="auto"/>
            </w:tcBorders>
            <w:noWrap/>
            <w:vAlign w:val="center"/>
            <w:hideMark/>
          </w:tcPr>
          <w:p w14:paraId="7DDDF48B" w14:textId="77777777" w:rsidR="00AF342A" w:rsidRPr="0065228D" w:rsidRDefault="00AF342A" w:rsidP="00835A65">
            <w:pPr>
              <w:rPr>
                <w:rFonts w:ascii="Times New Roman" w:hAnsi="Times New Roman" w:cs="Times New Roman"/>
              </w:rPr>
            </w:pPr>
            <w:r w:rsidRPr="0065228D">
              <w:rPr>
                <w:rFonts w:ascii="Times New Roman" w:hAnsi="Times New Roman" w:cs="Times New Roman"/>
              </w:rPr>
              <w:t>RUNE</w:t>
            </w:r>
          </w:p>
        </w:tc>
        <w:tc>
          <w:tcPr>
            <w:tcW w:w="257" w:type="pct"/>
            <w:tcBorders>
              <w:top w:val="single" w:sz="4" w:space="0" w:color="auto"/>
              <w:bottom w:val="single" w:sz="4" w:space="0" w:color="auto"/>
            </w:tcBorders>
            <w:noWrap/>
            <w:vAlign w:val="center"/>
            <w:hideMark/>
          </w:tcPr>
          <w:p w14:paraId="46FB7733" w14:textId="77777777" w:rsidR="00AF342A" w:rsidRPr="0065228D" w:rsidRDefault="00AF342A" w:rsidP="00835A65">
            <w:pPr>
              <w:rPr>
                <w:rFonts w:ascii="Times New Roman" w:hAnsi="Times New Roman" w:cs="Times New Roman"/>
              </w:rPr>
            </w:pPr>
            <w:r w:rsidRPr="0065228D">
              <w:rPr>
                <w:rFonts w:ascii="Times New Roman" w:hAnsi="Times New Roman" w:cs="Times New Roman"/>
              </w:rPr>
              <w:t>LRC</w:t>
            </w:r>
          </w:p>
        </w:tc>
        <w:tc>
          <w:tcPr>
            <w:tcW w:w="418" w:type="pct"/>
            <w:tcBorders>
              <w:top w:val="single" w:sz="4" w:space="0" w:color="auto"/>
              <w:bottom w:val="single" w:sz="4" w:space="0" w:color="auto"/>
              <w:right w:val="single" w:sz="4" w:space="0" w:color="auto"/>
            </w:tcBorders>
            <w:noWrap/>
            <w:vAlign w:val="center"/>
            <w:hideMark/>
          </w:tcPr>
          <w:p w14:paraId="3818BF5D" w14:textId="77777777" w:rsidR="00AF342A" w:rsidRPr="0065228D" w:rsidRDefault="00AF342A" w:rsidP="00835A65">
            <w:pPr>
              <w:rPr>
                <w:rFonts w:ascii="Times New Roman" w:hAnsi="Times New Roman" w:cs="Times New Roman"/>
              </w:rPr>
            </w:pPr>
            <w:r w:rsidRPr="0065228D">
              <w:rPr>
                <w:rFonts w:ascii="Times New Roman" w:hAnsi="Times New Roman" w:cs="Times New Roman"/>
              </w:rPr>
              <w:t>GNO</w:t>
            </w:r>
          </w:p>
        </w:tc>
        <w:tc>
          <w:tcPr>
            <w:tcW w:w="328" w:type="pct"/>
            <w:tcBorders>
              <w:top w:val="single" w:sz="4" w:space="0" w:color="auto"/>
              <w:left w:val="single" w:sz="4" w:space="0" w:color="auto"/>
              <w:bottom w:val="single" w:sz="4" w:space="0" w:color="auto"/>
            </w:tcBorders>
            <w:noWrap/>
            <w:vAlign w:val="center"/>
            <w:hideMark/>
          </w:tcPr>
          <w:p w14:paraId="2872127A" w14:textId="77777777" w:rsidR="00AF342A" w:rsidRPr="0065228D" w:rsidRDefault="00AF342A" w:rsidP="00835A65">
            <w:pPr>
              <w:rPr>
                <w:rFonts w:ascii="Times New Roman" w:hAnsi="Times New Roman" w:cs="Times New Roman"/>
              </w:rPr>
            </w:pPr>
            <w:r w:rsidRPr="0065228D">
              <w:rPr>
                <w:rFonts w:ascii="Times New Roman" w:hAnsi="Times New Roman" w:cs="Times New Roman"/>
              </w:rPr>
              <w:t>BNB</w:t>
            </w:r>
          </w:p>
        </w:tc>
        <w:tc>
          <w:tcPr>
            <w:tcW w:w="285" w:type="pct"/>
            <w:tcBorders>
              <w:top w:val="single" w:sz="4" w:space="0" w:color="auto"/>
              <w:bottom w:val="single" w:sz="4" w:space="0" w:color="auto"/>
            </w:tcBorders>
            <w:noWrap/>
            <w:vAlign w:val="center"/>
            <w:hideMark/>
          </w:tcPr>
          <w:p w14:paraId="3B3B94EF" w14:textId="77777777" w:rsidR="00AF342A" w:rsidRPr="0065228D" w:rsidRDefault="00AF342A" w:rsidP="00835A65">
            <w:pPr>
              <w:rPr>
                <w:rFonts w:ascii="Times New Roman" w:hAnsi="Times New Roman" w:cs="Times New Roman"/>
              </w:rPr>
            </w:pPr>
            <w:r w:rsidRPr="0065228D">
              <w:rPr>
                <w:rFonts w:ascii="Times New Roman" w:hAnsi="Times New Roman" w:cs="Times New Roman"/>
              </w:rPr>
              <w:t>LEO</w:t>
            </w:r>
          </w:p>
        </w:tc>
        <w:tc>
          <w:tcPr>
            <w:tcW w:w="296" w:type="pct"/>
            <w:tcBorders>
              <w:top w:val="single" w:sz="4" w:space="0" w:color="auto"/>
              <w:bottom w:val="single" w:sz="4" w:space="0" w:color="auto"/>
              <w:right w:val="single" w:sz="4" w:space="0" w:color="auto"/>
            </w:tcBorders>
            <w:noWrap/>
            <w:vAlign w:val="center"/>
            <w:hideMark/>
          </w:tcPr>
          <w:p w14:paraId="77CD5AA8" w14:textId="77777777" w:rsidR="00AF342A" w:rsidRPr="0065228D" w:rsidRDefault="00AF342A" w:rsidP="00835A65">
            <w:pPr>
              <w:rPr>
                <w:rFonts w:ascii="Times New Roman" w:hAnsi="Times New Roman" w:cs="Times New Roman"/>
              </w:rPr>
            </w:pPr>
            <w:r w:rsidRPr="0065228D">
              <w:rPr>
                <w:rFonts w:ascii="Times New Roman" w:hAnsi="Times New Roman" w:cs="Times New Roman"/>
              </w:rPr>
              <w:t>FTT</w:t>
            </w:r>
          </w:p>
        </w:tc>
        <w:tc>
          <w:tcPr>
            <w:tcW w:w="257" w:type="pct"/>
            <w:tcBorders>
              <w:top w:val="single" w:sz="4" w:space="0" w:color="auto"/>
              <w:left w:val="single" w:sz="4" w:space="0" w:color="auto"/>
              <w:bottom w:val="single" w:sz="4" w:space="0" w:color="auto"/>
            </w:tcBorders>
            <w:noWrap/>
            <w:vAlign w:val="center"/>
            <w:hideMark/>
          </w:tcPr>
          <w:p w14:paraId="1C1BC3F6" w14:textId="77777777" w:rsidR="00AF342A" w:rsidRPr="0065228D" w:rsidRDefault="00AF342A" w:rsidP="00835A65">
            <w:pPr>
              <w:rPr>
                <w:rFonts w:ascii="Times New Roman" w:hAnsi="Times New Roman" w:cs="Times New Roman"/>
              </w:rPr>
            </w:pPr>
            <w:r w:rsidRPr="0065228D">
              <w:rPr>
                <w:rFonts w:ascii="Times New Roman" w:hAnsi="Times New Roman" w:cs="Times New Roman"/>
              </w:rPr>
              <w:t>Gold</w:t>
            </w:r>
          </w:p>
        </w:tc>
        <w:tc>
          <w:tcPr>
            <w:tcW w:w="257" w:type="pct"/>
            <w:tcBorders>
              <w:top w:val="single" w:sz="4" w:space="0" w:color="auto"/>
              <w:bottom w:val="single" w:sz="4" w:space="0" w:color="auto"/>
            </w:tcBorders>
            <w:noWrap/>
            <w:vAlign w:val="center"/>
            <w:hideMark/>
          </w:tcPr>
          <w:p w14:paraId="7039819E" w14:textId="435C2B36" w:rsidR="00AF342A" w:rsidRPr="0065228D" w:rsidRDefault="00AF342A" w:rsidP="00835A65">
            <w:pPr>
              <w:rPr>
                <w:rFonts w:ascii="Times New Roman" w:hAnsi="Times New Roman" w:cs="Times New Roman"/>
              </w:rPr>
            </w:pPr>
            <w:r w:rsidRPr="0065228D">
              <w:rPr>
                <w:rFonts w:ascii="Times New Roman" w:hAnsi="Times New Roman" w:cs="Times New Roman"/>
              </w:rPr>
              <w:t>Oil</w:t>
            </w:r>
          </w:p>
        </w:tc>
        <w:tc>
          <w:tcPr>
            <w:tcW w:w="296" w:type="pct"/>
            <w:tcBorders>
              <w:top w:val="single" w:sz="4" w:space="0" w:color="auto"/>
              <w:bottom w:val="single" w:sz="4" w:space="0" w:color="auto"/>
            </w:tcBorders>
            <w:noWrap/>
            <w:vAlign w:val="center"/>
            <w:hideMark/>
          </w:tcPr>
          <w:p w14:paraId="692E6EA6" w14:textId="77777777" w:rsidR="00AF342A" w:rsidRPr="0065228D" w:rsidRDefault="00AF342A" w:rsidP="00835A65">
            <w:pPr>
              <w:rPr>
                <w:rFonts w:ascii="Times New Roman" w:hAnsi="Times New Roman" w:cs="Times New Roman"/>
              </w:rPr>
            </w:pPr>
            <w:r w:rsidRPr="0065228D">
              <w:rPr>
                <w:rFonts w:ascii="Times New Roman" w:hAnsi="Times New Roman" w:cs="Times New Roman"/>
              </w:rPr>
              <w:t>BTC</w:t>
            </w:r>
          </w:p>
        </w:tc>
        <w:tc>
          <w:tcPr>
            <w:tcW w:w="272" w:type="pct"/>
            <w:tcBorders>
              <w:top w:val="single" w:sz="4" w:space="0" w:color="auto"/>
              <w:bottom w:val="single" w:sz="4" w:space="0" w:color="auto"/>
            </w:tcBorders>
            <w:noWrap/>
            <w:vAlign w:val="center"/>
            <w:hideMark/>
          </w:tcPr>
          <w:p w14:paraId="3557D802" w14:textId="77777777" w:rsidR="00AF342A" w:rsidRPr="0065228D" w:rsidRDefault="00AF342A" w:rsidP="00835A65">
            <w:pPr>
              <w:rPr>
                <w:rFonts w:ascii="Times New Roman" w:hAnsi="Times New Roman" w:cs="Times New Roman"/>
              </w:rPr>
            </w:pPr>
            <w:r w:rsidRPr="0065228D">
              <w:rPr>
                <w:rFonts w:ascii="Times New Roman" w:hAnsi="Times New Roman" w:cs="Times New Roman"/>
              </w:rPr>
              <w:t>REIT</w:t>
            </w:r>
          </w:p>
        </w:tc>
        <w:tc>
          <w:tcPr>
            <w:tcW w:w="310" w:type="pct"/>
            <w:tcBorders>
              <w:top w:val="single" w:sz="4" w:space="0" w:color="auto"/>
              <w:bottom w:val="single" w:sz="4" w:space="0" w:color="auto"/>
            </w:tcBorders>
            <w:noWrap/>
            <w:vAlign w:val="center"/>
            <w:hideMark/>
          </w:tcPr>
          <w:p w14:paraId="06068851" w14:textId="77777777" w:rsidR="00AF342A" w:rsidRPr="0065228D" w:rsidRDefault="00AF342A" w:rsidP="00835A65">
            <w:pPr>
              <w:rPr>
                <w:rFonts w:ascii="Times New Roman" w:hAnsi="Times New Roman" w:cs="Times New Roman"/>
              </w:rPr>
            </w:pPr>
            <w:r w:rsidRPr="0065228D">
              <w:rPr>
                <w:rFonts w:ascii="Times New Roman" w:hAnsi="Times New Roman" w:cs="Times New Roman"/>
              </w:rPr>
              <w:t>Equity</w:t>
            </w:r>
          </w:p>
        </w:tc>
        <w:tc>
          <w:tcPr>
            <w:tcW w:w="267" w:type="pct"/>
            <w:tcBorders>
              <w:top w:val="single" w:sz="4" w:space="0" w:color="auto"/>
              <w:bottom w:val="single" w:sz="4" w:space="0" w:color="auto"/>
            </w:tcBorders>
            <w:noWrap/>
            <w:vAlign w:val="center"/>
            <w:hideMark/>
          </w:tcPr>
          <w:p w14:paraId="43A838C2" w14:textId="77777777" w:rsidR="00AF342A" w:rsidRPr="0065228D" w:rsidRDefault="00AF342A" w:rsidP="00835A65">
            <w:pPr>
              <w:rPr>
                <w:rFonts w:ascii="Times New Roman" w:hAnsi="Times New Roman" w:cs="Times New Roman"/>
              </w:rPr>
            </w:pPr>
            <w:r w:rsidRPr="0065228D">
              <w:rPr>
                <w:rFonts w:ascii="Times New Roman" w:hAnsi="Times New Roman" w:cs="Times New Roman"/>
              </w:rPr>
              <w:t>Bond</w:t>
            </w:r>
          </w:p>
        </w:tc>
        <w:tc>
          <w:tcPr>
            <w:tcW w:w="468" w:type="pct"/>
            <w:tcBorders>
              <w:top w:val="single" w:sz="4" w:space="0" w:color="auto"/>
              <w:bottom w:val="single" w:sz="4" w:space="0" w:color="auto"/>
            </w:tcBorders>
            <w:noWrap/>
            <w:vAlign w:val="center"/>
            <w:hideMark/>
          </w:tcPr>
          <w:p w14:paraId="27964032" w14:textId="77777777" w:rsidR="00AF342A" w:rsidRPr="0065228D" w:rsidRDefault="00AF342A" w:rsidP="00835A65">
            <w:pPr>
              <w:rPr>
                <w:rFonts w:ascii="Times New Roman" w:hAnsi="Times New Roman" w:cs="Times New Roman"/>
              </w:rPr>
            </w:pPr>
            <w:proofErr w:type="spellStart"/>
            <w:r w:rsidRPr="0065228D">
              <w:rPr>
                <w:rFonts w:ascii="Times New Roman" w:hAnsi="Times New Roman" w:cs="Times New Roman"/>
              </w:rPr>
              <w:t>USD.Index</w:t>
            </w:r>
            <w:proofErr w:type="spellEnd"/>
          </w:p>
        </w:tc>
        <w:tc>
          <w:tcPr>
            <w:tcW w:w="324" w:type="pct"/>
            <w:tcBorders>
              <w:top w:val="single" w:sz="4" w:space="0" w:color="auto"/>
              <w:bottom w:val="single" w:sz="4" w:space="0" w:color="auto"/>
            </w:tcBorders>
            <w:noWrap/>
            <w:vAlign w:val="center"/>
            <w:hideMark/>
          </w:tcPr>
          <w:p w14:paraId="4A299036" w14:textId="4C800CA3" w:rsidR="00AF342A" w:rsidRPr="0065228D" w:rsidRDefault="00CC0E8D" w:rsidP="00835A65">
            <w:pPr>
              <w:rPr>
                <w:rFonts w:ascii="Times New Roman" w:hAnsi="Times New Roman" w:cs="Times New Roman"/>
              </w:rPr>
            </w:pPr>
            <w:r>
              <w:rPr>
                <w:rFonts w:ascii="Times New Roman" w:hAnsi="Times New Roman" w:cs="Times New Roman"/>
              </w:rPr>
              <w:t>From</w:t>
            </w:r>
          </w:p>
        </w:tc>
      </w:tr>
      <w:tr w:rsidR="00AF342A" w:rsidRPr="0065228D" w14:paraId="36D9A8F4" w14:textId="77777777" w:rsidTr="00AF342A">
        <w:trPr>
          <w:trHeight w:val="454"/>
        </w:trPr>
        <w:tc>
          <w:tcPr>
            <w:tcW w:w="183" w:type="pct"/>
            <w:vMerge w:val="restart"/>
            <w:tcBorders>
              <w:top w:val="single" w:sz="4" w:space="0" w:color="auto"/>
            </w:tcBorders>
            <w:textDirection w:val="btLr"/>
          </w:tcPr>
          <w:p w14:paraId="08625DBD" w14:textId="668498C5" w:rsidR="00AF342A" w:rsidRPr="0065228D" w:rsidRDefault="00AF342A" w:rsidP="00AF342A">
            <w:pPr>
              <w:ind w:left="113" w:right="113"/>
              <w:jc w:val="center"/>
              <w:rPr>
                <w:rFonts w:ascii="Times New Roman" w:hAnsi="Times New Roman" w:cs="Times New Roman"/>
              </w:rPr>
            </w:pPr>
            <w:r>
              <w:rPr>
                <w:rFonts w:ascii="Times New Roman" w:hAnsi="Times New Roman" w:cs="Times New Roman"/>
              </w:rPr>
              <w:t>DEX tokens</w:t>
            </w:r>
          </w:p>
        </w:tc>
        <w:tc>
          <w:tcPr>
            <w:tcW w:w="468" w:type="pct"/>
            <w:tcBorders>
              <w:top w:val="single" w:sz="4" w:space="0" w:color="auto"/>
              <w:bottom w:val="nil"/>
              <w:right w:val="single" w:sz="4" w:space="0" w:color="auto"/>
            </w:tcBorders>
            <w:noWrap/>
            <w:vAlign w:val="center"/>
            <w:hideMark/>
          </w:tcPr>
          <w:p w14:paraId="66D99E07" w14:textId="58EC9D7B" w:rsidR="00AF342A" w:rsidRPr="0065228D" w:rsidRDefault="00AF342A" w:rsidP="00835A65">
            <w:pPr>
              <w:rPr>
                <w:rFonts w:ascii="Times New Roman" w:hAnsi="Times New Roman" w:cs="Times New Roman"/>
              </w:rPr>
            </w:pPr>
            <w:r w:rsidRPr="0065228D">
              <w:rPr>
                <w:rFonts w:ascii="Times New Roman" w:hAnsi="Times New Roman" w:cs="Times New Roman"/>
              </w:rPr>
              <w:t>RUNE</w:t>
            </w:r>
          </w:p>
        </w:tc>
        <w:tc>
          <w:tcPr>
            <w:tcW w:w="314" w:type="pct"/>
            <w:tcBorders>
              <w:top w:val="single" w:sz="4" w:space="0" w:color="auto"/>
              <w:left w:val="single" w:sz="4" w:space="0" w:color="auto"/>
              <w:bottom w:val="nil"/>
            </w:tcBorders>
            <w:noWrap/>
            <w:vAlign w:val="center"/>
            <w:hideMark/>
          </w:tcPr>
          <w:p w14:paraId="4590668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47.48</w:t>
            </w:r>
          </w:p>
        </w:tc>
        <w:tc>
          <w:tcPr>
            <w:tcW w:w="257" w:type="pct"/>
            <w:tcBorders>
              <w:top w:val="single" w:sz="4" w:space="0" w:color="auto"/>
              <w:bottom w:val="nil"/>
            </w:tcBorders>
            <w:noWrap/>
            <w:vAlign w:val="center"/>
            <w:hideMark/>
          </w:tcPr>
          <w:p w14:paraId="4FBA5023"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9.21</w:t>
            </w:r>
          </w:p>
        </w:tc>
        <w:tc>
          <w:tcPr>
            <w:tcW w:w="418" w:type="pct"/>
            <w:tcBorders>
              <w:top w:val="single" w:sz="4" w:space="0" w:color="auto"/>
              <w:bottom w:val="nil"/>
              <w:right w:val="single" w:sz="4" w:space="0" w:color="auto"/>
            </w:tcBorders>
            <w:noWrap/>
            <w:vAlign w:val="center"/>
            <w:hideMark/>
          </w:tcPr>
          <w:p w14:paraId="39A13BA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6.45</w:t>
            </w:r>
          </w:p>
        </w:tc>
        <w:tc>
          <w:tcPr>
            <w:tcW w:w="328" w:type="pct"/>
            <w:tcBorders>
              <w:top w:val="single" w:sz="4" w:space="0" w:color="auto"/>
              <w:left w:val="single" w:sz="4" w:space="0" w:color="auto"/>
              <w:bottom w:val="nil"/>
            </w:tcBorders>
            <w:noWrap/>
            <w:vAlign w:val="center"/>
            <w:hideMark/>
          </w:tcPr>
          <w:p w14:paraId="797AA047"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9.98</w:t>
            </w:r>
          </w:p>
        </w:tc>
        <w:tc>
          <w:tcPr>
            <w:tcW w:w="285" w:type="pct"/>
            <w:tcBorders>
              <w:top w:val="single" w:sz="4" w:space="0" w:color="auto"/>
              <w:bottom w:val="nil"/>
            </w:tcBorders>
            <w:noWrap/>
            <w:vAlign w:val="center"/>
            <w:hideMark/>
          </w:tcPr>
          <w:p w14:paraId="7063B47C"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1.50</w:t>
            </w:r>
          </w:p>
        </w:tc>
        <w:tc>
          <w:tcPr>
            <w:tcW w:w="296" w:type="pct"/>
            <w:tcBorders>
              <w:top w:val="single" w:sz="4" w:space="0" w:color="auto"/>
              <w:bottom w:val="nil"/>
              <w:right w:val="single" w:sz="4" w:space="0" w:color="auto"/>
            </w:tcBorders>
            <w:noWrap/>
            <w:vAlign w:val="center"/>
            <w:hideMark/>
          </w:tcPr>
          <w:p w14:paraId="3C0FDA14"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8.14</w:t>
            </w:r>
          </w:p>
        </w:tc>
        <w:tc>
          <w:tcPr>
            <w:tcW w:w="257" w:type="pct"/>
            <w:tcBorders>
              <w:top w:val="single" w:sz="4" w:space="0" w:color="auto"/>
              <w:left w:val="single" w:sz="4" w:space="0" w:color="auto"/>
              <w:bottom w:val="nil"/>
            </w:tcBorders>
            <w:noWrap/>
            <w:vAlign w:val="center"/>
            <w:hideMark/>
          </w:tcPr>
          <w:p w14:paraId="472E13CC"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1.33</w:t>
            </w:r>
          </w:p>
        </w:tc>
        <w:tc>
          <w:tcPr>
            <w:tcW w:w="257" w:type="pct"/>
            <w:tcBorders>
              <w:top w:val="single" w:sz="4" w:space="0" w:color="auto"/>
              <w:bottom w:val="nil"/>
            </w:tcBorders>
            <w:noWrap/>
            <w:vAlign w:val="center"/>
            <w:hideMark/>
          </w:tcPr>
          <w:p w14:paraId="4DBA4D7A"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0.93</w:t>
            </w:r>
          </w:p>
        </w:tc>
        <w:tc>
          <w:tcPr>
            <w:tcW w:w="296" w:type="pct"/>
            <w:tcBorders>
              <w:top w:val="single" w:sz="4" w:space="0" w:color="auto"/>
              <w:bottom w:val="nil"/>
            </w:tcBorders>
            <w:noWrap/>
            <w:vAlign w:val="center"/>
            <w:hideMark/>
          </w:tcPr>
          <w:p w14:paraId="7F3B2F63"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8.55</w:t>
            </w:r>
          </w:p>
        </w:tc>
        <w:tc>
          <w:tcPr>
            <w:tcW w:w="272" w:type="pct"/>
            <w:tcBorders>
              <w:top w:val="single" w:sz="4" w:space="0" w:color="auto"/>
              <w:bottom w:val="nil"/>
            </w:tcBorders>
            <w:noWrap/>
            <w:vAlign w:val="center"/>
            <w:hideMark/>
          </w:tcPr>
          <w:p w14:paraId="1C95E2A7"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2.10</w:t>
            </w:r>
          </w:p>
        </w:tc>
        <w:tc>
          <w:tcPr>
            <w:tcW w:w="310" w:type="pct"/>
            <w:tcBorders>
              <w:top w:val="single" w:sz="4" w:space="0" w:color="auto"/>
              <w:bottom w:val="nil"/>
            </w:tcBorders>
            <w:noWrap/>
            <w:vAlign w:val="center"/>
            <w:hideMark/>
          </w:tcPr>
          <w:p w14:paraId="3D24D38B"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2.38</w:t>
            </w:r>
          </w:p>
        </w:tc>
        <w:tc>
          <w:tcPr>
            <w:tcW w:w="267" w:type="pct"/>
            <w:tcBorders>
              <w:top w:val="single" w:sz="4" w:space="0" w:color="auto"/>
              <w:bottom w:val="nil"/>
            </w:tcBorders>
            <w:noWrap/>
            <w:vAlign w:val="center"/>
            <w:hideMark/>
          </w:tcPr>
          <w:p w14:paraId="48D46226"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0.81</w:t>
            </w:r>
          </w:p>
        </w:tc>
        <w:tc>
          <w:tcPr>
            <w:tcW w:w="468" w:type="pct"/>
            <w:tcBorders>
              <w:top w:val="single" w:sz="4" w:space="0" w:color="auto"/>
              <w:bottom w:val="nil"/>
            </w:tcBorders>
            <w:noWrap/>
            <w:vAlign w:val="center"/>
            <w:hideMark/>
          </w:tcPr>
          <w:p w14:paraId="16C61FCD"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1.13</w:t>
            </w:r>
          </w:p>
        </w:tc>
        <w:tc>
          <w:tcPr>
            <w:tcW w:w="324" w:type="pct"/>
            <w:tcBorders>
              <w:top w:val="single" w:sz="4" w:space="0" w:color="auto"/>
              <w:bottom w:val="nil"/>
            </w:tcBorders>
            <w:noWrap/>
            <w:vAlign w:val="center"/>
            <w:hideMark/>
          </w:tcPr>
          <w:p w14:paraId="49BEC6B3"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52.52</w:t>
            </w:r>
          </w:p>
        </w:tc>
      </w:tr>
      <w:tr w:rsidR="00AF342A" w:rsidRPr="0065228D" w14:paraId="45423B8C" w14:textId="77777777" w:rsidTr="00AF342A">
        <w:trPr>
          <w:trHeight w:val="454"/>
        </w:trPr>
        <w:tc>
          <w:tcPr>
            <w:tcW w:w="183" w:type="pct"/>
            <w:vMerge/>
          </w:tcPr>
          <w:p w14:paraId="2905E944" w14:textId="77777777" w:rsidR="00AF342A" w:rsidRPr="0065228D" w:rsidRDefault="00AF342A" w:rsidP="00835A65">
            <w:pPr>
              <w:rPr>
                <w:rFonts w:ascii="Times New Roman" w:hAnsi="Times New Roman" w:cs="Times New Roman"/>
              </w:rPr>
            </w:pPr>
          </w:p>
        </w:tc>
        <w:tc>
          <w:tcPr>
            <w:tcW w:w="468" w:type="pct"/>
            <w:tcBorders>
              <w:top w:val="nil"/>
              <w:bottom w:val="nil"/>
              <w:right w:val="single" w:sz="4" w:space="0" w:color="auto"/>
            </w:tcBorders>
            <w:noWrap/>
            <w:vAlign w:val="center"/>
            <w:hideMark/>
          </w:tcPr>
          <w:p w14:paraId="57337002" w14:textId="40B2DE46" w:rsidR="00AF342A" w:rsidRPr="0065228D" w:rsidRDefault="00AF342A" w:rsidP="00835A65">
            <w:pPr>
              <w:rPr>
                <w:rFonts w:ascii="Times New Roman" w:hAnsi="Times New Roman" w:cs="Times New Roman"/>
              </w:rPr>
            </w:pPr>
            <w:r w:rsidRPr="0065228D">
              <w:rPr>
                <w:rFonts w:ascii="Times New Roman" w:hAnsi="Times New Roman" w:cs="Times New Roman"/>
              </w:rPr>
              <w:t>LRC</w:t>
            </w:r>
          </w:p>
        </w:tc>
        <w:tc>
          <w:tcPr>
            <w:tcW w:w="314" w:type="pct"/>
            <w:tcBorders>
              <w:top w:val="nil"/>
              <w:left w:val="single" w:sz="4" w:space="0" w:color="auto"/>
              <w:bottom w:val="nil"/>
            </w:tcBorders>
            <w:noWrap/>
            <w:vAlign w:val="center"/>
            <w:hideMark/>
          </w:tcPr>
          <w:p w14:paraId="6B5CCE9F"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8.43</w:t>
            </w:r>
          </w:p>
        </w:tc>
        <w:tc>
          <w:tcPr>
            <w:tcW w:w="257" w:type="pct"/>
            <w:tcBorders>
              <w:top w:val="nil"/>
              <w:bottom w:val="nil"/>
            </w:tcBorders>
            <w:noWrap/>
            <w:vAlign w:val="center"/>
            <w:hideMark/>
          </w:tcPr>
          <w:p w14:paraId="626F980E"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43.66</w:t>
            </w:r>
          </w:p>
        </w:tc>
        <w:tc>
          <w:tcPr>
            <w:tcW w:w="418" w:type="pct"/>
            <w:tcBorders>
              <w:top w:val="nil"/>
              <w:bottom w:val="nil"/>
              <w:right w:val="single" w:sz="4" w:space="0" w:color="auto"/>
            </w:tcBorders>
            <w:noWrap/>
            <w:vAlign w:val="center"/>
            <w:hideMark/>
          </w:tcPr>
          <w:p w14:paraId="6E29394F"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10.28</w:t>
            </w:r>
          </w:p>
        </w:tc>
        <w:tc>
          <w:tcPr>
            <w:tcW w:w="328" w:type="pct"/>
            <w:tcBorders>
              <w:top w:val="nil"/>
              <w:left w:val="single" w:sz="4" w:space="0" w:color="auto"/>
              <w:bottom w:val="nil"/>
            </w:tcBorders>
            <w:noWrap/>
            <w:vAlign w:val="center"/>
            <w:hideMark/>
          </w:tcPr>
          <w:p w14:paraId="3E887EF0"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10.34</w:t>
            </w:r>
          </w:p>
        </w:tc>
        <w:tc>
          <w:tcPr>
            <w:tcW w:w="285" w:type="pct"/>
            <w:tcBorders>
              <w:top w:val="nil"/>
              <w:bottom w:val="nil"/>
            </w:tcBorders>
            <w:noWrap/>
            <w:vAlign w:val="center"/>
            <w:hideMark/>
          </w:tcPr>
          <w:p w14:paraId="157AA51E"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1.23</w:t>
            </w:r>
          </w:p>
        </w:tc>
        <w:tc>
          <w:tcPr>
            <w:tcW w:w="296" w:type="pct"/>
            <w:tcBorders>
              <w:top w:val="nil"/>
              <w:bottom w:val="nil"/>
              <w:right w:val="single" w:sz="4" w:space="0" w:color="auto"/>
            </w:tcBorders>
            <w:noWrap/>
            <w:vAlign w:val="center"/>
            <w:hideMark/>
          </w:tcPr>
          <w:p w14:paraId="1D1D20E7"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8.56</w:t>
            </w:r>
          </w:p>
        </w:tc>
        <w:tc>
          <w:tcPr>
            <w:tcW w:w="257" w:type="pct"/>
            <w:tcBorders>
              <w:top w:val="nil"/>
              <w:left w:val="single" w:sz="4" w:space="0" w:color="auto"/>
              <w:bottom w:val="nil"/>
            </w:tcBorders>
            <w:noWrap/>
            <w:vAlign w:val="center"/>
            <w:hideMark/>
          </w:tcPr>
          <w:p w14:paraId="01840FD2"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1.45</w:t>
            </w:r>
          </w:p>
        </w:tc>
        <w:tc>
          <w:tcPr>
            <w:tcW w:w="257" w:type="pct"/>
            <w:tcBorders>
              <w:top w:val="nil"/>
              <w:bottom w:val="nil"/>
            </w:tcBorders>
            <w:noWrap/>
            <w:vAlign w:val="center"/>
            <w:hideMark/>
          </w:tcPr>
          <w:p w14:paraId="425F8CDB"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0.62</w:t>
            </w:r>
          </w:p>
        </w:tc>
        <w:tc>
          <w:tcPr>
            <w:tcW w:w="296" w:type="pct"/>
            <w:tcBorders>
              <w:top w:val="nil"/>
              <w:bottom w:val="nil"/>
            </w:tcBorders>
            <w:noWrap/>
            <w:vAlign w:val="center"/>
            <w:hideMark/>
          </w:tcPr>
          <w:p w14:paraId="66AB95C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9.15</w:t>
            </w:r>
          </w:p>
        </w:tc>
        <w:tc>
          <w:tcPr>
            <w:tcW w:w="272" w:type="pct"/>
            <w:tcBorders>
              <w:top w:val="nil"/>
              <w:bottom w:val="nil"/>
            </w:tcBorders>
            <w:noWrap/>
            <w:vAlign w:val="center"/>
            <w:hideMark/>
          </w:tcPr>
          <w:p w14:paraId="5F9E185C"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1.72</w:t>
            </w:r>
          </w:p>
        </w:tc>
        <w:tc>
          <w:tcPr>
            <w:tcW w:w="310" w:type="pct"/>
            <w:tcBorders>
              <w:top w:val="nil"/>
              <w:bottom w:val="nil"/>
            </w:tcBorders>
            <w:noWrap/>
            <w:vAlign w:val="center"/>
            <w:hideMark/>
          </w:tcPr>
          <w:p w14:paraId="4F19612E"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2.21</w:t>
            </w:r>
          </w:p>
        </w:tc>
        <w:tc>
          <w:tcPr>
            <w:tcW w:w="267" w:type="pct"/>
            <w:tcBorders>
              <w:top w:val="nil"/>
              <w:bottom w:val="nil"/>
            </w:tcBorders>
            <w:noWrap/>
            <w:vAlign w:val="center"/>
            <w:hideMark/>
          </w:tcPr>
          <w:p w14:paraId="1BB200CC"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0.87</w:t>
            </w:r>
          </w:p>
        </w:tc>
        <w:tc>
          <w:tcPr>
            <w:tcW w:w="468" w:type="pct"/>
            <w:tcBorders>
              <w:top w:val="nil"/>
              <w:bottom w:val="nil"/>
            </w:tcBorders>
            <w:noWrap/>
            <w:vAlign w:val="center"/>
            <w:hideMark/>
          </w:tcPr>
          <w:p w14:paraId="16D558D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1.48</w:t>
            </w:r>
          </w:p>
        </w:tc>
        <w:tc>
          <w:tcPr>
            <w:tcW w:w="324" w:type="pct"/>
            <w:tcBorders>
              <w:top w:val="nil"/>
              <w:bottom w:val="nil"/>
            </w:tcBorders>
            <w:noWrap/>
            <w:vAlign w:val="center"/>
            <w:hideMark/>
          </w:tcPr>
          <w:p w14:paraId="11BE1BEE"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56.34</w:t>
            </w:r>
          </w:p>
        </w:tc>
      </w:tr>
      <w:tr w:rsidR="00AF342A" w:rsidRPr="0065228D" w14:paraId="52866779" w14:textId="77777777" w:rsidTr="00AF342A">
        <w:trPr>
          <w:trHeight w:val="454"/>
        </w:trPr>
        <w:tc>
          <w:tcPr>
            <w:tcW w:w="183" w:type="pct"/>
            <w:vMerge/>
            <w:tcBorders>
              <w:bottom w:val="single" w:sz="4" w:space="0" w:color="auto"/>
            </w:tcBorders>
          </w:tcPr>
          <w:p w14:paraId="438EE83E" w14:textId="77777777" w:rsidR="00AF342A" w:rsidRPr="0065228D" w:rsidRDefault="00AF342A" w:rsidP="00835A65">
            <w:pPr>
              <w:rPr>
                <w:rFonts w:ascii="Times New Roman" w:hAnsi="Times New Roman" w:cs="Times New Roman"/>
              </w:rPr>
            </w:pPr>
          </w:p>
        </w:tc>
        <w:tc>
          <w:tcPr>
            <w:tcW w:w="468" w:type="pct"/>
            <w:tcBorders>
              <w:top w:val="nil"/>
              <w:bottom w:val="single" w:sz="4" w:space="0" w:color="auto"/>
              <w:right w:val="single" w:sz="4" w:space="0" w:color="auto"/>
            </w:tcBorders>
            <w:noWrap/>
            <w:vAlign w:val="center"/>
            <w:hideMark/>
          </w:tcPr>
          <w:p w14:paraId="18F34BA5" w14:textId="62D29444" w:rsidR="00AF342A" w:rsidRPr="0065228D" w:rsidRDefault="00AF342A" w:rsidP="00835A65">
            <w:pPr>
              <w:rPr>
                <w:rFonts w:ascii="Times New Roman" w:hAnsi="Times New Roman" w:cs="Times New Roman"/>
              </w:rPr>
            </w:pPr>
            <w:r w:rsidRPr="0065228D">
              <w:rPr>
                <w:rFonts w:ascii="Times New Roman" w:hAnsi="Times New Roman" w:cs="Times New Roman"/>
              </w:rPr>
              <w:t>GNO</w:t>
            </w:r>
          </w:p>
        </w:tc>
        <w:tc>
          <w:tcPr>
            <w:tcW w:w="314" w:type="pct"/>
            <w:tcBorders>
              <w:top w:val="nil"/>
              <w:left w:val="single" w:sz="4" w:space="0" w:color="auto"/>
              <w:bottom w:val="single" w:sz="4" w:space="0" w:color="auto"/>
            </w:tcBorders>
            <w:noWrap/>
            <w:vAlign w:val="center"/>
            <w:hideMark/>
          </w:tcPr>
          <w:p w14:paraId="48A9ADFE"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5.73</w:t>
            </w:r>
          </w:p>
        </w:tc>
        <w:tc>
          <w:tcPr>
            <w:tcW w:w="257" w:type="pct"/>
            <w:tcBorders>
              <w:top w:val="nil"/>
              <w:bottom w:val="single" w:sz="4" w:space="0" w:color="auto"/>
            </w:tcBorders>
            <w:noWrap/>
            <w:vAlign w:val="center"/>
            <w:hideMark/>
          </w:tcPr>
          <w:p w14:paraId="3084B3D4"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9.81</w:t>
            </w:r>
          </w:p>
        </w:tc>
        <w:tc>
          <w:tcPr>
            <w:tcW w:w="418" w:type="pct"/>
            <w:tcBorders>
              <w:top w:val="nil"/>
              <w:bottom w:val="single" w:sz="4" w:space="0" w:color="auto"/>
              <w:right w:val="single" w:sz="4" w:space="0" w:color="auto"/>
            </w:tcBorders>
            <w:noWrap/>
            <w:vAlign w:val="center"/>
            <w:hideMark/>
          </w:tcPr>
          <w:p w14:paraId="6DF39B96"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42.14</w:t>
            </w:r>
          </w:p>
        </w:tc>
        <w:tc>
          <w:tcPr>
            <w:tcW w:w="328" w:type="pct"/>
            <w:tcBorders>
              <w:top w:val="nil"/>
              <w:left w:val="single" w:sz="4" w:space="0" w:color="auto"/>
              <w:bottom w:val="single" w:sz="4" w:space="0" w:color="auto"/>
            </w:tcBorders>
            <w:noWrap/>
            <w:vAlign w:val="center"/>
            <w:hideMark/>
          </w:tcPr>
          <w:p w14:paraId="35A4C5F3"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11.12</w:t>
            </w:r>
          </w:p>
        </w:tc>
        <w:tc>
          <w:tcPr>
            <w:tcW w:w="285" w:type="pct"/>
            <w:tcBorders>
              <w:top w:val="nil"/>
              <w:bottom w:val="single" w:sz="4" w:space="0" w:color="auto"/>
            </w:tcBorders>
            <w:noWrap/>
            <w:vAlign w:val="center"/>
            <w:hideMark/>
          </w:tcPr>
          <w:p w14:paraId="0D4AC9E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0.93</w:t>
            </w:r>
          </w:p>
        </w:tc>
        <w:tc>
          <w:tcPr>
            <w:tcW w:w="296" w:type="pct"/>
            <w:tcBorders>
              <w:top w:val="nil"/>
              <w:bottom w:val="single" w:sz="4" w:space="0" w:color="auto"/>
              <w:right w:val="single" w:sz="4" w:space="0" w:color="auto"/>
            </w:tcBorders>
            <w:noWrap/>
            <w:vAlign w:val="center"/>
            <w:hideMark/>
          </w:tcPr>
          <w:p w14:paraId="092F84F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9.84</w:t>
            </w:r>
          </w:p>
        </w:tc>
        <w:tc>
          <w:tcPr>
            <w:tcW w:w="257" w:type="pct"/>
            <w:tcBorders>
              <w:top w:val="nil"/>
              <w:left w:val="single" w:sz="4" w:space="0" w:color="auto"/>
              <w:bottom w:val="single" w:sz="4" w:space="0" w:color="auto"/>
            </w:tcBorders>
            <w:noWrap/>
            <w:vAlign w:val="center"/>
            <w:hideMark/>
          </w:tcPr>
          <w:p w14:paraId="7F0CFBD3"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1.36</w:t>
            </w:r>
          </w:p>
        </w:tc>
        <w:tc>
          <w:tcPr>
            <w:tcW w:w="257" w:type="pct"/>
            <w:tcBorders>
              <w:top w:val="nil"/>
              <w:bottom w:val="single" w:sz="4" w:space="0" w:color="auto"/>
            </w:tcBorders>
            <w:noWrap/>
            <w:vAlign w:val="center"/>
            <w:hideMark/>
          </w:tcPr>
          <w:p w14:paraId="3025D6C6"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0.68</w:t>
            </w:r>
          </w:p>
        </w:tc>
        <w:tc>
          <w:tcPr>
            <w:tcW w:w="296" w:type="pct"/>
            <w:tcBorders>
              <w:top w:val="nil"/>
              <w:bottom w:val="single" w:sz="4" w:space="0" w:color="auto"/>
            </w:tcBorders>
            <w:noWrap/>
            <w:vAlign w:val="center"/>
            <w:hideMark/>
          </w:tcPr>
          <w:p w14:paraId="36AD2CFE"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12.02</w:t>
            </w:r>
          </w:p>
        </w:tc>
        <w:tc>
          <w:tcPr>
            <w:tcW w:w="272" w:type="pct"/>
            <w:tcBorders>
              <w:top w:val="nil"/>
              <w:bottom w:val="single" w:sz="4" w:space="0" w:color="auto"/>
            </w:tcBorders>
            <w:noWrap/>
            <w:vAlign w:val="center"/>
            <w:hideMark/>
          </w:tcPr>
          <w:p w14:paraId="2CA3D58E"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1.68</w:t>
            </w:r>
          </w:p>
        </w:tc>
        <w:tc>
          <w:tcPr>
            <w:tcW w:w="310" w:type="pct"/>
            <w:tcBorders>
              <w:top w:val="nil"/>
              <w:bottom w:val="single" w:sz="4" w:space="0" w:color="auto"/>
            </w:tcBorders>
            <w:noWrap/>
            <w:vAlign w:val="center"/>
            <w:hideMark/>
          </w:tcPr>
          <w:p w14:paraId="244474CA"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3.02</w:t>
            </w:r>
          </w:p>
        </w:tc>
        <w:tc>
          <w:tcPr>
            <w:tcW w:w="267" w:type="pct"/>
            <w:tcBorders>
              <w:top w:val="nil"/>
              <w:bottom w:val="single" w:sz="4" w:space="0" w:color="auto"/>
            </w:tcBorders>
            <w:noWrap/>
            <w:vAlign w:val="center"/>
            <w:hideMark/>
          </w:tcPr>
          <w:p w14:paraId="714138CE"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0.77</w:t>
            </w:r>
          </w:p>
        </w:tc>
        <w:tc>
          <w:tcPr>
            <w:tcW w:w="468" w:type="pct"/>
            <w:tcBorders>
              <w:top w:val="nil"/>
              <w:bottom w:val="single" w:sz="4" w:space="0" w:color="auto"/>
            </w:tcBorders>
            <w:noWrap/>
            <w:vAlign w:val="center"/>
            <w:hideMark/>
          </w:tcPr>
          <w:p w14:paraId="6E2D255A"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0.89</w:t>
            </w:r>
          </w:p>
        </w:tc>
        <w:tc>
          <w:tcPr>
            <w:tcW w:w="324" w:type="pct"/>
            <w:tcBorders>
              <w:top w:val="nil"/>
              <w:bottom w:val="single" w:sz="4" w:space="0" w:color="auto"/>
            </w:tcBorders>
            <w:noWrap/>
            <w:vAlign w:val="center"/>
            <w:hideMark/>
          </w:tcPr>
          <w:p w14:paraId="54FEEAE6"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57.86</w:t>
            </w:r>
          </w:p>
        </w:tc>
      </w:tr>
      <w:tr w:rsidR="00AF342A" w:rsidRPr="0065228D" w14:paraId="2262AB02" w14:textId="77777777" w:rsidTr="00AF342A">
        <w:trPr>
          <w:trHeight w:val="454"/>
        </w:trPr>
        <w:tc>
          <w:tcPr>
            <w:tcW w:w="183" w:type="pct"/>
            <w:vMerge w:val="restart"/>
            <w:tcBorders>
              <w:top w:val="single" w:sz="4" w:space="0" w:color="auto"/>
            </w:tcBorders>
            <w:textDirection w:val="btLr"/>
          </w:tcPr>
          <w:p w14:paraId="607E3782" w14:textId="703429AE" w:rsidR="00AF342A" w:rsidRPr="0065228D" w:rsidRDefault="00AF342A" w:rsidP="00AF342A">
            <w:pPr>
              <w:ind w:left="113" w:right="113"/>
              <w:rPr>
                <w:rFonts w:ascii="Times New Roman" w:hAnsi="Times New Roman" w:cs="Times New Roman"/>
              </w:rPr>
            </w:pPr>
            <w:r>
              <w:rPr>
                <w:rFonts w:ascii="Times New Roman" w:hAnsi="Times New Roman" w:cs="Times New Roman"/>
              </w:rPr>
              <w:t>CEX tokens</w:t>
            </w:r>
          </w:p>
        </w:tc>
        <w:tc>
          <w:tcPr>
            <w:tcW w:w="468" w:type="pct"/>
            <w:tcBorders>
              <w:top w:val="single" w:sz="4" w:space="0" w:color="auto"/>
              <w:bottom w:val="nil"/>
              <w:right w:val="single" w:sz="4" w:space="0" w:color="auto"/>
            </w:tcBorders>
            <w:noWrap/>
            <w:vAlign w:val="center"/>
            <w:hideMark/>
          </w:tcPr>
          <w:p w14:paraId="093C78B5" w14:textId="5C706FCF" w:rsidR="00AF342A" w:rsidRPr="0065228D" w:rsidRDefault="00AF342A" w:rsidP="00835A65">
            <w:pPr>
              <w:rPr>
                <w:rFonts w:ascii="Times New Roman" w:hAnsi="Times New Roman" w:cs="Times New Roman"/>
              </w:rPr>
            </w:pPr>
            <w:r w:rsidRPr="0065228D">
              <w:rPr>
                <w:rFonts w:ascii="Times New Roman" w:hAnsi="Times New Roman" w:cs="Times New Roman"/>
              </w:rPr>
              <w:t>BNB</w:t>
            </w:r>
          </w:p>
        </w:tc>
        <w:tc>
          <w:tcPr>
            <w:tcW w:w="314" w:type="pct"/>
            <w:tcBorders>
              <w:top w:val="single" w:sz="4" w:space="0" w:color="auto"/>
              <w:left w:val="single" w:sz="4" w:space="0" w:color="auto"/>
              <w:bottom w:val="nil"/>
            </w:tcBorders>
            <w:noWrap/>
            <w:vAlign w:val="center"/>
            <w:hideMark/>
          </w:tcPr>
          <w:p w14:paraId="6FEF72DF"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7.51</w:t>
            </w:r>
          </w:p>
        </w:tc>
        <w:tc>
          <w:tcPr>
            <w:tcW w:w="257" w:type="pct"/>
            <w:tcBorders>
              <w:top w:val="single" w:sz="4" w:space="0" w:color="auto"/>
              <w:bottom w:val="nil"/>
            </w:tcBorders>
            <w:noWrap/>
            <w:vAlign w:val="center"/>
            <w:hideMark/>
          </w:tcPr>
          <w:p w14:paraId="5016BAEA"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8.12</w:t>
            </w:r>
          </w:p>
        </w:tc>
        <w:tc>
          <w:tcPr>
            <w:tcW w:w="418" w:type="pct"/>
            <w:tcBorders>
              <w:top w:val="single" w:sz="4" w:space="0" w:color="auto"/>
              <w:bottom w:val="nil"/>
              <w:right w:val="single" w:sz="4" w:space="0" w:color="auto"/>
            </w:tcBorders>
            <w:noWrap/>
            <w:vAlign w:val="center"/>
            <w:hideMark/>
          </w:tcPr>
          <w:p w14:paraId="130D7E0C"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9.05</w:t>
            </w:r>
          </w:p>
        </w:tc>
        <w:tc>
          <w:tcPr>
            <w:tcW w:w="328" w:type="pct"/>
            <w:tcBorders>
              <w:top w:val="single" w:sz="4" w:space="0" w:color="auto"/>
              <w:left w:val="single" w:sz="4" w:space="0" w:color="auto"/>
              <w:bottom w:val="nil"/>
            </w:tcBorders>
            <w:noWrap/>
            <w:vAlign w:val="center"/>
            <w:hideMark/>
          </w:tcPr>
          <w:p w14:paraId="07A96070"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34.28</w:t>
            </w:r>
          </w:p>
        </w:tc>
        <w:tc>
          <w:tcPr>
            <w:tcW w:w="285" w:type="pct"/>
            <w:tcBorders>
              <w:top w:val="single" w:sz="4" w:space="0" w:color="auto"/>
              <w:bottom w:val="nil"/>
            </w:tcBorders>
            <w:noWrap/>
            <w:vAlign w:val="center"/>
            <w:hideMark/>
          </w:tcPr>
          <w:p w14:paraId="07E56682"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1.51</w:t>
            </w:r>
          </w:p>
        </w:tc>
        <w:tc>
          <w:tcPr>
            <w:tcW w:w="296" w:type="pct"/>
            <w:tcBorders>
              <w:top w:val="single" w:sz="4" w:space="0" w:color="auto"/>
              <w:bottom w:val="nil"/>
              <w:right w:val="single" w:sz="4" w:space="0" w:color="auto"/>
            </w:tcBorders>
            <w:noWrap/>
            <w:vAlign w:val="center"/>
            <w:hideMark/>
          </w:tcPr>
          <w:p w14:paraId="069A3716"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14.81</w:t>
            </w:r>
          </w:p>
        </w:tc>
        <w:tc>
          <w:tcPr>
            <w:tcW w:w="257" w:type="pct"/>
            <w:tcBorders>
              <w:top w:val="single" w:sz="4" w:space="0" w:color="auto"/>
              <w:left w:val="single" w:sz="4" w:space="0" w:color="auto"/>
              <w:bottom w:val="nil"/>
            </w:tcBorders>
            <w:noWrap/>
            <w:vAlign w:val="center"/>
            <w:hideMark/>
          </w:tcPr>
          <w:p w14:paraId="654000C3"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1.23</w:t>
            </w:r>
          </w:p>
        </w:tc>
        <w:tc>
          <w:tcPr>
            <w:tcW w:w="257" w:type="pct"/>
            <w:tcBorders>
              <w:top w:val="single" w:sz="4" w:space="0" w:color="auto"/>
              <w:bottom w:val="nil"/>
            </w:tcBorders>
            <w:noWrap/>
            <w:vAlign w:val="center"/>
            <w:hideMark/>
          </w:tcPr>
          <w:p w14:paraId="636A1466"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0.75</w:t>
            </w:r>
          </w:p>
        </w:tc>
        <w:tc>
          <w:tcPr>
            <w:tcW w:w="296" w:type="pct"/>
            <w:tcBorders>
              <w:top w:val="single" w:sz="4" w:space="0" w:color="auto"/>
              <w:bottom w:val="nil"/>
            </w:tcBorders>
            <w:noWrap/>
            <w:vAlign w:val="center"/>
            <w:hideMark/>
          </w:tcPr>
          <w:p w14:paraId="779D8BE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14.63</w:t>
            </w:r>
          </w:p>
        </w:tc>
        <w:tc>
          <w:tcPr>
            <w:tcW w:w="272" w:type="pct"/>
            <w:tcBorders>
              <w:top w:val="single" w:sz="4" w:space="0" w:color="auto"/>
              <w:bottom w:val="nil"/>
            </w:tcBorders>
            <w:noWrap/>
            <w:vAlign w:val="center"/>
            <w:hideMark/>
          </w:tcPr>
          <w:p w14:paraId="720D30F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2.36</w:t>
            </w:r>
          </w:p>
        </w:tc>
        <w:tc>
          <w:tcPr>
            <w:tcW w:w="310" w:type="pct"/>
            <w:tcBorders>
              <w:top w:val="single" w:sz="4" w:space="0" w:color="auto"/>
              <w:bottom w:val="nil"/>
            </w:tcBorders>
            <w:noWrap/>
            <w:vAlign w:val="center"/>
            <w:hideMark/>
          </w:tcPr>
          <w:p w14:paraId="7F1CBDA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3.64</w:t>
            </w:r>
          </w:p>
        </w:tc>
        <w:tc>
          <w:tcPr>
            <w:tcW w:w="267" w:type="pct"/>
            <w:tcBorders>
              <w:top w:val="single" w:sz="4" w:space="0" w:color="auto"/>
              <w:bottom w:val="nil"/>
            </w:tcBorders>
            <w:noWrap/>
            <w:vAlign w:val="center"/>
            <w:hideMark/>
          </w:tcPr>
          <w:p w14:paraId="0CA4EA5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0.83</w:t>
            </w:r>
          </w:p>
        </w:tc>
        <w:tc>
          <w:tcPr>
            <w:tcW w:w="468" w:type="pct"/>
            <w:tcBorders>
              <w:top w:val="single" w:sz="4" w:space="0" w:color="auto"/>
              <w:bottom w:val="nil"/>
            </w:tcBorders>
            <w:noWrap/>
            <w:vAlign w:val="center"/>
            <w:hideMark/>
          </w:tcPr>
          <w:p w14:paraId="2DBDEAE3"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1.30</w:t>
            </w:r>
          </w:p>
        </w:tc>
        <w:tc>
          <w:tcPr>
            <w:tcW w:w="324" w:type="pct"/>
            <w:tcBorders>
              <w:top w:val="single" w:sz="4" w:space="0" w:color="auto"/>
              <w:bottom w:val="nil"/>
            </w:tcBorders>
            <w:noWrap/>
            <w:vAlign w:val="center"/>
            <w:hideMark/>
          </w:tcPr>
          <w:p w14:paraId="69E8C88D"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65.72</w:t>
            </w:r>
          </w:p>
        </w:tc>
      </w:tr>
      <w:tr w:rsidR="00AF342A" w:rsidRPr="0065228D" w14:paraId="2845BBD3" w14:textId="77777777" w:rsidTr="00AF342A">
        <w:trPr>
          <w:trHeight w:val="454"/>
        </w:trPr>
        <w:tc>
          <w:tcPr>
            <w:tcW w:w="183" w:type="pct"/>
            <w:vMerge/>
          </w:tcPr>
          <w:p w14:paraId="3D656ABF" w14:textId="77777777" w:rsidR="00AF342A" w:rsidRPr="0065228D" w:rsidRDefault="00AF342A" w:rsidP="00835A65">
            <w:pPr>
              <w:rPr>
                <w:rFonts w:ascii="Times New Roman" w:hAnsi="Times New Roman" w:cs="Times New Roman"/>
              </w:rPr>
            </w:pPr>
          </w:p>
        </w:tc>
        <w:tc>
          <w:tcPr>
            <w:tcW w:w="468" w:type="pct"/>
            <w:tcBorders>
              <w:top w:val="nil"/>
              <w:bottom w:val="nil"/>
              <w:right w:val="single" w:sz="4" w:space="0" w:color="auto"/>
            </w:tcBorders>
            <w:noWrap/>
            <w:vAlign w:val="center"/>
            <w:hideMark/>
          </w:tcPr>
          <w:p w14:paraId="3E4720C7" w14:textId="652451DD" w:rsidR="00AF342A" w:rsidRPr="0065228D" w:rsidRDefault="00AF342A" w:rsidP="00835A65">
            <w:pPr>
              <w:rPr>
                <w:rFonts w:ascii="Times New Roman" w:hAnsi="Times New Roman" w:cs="Times New Roman"/>
              </w:rPr>
            </w:pPr>
            <w:r w:rsidRPr="0065228D">
              <w:rPr>
                <w:rFonts w:ascii="Times New Roman" w:hAnsi="Times New Roman" w:cs="Times New Roman"/>
              </w:rPr>
              <w:t>LEO</w:t>
            </w:r>
          </w:p>
        </w:tc>
        <w:tc>
          <w:tcPr>
            <w:tcW w:w="314" w:type="pct"/>
            <w:tcBorders>
              <w:top w:val="nil"/>
              <w:left w:val="single" w:sz="4" w:space="0" w:color="auto"/>
              <w:bottom w:val="nil"/>
            </w:tcBorders>
            <w:noWrap/>
            <w:vAlign w:val="center"/>
            <w:hideMark/>
          </w:tcPr>
          <w:p w14:paraId="49C13CD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1.31</w:t>
            </w:r>
          </w:p>
        </w:tc>
        <w:tc>
          <w:tcPr>
            <w:tcW w:w="257" w:type="pct"/>
            <w:tcBorders>
              <w:top w:val="nil"/>
              <w:bottom w:val="nil"/>
            </w:tcBorders>
            <w:noWrap/>
            <w:vAlign w:val="center"/>
            <w:hideMark/>
          </w:tcPr>
          <w:p w14:paraId="1548206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1.71</w:t>
            </w:r>
          </w:p>
        </w:tc>
        <w:tc>
          <w:tcPr>
            <w:tcW w:w="418" w:type="pct"/>
            <w:tcBorders>
              <w:top w:val="nil"/>
              <w:bottom w:val="nil"/>
              <w:right w:val="single" w:sz="4" w:space="0" w:color="auto"/>
            </w:tcBorders>
            <w:noWrap/>
            <w:vAlign w:val="center"/>
            <w:hideMark/>
          </w:tcPr>
          <w:p w14:paraId="0B100BE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1.33</w:t>
            </w:r>
          </w:p>
        </w:tc>
        <w:tc>
          <w:tcPr>
            <w:tcW w:w="328" w:type="pct"/>
            <w:tcBorders>
              <w:top w:val="nil"/>
              <w:left w:val="single" w:sz="4" w:space="0" w:color="auto"/>
              <w:bottom w:val="nil"/>
            </w:tcBorders>
            <w:noWrap/>
            <w:vAlign w:val="center"/>
            <w:hideMark/>
          </w:tcPr>
          <w:p w14:paraId="01A45EE7"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3.34</w:t>
            </w:r>
          </w:p>
        </w:tc>
        <w:tc>
          <w:tcPr>
            <w:tcW w:w="285" w:type="pct"/>
            <w:tcBorders>
              <w:top w:val="nil"/>
              <w:bottom w:val="nil"/>
            </w:tcBorders>
            <w:noWrap/>
            <w:vAlign w:val="center"/>
            <w:hideMark/>
          </w:tcPr>
          <w:p w14:paraId="19D9852F"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80.99</w:t>
            </w:r>
          </w:p>
        </w:tc>
        <w:tc>
          <w:tcPr>
            <w:tcW w:w="296" w:type="pct"/>
            <w:tcBorders>
              <w:top w:val="nil"/>
              <w:bottom w:val="nil"/>
              <w:right w:val="single" w:sz="4" w:space="0" w:color="auto"/>
            </w:tcBorders>
            <w:noWrap/>
            <w:vAlign w:val="center"/>
            <w:hideMark/>
          </w:tcPr>
          <w:p w14:paraId="48D7179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2.13</w:t>
            </w:r>
          </w:p>
        </w:tc>
        <w:tc>
          <w:tcPr>
            <w:tcW w:w="257" w:type="pct"/>
            <w:tcBorders>
              <w:top w:val="nil"/>
              <w:left w:val="single" w:sz="4" w:space="0" w:color="auto"/>
              <w:bottom w:val="nil"/>
            </w:tcBorders>
            <w:noWrap/>
            <w:vAlign w:val="center"/>
            <w:hideMark/>
          </w:tcPr>
          <w:p w14:paraId="7EB0038E"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0.97</w:t>
            </w:r>
          </w:p>
        </w:tc>
        <w:tc>
          <w:tcPr>
            <w:tcW w:w="257" w:type="pct"/>
            <w:tcBorders>
              <w:top w:val="nil"/>
              <w:bottom w:val="nil"/>
            </w:tcBorders>
            <w:noWrap/>
            <w:vAlign w:val="center"/>
            <w:hideMark/>
          </w:tcPr>
          <w:p w14:paraId="41855A1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0.59</w:t>
            </w:r>
          </w:p>
        </w:tc>
        <w:tc>
          <w:tcPr>
            <w:tcW w:w="296" w:type="pct"/>
            <w:tcBorders>
              <w:top w:val="nil"/>
              <w:bottom w:val="nil"/>
            </w:tcBorders>
            <w:noWrap/>
            <w:vAlign w:val="center"/>
            <w:hideMark/>
          </w:tcPr>
          <w:p w14:paraId="33DD2534"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2.20</w:t>
            </w:r>
          </w:p>
        </w:tc>
        <w:tc>
          <w:tcPr>
            <w:tcW w:w="272" w:type="pct"/>
            <w:tcBorders>
              <w:top w:val="nil"/>
              <w:bottom w:val="nil"/>
            </w:tcBorders>
            <w:noWrap/>
            <w:vAlign w:val="center"/>
            <w:hideMark/>
          </w:tcPr>
          <w:p w14:paraId="45E90C5D"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1.31</w:t>
            </w:r>
          </w:p>
        </w:tc>
        <w:tc>
          <w:tcPr>
            <w:tcW w:w="310" w:type="pct"/>
            <w:tcBorders>
              <w:top w:val="nil"/>
              <w:bottom w:val="nil"/>
            </w:tcBorders>
            <w:noWrap/>
            <w:vAlign w:val="center"/>
            <w:hideMark/>
          </w:tcPr>
          <w:p w14:paraId="188C28C6"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1.79</w:t>
            </w:r>
          </w:p>
        </w:tc>
        <w:tc>
          <w:tcPr>
            <w:tcW w:w="267" w:type="pct"/>
            <w:tcBorders>
              <w:top w:val="nil"/>
              <w:bottom w:val="nil"/>
            </w:tcBorders>
            <w:noWrap/>
            <w:vAlign w:val="center"/>
            <w:hideMark/>
          </w:tcPr>
          <w:p w14:paraId="5404F75D"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1.04</w:t>
            </w:r>
          </w:p>
        </w:tc>
        <w:tc>
          <w:tcPr>
            <w:tcW w:w="468" w:type="pct"/>
            <w:tcBorders>
              <w:top w:val="nil"/>
              <w:bottom w:val="nil"/>
            </w:tcBorders>
            <w:noWrap/>
            <w:vAlign w:val="center"/>
            <w:hideMark/>
          </w:tcPr>
          <w:p w14:paraId="5D9296E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1.30</w:t>
            </w:r>
          </w:p>
        </w:tc>
        <w:tc>
          <w:tcPr>
            <w:tcW w:w="324" w:type="pct"/>
            <w:tcBorders>
              <w:top w:val="nil"/>
              <w:bottom w:val="nil"/>
            </w:tcBorders>
            <w:noWrap/>
            <w:vAlign w:val="center"/>
            <w:hideMark/>
          </w:tcPr>
          <w:p w14:paraId="5BB4203D"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19.01</w:t>
            </w:r>
          </w:p>
        </w:tc>
      </w:tr>
      <w:tr w:rsidR="00AF342A" w:rsidRPr="0065228D" w14:paraId="324BFA2A" w14:textId="77777777" w:rsidTr="00AF342A">
        <w:trPr>
          <w:trHeight w:val="454"/>
        </w:trPr>
        <w:tc>
          <w:tcPr>
            <w:tcW w:w="183" w:type="pct"/>
            <w:vMerge/>
            <w:tcBorders>
              <w:bottom w:val="single" w:sz="4" w:space="0" w:color="auto"/>
            </w:tcBorders>
          </w:tcPr>
          <w:p w14:paraId="479A98CC" w14:textId="77777777" w:rsidR="00AF342A" w:rsidRPr="0065228D" w:rsidRDefault="00AF342A" w:rsidP="00835A65">
            <w:pPr>
              <w:rPr>
                <w:rFonts w:ascii="Times New Roman" w:hAnsi="Times New Roman" w:cs="Times New Roman"/>
              </w:rPr>
            </w:pPr>
          </w:p>
        </w:tc>
        <w:tc>
          <w:tcPr>
            <w:tcW w:w="468" w:type="pct"/>
            <w:tcBorders>
              <w:top w:val="nil"/>
              <w:bottom w:val="single" w:sz="4" w:space="0" w:color="auto"/>
              <w:right w:val="single" w:sz="4" w:space="0" w:color="auto"/>
            </w:tcBorders>
            <w:noWrap/>
            <w:vAlign w:val="center"/>
            <w:hideMark/>
          </w:tcPr>
          <w:p w14:paraId="16434434" w14:textId="76BCE498" w:rsidR="00AF342A" w:rsidRPr="0065228D" w:rsidRDefault="00AF342A" w:rsidP="00835A65">
            <w:pPr>
              <w:rPr>
                <w:rFonts w:ascii="Times New Roman" w:hAnsi="Times New Roman" w:cs="Times New Roman"/>
              </w:rPr>
            </w:pPr>
            <w:r w:rsidRPr="0065228D">
              <w:rPr>
                <w:rFonts w:ascii="Times New Roman" w:hAnsi="Times New Roman" w:cs="Times New Roman"/>
              </w:rPr>
              <w:t>FTT</w:t>
            </w:r>
          </w:p>
        </w:tc>
        <w:tc>
          <w:tcPr>
            <w:tcW w:w="314" w:type="pct"/>
            <w:tcBorders>
              <w:top w:val="nil"/>
              <w:left w:val="single" w:sz="4" w:space="0" w:color="auto"/>
              <w:bottom w:val="single" w:sz="4" w:space="0" w:color="auto"/>
            </w:tcBorders>
            <w:noWrap/>
            <w:vAlign w:val="center"/>
            <w:hideMark/>
          </w:tcPr>
          <w:p w14:paraId="2D9C3B5C"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6.61</w:t>
            </w:r>
          </w:p>
        </w:tc>
        <w:tc>
          <w:tcPr>
            <w:tcW w:w="257" w:type="pct"/>
            <w:tcBorders>
              <w:top w:val="nil"/>
              <w:bottom w:val="single" w:sz="4" w:space="0" w:color="auto"/>
            </w:tcBorders>
            <w:noWrap/>
            <w:vAlign w:val="center"/>
            <w:hideMark/>
          </w:tcPr>
          <w:p w14:paraId="5D9E024D"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7.44</w:t>
            </w:r>
          </w:p>
        </w:tc>
        <w:tc>
          <w:tcPr>
            <w:tcW w:w="418" w:type="pct"/>
            <w:tcBorders>
              <w:top w:val="nil"/>
              <w:bottom w:val="single" w:sz="4" w:space="0" w:color="auto"/>
              <w:right w:val="single" w:sz="4" w:space="0" w:color="auto"/>
            </w:tcBorders>
            <w:noWrap/>
            <w:vAlign w:val="center"/>
            <w:hideMark/>
          </w:tcPr>
          <w:p w14:paraId="11CB2190"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8.74</w:t>
            </w:r>
          </w:p>
        </w:tc>
        <w:tc>
          <w:tcPr>
            <w:tcW w:w="328" w:type="pct"/>
            <w:tcBorders>
              <w:top w:val="nil"/>
              <w:left w:val="single" w:sz="4" w:space="0" w:color="auto"/>
              <w:bottom w:val="single" w:sz="4" w:space="0" w:color="auto"/>
            </w:tcBorders>
            <w:noWrap/>
            <w:vAlign w:val="center"/>
            <w:hideMark/>
          </w:tcPr>
          <w:p w14:paraId="38D33FC5"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14.78</w:t>
            </w:r>
          </w:p>
        </w:tc>
        <w:tc>
          <w:tcPr>
            <w:tcW w:w="285" w:type="pct"/>
            <w:tcBorders>
              <w:top w:val="nil"/>
              <w:bottom w:val="single" w:sz="4" w:space="0" w:color="auto"/>
            </w:tcBorders>
            <w:noWrap/>
            <w:vAlign w:val="center"/>
            <w:hideMark/>
          </w:tcPr>
          <w:p w14:paraId="1B4233B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1.15</w:t>
            </w:r>
          </w:p>
        </w:tc>
        <w:tc>
          <w:tcPr>
            <w:tcW w:w="296" w:type="pct"/>
            <w:tcBorders>
              <w:top w:val="nil"/>
              <w:bottom w:val="single" w:sz="4" w:space="0" w:color="auto"/>
              <w:right w:val="single" w:sz="4" w:space="0" w:color="auto"/>
            </w:tcBorders>
            <w:noWrap/>
            <w:vAlign w:val="center"/>
            <w:hideMark/>
          </w:tcPr>
          <w:p w14:paraId="55C6FACD"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35.50</w:t>
            </w:r>
          </w:p>
        </w:tc>
        <w:tc>
          <w:tcPr>
            <w:tcW w:w="257" w:type="pct"/>
            <w:tcBorders>
              <w:top w:val="nil"/>
              <w:left w:val="single" w:sz="4" w:space="0" w:color="auto"/>
              <w:bottom w:val="single" w:sz="4" w:space="0" w:color="auto"/>
            </w:tcBorders>
            <w:noWrap/>
            <w:vAlign w:val="center"/>
            <w:hideMark/>
          </w:tcPr>
          <w:p w14:paraId="4D9065F6"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1.45</w:t>
            </w:r>
          </w:p>
        </w:tc>
        <w:tc>
          <w:tcPr>
            <w:tcW w:w="257" w:type="pct"/>
            <w:tcBorders>
              <w:top w:val="nil"/>
              <w:bottom w:val="single" w:sz="4" w:space="0" w:color="auto"/>
            </w:tcBorders>
            <w:noWrap/>
            <w:vAlign w:val="center"/>
            <w:hideMark/>
          </w:tcPr>
          <w:p w14:paraId="37A45FE4"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0.82</w:t>
            </w:r>
          </w:p>
        </w:tc>
        <w:tc>
          <w:tcPr>
            <w:tcW w:w="296" w:type="pct"/>
            <w:tcBorders>
              <w:top w:val="nil"/>
              <w:bottom w:val="single" w:sz="4" w:space="0" w:color="auto"/>
            </w:tcBorders>
            <w:noWrap/>
            <w:vAlign w:val="center"/>
            <w:hideMark/>
          </w:tcPr>
          <w:p w14:paraId="37FF794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16.56</w:t>
            </w:r>
          </w:p>
        </w:tc>
        <w:tc>
          <w:tcPr>
            <w:tcW w:w="272" w:type="pct"/>
            <w:tcBorders>
              <w:top w:val="nil"/>
              <w:bottom w:val="single" w:sz="4" w:space="0" w:color="auto"/>
            </w:tcBorders>
            <w:noWrap/>
            <w:vAlign w:val="center"/>
            <w:hideMark/>
          </w:tcPr>
          <w:p w14:paraId="5EDC959F"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1.55</w:t>
            </w:r>
          </w:p>
        </w:tc>
        <w:tc>
          <w:tcPr>
            <w:tcW w:w="310" w:type="pct"/>
            <w:tcBorders>
              <w:top w:val="nil"/>
              <w:bottom w:val="single" w:sz="4" w:space="0" w:color="auto"/>
            </w:tcBorders>
            <w:noWrap/>
            <w:vAlign w:val="center"/>
            <w:hideMark/>
          </w:tcPr>
          <w:p w14:paraId="4F64E62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2.84</w:t>
            </w:r>
          </w:p>
        </w:tc>
        <w:tc>
          <w:tcPr>
            <w:tcW w:w="267" w:type="pct"/>
            <w:tcBorders>
              <w:top w:val="nil"/>
              <w:bottom w:val="single" w:sz="4" w:space="0" w:color="auto"/>
            </w:tcBorders>
            <w:noWrap/>
            <w:vAlign w:val="center"/>
            <w:hideMark/>
          </w:tcPr>
          <w:p w14:paraId="6CDD5302"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0.60</w:t>
            </w:r>
          </w:p>
        </w:tc>
        <w:tc>
          <w:tcPr>
            <w:tcW w:w="468" w:type="pct"/>
            <w:tcBorders>
              <w:top w:val="nil"/>
              <w:bottom w:val="single" w:sz="4" w:space="0" w:color="auto"/>
            </w:tcBorders>
            <w:noWrap/>
            <w:vAlign w:val="center"/>
            <w:hideMark/>
          </w:tcPr>
          <w:p w14:paraId="01C65776"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1.96</w:t>
            </w:r>
          </w:p>
        </w:tc>
        <w:tc>
          <w:tcPr>
            <w:tcW w:w="324" w:type="pct"/>
            <w:tcBorders>
              <w:top w:val="nil"/>
              <w:bottom w:val="single" w:sz="4" w:space="0" w:color="auto"/>
            </w:tcBorders>
            <w:noWrap/>
            <w:vAlign w:val="center"/>
            <w:hideMark/>
          </w:tcPr>
          <w:p w14:paraId="3115F45A"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64.50</w:t>
            </w:r>
          </w:p>
        </w:tc>
      </w:tr>
      <w:tr w:rsidR="00AF342A" w:rsidRPr="0065228D" w14:paraId="0199732C" w14:textId="77777777" w:rsidTr="00AF342A">
        <w:trPr>
          <w:trHeight w:val="454"/>
        </w:trPr>
        <w:tc>
          <w:tcPr>
            <w:tcW w:w="183" w:type="pct"/>
            <w:tcBorders>
              <w:top w:val="single" w:sz="4" w:space="0" w:color="auto"/>
            </w:tcBorders>
          </w:tcPr>
          <w:p w14:paraId="30EAD680" w14:textId="77777777" w:rsidR="00AF342A" w:rsidRPr="0065228D" w:rsidRDefault="00AF342A" w:rsidP="00835A65">
            <w:pPr>
              <w:rPr>
                <w:rFonts w:ascii="Times New Roman" w:hAnsi="Times New Roman" w:cs="Times New Roman"/>
              </w:rPr>
            </w:pPr>
          </w:p>
        </w:tc>
        <w:tc>
          <w:tcPr>
            <w:tcW w:w="468" w:type="pct"/>
            <w:tcBorders>
              <w:top w:val="single" w:sz="4" w:space="0" w:color="auto"/>
              <w:right w:val="single" w:sz="4" w:space="0" w:color="auto"/>
            </w:tcBorders>
            <w:noWrap/>
            <w:vAlign w:val="center"/>
            <w:hideMark/>
          </w:tcPr>
          <w:p w14:paraId="27C8E318" w14:textId="10E4B470" w:rsidR="00AF342A" w:rsidRPr="0065228D" w:rsidRDefault="00AF342A" w:rsidP="00835A65">
            <w:pPr>
              <w:rPr>
                <w:rFonts w:ascii="Times New Roman" w:hAnsi="Times New Roman" w:cs="Times New Roman"/>
              </w:rPr>
            </w:pPr>
            <w:r w:rsidRPr="0065228D">
              <w:rPr>
                <w:rFonts w:ascii="Times New Roman" w:hAnsi="Times New Roman" w:cs="Times New Roman"/>
              </w:rPr>
              <w:t>Gold</w:t>
            </w:r>
          </w:p>
        </w:tc>
        <w:tc>
          <w:tcPr>
            <w:tcW w:w="314" w:type="pct"/>
            <w:tcBorders>
              <w:top w:val="single" w:sz="4" w:space="0" w:color="auto"/>
              <w:left w:val="single" w:sz="4" w:space="0" w:color="auto"/>
            </w:tcBorders>
            <w:noWrap/>
            <w:vAlign w:val="center"/>
            <w:hideMark/>
          </w:tcPr>
          <w:p w14:paraId="60BCCE4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1.36</w:t>
            </w:r>
          </w:p>
        </w:tc>
        <w:tc>
          <w:tcPr>
            <w:tcW w:w="257" w:type="pct"/>
            <w:tcBorders>
              <w:top w:val="single" w:sz="4" w:space="0" w:color="auto"/>
            </w:tcBorders>
            <w:noWrap/>
            <w:vAlign w:val="center"/>
            <w:hideMark/>
          </w:tcPr>
          <w:p w14:paraId="464293B2"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1.73</w:t>
            </w:r>
          </w:p>
        </w:tc>
        <w:tc>
          <w:tcPr>
            <w:tcW w:w="418" w:type="pct"/>
            <w:tcBorders>
              <w:top w:val="single" w:sz="4" w:space="0" w:color="auto"/>
              <w:right w:val="single" w:sz="4" w:space="0" w:color="auto"/>
            </w:tcBorders>
            <w:noWrap/>
            <w:vAlign w:val="center"/>
            <w:hideMark/>
          </w:tcPr>
          <w:p w14:paraId="0328F0F4"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1.85</w:t>
            </w:r>
          </w:p>
        </w:tc>
        <w:tc>
          <w:tcPr>
            <w:tcW w:w="328" w:type="pct"/>
            <w:tcBorders>
              <w:top w:val="single" w:sz="4" w:space="0" w:color="auto"/>
              <w:left w:val="single" w:sz="4" w:space="0" w:color="auto"/>
            </w:tcBorders>
            <w:noWrap/>
            <w:vAlign w:val="center"/>
            <w:hideMark/>
          </w:tcPr>
          <w:p w14:paraId="54B07996"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2.72</w:t>
            </w:r>
          </w:p>
        </w:tc>
        <w:tc>
          <w:tcPr>
            <w:tcW w:w="285" w:type="pct"/>
            <w:tcBorders>
              <w:top w:val="single" w:sz="4" w:space="0" w:color="auto"/>
            </w:tcBorders>
            <w:noWrap/>
            <w:vAlign w:val="center"/>
            <w:hideMark/>
          </w:tcPr>
          <w:p w14:paraId="11354B23"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1.04</w:t>
            </w:r>
          </w:p>
        </w:tc>
        <w:tc>
          <w:tcPr>
            <w:tcW w:w="296" w:type="pct"/>
            <w:tcBorders>
              <w:top w:val="single" w:sz="4" w:space="0" w:color="auto"/>
              <w:right w:val="single" w:sz="4" w:space="0" w:color="auto"/>
            </w:tcBorders>
            <w:noWrap/>
            <w:vAlign w:val="center"/>
            <w:hideMark/>
          </w:tcPr>
          <w:p w14:paraId="44902773"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2.55</w:t>
            </w:r>
          </w:p>
        </w:tc>
        <w:tc>
          <w:tcPr>
            <w:tcW w:w="257" w:type="pct"/>
            <w:tcBorders>
              <w:top w:val="single" w:sz="4" w:space="0" w:color="auto"/>
              <w:left w:val="single" w:sz="4" w:space="0" w:color="auto"/>
            </w:tcBorders>
            <w:noWrap/>
            <w:vAlign w:val="center"/>
            <w:hideMark/>
          </w:tcPr>
          <w:p w14:paraId="6946474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58.56</w:t>
            </w:r>
          </w:p>
        </w:tc>
        <w:tc>
          <w:tcPr>
            <w:tcW w:w="257" w:type="pct"/>
            <w:tcBorders>
              <w:top w:val="single" w:sz="4" w:space="0" w:color="auto"/>
            </w:tcBorders>
            <w:noWrap/>
            <w:vAlign w:val="center"/>
            <w:hideMark/>
          </w:tcPr>
          <w:p w14:paraId="4829938F"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2.18</w:t>
            </w:r>
          </w:p>
        </w:tc>
        <w:tc>
          <w:tcPr>
            <w:tcW w:w="296" w:type="pct"/>
            <w:tcBorders>
              <w:top w:val="single" w:sz="4" w:space="0" w:color="auto"/>
            </w:tcBorders>
            <w:noWrap/>
            <w:vAlign w:val="center"/>
            <w:hideMark/>
          </w:tcPr>
          <w:p w14:paraId="7E0EBF32"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3.40</w:t>
            </w:r>
          </w:p>
        </w:tc>
        <w:tc>
          <w:tcPr>
            <w:tcW w:w="272" w:type="pct"/>
            <w:tcBorders>
              <w:top w:val="single" w:sz="4" w:space="0" w:color="auto"/>
            </w:tcBorders>
            <w:noWrap/>
            <w:vAlign w:val="center"/>
            <w:hideMark/>
          </w:tcPr>
          <w:p w14:paraId="16C9D0BC"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2.02</w:t>
            </w:r>
          </w:p>
        </w:tc>
        <w:tc>
          <w:tcPr>
            <w:tcW w:w="310" w:type="pct"/>
            <w:tcBorders>
              <w:top w:val="single" w:sz="4" w:space="0" w:color="auto"/>
            </w:tcBorders>
            <w:noWrap/>
            <w:vAlign w:val="center"/>
            <w:hideMark/>
          </w:tcPr>
          <w:p w14:paraId="5759819B"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3.60</w:t>
            </w:r>
          </w:p>
        </w:tc>
        <w:tc>
          <w:tcPr>
            <w:tcW w:w="267" w:type="pct"/>
            <w:tcBorders>
              <w:top w:val="single" w:sz="4" w:space="0" w:color="auto"/>
            </w:tcBorders>
            <w:noWrap/>
            <w:vAlign w:val="center"/>
            <w:hideMark/>
          </w:tcPr>
          <w:p w14:paraId="1FCDF1D3"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7.98</w:t>
            </w:r>
          </w:p>
        </w:tc>
        <w:tc>
          <w:tcPr>
            <w:tcW w:w="468" w:type="pct"/>
            <w:tcBorders>
              <w:top w:val="single" w:sz="4" w:space="0" w:color="auto"/>
            </w:tcBorders>
            <w:noWrap/>
            <w:vAlign w:val="center"/>
            <w:hideMark/>
          </w:tcPr>
          <w:p w14:paraId="3AC2EF50"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11.02</w:t>
            </w:r>
          </w:p>
        </w:tc>
        <w:tc>
          <w:tcPr>
            <w:tcW w:w="324" w:type="pct"/>
            <w:tcBorders>
              <w:top w:val="single" w:sz="4" w:space="0" w:color="auto"/>
            </w:tcBorders>
            <w:noWrap/>
            <w:vAlign w:val="center"/>
            <w:hideMark/>
          </w:tcPr>
          <w:p w14:paraId="6363AAB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41.44</w:t>
            </w:r>
          </w:p>
        </w:tc>
      </w:tr>
      <w:tr w:rsidR="00AF342A" w:rsidRPr="0065228D" w14:paraId="1089D65A" w14:textId="77777777" w:rsidTr="00AF342A">
        <w:trPr>
          <w:trHeight w:val="454"/>
        </w:trPr>
        <w:tc>
          <w:tcPr>
            <w:tcW w:w="183" w:type="pct"/>
          </w:tcPr>
          <w:p w14:paraId="259833F5" w14:textId="77777777" w:rsidR="00AF342A" w:rsidRPr="0065228D" w:rsidRDefault="00AF342A" w:rsidP="00835A65">
            <w:pPr>
              <w:rPr>
                <w:rFonts w:ascii="Times New Roman" w:hAnsi="Times New Roman" w:cs="Times New Roman"/>
              </w:rPr>
            </w:pPr>
          </w:p>
        </w:tc>
        <w:tc>
          <w:tcPr>
            <w:tcW w:w="468" w:type="pct"/>
            <w:tcBorders>
              <w:right w:val="single" w:sz="4" w:space="0" w:color="auto"/>
            </w:tcBorders>
            <w:noWrap/>
            <w:vAlign w:val="center"/>
            <w:hideMark/>
          </w:tcPr>
          <w:p w14:paraId="76E40B0A" w14:textId="3C33AD9D" w:rsidR="00AF342A" w:rsidRPr="0065228D" w:rsidRDefault="00AF342A" w:rsidP="00835A65">
            <w:pPr>
              <w:rPr>
                <w:rFonts w:ascii="Times New Roman" w:hAnsi="Times New Roman" w:cs="Times New Roman"/>
              </w:rPr>
            </w:pPr>
            <w:r w:rsidRPr="0065228D">
              <w:rPr>
                <w:rFonts w:ascii="Times New Roman" w:hAnsi="Times New Roman" w:cs="Times New Roman"/>
              </w:rPr>
              <w:t>Oil</w:t>
            </w:r>
          </w:p>
        </w:tc>
        <w:tc>
          <w:tcPr>
            <w:tcW w:w="314" w:type="pct"/>
            <w:tcBorders>
              <w:left w:val="single" w:sz="4" w:space="0" w:color="auto"/>
            </w:tcBorders>
            <w:noWrap/>
            <w:vAlign w:val="center"/>
            <w:hideMark/>
          </w:tcPr>
          <w:p w14:paraId="2588775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1.51</w:t>
            </w:r>
          </w:p>
        </w:tc>
        <w:tc>
          <w:tcPr>
            <w:tcW w:w="257" w:type="pct"/>
            <w:noWrap/>
            <w:vAlign w:val="center"/>
            <w:hideMark/>
          </w:tcPr>
          <w:p w14:paraId="7F5741F5"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1.92</w:t>
            </w:r>
          </w:p>
        </w:tc>
        <w:tc>
          <w:tcPr>
            <w:tcW w:w="418" w:type="pct"/>
            <w:tcBorders>
              <w:right w:val="single" w:sz="4" w:space="0" w:color="auto"/>
            </w:tcBorders>
            <w:noWrap/>
            <w:vAlign w:val="center"/>
            <w:hideMark/>
          </w:tcPr>
          <w:p w14:paraId="518A4FC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1.40</w:t>
            </w:r>
          </w:p>
        </w:tc>
        <w:tc>
          <w:tcPr>
            <w:tcW w:w="328" w:type="pct"/>
            <w:tcBorders>
              <w:left w:val="single" w:sz="4" w:space="0" w:color="auto"/>
            </w:tcBorders>
            <w:noWrap/>
            <w:vAlign w:val="center"/>
            <w:hideMark/>
          </w:tcPr>
          <w:p w14:paraId="4223AE8E"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1.51</w:t>
            </w:r>
          </w:p>
        </w:tc>
        <w:tc>
          <w:tcPr>
            <w:tcW w:w="285" w:type="pct"/>
            <w:noWrap/>
            <w:vAlign w:val="center"/>
            <w:hideMark/>
          </w:tcPr>
          <w:p w14:paraId="6DEC63EF"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0.72</w:t>
            </w:r>
          </w:p>
        </w:tc>
        <w:tc>
          <w:tcPr>
            <w:tcW w:w="296" w:type="pct"/>
            <w:tcBorders>
              <w:right w:val="single" w:sz="4" w:space="0" w:color="auto"/>
            </w:tcBorders>
            <w:noWrap/>
            <w:vAlign w:val="center"/>
            <w:hideMark/>
          </w:tcPr>
          <w:p w14:paraId="20C2CCAD"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1.87</w:t>
            </w:r>
          </w:p>
        </w:tc>
        <w:tc>
          <w:tcPr>
            <w:tcW w:w="257" w:type="pct"/>
            <w:tcBorders>
              <w:left w:val="single" w:sz="4" w:space="0" w:color="auto"/>
            </w:tcBorders>
            <w:noWrap/>
            <w:vAlign w:val="center"/>
            <w:hideMark/>
          </w:tcPr>
          <w:p w14:paraId="6C32BE45"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1.90</w:t>
            </w:r>
          </w:p>
        </w:tc>
        <w:tc>
          <w:tcPr>
            <w:tcW w:w="257" w:type="pct"/>
            <w:noWrap/>
            <w:vAlign w:val="center"/>
            <w:hideMark/>
          </w:tcPr>
          <w:p w14:paraId="71BA4A76"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74.59</w:t>
            </w:r>
          </w:p>
        </w:tc>
        <w:tc>
          <w:tcPr>
            <w:tcW w:w="296" w:type="pct"/>
            <w:noWrap/>
            <w:vAlign w:val="center"/>
            <w:hideMark/>
          </w:tcPr>
          <w:p w14:paraId="12C77234"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1.47</w:t>
            </w:r>
          </w:p>
        </w:tc>
        <w:tc>
          <w:tcPr>
            <w:tcW w:w="272" w:type="pct"/>
            <w:noWrap/>
            <w:vAlign w:val="center"/>
            <w:hideMark/>
          </w:tcPr>
          <w:p w14:paraId="0874E692"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2.29</w:t>
            </w:r>
          </w:p>
        </w:tc>
        <w:tc>
          <w:tcPr>
            <w:tcW w:w="310" w:type="pct"/>
            <w:noWrap/>
            <w:vAlign w:val="center"/>
            <w:hideMark/>
          </w:tcPr>
          <w:p w14:paraId="07BE32EE"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6.63</w:t>
            </w:r>
          </w:p>
        </w:tc>
        <w:tc>
          <w:tcPr>
            <w:tcW w:w="267" w:type="pct"/>
            <w:noWrap/>
            <w:vAlign w:val="center"/>
            <w:hideMark/>
          </w:tcPr>
          <w:p w14:paraId="26B4774E"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2.09</w:t>
            </w:r>
          </w:p>
        </w:tc>
        <w:tc>
          <w:tcPr>
            <w:tcW w:w="468" w:type="pct"/>
            <w:noWrap/>
            <w:vAlign w:val="center"/>
            <w:hideMark/>
          </w:tcPr>
          <w:p w14:paraId="7451B09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2.11</w:t>
            </w:r>
          </w:p>
        </w:tc>
        <w:tc>
          <w:tcPr>
            <w:tcW w:w="324" w:type="pct"/>
            <w:noWrap/>
            <w:vAlign w:val="center"/>
            <w:hideMark/>
          </w:tcPr>
          <w:p w14:paraId="7CEFA495"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25.41</w:t>
            </w:r>
          </w:p>
        </w:tc>
      </w:tr>
      <w:tr w:rsidR="00AF342A" w:rsidRPr="0065228D" w14:paraId="68530372" w14:textId="77777777" w:rsidTr="00AF342A">
        <w:trPr>
          <w:trHeight w:val="454"/>
        </w:trPr>
        <w:tc>
          <w:tcPr>
            <w:tcW w:w="183" w:type="pct"/>
          </w:tcPr>
          <w:p w14:paraId="4379B063" w14:textId="77777777" w:rsidR="00AF342A" w:rsidRPr="0065228D" w:rsidRDefault="00AF342A" w:rsidP="00835A65">
            <w:pPr>
              <w:rPr>
                <w:rFonts w:ascii="Times New Roman" w:hAnsi="Times New Roman" w:cs="Times New Roman"/>
              </w:rPr>
            </w:pPr>
          </w:p>
        </w:tc>
        <w:tc>
          <w:tcPr>
            <w:tcW w:w="468" w:type="pct"/>
            <w:tcBorders>
              <w:right w:val="single" w:sz="4" w:space="0" w:color="auto"/>
            </w:tcBorders>
            <w:noWrap/>
            <w:vAlign w:val="center"/>
            <w:hideMark/>
          </w:tcPr>
          <w:p w14:paraId="12F0F5AB" w14:textId="5B0E0243" w:rsidR="00AF342A" w:rsidRPr="0065228D" w:rsidRDefault="00AF342A" w:rsidP="00835A65">
            <w:pPr>
              <w:rPr>
                <w:rFonts w:ascii="Times New Roman" w:hAnsi="Times New Roman" w:cs="Times New Roman"/>
              </w:rPr>
            </w:pPr>
            <w:r w:rsidRPr="0065228D">
              <w:rPr>
                <w:rFonts w:ascii="Times New Roman" w:hAnsi="Times New Roman" w:cs="Times New Roman"/>
              </w:rPr>
              <w:t>BTC</w:t>
            </w:r>
          </w:p>
        </w:tc>
        <w:tc>
          <w:tcPr>
            <w:tcW w:w="314" w:type="pct"/>
            <w:tcBorders>
              <w:left w:val="single" w:sz="4" w:space="0" w:color="auto"/>
            </w:tcBorders>
            <w:noWrap/>
            <w:vAlign w:val="center"/>
            <w:hideMark/>
          </w:tcPr>
          <w:p w14:paraId="410D52B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6.89</w:t>
            </w:r>
          </w:p>
        </w:tc>
        <w:tc>
          <w:tcPr>
            <w:tcW w:w="257" w:type="pct"/>
            <w:noWrap/>
            <w:vAlign w:val="center"/>
            <w:hideMark/>
          </w:tcPr>
          <w:p w14:paraId="372B667D"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7.49</w:t>
            </w:r>
          </w:p>
        </w:tc>
        <w:tc>
          <w:tcPr>
            <w:tcW w:w="418" w:type="pct"/>
            <w:tcBorders>
              <w:right w:val="single" w:sz="4" w:space="0" w:color="auto"/>
            </w:tcBorders>
            <w:noWrap/>
            <w:vAlign w:val="center"/>
            <w:hideMark/>
          </w:tcPr>
          <w:p w14:paraId="170796BD"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10.34</w:t>
            </w:r>
          </w:p>
        </w:tc>
        <w:tc>
          <w:tcPr>
            <w:tcW w:w="328" w:type="pct"/>
            <w:tcBorders>
              <w:left w:val="single" w:sz="4" w:space="0" w:color="auto"/>
            </w:tcBorders>
            <w:noWrap/>
            <w:vAlign w:val="center"/>
            <w:hideMark/>
          </w:tcPr>
          <w:p w14:paraId="192E9586"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14.67</w:t>
            </w:r>
          </w:p>
        </w:tc>
        <w:tc>
          <w:tcPr>
            <w:tcW w:w="285" w:type="pct"/>
            <w:noWrap/>
            <w:vAlign w:val="center"/>
            <w:hideMark/>
          </w:tcPr>
          <w:p w14:paraId="2B2AE662"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0.89</w:t>
            </w:r>
          </w:p>
        </w:tc>
        <w:tc>
          <w:tcPr>
            <w:tcW w:w="296" w:type="pct"/>
            <w:tcBorders>
              <w:right w:val="single" w:sz="4" w:space="0" w:color="auto"/>
            </w:tcBorders>
            <w:noWrap/>
            <w:vAlign w:val="center"/>
            <w:hideMark/>
          </w:tcPr>
          <w:p w14:paraId="27D519FD"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16.08</w:t>
            </w:r>
          </w:p>
        </w:tc>
        <w:tc>
          <w:tcPr>
            <w:tcW w:w="257" w:type="pct"/>
            <w:tcBorders>
              <w:left w:val="single" w:sz="4" w:space="0" w:color="auto"/>
            </w:tcBorders>
            <w:noWrap/>
            <w:vAlign w:val="center"/>
            <w:hideMark/>
          </w:tcPr>
          <w:p w14:paraId="3552D754"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1.83</w:t>
            </w:r>
          </w:p>
        </w:tc>
        <w:tc>
          <w:tcPr>
            <w:tcW w:w="257" w:type="pct"/>
            <w:noWrap/>
            <w:vAlign w:val="center"/>
            <w:hideMark/>
          </w:tcPr>
          <w:p w14:paraId="461B71E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0.51</w:t>
            </w:r>
          </w:p>
        </w:tc>
        <w:tc>
          <w:tcPr>
            <w:tcW w:w="296" w:type="pct"/>
            <w:noWrap/>
            <w:vAlign w:val="center"/>
            <w:hideMark/>
          </w:tcPr>
          <w:p w14:paraId="25EC9FB4"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32.89</w:t>
            </w:r>
          </w:p>
        </w:tc>
        <w:tc>
          <w:tcPr>
            <w:tcW w:w="272" w:type="pct"/>
            <w:noWrap/>
            <w:vAlign w:val="center"/>
            <w:hideMark/>
          </w:tcPr>
          <w:p w14:paraId="01B78380"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1.95</w:t>
            </w:r>
          </w:p>
        </w:tc>
        <w:tc>
          <w:tcPr>
            <w:tcW w:w="310" w:type="pct"/>
            <w:noWrap/>
            <w:vAlign w:val="center"/>
            <w:hideMark/>
          </w:tcPr>
          <w:p w14:paraId="783C876F"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3.89</w:t>
            </w:r>
          </w:p>
        </w:tc>
        <w:tc>
          <w:tcPr>
            <w:tcW w:w="267" w:type="pct"/>
            <w:noWrap/>
            <w:vAlign w:val="center"/>
            <w:hideMark/>
          </w:tcPr>
          <w:p w14:paraId="4524A78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0.91</w:t>
            </w:r>
          </w:p>
        </w:tc>
        <w:tc>
          <w:tcPr>
            <w:tcW w:w="468" w:type="pct"/>
            <w:noWrap/>
            <w:vAlign w:val="center"/>
            <w:hideMark/>
          </w:tcPr>
          <w:p w14:paraId="2A3C071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1.68</w:t>
            </w:r>
          </w:p>
        </w:tc>
        <w:tc>
          <w:tcPr>
            <w:tcW w:w="324" w:type="pct"/>
            <w:noWrap/>
            <w:vAlign w:val="center"/>
            <w:hideMark/>
          </w:tcPr>
          <w:p w14:paraId="5BE7D7EA"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67.11</w:t>
            </w:r>
          </w:p>
        </w:tc>
      </w:tr>
      <w:tr w:rsidR="00AF342A" w:rsidRPr="0065228D" w14:paraId="0AE85368" w14:textId="77777777" w:rsidTr="00AF342A">
        <w:trPr>
          <w:trHeight w:val="454"/>
        </w:trPr>
        <w:tc>
          <w:tcPr>
            <w:tcW w:w="183" w:type="pct"/>
          </w:tcPr>
          <w:p w14:paraId="3142386C" w14:textId="77777777" w:rsidR="00AF342A" w:rsidRPr="0065228D" w:rsidRDefault="00AF342A" w:rsidP="00835A65">
            <w:pPr>
              <w:rPr>
                <w:rFonts w:ascii="Times New Roman" w:hAnsi="Times New Roman" w:cs="Times New Roman"/>
              </w:rPr>
            </w:pPr>
          </w:p>
        </w:tc>
        <w:tc>
          <w:tcPr>
            <w:tcW w:w="468" w:type="pct"/>
            <w:tcBorders>
              <w:right w:val="single" w:sz="4" w:space="0" w:color="auto"/>
            </w:tcBorders>
            <w:noWrap/>
            <w:vAlign w:val="center"/>
            <w:hideMark/>
          </w:tcPr>
          <w:p w14:paraId="53B82BA4" w14:textId="2E709CF5" w:rsidR="00AF342A" w:rsidRPr="0065228D" w:rsidRDefault="00AF342A" w:rsidP="00835A65">
            <w:pPr>
              <w:rPr>
                <w:rFonts w:ascii="Times New Roman" w:hAnsi="Times New Roman" w:cs="Times New Roman"/>
              </w:rPr>
            </w:pPr>
            <w:r w:rsidRPr="0065228D">
              <w:rPr>
                <w:rFonts w:ascii="Times New Roman" w:hAnsi="Times New Roman" w:cs="Times New Roman"/>
              </w:rPr>
              <w:t>REIT</w:t>
            </w:r>
          </w:p>
        </w:tc>
        <w:tc>
          <w:tcPr>
            <w:tcW w:w="314" w:type="pct"/>
            <w:tcBorders>
              <w:left w:val="single" w:sz="4" w:space="0" w:color="auto"/>
            </w:tcBorders>
            <w:noWrap/>
            <w:vAlign w:val="center"/>
            <w:hideMark/>
          </w:tcPr>
          <w:p w14:paraId="5B6F1CC0"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2.22</w:t>
            </w:r>
          </w:p>
        </w:tc>
        <w:tc>
          <w:tcPr>
            <w:tcW w:w="257" w:type="pct"/>
            <w:noWrap/>
            <w:vAlign w:val="center"/>
            <w:hideMark/>
          </w:tcPr>
          <w:p w14:paraId="50AEDA5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2.53</w:t>
            </w:r>
          </w:p>
        </w:tc>
        <w:tc>
          <w:tcPr>
            <w:tcW w:w="418" w:type="pct"/>
            <w:tcBorders>
              <w:right w:val="single" w:sz="4" w:space="0" w:color="auto"/>
            </w:tcBorders>
            <w:noWrap/>
            <w:vAlign w:val="center"/>
            <w:hideMark/>
          </w:tcPr>
          <w:p w14:paraId="5EFB780C"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2.56</w:t>
            </w:r>
          </w:p>
        </w:tc>
        <w:tc>
          <w:tcPr>
            <w:tcW w:w="328" w:type="pct"/>
            <w:tcBorders>
              <w:left w:val="single" w:sz="4" w:space="0" w:color="auto"/>
            </w:tcBorders>
            <w:noWrap/>
            <w:vAlign w:val="center"/>
            <w:hideMark/>
          </w:tcPr>
          <w:p w14:paraId="70395DE4"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3.50</w:t>
            </w:r>
          </w:p>
        </w:tc>
        <w:tc>
          <w:tcPr>
            <w:tcW w:w="285" w:type="pct"/>
            <w:noWrap/>
            <w:vAlign w:val="center"/>
            <w:hideMark/>
          </w:tcPr>
          <w:p w14:paraId="63D3E57E"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1.43</w:t>
            </w:r>
          </w:p>
        </w:tc>
        <w:tc>
          <w:tcPr>
            <w:tcW w:w="296" w:type="pct"/>
            <w:tcBorders>
              <w:right w:val="single" w:sz="4" w:space="0" w:color="auto"/>
            </w:tcBorders>
            <w:noWrap/>
            <w:vAlign w:val="center"/>
            <w:hideMark/>
          </w:tcPr>
          <w:p w14:paraId="531801BE"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2.09</w:t>
            </w:r>
          </w:p>
        </w:tc>
        <w:tc>
          <w:tcPr>
            <w:tcW w:w="257" w:type="pct"/>
            <w:tcBorders>
              <w:left w:val="single" w:sz="4" w:space="0" w:color="auto"/>
            </w:tcBorders>
            <w:noWrap/>
            <w:vAlign w:val="center"/>
            <w:hideMark/>
          </w:tcPr>
          <w:p w14:paraId="5B07B03C"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2.51</w:t>
            </w:r>
          </w:p>
        </w:tc>
        <w:tc>
          <w:tcPr>
            <w:tcW w:w="257" w:type="pct"/>
            <w:noWrap/>
            <w:vAlign w:val="center"/>
            <w:hideMark/>
          </w:tcPr>
          <w:p w14:paraId="5100E24F"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2.24</w:t>
            </w:r>
          </w:p>
        </w:tc>
        <w:tc>
          <w:tcPr>
            <w:tcW w:w="296" w:type="pct"/>
            <w:noWrap/>
            <w:vAlign w:val="center"/>
            <w:hideMark/>
          </w:tcPr>
          <w:p w14:paraId="29F6DBD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2.93</w:t>
            </w:r>
          </w:p>
        </w:tc>
        <w:tc>
          <w:tcPr>
            <w:tcW w:w="272" w:type="pct"/>
            <w:noWrap/>
            <w:vAlign w:val="center"/>
            <w:hideMark/>
          </w:tcPr>
          <w:p w14:paraId="7E5CE3ED"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50.43</w:t>
            </w:r>
          </w:p>
        </w:tc>
        <w:tc>
          <w:tcPr>
            <w:tcW w:w="310" w:type="pct"/>
            <w:noWrap/>
            <w:vAlign w:val="center"/>
            <w:hideMark/>
          </w:tcPr>
          <w:p w14:paraId="4CA101F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21.61</w:t>
            </w:r>
          </w:p>
        </w:tc>
        <w:tc>
          <w:tcPr>
            <w:tcW w:w="267" w:type="pct"/>
            <w:noWrap/>
            <w:vAlign w:val="center"/>
            <w:hideMark/>
          </w:tcPr>
          <w:p w14:paraId="57D55F22"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3.20</w:t>
            </w:r>
          </w:p>
        </w:tc>
        <w:tc>
          <w:tcPr>
            <w:tcW w:w="468" w:type="pct"/>
            <w:noWrap/>
            <w:vAlign w:val="center"/>
            <w:hideMark/>
          </w:tcPr>
          <w:p w14:paraId="2FAF859A"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2.75</w:t>
            </w:r>
          </w:p>
        </w:tc>
        <w:tc>
          <w:tcPr>
            <w:tcW w:w="324" w:type="pct"/>
            <w:noWrap/>
            <w:vAlign w:val="center"/>
            <w:hideMark/>
          </w:tcPr>
          <w:p w14:paraId="7BA52E26"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49.57</w:t>
            </w:r>
          </w:p>
        </w:tc>
      </w:tr>
      <w:tr w:rsidR="00AF342A" w:rsidRPr="0065228D" w14:paraId="72B8C277" w14:textId="77777777" w:rsidTr="00AF342A">
        <w:trPr>
          <w:trHeight w:val="454"/>
        </w:trPr>
        <w:tc>
          <w:tcPr>
            <w:tcW w:w="183" w:type="pct"/>
          </w:tcPr>
          <w:p w14:paraId="1CAF62EC" w14:textId="77777777" w:rsidR="00AF342A" w:rsidRPr="0065228D" w:rsidRDefault="00AF342A" w:rsidP="00835A65">
            <w:pPr>
              <w:rPr>
                <w:rFonts w:ascii="Times New Roman" w:hAnsi="Times New Roman" w:cs="Times New Roman"/>
              </w:rPr>
            </w:pPr>
          </w:p>
        </w:tc>
        <w:tc>
          <w:tcPr>
            <w:tcW w:w="468" w:type="pct"/>
            <w:tcBorders>
              <w:right w:val="single" w:sz="4" w:space="0" w:color="auto"/>
            </w:tcBorders>
            <w:noWrap/>
            <w:vAlign w:val="center"/>
            <w:hideMark/>
          </w:tcPr>
          <w:p w14:paraId="0DD469F7" w14:textId="547B63C5" w:rsidR="00AF342A" w:rsidRPr="0065228D" w:rsidRDefault="00AF342A" w:rsidP="00835A65">
            <w:pPr>
              <w:rPr>
                <w:rFonts w:ascii="Times New Roman" w:hAnsi="Times New Roman" w:cs="Times New Roman"/>
              </w:rPr>
            </w:pPr>
            <w:r w:rsidRPr="0065228D">
              <w:rPr>
                <w:rFonts w:ascii="Times New Roman" w:hAnsi="Times New Roman" w:cs="Times New Roman"/>
              </w:rPr>
              <w:t>Equity</w:t>
            </w:r>
          </w:p>
        </w:tc>
        <w:tc>
          <w:tcPr>
            <w:tcW w:w="314" w:type="pct"/>
            <w:tcBorders>
              <w:left w:val="single" w:sz="4" w:space="0" w:color="auto"/>
            </w:tcBorders>
            <w:noWrap/>
            <w:vAlign w:val="center"/>
            <w:hideMark/>
          </w:tcPr>
          <w:p w14:paraId="28F1F083"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2.34</w:t>
            </w:r>
          </w:p>
        </w:tc>
        <w:tc>
          <w:tcPr>
            <w:tcW w:w="257" w:type="pct"/>
            <w:noWrap/>
            <w:vAlign w:val="center"/>
            <w:hideMark/>
          </w:tcPr>
          <w:p w14:paraId="64A4ABE0"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2.08</w:t>
            </w:r>
          </w:p>
        </w:tc>
        <w:tc>
          <w:tcPr>
            <w:tcW w:w="418" w:type="pct"/>
            <w:tcBorders>
              <w:right w:val="single" w:sz="4" w:space="0" w:color="auto"/>
            </w:tcBorders>
            <w:noWrap/>
            <w:vAlign w:val="center"/>
            <w:hideMark/>
          </w:tcPr>
          <w:p w14:paraId="1C62ABDC"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3.24</w:t>
            </w:r>
          </w:p>
        </w:tc>
        <w:tc>
          <w:tcPr>
            <w:tcW w:w="328" w:type="pct"/>
            <w:tcBorders>
              <w:left w:val="single" w:sz="4" w:space="0" w:color="auto"/>
            </w:tcBorders>
            <w:noWrap/>
            <w:vAlign w:val="center"/>
            <w:hideMark/>
          </w:tcPr>
          <w:p w14:paraId="1067D797"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4.65</w:t>
            </w:r>
          </w:p>
        </w:tc>
        <w:tc>
          <w:tcPr>
            <w:tcW w:w="285" w:type="pct"/>
            <w:noWrap/>
            <w:vAlign w:val="center"/>
            <w:hideMark/>
          </w:tcPr>
          <w:p w14:paraId="7AC665F6"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1.24</w:t>
            </w:r>
          </w:p>
        </w:tc>
        <w:tc>
          <w:tcPr>
            <w:tcW w:w="296" w:type="pct"/>
            <w:tcBorders>
              <w:right w:val="single" w:sz="4" w:space="0" w:color="auto"/>
            </w:tcBorders>
            <w:noWrap/>
            <w:vAlign w:val="center"/>
            <w:hideMark/>
          </w:tcPr>
          <w:p w14:paraId="284291B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3.32</w:t>
            </w:r>
          </w:p>
        </w:tc>
        <w:tc>
          <w:tcPr>
            <w:tcW w:w="257" w:type="pct"/>
            <w:tcBorders>
              <w:left w:val="single" w:sz="4" w:space="0" w:color="auto"/>
            </w:tcBorders>
            <w:noWrap/>
            <w:vAlign w:val="center"/>
            <w:hideMark/>
          </w:tcPr>
          <w:p w14:paraId="1CDD035B"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2.96</w:t>
            </w:r>
          </w:p>
        </w:tc>
        <w:tc>
          <w:tcPr>
            <w:tcW w:w="257" w:type="pct"/>
            <w:noWrap/>
            <w:vAlign w:val="center"/>
            <w:hideMark/>
          </w:tcPr>
          <w:p w14:paraId="65D686C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4.73</w:t>
            </w:r>
          </w:p>
        </w:tc>
        <w:tc>
          <w:tcPr>
            <w:tcW w:w="296" w:type="pct"/>
            <w:noWrap/>
            <w:vAlign w:val="center"/>
            <w:hideMark/>
          </w:tcPr>
          <w:p w14:paraId="71FDA6DB"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4.67</w:t>
            </w:r>
          </w:p>
        </w:tc>
        <w:tc>
          <w:tcPr>
            <w:tcW w:w="272" w:type="pct"/>
            <w:noWrap/>
            <w:vAlign w:val="center"/>
            <w:hideMark/>
          </w:tcPr>
          <w:p w14:paraId="2AF7179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18.61</w:t>
            </w:r>
          </w:p>
        </w:tc>
        <w:tc>
          <w:tcPr>
            <w:tcW w:w="310" w:type="pct"/>
            <w:noWrap/>
            <w:vAlign w:val="center"/>
            <w:hideMark/>
          </w:tcPr>
          <w:p w14:paraId="6450FBC2"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44.38</w:t>
            </w:r>
          </w:p>
        </w:tc>
        <w:tc>
          <w:tcPr>
            <w:tcW w:w="267" w:type="pct"/>
            <w:noWrap/>
            <w:vAlign w:val="center"/>
            <w:hideMark/>
          </w:tcPr>
          <w:p w14:paraId="11D71DA4"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2.88</w:t>
            </w:r>
          </w:p>
        </w:tc>
        <w:tc>
          <w:tcPr>
            <w:tcW w:w="468" w:type="pct"/>
            <w:noWrap/>
            <w:vAlign w:val="center"/>
            <w:hideMark/>
          </w:tcPr>
          <w:p w14:paraId="0498E01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4.88</w:t>
            </w:r>
          </w:p>
        </w:tc>
        <w:tc>
          <w:tcPr>
            <w:tcW w:w="324" w:type="pct"/>
            <w:noWrap/>
            <w:vAlign w:val="center"/>
            <w:hideMark/>
          </w:tcPr>
          <w:p w14:paraId="77D99F14"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55.62</w:t>
            </w:r>
          </w:p>
        </w:tc>
      </w:tr>
      <w:tr w:rsidR="00AF342A" w:rsidRPr="0065228D" w14:paraId="3180E8AD" w14:textId="77777777" w:rsidTr="00AF342A">
        <w:trPr>
          <w:trHeight w:val="454"/>
        </w:trPr>
        <w:tc>
          <w:tcPr>
            <w:tcW w:w="183" w:type="pct"/>
          </w:tcPr>
          <w:p w14:paraId="3DD14045" w14:textId="77777777" w:rsidR="00AF342A" w:rsidRPr="0065228D" w:rsidRDefault="00AF342A" w:rsidP="00835A65">
            <w:pPr>
              <w:rPr>
                <w:rFonts w:ascii="Times New Roman" w:hAnsi="Times New Roman" w:cs="Times New Roman"/>
              </w:rPr>
            </w:pPr>
          </w:p>
        </w:tc>
        <w:tc>
          <w:tcPr>
            <w:tcW w:w="468" w:type="pct"/>
            <w:tcBorders>
              <w:right w:val="single" w:sz="4" w:space="0" w:color="auto"/>
            </w:tcBorders>
            <w:noWrap/>
            <w:vAlign w:val="center"/>
            <w:hideMark/>
          </w:tcPr>
          <w:p w14:paraId="35094757" w14:textId="0F72AFDC" w:rsidR="00AF342A" w:rsidRPr="0065228D" w:rsidRDefault="00AF342A" w:rsidP="00835A65">
            <w:pPr>
              <w:rPr>
                <w:rFonts w:ascii="Times New Roman" w:hAnsi="Times New Roman" w:cs="Times New Roman"/>
              </w:rPr>
            </w:pPr>
            <w:r w:rsidRPr="0065228D">
              <w:rPr>
                <w:rFonts w:ascii="Times New Roman" w:hAnsi="Times New Roman" w:cs="Times New Roman"/>
              </w:rPr>
              <w:t>Bond</w:t>
            </w:r>
          </w:p>
        </w:tc>
        <w:tc>
          <w:tcPr>
            <w:tcW w:w="314" w:type="pct"/>
            <w:tcBorders>
              <w:left w:val="single" w:sz="4" w:space="0" w:color="auto"/>
            </w:tcBorders>
            <w:noWrap/>
            <w:vAlign w:val="center"/>
            <w:hideMark/>
          </w:tcPr>
          <w:p w14:paraId="4002B50A"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0.74</w:t>
            </w:r>
          </w:p>
        </w:tc>
        <w:tc>
          <w:tcPr>
            <w:tcW w:w="257" w:type="pct"/>
            <w:noWrap/>
            <w:vAlign w:val="center"/>
            <w:hideMark/>
          </w:tcPr>
          <w:p w14:paraId="42E811B5"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1.29</w:t>
            </w:r>
          </w:p>
        </w:tc>
        <w:tc>
          <w:tcPr>
            <w:tcW w:w="418" w:type="pct"/>
            <w:tcBorders>
              <w:right w:val="single" w:sz="4" w:space="0" w:color="auto"/>
            </w:tcBorders>
            <w:noWrap/>
            <w:vAlign w:val="center"/>
            <w:hideMark/>
          </w:tcPr>
          <w:p w14:paraId="5BFC14C2"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1.28</w:t>
            </w:r>
          </w:p>
        </w:tc>
        <w:tc>
          <w:tcPr>
            <w:tcW w:w="328" w:type="pct"/>
            <w:tcBorders>
              <w:left w:val="single" w:sz="4" w:space="0" w:color="auto"/>
            </w:tcBorders>
            <w:noWrap/>
            <w:vAlign w:val="center"/>
            <w:hideMark/>
          </w:tcPr>
          <w:p w14:paraId="70B545AB"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1.85</w:t>
            </w:r>
          </w:p>
        </w:tc>
        <w:tc>
          <w:tcPr>
            <w:tcW w:w="285" w:type="pct"/>
            <w:noWrap/>
            <w:vAlign w:val="center"/>
            <w:hideMark/>
          </w:tcPr>
          <w:p w14:paraId="753EA03D"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1.06</w:t>
            </w:r>
          </w:p>
        </w:tc>
        <w:tc>
          <w:tcPr>
            <w:tcW w:w="296" w:type="pct"/>
            <w:tcBorders>
              <w:right w:val="single" w:sz="4" w:space="0" w:color="auto"/>
            </w:tcBorders>
            <w:noWrap/>
            <w:vAlign w:val="center"/>
            <w:hideMark/>
          </w:tcPr>
          <w:p w14:paraId="7E962C62"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1.48</w:t>
            </w:r>
          </w:p>
        </w:tc>
        <w:tc>
          <w:tcPr>
            <w:tcW w:w="257" w:type="pct"/>
            <w:tcBorders>
              <w:left w:val="single" w:sz="4" w:space="0" w:color="auto"/>
            </w:tcBorders>
            <w:noWrap/>
            <w:vAlign w:val="center"/>
            <w:hideMark/>
          </w:tcPr>
          <w:p w14:paraId="62319EEA"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7.46</w:t>
            </w:r>
          </w:p>
        </w:tc>
        <w:tc>
          <w:tcPr>
            <w:tcW w:w="257" w:type="pct"/>
            <w:noWrap/>
            <w:vAlign w:val="center"/>
            <w:hideMark/>
          </w:tcPr>
          <w:p w14:paraId="24AA65D4"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2.16</w:t>
            </w:r>
          </w:p>
        </w:tc>
        <w:tc>
          <w:tcPr>
            <w:tcW w:w="296" w:type="pct"/>
            <w:noWrap/>
            <w:vAlign w:val="center"/>
            <w:hideMark/>
          </w:tcPr>
          <w:p w14:paraId="3811424B"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2.01</w:t>
            </w:r>
          </w:p>
        </w:tc>
        <w:tc>
          <w:tcPr>
            <w:tcW w:w="272" w:type="pct"/>
            <w:noWrap/>
            <w:vAlign w:val="center"/>
            <w:hideMark/>
          </w:tcPr>
          <w:p w14:paraId="09290DA4"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3.74</w:t>
            </w:r>
          </w:p>
        </w:tc>
        <w:tc>
          <w:tcPr>
            <w:tcW w:w="310" w:type="pct"/>
            <w:noWrap/>
            <w:vAlign w:val="center"/>
            <w:hideMark/>
          </w:tcPr>
          <w:p w14:paraId="06FD109E"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4.20</w:t>
            </w:r>
          </w:p>
        </w:tc>
        <w:tc>
          <w:tcPr>
            <w:tcW w:w="267" w:type="pct"/>
            <w:noWrap/>
            <w:vAlign w:val="center"/>
            <w:hideMark/>
          </w:tcPr>
          <w:p w14:paraId="35732E2D"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68.03</w:t>
            </w:r>
          </w:p>
        </w:tc>
        <w:tc>
          <w:tcPr>
            <w:tcW w:w="468" w:type="pct"/>
            <w:noWrap/>
            <w:vAlign w:val="center"/>
            <w:hideMark/>
          </w:tcPr>
          <w:p w14:paraId="1EBF57B4"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4.71</w:t>
            </w:r>
          </w:p>
        </w:tc>
        <w:tc>
          <w:tcPr>
            <w:tcW w:w="324" w:type="pct"/>
            <w:noWrap/>
            <w:vAlign w:val="center"/>
            <w:hideMark/>
          </w:tcPr>
          <w:p w14:paraId="2D9468B0"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31.97</w:t>
            </w:r>
          </w:p>
        </w:tc>
      </w:tr>
      <w:tr w:rsidR="00AF342A" w:rsidRPr="0065228D" w14:paraId="068321D2" w14:textId="77777777" w:rsidTr="00AF342A">
        <w:trPr>
          <w:trHeight w:val="454"/>
        </w:trPr>
        <w:tc>
          <w:tcPr>
            <w:tcW w:w="183" w:type="pct"/>
          </w:tcPr>
          <w:p w14:paraId="2B2A303A" w14:textId="77777777" w:rsidR="00AF342A" w:rsidRPr="0065228D" w:rsidRDefault="00AF342A" w:rsidP="00835A65">
            <w:pPr>
              <w:rPr>
                <w:rFonts w:ascii="Times New Roman" w:hAnsi="Times New Roman" w:cs="Times New Roman"/>
              </w:rPr>
            </w:pPr>
          </w:p>
        </w:tc>
        <w:tc>
          <w:tcPr>
            <w:tcW w:w="468" w:type="pct"/>
            <w:tcBorders>
              <w:right w:val="single" w:sz="4" w:space="0" w:color="auto"/>
            </w:tcBorders>
            <w:noWrap/>
            <w:vAlign w:val="center"/>
            <w:hideMark/>
          </w:tcPr>
          <w:p w14:paraId="396B0C4A" w14:textId="1F9B7D7F" w:rsidR="00AF342A" w:rsidRPr="0065228D" w:rsidRDefault="00AF342A" w:rsidP="00835A65">
            <w:pPr>
              <w:rPr>
                <w:rFonts w:ascii="Times New Roman" w:hAnsi="Times New Roman" w:cs="Times New Roman"/>
              </w:rPr>
            </w:pPr>
            <w:proofErr w:type="spellStart"/>
            <w:r w:rsidRPr="0065228D">
              <w:rPr>
                <w:rFonts w:ascii="Times New Roman" w:hAnsi="Times New Roman" w:cs="Times New Roman"/>
              </w:rPr>
              <w:t>USD.Index</w:t>
            </w:r>
            <w:proofErr w:type="spellEnd"/>
          </w:p>
        </w:tc>
        <w:tc>
          <w:tcPr>
            <w:tcW w:w="314" w:type="pct"/>
            <w:tcBorders>
              <w:left w:val="single" w:sz="4" w:space="0" w:color="auto"/>
            </w:tcBorders>
            <w:noWrap/>
            <w:vAlign w:val="center"/>
            <w:hideMark/>
          </w:tcPr>
          <w:p w14:paraId="5AC34BBF"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1.40</w:t>
            </w:r>
          </w:p>
        </w:tc>
        <w:tc>
          <w:tcPr>
            <w:tcW w:w="257" w:type="pct"/>
            <w:noWrap/>
            <w:vAlign w:val="center"/>
            <w:hideMark/>
          </w:tcPr>
          <w:p w14:paraId="113DC890"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2.47</w:t>
            </w:r>
          </w:p>
        </w:tc>
        <w:tc>
          <w:tcPr>
            <w:tcW w:w="418" w:type="pct"/>
            <w:tcBorders>
              <w:right w:val="single" w:sz="4" w:space="0" w:color="auto"/>
            </w:tcBorders>
            <w:noWrap/>
            <w:vAlign w:val="center"/>
            <w:hideMark/>
          </w:tcPr>
          <w:p w14:paraId="0A43FE8D"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2.62</w:t>
            </w:r>
          </w:p>
        </w:tc>
        <w:tc>
          <w:tcPr>
            <w:tcW w:w="328" w:type="pct"/>
            <w:tcBorders>
              <w:left w:val="single" w:sz="4" w:space="0" w:color="auto"/>
            </w:tcBorders>
            <w:noWrap/>
            <w:vAlign w:val="center"/>
            <w:hideMark/>
          </w:tcPr>
          <w:p w14:paraId="6D893093"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3.84</w:t>
            </w:r>
          </w:p>
        </w:tc>
        <w:tc>
          <w:tcPr>
            <w:tcW w:w="285" w:type="pct"/>
            <w:noWrap/>
            <w:vAlign w:val="center"/>
            <w:hideMark/>
          </w:tcPr>
          <w:p w14:paraId="431970F0"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1.15</w:t>
            </w:r>
          </w:p>
        </w:tc>
        <w:tc>
          <w:tcPr>
            <w:tcW w:w="296" w:type="pct"/>
            <w:tcBorders>
              <w:right w:val="single" w:sz="4" w:space="0" w:color="auto"/>
            </w:tcBorders>
            <w:noWrap/>
            <w:vAlign w:val="center"/>
            <w:hideMark/>
          </w:tcPr>
          <w:p w14:paraId="420E72A4"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3.34</w:t>
            </w:r>
          </w:p>
        </w:tc>
        <w:tc>
          <w:tcPr>
            <w:tcW w:w="257" w:type="pct"/>
            <w:tcBorders>
              <w:left w:val="single" w:sz="4" w:space="0" w:color="auto"/>
            </w:tcBorders>
            <w:noWrap/>
            <w:vAlign w:val="center"/>
            <w:hideMark/>
          </w:tcPr>
          <w:p w14:paraId="3F50D40C"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10.48</w:t>
            </w:r>
          </w:p>
        </w:tc>
        <w:tc>
          <w:tcPr>
            <w:tcW w:w="257" w:type="pct"/>
            <w:noWrap/>
            <w:vAlign w:val="center"/>
            <w:hideMark/>
          </w:tcPr>
          <w:p w14:paraId="1AE39B5D"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2.09</w:t>
            </w:r>
          </w:p>
        </w:tc>
        <w:tc>
          <w:tcPr>
            <w:tcW w:w="296" w:type="pct"/>
            <w:noWrap/>
            <w:vAlign w:val="center"/>
            <w:hideMark/>
          </w:tcPr>
          <w:p w14:paraId="28CC11CF"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3.33</w:t>
            </w:r>
          </w:p>
        </w:tc>
        <w:tc>
          <w:tcPr>
            <w:tcW w:w="272" w:type="pct"/>
            <w:noWrap/>
            <w:vAlign w:val="center"/>
            <w:hideMark/>
          </w:tcPr>
          <w:p w14:paraId="37D3EF9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5.18</w:t>
            </w:r>
          </w:p>
        </w:tc>
        <w:tc>
          <w:tcPr>
            <w:tcW w:w="310" w:type="pct"/>
            <w:noWrap/>
            <w:vAlign w:val="center"/>
            <w:hideMark/>
          </w:tcPr>
          <w:p w14:paraId="589A5E73"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9.12</w:t>
            </w:r>
          </w:p>
        </w:tc>
        <w:tc>
          <w:tcPr>
            <w:tcW w:w="267" w:type="pct"/>
            <w:noWrap/>
            <w:vAlign w:val="center"/>
            <w:hideMark/>
          </w:tcPr>
          <w:p w14:paraId="35263446"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5.58</w:t>
            </w:r>
          </w:p>
        </w:tc>
        <w:tc>
          <w:tcPr>
            <w:tcW w:w="468" w:type="pct"/>
            <w:noWrap/>
            <w:vAlign w:val="center"/>
            <w:hideMark/>
          </w:tcPr>
          <w:p w14:paraId="15B03ABF"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49.39</w:t>
            </w:r>
          </w:p>
        </w:tc>
        <w:tc>
          <w:tcPr>
            <w:tcW w:w="324" w:type="pct"/>
            <w:noWrap/>
            <w:vAlign w:val="center"/>
            <w:hideMark/>
          </w:tcPr>
          <w:p w14:paraId="24CA78A5"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50.61</w:t>
            </w:r>
          </w:p>
        </w:tc>
      </w:tr>
      <w:tr w:rsidR="00AF342A" w:rsidRPr="0065228D" w14:paraId="4E195A9A" w14:textId="77777777" w:rsidTr="00AF342A">
        <w:trPr>
          <w:trHeight w:val="454"/>
        </w:trPr>
        <w:tc>
          <w:tcPr>
            <w:tcW w:w="183" w:type="pct"/>
          </w:tcPr>
          <w:p w14:paraId="7DB85231" w14:textId="77777777" w:rsidR="00AF342A" w:rsidRPr="0065228D" w:rsidRDefault="00AF342A" w:rsidP="00835A65">
            <w:pPr>
              <w:rPr>
                <w:rFonts w:ascii="Times New Roman" w:hAnsi="Times New Roman" w:cs="Times New Roman"/>
              </w:rPr>
            </w:pPr>
          </w:p>
        </w:tc>
        <w:tc>
          <w:tcPr>
            <w:tcW w:w="468" w:type="pct"/>
            <w:tcBorders>
              <w:right w:val="single" w:sz="4" w:space="0" w:color="auto"/>
            </w:tcBorders>
            <w:noWrap/>
            <w:vAlign w:val="center"/>
            <w:hideMark/>
          </w:tcPr>
          <w:p w14:paraId="6FB51A87" w14:textId="3471BC16" w:rsidR="00AF342A" w:rsidRPr="0065228D" w:rsidRDefault="00AD4771" w:rsidP="00835A65">
            <w:pPr>
              <w:rPr>
                <w:rFonts w:ascii="Times New Roman" w:hAnsi="Times New Roman" w:cs="Times New Roman"/>
              </w:rPr>
            </w:pPr>
            <w:r>
              <w:rPr>
                <w:rFonts w:ascii="Times New Roman" w:hAnsi="Times New Roman" w:cs="Times New Roman"/>
              </w:rPr>
              <w:t>To Others</w:t>
            </w:r>
          </w:p>
        </w:tc>
        <w:tc>
          <w:tcPr>
            <w:tcW w:w="314" w:type="pct"/>
            <w:tcBorders>
              <w:left w:val="single" w:sz="4" w:space="0" w:color="auto"/>
            </w:tcBorders>
            <w:noWrap/>
            <w:vAlign w:val="center"/>
            <w:hideMark/>
          </w:tcPr>
          <w:p w14:paraId="11C79173"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46.04</w:t>
            </w:r>
          </w:p>
        </w:tc>
        <w:tc>
          <w:tcPr>
            <w:tcW w:w="257" w:type="pct"/>
            <w:noWrap/>
            <w:vAlign w:val="center"/>
            <w:hideMark/>
          </w:tcPr>
          <w:p w14:paraId="3023AB8A"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55.79</w:t>
            </w:r>
          </w:p>
        </w:tc>
        <w:tc>
          <w:tcPr>
            <w:tcW w:w="418" w:type="pct"/>
            <w:tcBorders>
              <w:right w:val="single" w:sz="4" w:space="0" w:color="auto"/>
            </w:tcBorders>
            <w:noWrap/>
            <w:vAlign w:val="center"/>
            <w:hideMark/>
          </w:tcPr>
          <w:p w14:paraId="6378A0E7"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59.14</w:t>
            </w:r>
          </w:p>
        </w:tc>
        <w:tc>
          <w:tcPr>
            <w:tcW w:w="328" w:type="pct"/>
            <w:tcBorders>
              <w:left w:val="single" w:sz="4" w:space="0" w:color="auto"/>
            </w:tcBorders>
            <w:noWrap/>
            <w:vAlign w:val="center"/>
            <w:hideMark/>
          </w:tcPr>
          <w:p w14:paraId="25C19A9B"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82.30</w:t>
            </w:r>
          </w:p>
        </w:tc>
        <w:tc>
          <w:tcPr>
            <w:tcW w:w="285" w:type="pct"/>
            <w:noWrap/>
            <w:vAlign w:val="center"/>
            <w:hideMark/>
          </w:tcPr>
          <w:p w14:paraId="0F54FA3D"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13.82</w:t>
            </w:r>
          </w:p>
        </w:tc>
        <w:tc>
          <w:tcPr>
            <w:tcW w:w="296" w:type="pct"/>
            <w:tcBorders>
              <w:right w:val="single" w:sz="4" w:space="0" w:color="auto"/>
            </w:tcBorders>
            <w:noWrap/>
            <w:vAlign w:val="center"/>
            <w:hideMark/>
          </w:tcPr>
          <w:p w14:paraId="4A10A60A"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74.21</w:t>
            </w:r>
          </w:p>
        </w:tc>
        <w:tc>
          <w:tcPr>
            <w:tcW w:w="257" w:type="pct"/>
            <w:tcBorders>
              <w:left w:val="single" w:sz="4" w:space="0" w:color="auto"/>
            </w:tcBorders>
            <w:noWrap/>
            <w:vAlign w:val="center"/>
            <w:hideMark/>
          </w:tcPr>
          <w:p w14:paraId="7BBEAA17"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34.94</w:t>
            </w:r>
          </w:p>
        </w:tc>
        <w:tc>
          <w:tcPr>
            <w:tcW w:w="257" w:type="pct"/>
            <w:noWrap/>
            <w:vAlign w:val="center"/>
            <w:hideMark/>
          </w:tcPr>
          <w:p w14:paraId="5C903A1A"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18.31</w:t>
            </w:r>
          </w:p>
        </w:tc>
        <w:tc>
          <w:tcPr>
            <w:tcW w:w="296" w:type="pct"/>
            <w:noWrap/>
            <w:vAlign w:val="center"/>
            <w:hideMark/>
          </w:tcPr>
          <w:p w14:paraId="2411DA2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80.92</w:t>
            </w:r>
          </w:p>
        </w:tc>
        <w:tc>
          <w:tcPr>
            <w:tcW w:w="272" w:type="pct"/>
            <w:noWrap/>
            <w:vAlign w:val="center"/>
            <w:hideMark/>
          </w:tcPr>
          <w:p w14:paraId="5BE9DFEE"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44.52</w:t>
            </w:r>
          </w:p>
        </w:tc>
        <w:tc>
          <w:tcPr>
            <w:tcW w:w="310" w:type="pct"/>
            <w:noWrap/>
            <w:vAlign w:val="center"/>
            <w:hideMark/>
          </w:tcPr>
          <w:p w14:paraId="3640934A"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64.92</w:t>
            </w:r>
          </w:p>
        </w:tc>
        <w:tc>
          <w:tcPr>
            <w:tcW w:w="267" w:type="pct"/>
            <w:noWrap/>
            <w:vAlign w:val="center"/>
            <w:hideMark/>
          </w:tcPr>
          <w:p w14:paraId="665F51F3"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27.56</w:t>
            </w:r>
          </w:p>
        </w:tc>
        <w:tc>
          <w:tcPr>
            <w:tcW w:w="468" w:type="pct"/>
            <w:noWrap/>
            <w:vAlign w:val="center"/>
            <w:hideMark/>
          </w:tcPr>
          <w:p w14:paraId="71D7CFD6"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35.20</w:t>
            </w:r>
          </w:p>
        </w:tc>
        <w:tc>
          <w:tcPr>
            <w:tcW w:w="324" w:type="pct"/>
            <w:noWrap/>
            <w:vAlign w:val="center"/>
            <w:hideMark/>
          </w:tcPr>
          <w:p w14:paraId="7F4D288B"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637.67</w:t>
            </w:r>
          </w:p>
        </w:tc>
      </w:tr>
      <w:tr w:rsidR="00AF342A" w:rsidRPr="0065228D" w14:paraId="6DEEF7D0" w14:textId="77777777" w:rsidTr="00AF342A">
        <w:trPr>
          <w:trHeight w:val="454"/>
        </w:trPr>
        <w:tc>
          <w:tcPr>
            <w:tcW w:w="183" w:type="pct"/>
          </w:tcPr>
          <w:p w14:paraId="6FF9C424" w14:textId="77777777" w:rsidR="00AF342A" w:rsidRPr="0065228D" w:rsidRDefault="00AF342A" w:rsidP="00835A65">
            <w:pPr>
              <w:rPr>
                <w:rFonts w:ascii="Times New Roman" w:hAnsi="Times New Roman" w:cs="Times New Roman"/>
              </w:rPr>
            </w:pPr>
          </w:p>
        </w:tc>
        <w:tc>
          <w:tcPr>
            <w:tcW w:w="468" w:type="pct"/>
            <w:tcBorders>
              <w:right w:val="single" w:sz="4" w:space="0" w:color="auto"/>
            </w:tcBorders>
            <w:noWrap/>
            <w:vAlign w:val="center"/>
            <w:hideMark/>
          </w:tcPr>
          <w:p w14:paraId="3DB59465" w14:textId="23362A19" w:rsidR="00AF342A" w:rsidRPr="0065228D" w:rsidRDefault="00AF342A" w:rsidP="00835A65">
            <w:pPr>
              <w:rPr>
                <w:rFonts w:ascii="Times New Roman" w:hAnsi="Times New Roman" w:cs="Times New Roman"/>
              </w:rPr>
            </w:pPr>
            <w:proofErr w:type="spellStart"/>
            <w:r w:rsidRPr="0065228D">
              <w:rPr>
                <w:rFonts w:ascii="Times New Roman" w:hAnsi="Times New Roman" w:cs="Times New Roman"/>
              </w:rPr>
              <w:t>Inc.Own</w:t>
            </w:r>
            <w:proofErr w:type="spellEnd"/>
          </w:p>
        </w:tc>
        <w:tc>
          <w:tcPr>
            <w:tcW w:w="314" w:type="pct"/>
            <w:tcBorders>
              <w:left w:val="single" w:sz="4" w:space="0" w:color="auto"/>
            </w:tcBorders>
            <w:noWrap/>
            <w:vAlign w:val="center"/>
            <w:hideMark/>
          </w:tcPr>
          <w:p w14:paraId="7A0AC75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93.52</w:t>
            </w:r>
          </w:p>
        </w:tc>
        <w:tc>
          <w:tcPr>
            <w:tcW w:w="257" w:type="pct"/>
            <w:noWrap/>
            <w:vAlign w:val="center"/>
            <w:hideMark/>
          </w:tcPr>
          <w:p w14:paraId="0A8E8750"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99.45</w:t>
            </w:r>
          </w:p>
        </w:tc>
        <w:tc>
          <w:tcPr>
            <w:tcW w:w="418" w:type="pct"/>
            <w:tcBorders>
              <w:right w:val="single" w:sz="4" w:space="0" w:color="auto"/>
            </w:tcBorders>
            <w:noWrap/>
            <w:vAlign w:val="center"/>
            <w:hideMark/>
          </w:tcPr>
          <w:p w14:paraId="18E9C3C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101.29</w:t>
            </w:r>
          </w:p>
        </w:tc>
        <w:tc>
          <w:tcPr>
            <w:tcW w:w="328" w:type="pct"/>
            <w:tcBorders>
              <w:left w:val="single" w:sz="4" w:space="0" w:color="auto"/>
            </w:tcBorders>
            <w:noWrap/>
            <w:vAlign w:val="center"/>
            <w:hideMark/>
          </w:tcPr>
          <w:p w14:paraId="5B08A094"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116.58</w:t>
            </w:r>
          </w:p>
        </w:tc>
        <w:tc>
          <w:tcPr>
            <w:tcW w:w="285" w:type="pct"/>
            <w:noWrap/>
            <w:vAlign w:val="center"/>
            <w:hideMark/>
          </w:tcPr>
          <w:p w14:paraId="75052E32"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94.81</w:t>
            </w:r>
          </w:p>
        </w:tc>
        <w:tc>
          <w:tcPr>
            <w:tcW w:w="296" w:type="pct"/>
            <w:tcBorders>
              <w:right w:val="single" w:sz="4" w:space="0" w:color="auto"/>
            </w:tcBorders>
            <w:noWrap/>
            <w:vAlign w:val="center"/>
            <w:hideMark/>
          </w:tcPr>
          <w:p w14:paraId="62CA2B9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109.71</w:t>
            </w:r>
          </w:p>
        </w:tc>
        <w:tc>
          <w:tcPr>
            <w:tcW w:w="257" w:type="pct"/>
            <w:tcBorders>
              <w:left w:val="single" w:sz="4" w:space="0" w:color="auto"/>
            </w:tcBorders>
            <w:noWrap/>
            <w:vAlign w:val="center"/>
            <w:hideMark/>
          </w:tcPr>
          <w:p w14:paraId="00F77B1B"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93.50</w:t>
            </w:r>
          </w:p>
        </w:tc>
        <w:tc>
          <w:tcPr>
            <w:tcW w:w="257" w:type="pct"/>
            <w:noWrap/>
            <w:vAlign w:val="center"/>
            <w:hideMark/>
          </w:tcPr>
          <w:p w14:paraId="313A6B37"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92.90</w:t>
            </w:r>
          </w:p>
        </w:tc>
        <w:tc>
          <w:tcPr>
            <w:tcW w:w="296" w:type="pct"/>
            <w:noWrap/>
            <w:vAlign w:val="center"/>
            <w:hideMark/>
          </w:tcPr>
          <w:p w14:paraId="292FDD7F"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113.81</w:t>
            </w:r>
          </w:p>
        </w:tc>
        <w:tc>
          <w:tcPr>
            <w:tcW w:w="272" w:type="pct"/>
            <w:noWrap/>
            <w:vAlign w:val="center"/>
            <w:hideMark/>
          </w:tcPr>
          <w:p w14:paraId="2C511F2D"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94.96</w:t>
            </w:r>
          </w:p>
        </w:tc>
        <w:tc>
          <w:tcPr>
            <w:tcW w:w="310" w:type="pct"/>
            <w:noWrap/>
            <w:vAlign w:val="center"/>
            <w:hideMark/>
          </w:tcPr>
          <w:p w14:paraId="3F25CEDD"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109.30</w:t>
            </w:r>
          </w:p>
        </w:tc>
        <w:tc>
          <w:tcPr>
            <w:tcW w:w="267" w:type="pct"/>
            <w:noWrap/>
            <w:vAlign w:val="center"/>
            <w:hideMark/>
          </w:tcPr>
          <w:p w14:paraId="287DB763"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95.59</w:t>
            </w:r>
          </w:p>
        </w:tc>
        <w:tc>
          <w:tcPr>
            <w:tcW w:w="468" w:type="pct"/>
            <w:noWrap/>
            <w:vAlign w:val="center"/>
            <w:hideMark/>
          </w:tcPr>
          <w:p w14:paraId="79F10A82"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84.60</w:t>
            </w:r>
          </w:p>
        </w:tc>
        <w:tc>
          <w:tcPr>
            <w:tcW w:w="324" w:type="pct"/>
            <w:noWrap/>
            <w:vAlign w:val="center"/>
            <w:hideMark/>
          </w:tcPr>
          <w:p w14:paraId="2F2D0A40"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TCI</w:t>
            </w:r>
          </w:p>
        </w:tc>
      </w:tr>
      <w:tr w:rsidR="00AF342A" w:rsidRPr="0065228D" w14:paraId="2312AA5F" w14:textId="77777777" w:rsidTr="00AF342A">
        <w:trPr>
          <w:trHeight w:val="454"/>
        </w:trPr>
        <w:tc>
          <w:tcPr>
            <w:tcW w:w="183" w:type="pct"/>
          </w:tcPr>
          <w:p w14:paraId="3617ED8F" w14:textId="77777777" w:rsidR="00AF342A" w:rsidRPr="0065228D" w:rsidRDefault="00AF342A" w:rsidP="00835A65">
            <w:pPr>
              <w:rPr>
                <w:rFonts w:ascii="Times New Roman" w:hAnsi="Times New Roman" w:cs="Times New Roman"/>
              </w:rPr>
            </w:pPr>
          </w:p>
        </w:tc>
        <w:tc>
          <w:tcPr>
            <w:tcW w:w="468" w:type="pct"/>
            <w:tcBorders>
              <w:right w:val="single" w:sz="4" w:space="0" w:color="auto"/>
            </w:tcBorders>
            <w:noWrap/>
            <w:vAlign w:val="center"/>
            <w:hideMark/>
          </w:tcPr>
          <w:p w14:paraId="03A5DA1B" w14:textId="19984AED" w:rsidR="00AF342A" w:rsidRPr="0065228D" w:rsidRDefault="00D97C9B" w:rsidP="00835A65">
            <w:pPr>
              <w:rPr>
                <w:rFonts w:ascii="Times New Roman" w:hAnsi="Times New Roman" w:cs="Times New Roman"/>
              </w:rPr>
            </w:pPr>
            <w:r>
              <w:rPr>
                <w:rFonts w:ascii="Times New Roman" w:hAnsi="Times New Roman" w:cs="Times New Roman"/>
              </w:rPr>
              <w:t>Net</w:t>
            </w:r>
          </w:p>
        </w:tc>
        <w:tc>
          <w:tcPr>
            <w:tcW w:w="314" w:type="pct"/>
            <w:tcBorders>
              <w:left w:val="single" w:sz="4" w:space="0" w:color="auto"/>
              <w:bottom w:val="single" w:sz="4" w:space="0" w:color="auto"/>
            </w:tcBorders>
            <w:noWrap/>
            <w:vAlign w:val="center"/>
            <w:hideMark/>
          </w:tcPr>
          <w:p w14:paraId="0CACF4E2"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-6.48</w:t>
            </w:r>
          </w:p>
        </w:tc>
        <w:tc>
          <w:tcPr>
            <w:tcW w:w="257" w:type="pct"/>
            <w:tcBorders>
              <w:bottom w:val="single" w:sz="4" w:space="0" w:color="auto"/>
            </w:tcBorders>
            <w:noWrap/>
            <w:vAlign w:val="center"/>
            <w:hideMark/>
          </w:tcPr>
          <w:p w14:paraId="623B48FB"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-0.55</w:t>
            </w:r>
          </w:p>
        </w:tc>
        <w:tc>
          <w:tcPr>
            <w:tcW w:w="418" w:type="pct"/>
            <w:tcBorders>
              <w:bottom w:val="single" w:sz="4" w:space="0" w:color="auto"/>
              <w:right w:val="single" w:sz="4" w:space="0" w:color="auto"/>
            </w:tcBorders>
            <w:noWrap/>
            <w:vAlign w:val="center"/>
            <w:hideMark/>
          </w:tcPr>
          <w:p w14:paraId="176BBEF2"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1.29</w:t>
            </w:r>
          </w:p>
        </w:tc>
        <w:tc>
          <w:tcPr>
            <w:tcW w:w="328" w:type="pct"/>
            <w:tcBorders>
              <w:left w:val="single" w:sz="4" w:space="0" w:color="auto"/>
              <w:bottom w:val="single" w:sz="4" w:space="0" w:color="auto"/>
            </w:tcBorders>
            <w:noWrap/>
            <w:vAlign w:val="center"/>
            <w:hideMark/>
          </w:tcPr>
          <w:p w14:paraId="1B8903C3" w14:textId="77777777" w:rsidR="00AF342A" w:rsidRPr="00AD4771" w:rsidRDefault="00AF342A" w:rsidP="00835A65">
            <w:pPr>
              <w:rPr>
                <w:rFonts w:ascii="Times New Roman" w:hAnsi="Times New Roman" w:cs="Times New Roman"/>
                <w:b/>
                <w:sz w:val="20"/>
              </w:rPr>
            </w:pPr>
            <w:r w:rsidRPr="00AD4771">
              <w:rPr>
                <w:rFonts w:ascii="Times New Roman" w:hAnsi="Times New Roman" w:cs="Times New Roman"/>
                <w:b/>
                <w:sz w:val="20"/>
              </w:rPr>
              <w:t>16.58</w:t>
            </w:r>
          </w:p>
        </w:tc>
        <w:tc>
          <w:tcPr>
            <w:tcW w:w="285" w:type="pct"/>
            <w:tcBorders>
              <w:bottom w:val="single" w:sz="4" w:space="0" w:color="auto"/>
            </w:tcBorders>
            <w:noWrap/>
            <w:vAlign w:val="center"/>
            <w:hideMark/>
          </w:tcPr>
          <w:p w14:paraId="72620C0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-5.19</w:t>
            </w:r>
          </w:p>
        </w:tc>
        <w:tc>
          <w:tcPr>
            <w:tcW w:w="296" w:type="pct"/>
            <w:tcBorders>
              <w:bottom w:val="single" w:sz="4" w:space="0" w:color="auto"/>
              <w:right w:val="single" w:sz="4" w:space="0" w:color="auto"/>
            </w:tcBorders>
            <w:noWrap/>
            <w:vAlign w:val="center"/>
            <w:hideMark/>
          </w:tcPr>
          <w:p w14:paraId="36737D19" w14:textId="77777777" w:rsidR="00AF342A" w:rsidRPr="00AD4771" w:rsidRDefault="00AF342A" w:rsidP="00835A65">
            <w:pPr>
              <w:rPr>
                <w:rFonts w:ascii="Times New Roman" w:hAnsi="Times New Roman" w:cs="Times New Roman"/>
                <w:b/>
                <w:sz w:val="20"/>
              </w:rPr>
            </w:pPr>
            <w:r w:rsidRPr="00AD4771">
              <w:rPr>
                <w:rFonts w:ascii="Times New Roman" w:hAnsi="Times New Roman" w:cs="Times New Roman"/>
                <w:b/>
                <w:sz w:val="20"/>
              </w:rPr>
              <w:t>9.71</w:t>
            </w:r>
          </w:p>
        </w:tc>
        <w:tc>
          <w:tcPr>
            <w:tcW w:w="257" w:type="pct"/>
            <w:tcBorders>
              <w:left w:val="single" w:sz="4" w:space="0" w:color="auto"/>
            </w:tcBorders>
            <w:noWrap/>
            <w:vAlign w:val="center"/>
            <w:hideMark/>
          </w:tcPr>
          <w:p w14:paraId="0792EFF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-6.50</w:t>
            </w:r>
          </w:p>
        </w:tc>
        <w:tc>
          <w:tcPr>
            <w:tcW w:w="257" w:type="pct"/>
            <w:noWrap/>
            <w:vAlign w:val="center"/>
            <w:hideMark/>
          </w:tcPr>
          <w:p w14:paraId="2B0BAB72"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-7.10</w:t>
            </w:r>
          </w:p>
        </w:tc>
        <w:tc>
          <w:tcPr>
            <w:tcW w:w="296" w:type="pct"/>
            <w:noWrap/>
            <w:vAlign w:val="center"/>
            <w:hideMark/>
          </w:tcPr>
          <w:p w14:paraId="79BD056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13.81</w:t>
            </w:r>
          </w:p>
        </w:tc>
        <w:tc>
          <w:tcPr>
            <w:tcW w:w="272" w:type="pct"/>
            <w:noWrap/>
            <w:vAlign w:val="center"/>
            <w:hideMark/>
          </w:tcPr>
          <w:p w14:paraId="6385748B"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-5.04</w:t>
            </w:r>
          </w:p>
        </w:tc>
        <w:tc>
          <w:tcPr>
            <w:tcW w:w="310" w:type="pct"/>
            <w:noWrap/>
            <w:vAlign w:val="center"/>
            <w:hideMark/>
          </w:tcPr>
          <w:p w14:paraId="11D4EBD0"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9.30</w:t>
            </w:r>
          </w:p>
        </w:tc>
        <w:tc>
          <w:tcPr>
            <w:tcW w:w="267" w:type="pct"/>
            <w:noWrap/>
            <w:vAlign w:val="center"/>
            <w:hideMark/>
          </w:tcPr>
          <w:p w14:paraId="306752F2"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-4.41</w:t>
            </w:r>
          </w:p>
        </w:tc>
        <w:tc>
          <w:tcPr>
            <w:tcW w:w="468" w:type="pct"/>
            <w:noWrap/>
            <w:vAlign w:val="center"/>
            <w:hideMark/>
          </w:tcPr>
          <w:p w14:paraId="06E5D33A"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-15.40</w:t>
            </w:r>
          </w:p>
        </w:tc>
        <w:tc>
          <w:tcPr>
            <w:tcW w:w="324" w:type="pct"/>
            <w:noWrap/>
            <w:vAlign w:val="center"/>
            <w:hideMark/>
          </w:tcPr>
          <w:p w14:paraId="39E50C39" w14:textId="4641E7ED"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49.05</w:t>
            </w:r>
          </w:p>
        </w:tc>
      </w:tr>
    </w:tbl>
    <w:p w14:paraId="1F1FA251" w14:textId="4BE27AE2" w:rsidR="00835A65" w:rsidRPr="00AF342A" w:rsidRDefault="00835A65" w:rsidP="00AF342A">
      <w:pPr>
        <w:jc w:val="both"/>
        <w:rPr>
          <w:rFonts w:ascii="Times New Roman" w:hAnsi="Times New Roman" w:cs="Times New Roman"/>
          <w:sz w:val="18"/>
          <w:szCs w:val="18"/>
        </w:rPr>
      </w:pPr>
      <w:r w:rsidRPr="0065228D">
        <w:rPr>
          <w:rFonts w:ascii="Times New Roman" w:hAnsi="Times New Roman" w:cs="Times New Roman"/>
          <w:sz w:val="18"/>
          <w:szCs w:val="18"/>
        </w:rPr>
        <w:t>Notes: DEX- Decentralized Exchange, CEX- Centralized Exchange, RUNE-</w:t>
      </w:r>
      <w:r w:rsidR="009C39DF">
        <w:rPr>
          <w:rFonts w:ascii="Times New Roman" w:hAnsi="Times New Roman" w:cs="Times New Roman"/>
          <w:sz w:val="18"/>
          <w:szCs w:val="18"/>
        </w:rPr>
        <w:t xml:space="preserve"> </w:t>
      </w:r>
      <w:proofErr w:type="spellStart"/>
      <w:r w:rsidRPr="0065228D">
        <w:rPr>
          <w:rFonts w:ascii="Times New Roman" w:hAnsi="Times New Roman" w:cs="Times New Roman"/>
          <w:sz w:val="18"/>
          <w:szCs w:val="18"/>
        </w:rPr>
        <w:t>THORChain</w:t>
      </w:r>
      <w:proofErr w:type="spellEnd"/>
      <w:r w:rsidRPr="0065228D">
        <w:rPr>
          <w:rFonts w:ascii="Times New Roman" w:hAnsi="Times New Roman" w:cs="Times New Roman"/>
          <w:sz w:val="18"/>
          <w:szCs w:val="18"/>
        </w:rPr>
        <w:t>, LRC-</w:t>
      </w:r>
      <w:r w:rsidR="009C39DF">
        <w:rPr>
          <w:rFonts w:ascii="Times New Roman" w:hAnsi="Times New Roman" w:cs="Times New Roman"/>
          <w:sz w:val="18"/>
          <w:szCs w:val="18"/>
        </w:rPr>
        <w:t xml:space="preserve"> </w:t>
      </w:r>
      <w:proofErr w:type="spellStart"/>
      <w:proofErr w:type="gramStart"/>
      <w:r w:rsidRPr="0065228D">
        <w:rPr>
          <w:rFonts w:ascii="Times New Roman" w:hAnsi="Times New Roman" w:cs="Times New Roman"/>
          <w:sz w:val="18"/>
          <w:szCs w:val="18"/>
        </w:rPr>
        <w:t>Loopring</w:t>
      </w:r>
      <w:proofErr w:type="spellEnd"/>
      <w:r w:rsidRPr="0065228D">
        <w:rPr>
          <w:rFonts w:ascii="Times New Roman" w:hAnsi="Times New Roman" w:cs="Times New Roman"/>
          <w:sz w:val="18"/>
          <w:szCs w:val="18"/>
        </w:rPr>
        <w:t> ,</w:t>
      </w:r>
      <w:proofErr w:type="gramEnd"/>
      <w:r w:rsidRPr="0065228D">
        <w:rPr>
          <w:rFonts w:ascii="Times New Roman" w:hAnsi="Times New Roman" w:cs="Times New Roman"/>
          <w:sz w:val="18"/>
          <w:szCs w:val="18"/>
        </w:rPr>
        <w:t xml:space="preserve"> GNO-</w:t>
      </w:r>
      <w:r w:rsidR="009C39DF">
        <w:rPr>
          <w:rFonts w:ascii="Times New Roman" w:hAnsi="Times New Roman" w:cs="Times New Roman"/>
          <w:sz w:val="18"/>
          <w:szCs w:val="18"/>
        </w:rPr>
        <w:t xml:space="preserve"> </w:t>
      </w:r>
      <w:r w:rsidRPr="0065228D">
        <w:rPr>
          <w:rFonts w:ascii="Times New Roman" w:hAnsi="Times New Roman" w:cs="Times New Roman"/>
          <w:sz w:val="18"/>
          <w:szCs w:val="18"/>
        </w:rPr>
        <w:t>Gnosis, BNB-</w:t>
      </w:r>
      <w:r w:rsidR="009C39DF">
        <w:rPr>
          <w:rFonts w:ascii="Times New Roman" w:hAnsi="Times New Roman" w:cs="Times New Roman"/>
          <w:sz w:val="18"/>
          <w:szCs w:val="18"/>
        </w:rPr>
        <w:t xml:space="preserve"> </w:t>
      </w:r>
      <w:proofErr w:type="spellStart"/>
      <w:r w:rsidRPr="0065228D">
        <w:rPr>
          <w:rFonts w:ascii="Times New Roman" w:hAnsi="Times New Roman" w:cs="Times New Roman"/>
          <w:sz w:val="18"/>
          <w:szCs w:val="18"/>
        </w:rPr>
        <w:t>Binance</w:t>
      </w:r>
      <w:proofErr w:type="spellEnd"/>
      <w:r w:rsidRPr="0065228D">
        <w:rPr>
          <w:rFonts w:ascii="Times New Roman" w:hAnsi="Times New Roman" w:cs="Times New Roman"/>
          <w:sz w:val="18"/>
          <w:szCs w:val="18"/>
        </w:rPr>
        <w:t xml:space="preserve"> Coin, LEO-</w:t>
      </w:r>
      <w:r w:rsidR="009C39DF">
        <w:rPr>
          <w:rFonts w:ascii="Times New Roman" w:hAnsi="Times New Roman" w:cs="Times New Roman"/>
          <w:sz w:val="18"/>
          <w:szCs w:val="18"/>
        </w:rPr>
        <w:t xml:space="preserve"> </w:t>
      </w:r>
      <w:r w:rsidRPr="0065228D">
        <w:rPr>
          <w:rFonts w:ascii="Times New Roman" w:hAnsi="Times New Roman" w:cs="Times New Roman"/>
          <w:sz w:val="18"/>
          <w:szCs w:val="18"/>
        </w:rPr>
        <w:t>UNUS SED LEO, FTT-</w:t>
      </w:r>
      <w:r w:rsidR="009C39DF">
        <w:rPr>
          <w:rFonts w:ascii="Times New Roman" w:hAnsi="Times New Roman" w:cs="Times New Roman"/>
          <w:sz w:val="18"/>
          <w:szCs w:val="18"/>
        </w:rPr>
        <w:t xml:space="preserve"> </w:t>
      </w:r>
      <w:r w:rsidRPr="0065228D">
        <w:rPr>
          <w:rFonts w:ascii="Times New Roman" w:hAnsi="Times New Roman" w:cs="Times New Roman"/>
          <w:sz w:val="18"/>
          <w:szCs w:val="18"/>
        </w:rPr>
        <w:t>FTX Token, BTC-</w:t>
      </w:r>
      <w:r w:rsidR="009C39DF">
        <w:rPr>
          <w:rFonts w:ascii="Times New Roman" w:hAnsi="Times New Roman" w:cs="Times New Roman"/>
          <w:sz w:val="18"/>
          <w:szCs w:val="18"/>
        </w:rPr>
        <w:t xml:space="preserve"> </w:t>
      </w:r>
      <w:r w:rsidRPr="0065228D">
        <w:rPr>
          <w:rFonts w:ascii="Times New Roman" w:hAnsi="Times New Roman" w:cs="Times New Roman"/>
          <w:sz w:val="18"/>
          <w:szCs w:val="18"/>
        </w:rPr>
        <w:t>Bitcoin.</w:t>
      </w:r>
    </w:p>
    <w:p w14:paraId="1BA2CFC6" w14:textId="68986672" w:rsidR="00835A65" w:rsidRPr="0065228D" w:rsidRDefault="00835A65" w:rsidP="00835A65">
      <w:pPr>
        <w:rPr>
          <w:rFonts w:ascii="Times New Roman" w:hAnsi="Times New Roman" w:cs="Times New Roman"/>
          <w:sz w:val="24"/>
          <w:szCs w:val="24"/>
        </w:rPr>
      </w:pPr>
      <w:r w:rsidRPr="0065228D">
        <w:rPr>
          <w:rFonts w:ascii="Times New Roman" w:hAnsi="Times New Roman" w:cs="Times New Roman"/>
          <w:b/>
          <w:bCs/>
          <w:sz w:val="24"/>
          <w:szCs w:val="24"/>
        </w:rPr>
        <w:lastRenderedPageBreak/>
        <w:t>Table 5.</w:t>
      </w:r>
      <w:r w:rsidRPr="0065228D">
        <w:rPr>
          <w:rFonts w:ascii="Times New Roman" w:hAnsi="Times New Roman" w:cs="Times New Roman"/>
          <w:sz w:val="24"/>
          <w:szCs w:val="24"/>
        </w:rPr>
        <w:t xml:space="preserve"> Static return spillover at </w:t>
      </w:r>
      <w:r w:rsidR="006B43E8">
        <w:rPr>
          <w:rFonts w:ascii="Times New Roman" w:hAnsi="Times New Roman" w:cs="Times New Roman"/>
          <w:sz w:val="24"/>
          <w:szCs w:val="24"/>
        </w:rPr>
        <w:t xml:space="preserve">the </w:t>
      </w:r>
      <w:r w:rsidRPr="0065228D">
        <w:rPr>
          <w:rFonts w:ascii="Times New Roman" w:hAnsi="Times New Roman" w:cs="Times New Roman"/>
          <w:sz w:val="24"/>
          <w:szCs w:val="24"/>
        </w:rPr>
        <w:t>extreme lower quantile (Q</w:t>
      </w:r>
      <w:r w:rsidR="0065228D" w:rsidRPr="0065228D">
        <w:rPr>
          <w:rFonts w:ascii="Times New Roman" w:hAnsi="Times New Roman" w:cs="Times New Roman"/>
          <w:sz w:val="24"/>
          <w:szCs w:val="24"/>
        </w:rPr>
        <w:t xml:space="preserve"> </w:t>
      </w:r>
      <w:r w:rsidRPr="0065228D">
        <w:rPr>
          <w:rFonts w:ascii="Times New Roman" w:hAnsi="Times New Roman" w:cs="Times New Roman"/>
          <w:sz w:val="24"/>
          <w:szCs w:val="24"/>
        </w:rPr>
        <w:t>=</w:t>
      </w:r>
      <w:r w:rsidR="0065228D" w:rsidRPr="0065228D">
        <w:rPr>
          <w:rFonts w:ascii="Times New Roman" w:hAnsi="Times New Roman" w:cs="Times New Roman"/>
          <w:sz w:val="24"/>
          <w:szCs w:val="24"/>
        </w:rPr>
        <w:t xml:space="preserve"> </w:t>
      </w:r>
      <w:r w:rsidRPr="0065228D">
        <w:rPr>
          <w:rFonts w:ascii="Times New Roman" w:hAnsi="Times New Roman" w:cs="Times New Roman"/>
          <w:sz w:val="24"/>
          <w:szCs w:val="24"/>
        </w:rPr>
        <w:t>0.05)</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
        <w:gridCol w:w="1213"/>
        <w:gridCol w:w="815"/>
        <w:gridCol w:w="666"/>
        <w:gridCol w:w="766"/>
        <w:gridCol w:w="669"/>
        <w:gridCol w:w="666"/>
        <w:gridCol w:w="766"/>
        <w:gridCol w:w="766"/>
        <w:gridCol w:w="666"/>
        <w:gridCol w:w="666"/>
        <w:gridCol w:w="766"/>
        <w:gridCol w:w="804"/>
        <w:gridCol w:w="767"/>
        <w:gridCol w:w="1213"/>
        <w:gridCol w:w="866"/>
      </w:tblGrid>
      <w:tr w:rsidR="00AF342A" w:rsidRPr="003563BF" w14:paraId="06DFADBB" w14:textId="77777777" w:rsidTr="00AF342A">
        <w:trPr>
          <w:trHeight w:val="454"/>
        </w:trPr>
        <w:tc>
          <w:tcPr>
            <w:tcW w:w="342" w:type="pct"/>
            <w:tcBorders>
              <w:top w:val="single" w:sz="4" w:space="0" w:color="auto"/>
              <w:bottom w:val="single" w:sz="4" w:space="0" w:color="auto"/>
              <w:right w:val="nil"/>
            </w:tcBorders>
          </w:tcPr>
          <w:p w14:paraId="4CB4CAFE" w14:textId="77777777" w:rsidR="00AF342A" w:rsidRPr="003563BF" w:rsidRDefault="00AF342A" w:rsidP="00835A65">
            <w:pPr>
              <w:rPr>
                <w:rFonts w:ascii="Times New Roman" w:hAnsi="Times New Roman" w:cs="Times New Roman"/>
              </w:rPr>
            </w:pPr>
          </w:p>
        </w:tc>
        <w:tc>
          <w:tcPr>
            <w:tcW w:w="468" w:type="pct"/>
            <w:tcBorders>
              <w:top w:val="single" w:sz="4" w:space="0" w:color="auto"/>
              <w:left w:val="nil"/>
              <w:bottom w:val="single" w:sz="4" w:space="0" w:color="auto"/>
              <w:right w:val="single" w:sz="4" w:space="0" w:color="auto"/>
            </w:tcBorders>
            <w:noWrap/>
            <w:vAlign w:val="center"/>
          </w:tcPr>
          <w:p w14:paraId="522F8A8F" w14:textId="0F0EFAB6" w:rsidR="00AF342A" w:rsidRPr="003563BF" w:rsidRDefault="00AF342A" w:rsidP="00835A65">
            <w:pPr>
              <w:rPr>
                <w:rFonts w:ascii="Times New Roman" w:hAnsi="Times New Roman" w:cs="Times New Roman"/>
              </w:rPr>
            </w:pPr>
          </w:p>
        </w:tc>
        <w:tc>
          <w:tcPr>
            <w:tcW w:w="867" w:type="pct"/>
            <w:gridSpan w:val="3"/>
            <w:tcBorders>
              <w:top w:val="single" w:sz="4" w:space="0" w:color="auto"/>
              <w:left w:val="single" w:sz="4" w:space="0" w:color="auto"/>
              <w:bottom w:val="single" w:sz="4" w:space="0" w:color="auto"/>
              <w:right w:val="single" w:sz="4" w:space="0" w:color="auto"/>
            </w:tcBorders>
            <w:noWrap/>
            <w:vAlign w:val="center"/>
          </w:tcPr>
          <w:p w14:paraId="1E285F04" w14:textId="09BE2043" w:rsidR="00AF342A" w:rsidRPr="003563BF" w:rsidRDefault="00AF342A" w:rsidP="00AF342A">
            <w:pPr>
              <w:jc w:val="center"/>
              <w:rPr>
                <w:rFonts w:ascii="Times New Roman" w:hAnsi="Times New Roman" w:cs="Times New Roman"/>
              </w:rPr>
            </w:pPr>
            <w:r>
              <w:rPr>
                <w:rFonts w:ascii="Times New Roman" w:hAnsi="Times New Roman" w:cs="Times New Roman"/>
              </w:rPr>
              <w:t>DEX tokens</w:t>
            </w:r>
          </w:p>
        </w:tc>
        <w:tc>
          <w:tcPr>
            <w:tcW w:w="811" w:type="pct"/>
            <w:gridSpan w:val="3"/>
            <w:tcBorders>
              <w:top w:val="single" w:sz="4" w:space="0" w:color="auto"/>
              <w:left w:val="single" w:sz="4" w:space="0" w:color="auto"/>
              <w:bottom w:val="single" w:sz="4" w:space="0" w:color="auto"/>
              <w:right w:val="single" w:sz="4" w:space="0" w:color="auto"/>
            </w:tcBorders>
            <w:noWrap/>
            <w:vAlign w:val="center"/>
          </w:tcPr>
          <w:p w14:paraId="6DFBC25B" w14:textId="2F3B6113" w:rsidR="00AF342A" w:rsidRPr="003563BF" w:rsidRDefault="00AF342A" w:rsidP="00AF342A">
            <w:pPr>
              <w:jc w:val="center"/>
              <w:rPr>
                <w:rFonts w:ascii="Times New Roman" w:hAnsi="Times New Roman" w:cs="Times New Roman"/>
              </w:rPr>
            </w:pPr>
            <w:r>
              <w:rPr>
                <w:rFonts w:ascii="Times New Roman" w:hAnsi="Times New Roman" w:cs="Times New Roman"/>
              </w:rPr>
              <w:t>CEX tokens</w:t>
            </w:r>
          </w:p>
        </w:tc>
        <w:tc>
          <w:tcPr>
            <w:tcW w:w="296" w:type="pct"/>
            <w:tcBorders>
              <w:top w:val="single" w:sz="4" w:space="0" w:color="auto"/>
              <w:left w:val="single" w:sz="4" w:space="0" w:color="auto"/>
              <w:bottom w:val="single" w:sz="4" w:space="0" w:color="auto"/>
            </w:tcBorders>
            <w:noWrap/>
            <w:vAlign w:val="center"/>
          </w:tcPr>
          <w:p w14:paraId="6E5C1877" w14:textId="77777777" w:rsidR="00AF342A" w:rsidRPr="003563BF" w:rsidRDefault="00AF342A" w:rsidP="00835A65">
            <w:pPr>
              <w:rPr>
                <w:rFonts w:ascii="Times New Roman" w:hAnsi="Times New Roman" w:cs="Times New Roman"/>
              </w:rPr>
            </w:pPr>
          </w:p>
        </w:tc>
        <w:tc>
          <w:tcPr>
            <w:tcW w:w="257" w:type="pct"/>
            <w:tcBorders>
              <w:top w:val="single" w:sz="4" w:space="0" w:color="auto"/>
              <w:bottom w:val="single" w:sz="4" w:space="0" w:color="auto"/>
            </w:tcBorders>
            <w:noWrap/>
            <w:vAlign w:val="center"/>
          </w:tcPr>
          <w:p w14:paraId="5E236D5D" w14:textId="77777777" w:rsidR="00AF342A" w:rsidRPr="003563BF" w:rsidRDefault="00AF342A" w:rsidP="00835A65">
            <w:pPr>
              <w:rPr>
                <w:rFonts w:ascii="Times New Roman" w:hAnsi="Times New Roman" w:cs="Times New Roman"/>
              </w:rPr>
            </w:pPr>
          </w:p>
        </w:tc>
        <w:tc>
          <w:tcPr>
            <w:tcW w:w="257" w:type="pct"/>
            <w:tcBorders>
              <w:top w:val="single" w:sz="4" w:space="0" w:color="auto"/>
              <w:bottom w:val="single" w:sz="4" w:space="0" w:color="auto"/>
            </w:tcBorders>
            <w:noWrap/>
            <w:vAlign w:val="center"/>
          </w:tcPr>
          <w:p w14:paraId="1027646D" w14:textId="77777777" w:rsidR="00AF342A" w:rsidRPr="003563BF" w:rsidRDefault="00AF342A" w:rsidP="00835A65">
            <w:pPr>
              <w:rPr>
                <w:rFonts w:ascii="Times New Roman" w:hAnsi="Times New Roman" w:cs="Times New Roman"/>
              </w:rPr>
            </w:pPr>
          </w:p>
        </w:tc>
        <w:tc>
          <w:tcPr>
            <w:tcW w:w="296" w:type="pct"/>
            <w:tcBorders>
              <w:top w:val="single" w:sz="4" w:space="0" w:color="auto"/>
              <w:bottom w:val="single" w:sz="4" w:space="0" w:color="auto"/>
            </w:tcBorders>
            <w:noWrap/>
            <w:vAlign w:val="center"/>
          </w:tcPr>
          <w:p w14:paraId="524462B1" w14:textId="77777777" w:rsidR="00AF342A" w:rsidRPr="003563BF" w:rsidRDefault="00AF342A" w:rsidP="00835A65">
            <w:pPr>
              <w:rPr>
                <w:rFonts w:ascii="Times New Roman" w:hAnsi="Times New Roman" w:cs="Times New Roman"/>
              </w:rPr>
            </w:pPr>
          </w:p>
        </w:tc>
        <w:tc>
          <w:tcPr>
            <w:tcW w:w="310" w:type="pct"/>
            <w:tcBorders>
              <w:top w:val="single" w:sz="4" w:space="0" w:color="auto"/>
              <w:bottom w:val="single" w:sz="4" w:space="0" w:color="auto"/>
            </w:tcBorders>
            <w:noWrap/>
            <w:vAlign w:val="center"/>
          </w:tcPr>
          <w:p w14:paraId="248B09E0" w14:textId="77777777" w:rsidR="00AF342A" w:rsidRPr="003563BF" w:rsidRDefault="00AF342A" w:rsidP="00835A65">
            <w:pPr>
              <w:rPr>
                <w:rFonts w:ascii="Times New Roman" w:hAnsi="Times New Roman" w:cs="Times New Roman"/>
              </w:rPr>
            </w:pPr>
          </w:p>
        </w:tc>
        <w:tc>
          <w:tcPr>
            <w:tcW w:w="296" w:type="pct"/>
            <w:tcBorders>
              <w:top w:val="single" w:sz="4" w:space="0" w:color="auto"/>
              <w:bottom w:val="single" w:sz="4" w:space="0" w:color="auto"/>
            </w:tcBorders>
            <w:noWrap/>
            <w:vAlign w:val="center"/>
          </w:tcPr>
          <w:p w14:paraId="0506AD98" w14:textId="77777777" w:rsidR="00AF342A" w:rsidRPr="003563BF" w:rsidRDefault="00AF342A" w:rsidP="00835A65">
            <w:pPr>
              <w:rPr>
                <w:rFonts w:ascii="Times New Roman" w:hAnsi="Times New Roman" w:cs="Times New Roman"/>
              </w:rPr>
            </w:pPr>
          </w:p>
        </w:tc>
        <w:tc>
          <w:tcPr>
            <w:tcW w:w="468" w:type="pct"/>
            <w:tcBorders>
              <w:top w:val="single" w:sz="4" w:space="0" w:color="auto"/>
              <w:bottom w:val="single" w:sz="4" w:space="0" w:color="auto"/>
            </w:tcBorders>
            <w:noWrap/>
            <w:vAlign w:val="center"/>
          </w:tcPr>
          <w:p w14:paraId="6C3E642D" w14:textId="77777777" w:rsidR="00AF342A" w:rsidRPr="003563BF" w:rsidRDefault="00AF342A" w:rsidP="00835A65">
            <w:pPr>
              <w:rPr>
                <w:rFonts w:ascii="Times New Roman" w:hAnsi="Times New Roman" w:cs="Times New Roman"/>
              </w:rPr>
            </w:pPr>
          </w:p>
        </w:tc>
        <w:tc>
          <w:tcPr>
            <w:tcW w:w="334" w:type="pct"/>
            <w:tcBorders>
              <w:top w:val="single" w:sz="4" w:space="0" w:color="auto"/>
              <w:bottom w:val="single" w:sz="4" w:space="0" w:color="auto"/>
            </w:tcBorders>
            <w:noWrap/>
            <w:vAlign w:val="center"/>
          </w:tcPr>
          <w:p w14:paraId="309608E3" w14:textId="77777777" w:rsidR="00AF342A" w:rsidRPr="003563BF" w:rsidRDefault="00AF342A" w:rsidP="00835A65">
            <w:pPr>
              <w:rPr>
                <w:rFonts w:ascii="Times New Roman" w:hAnsi="Times New Roman" w:cs="Times New Roman"/>
              </w:rPr>
            </w:pPr>
          </w:p>
        </w:tc>
      </w:tr>
      <w:tr w:rsidR="00AF342A" w:rsidRPr="003563BF" w14:paraId="66C6446C" w14:textId="77777777" w:rsidTr="00AF342A">
        <w:trPr>
          <w:trHeight w:val="454"/>
        </w:trPr>
        <w:tc>
          <w:tcPr>
            <w:tcW w:w="342" w:type="pct"/>
            <w:tcBorders>
              <w:top w:val="single" w:sz="4" w:space="0" w:color="auto"/>
              <w:bottom w:val="single" w:sz="4" w:space="0" w:color="auto"/>
              <w:right w:val="nil"/>
            </w:tcBorders>
          </w:tcPr>
          <w:p w14:paraId="764C5017" w14:textId="77777777" w:rsidR="00AF342A" w:rsidRPr="003563BF" w:rsidRDefault="00AF342A" w:rsidP="00835A65">
            <w:pPr>
              <w:rPr>
                <w:rFonts w:ascii="Times New Roman" w:hAnsi="Times New Roman" w:cs="Times New Roman"/>
              </w:rPr>
            </w:pPr>
          </w:p>
        </w:tc>
        <w:tc>
          <w:tcPr>
            <w:tcW w:w="468" w:type="pct"/>
            <w:tcBorders>
              <w:top w:val="single" w:sz="4" w:space="0" w:color="auto"/>
              <w:left w:val="nil"/>
              <w:bottom w:val="single" w:sz="4" w:space="0" w:color="auto"/>
              <w:right w:val="single" w:sz="4" w:space="0" w:color="auto"/>
            </w:tcBorders>
            <w:noWrap/>
            <w:vAlign w:val="center"/>
            <w:hideMark/>
          </w:tcPr>
          <w:p w14:paraId="5009AA4F" w14:textId="4EDC58ED" w:rsidR="00AF342A" w:rsidRPr="003563BF" w:rsidRDefault="00AF342A" w:rsidP="00835A65">
            <w:pPr>
              <w:rPr>
                <w:rFonts w:ascii="Times New Roman" w:hAnsi="Times New Roman" w:cs="Times New Roman"/>
              </w:rPr>
            </w:pPr>
          </w:p>
        </w:tc>
        <w:tc>
          <w:tcPr>
            <w:tcW w:w="314" w:type="pct"/>
            <w:tcBorders>
              <w:top w:val="single" w:sz="4" w:space="0" w:color="auto"/>
              <w:left w:val="single" w:sz="4" w:space="0" w:color="auto"/>
              <w:bottom w:val="single" w:sz="4" w:space="0" w:color="auto"/>
            </w:tcBorders>
            <w:noWrap/>
            <w:vAlign w:val="center"/>
            <w:hideMark/>
          </w:tcPr>
          <w:p w14:paraId="1DD76833" w14:textId="77777777" w:rsidR="00AF342A" w:rsidRPr="003563BF" w:rsidRDefault="00AF342A" w:rsidP="00835A65">
            <w:pPr>
              <w:rPr>
                <w:rFonts w:ascii="Times New Roman" w:hAnsi="Times New Roman" w:cs="Times New Roman"/>
              </w:rPr>
            </w:pPr>
            <w:r w:rsidRPr="003563BF">
              <w:rPr>
                <w:rFonts w:ascii="Times New Roman" w:hAnsi="Times New Roman" w:cs="Times New Roman"/>
              </w:rPr>
              <w:t>RUNE</w:t>
            </w:r>
          </w:p>
        </w:tc>
        <w:tc>
          <w:tcPr>
            <w:tcW w:w="257" w:type="pct"/>
            <w:tcBorders>
              <w:top w:val="single" w:sz="4" w:space="0" w:color="auto"/>
              <w:bottom w:val="single" w:sz="4" w:space="0" w:color="auto"/>
            </w:tcBorders>
            <w:noWrap/>
            <w:vAlign w:val="center"/>
            <w:hideMark/>
          </w:tcPr>
          <w:p w14:paraId="6BC53BA6" w14:textId="77777777" w:rsidR="00AF342A" w:rsidRPr="003563BF" w:rsidRDefault="00AF342A" w:rsidP="00835A65">
            <w:pPr>
              <w:rPr>
                <w:rFonts w:ascii="Times New Roman" w:hAnsi="Times New Roman" w:cs="Times New Roman"/>
              </w:rPr>
            </w:pPr>
            <w:r w:rsidRPr="003563BF">
              <w:rPr>
                <w:rFonts w:ascii="Times New Roman" w:hAnsi="Times New Roman" w:cs="Times New Roman"/>
              </w:rPr>
              <w:t>LRC</w:t>
            </w:r>
          </w:p>
        </w:tc>
        <w:tc>
          <w:tcPr>
            <w:tcW w:w="296" w:type="pct"/>
            <w:tcBorders>
              <w:top w:val="single" w:sz="4" w:space="0" w:color="auto"/>
              <w:bottom w:val="single" w:sz="4" w:space="0" w:color="auto"/>
              <w:right w:val="single" w:sz="4" w:space="0" w:color="auto"/>
            </w:tcBorders>
            <w:noWrap/>
            <w:vAlign w:val="center"/>
            <w:hideMark/>
          </w:tcPr>
          <w:p w14:paraId="088E4851" w14:textId="77777777" w:rsidR="00AF342A" w:rsidRPr="003563BF" w:rsidRDefault="00AF342A" w:rsidP="00835A65">
            <w:pPr>
              <w:rPr>
                <w:rFonts w:ascii="Times New Roman" w:hAnsi="Times New Roman" w:cs="Times New Roman"/>
              </w:rPr>
            </w:pPr>
            <w:r w:rsidRPr="003563BF">
              <w:rPr>
                <w:rFonts w:ascii="Times New Roman" w:hAnsi="Times New Roman" w:cs="Times New Roman"/>
              </w:rPr>
              <w:t>GNO</w:t>
            </w:r>
          </w:p>
        </w:tc>
        <w:tc>
          <w:tcPr>
            <w:tcW w:w="258" w:type="pct"/>
            <w:tcBorders>
              <w:top w:val="single" w:sz="4" w:space="0" w:color="auto"/>
              <w:left w:val="single" w:sz="4" w:space="0" w:color="auto"/>
              <w:bottom w:val="single" w:sz="4" w:space="0" w:color="auto"/>
            </w:tcBorders>
            <w:noWrap/>
            <w:vAlign w:val="center"/>
            <w:hideMark/>
          </w:tcPr>
          <w:p w14:paraId="55790C63" w14:textId="77777777" w:rsidR="00AF342A" w:rsidRPr="003563BF" w:rsidRDefault="00AF342A" w:rsidP="00835A65">
            <w:pPr>
              <w:rPr>
                <w:rFonts w:ascii="Times New Roman" w:hAnsi="Times New Roman" w:cs="Times New Roman"/>
              </w:rPr>
            </w:pPr>
            <w:r w:rsidRPr="003563BF">
              <w:rPr>
                <w:rFonts w:ascii="Times New Roman" w:hAnsi="Times New Roman" w:cs="Times New Roman"/>
              </w:rPr>
              <w:t>BNB</w:t>
            </w:r>
          </w:p>
        </w:tc>
        <w:tc>
          <w:tcPr>
            <w:tcW w:w="257" w:type="pct"/>
            <w:tcBorders>
              <w:top w:val="single" w:sz="4" w:space="0" w:color="auto"/>
              <w:bottom w:val="single" w:sz="4" w:space="0" w:color="auto"/>
            </w:tcBorders>
            <w:noWrap/>
            <w:vAlign w:val="center"/>
            <w:hideMark/>
          </w:tcPr>
          <w:p w14:paraId="1FDD1E50" w14:textId="77777777" w:rsidR="00AF342A" w:rsidRPr="003563BF" w:rsidRDefault="00AF342A" w:rsidP="00835A65">
            <w:pPr>
              <w:rPr>
                <w:rFonts w:ascii="Times New Roman" w:hAnsi="Times New Roman" w:cs="Times New Roman"/>
              </w:rPr>
            </w:pPr>
            <w:r w:rsidRPr="003563BF">
              <w:rPr>
                <w:rFonts w:ascii="Times New Roman" w:hAnsi="Times New Roman" w:cs="Times New Roman"/>
              </w:rPr>
              <w:t>LEO</w:t>
            </w:r>
          </w:p>
        </w:tc>
        <w:tc>
          <w:tcPr>
            <w:tcW w:w="296" w:type="pct"/>
            <w:tcBorders>
              <w:top w:val="single" w:sz="4" w:space="0" w:color="auto"/>
              <w:bottom w:val="single" w:sz="4" w:space="0" w:color="auto"/>
              <w:right w:val="single" w:sz="4" w:space="0" w:color="auto"/>
            </w:tcBorders>
            <w:noWrap/>
            <w:vAlign w:val="center"/>
            <w:hideMark/>
          </w:tcPr>
          <w:p w14:paraId="00E0AF92" w14:textId="77777777" w:rsidR="00AF342A" w:rsidRPr="003563BF" w:rsidRDefault="00AF342A" w:rsidP="00835A65">
            <w:pPr>
              <w:rPr>
                <w:rFonts w:ascii="Times New Roman" w:hAnsi="Times New Roman" w:cs="Times New Roman"/>
              </w:rPr>
            </w:pPr>
            <w:r w:rsidRPr="003563BF">
              <w:rPr>
                <w:rFonts w:ascii="Times New Roman" w:hAnsi="Times New Roman" w:cs="Times New Roman"/>
              </w:rPr>
              <w:t>FTT</w:t>
            </w:r>
          </w:p>
        </w:tc>
        <w:tc>
          <w:tcPr>
            <w:tcW w:w="296" w:type="pct"/>
            <w:tcBorders>
              <w:top w:val="single" w:sz="4" w:space="0" w:color="auto"/>
              <w:left w:val="single" w:sz="4" w:space="0" w:color="auto"/>
              <w:bottom w:val="single" w:sz="4" w:space="0" w:color="auto"/>
            </w:tcBorders>
            <w:noWrap/>
            <w:vAlign w:val="center"/>
            <w:hideMark/>
          </w:tcPr>
          <w:p w14:paraId="46BC129C" w14:textId="77777777" w:rsidR="00AF342A" w:rsidRPr="003563BF" w:rsidRDefault="00AF342A" w:rsidP="00835A65">
            <w:pPr>
              <w:rPr>
                <w:rFonts w:ascii="Times New Roman" w:hAnsi="Times New Roman" w:cs="Times New Roman"/>
              </w:rPr>
            </w:pPr>
            <w:r w:rsidRPr="003563BF">
              <w:rPr>
                <w:rFonts w:ascii="Times New Roman" w:hAnsi="Times New Roman" w:cs="Times New Roman"/>
              </w:rPr>
              <w:t>Gold</w:t>
            </w:r>
          </w:p>
        </w:tc>
        <w:tc>
          <w:tcPr>
            <w:tcW w:w="257" w:type="pct"/>
            <w:tcBorders>
              <w:top w:val="single" w:sz="4" w:space="0" w:color="auto"/>
              <w:bottom w:val="single" w:sz="4" w:space="0" w:color="auto"/>
            </w:tcBorders>
            <w:noWrap/>
            <w:vAlign w:val="center"/>
            <w:hideMark/>
          </w:tcPr>
          <w:p w14:paraId="3822C8B5" w14:textId="4A6E4877" w:rsidR="00AF342A" w:rsidRPr="003563BF" w:rsidRDefault="00AF342A" w:rsidP="00835A65">
            <w:pPr>
              <w:rPr>
                <w:rFonts w:ascii="Times New Roman" w:hAnsi="Times New Roman" w:cs="Times New Roman"/>
              </w:rPr>
            </w:pPr>
            <w:r w:rsidRPr="003563BF">
              <w:rPr>
                <w:rFonts w:ascii="Times New Roman" w:hAnsi="Times New Roman" w:cs="Times New Roman"/>
              </w:rPr>
              <w:t>Oil</w:t>
            </w:r>
          </w:p>
        </w:tc>
        <w:tc>
          <w:tcPr>
            <w:tcW w:w="257" w:type="pct"/>
            <w:tcBorders>
              <w:top w:val="single" w:sz="4" w:space="0" w:color="auto"/>
              <w:bottom w:val="single" w:sz="4" w:space="0" w:color="auto"/>
            </w:tcBorders>
            <w:noWrap/>
            <w:vAlign w:val="center"/>
            <w:hideMark/>
          </w:tcPr>
          <w:p w14:paraId="297AAB7C" w14:textId="77777777" w:rsidR="00AF342A" w:rsidRPr="003563BF" w:rsidRDefault="00AF342A" w:rsidP="00835A65">
            <w:pPr>
              <w:rPr>
                <w:rFonts w:ascii="Times New Roman" w:hAnsi="Times New Roman" w:cs="Times New Roman"/>
              </w:rPr>
            </w:pPr>
            <w:r w:rsidRPr="003563BF">
              <w:rPr>
                <w:rFonts w:ascii="Times New Roman" w:hAnsi="Times New Roman" w:cs="Times New Roman"/>
              </w:rPr>
              <w:t>BTC</w:t>
            </w:r>
          </w:p>
        </w:tc>
        <w:tc>
          <w:tcPr>
            <w:tcW w:w="296" w:type="pct"/>
            <w:tcBorders>
              <w:top w:val="single" w:sz="4" w:space="0" w:color="auto"/>
              <w:bottom w:val="single" w:sz="4" w:space="0" w:color="auto"/>
            </w:tcBorders>
            <w:noWrap/>
            <w:vAlign w:val="center"/>
            <w:hideMark/>
          </w:tcPr>
          <w:p w14:paraId="621184D1" w14:textId="77777777" w:rsidR="00AF342A" w:rsidRPr="003563BF" w:rsidRDefault="00AF342A" w:rsidP="00835A65">
            <w:pPr>
              <w:rPr>
                <w:rFonts w:ascii="Times New Roman" w:hAnsi="Times New Roman" w:cs="Times New Roman"/>
              </w:rPr>
            </w:pPr>
            <w:r w:rsidRPr="003563BF">
              <w:rPr>
                <w:rFonts w:ascii="Times New Roman" w:hAnsi="Times New Roman" w:cs="Times New Roman"/>
              </w:rPr>
              <w:t>REIT</w:t>
            </w:r>
          </w:p>
        </w:tc>
        <w:tc>
          <w:tcPr>
            <w:tcW w:w="310" w:type="pct"/>
            <w:tcBorders>
              <w:top w:val="single" w:sz="4" w:space="0" w:color="auto"/>
              <w:bottom w:val="single" w:sz="4" w:space="0" w:color="auto"/>
            </w:tcBorders>
            <w:noWrap/>
            <w:vAlign w:val="center"/>
            <w:hideMark/>
          </w:tcPr>
          <w:p w14:paraId="55213EC9" w14:textId="77777777" w:rsidR="00AF342A" w:rsidRPr="003563BF" w:rsidRDefault="00AF342A" w:rsidP="00835A65">
            <w:pPr>
              <w:rPr>
                <w:rFonts w:ascii="Times New Roman" w:hAnsi="Times New Roman" w:cs="Times New Roman"/>
              </w:rPr>
            </w:pPr>
            <w:r w:rsidRPr="003563BF">
              <w:rPr>
                <w:rFonts w:ascii="Times New Roman" w:hAnsi="Times New Roman" w:cs="Times New Roman"/>
              </w:rPr>
              <w:t>Equity</w:t>
            </w:r>
          </w:p>
        </w:tc>
        <w:tc>
          <w:tcPr>
            <w:tcW w:w="296" w:type="pct"/>
            <w:tcBorders>
              <w:top w:val="single" w:sz="4" w:space="0" w:color="auto"/>
              <w:bottom w:val="single" w:sz="4" w:space="0" w:color="auto"/>
            </w:tcBorders>
            <w:noWrap/>
            <w:vAlign w:val="center"/>
            <w:hideMark/>
          </w:tcPr>
          <w:p w14:paraId="77727E55" w14:textId="77777777" w:rsidR="00AF342A" w:rsidRPr="003563BF" w:rsidRDefault="00AF342A" w:rsidP="00835A65">
            <w:pPr>
              <w:rPr>
                <w:rFonts w:ascii="Times New Roman" w:hAnsi="Times New Roman" w:cs="Times New Roman"/>
              </w:rPr>
            </w:pPr>
            <w:r w:rsidRPr="003563BF">
              <w:rPr>
                <w:rFonts w:ascii="Times New Roman" w:hAnsi="Times New Roman" w:cs="Times New Roman"/>
              </w:rPr>
              <w:t>Bond</w:t>
            </w:r>
          </w:p>
        </w:tc>
        <w:tc>
          <w:tcPr>
            <w:tcW w:w="468" w:type="pct"/>
            <w:tcBorders>
              <w:top w:val="single" w:sz="4" w:space="0" w:color="auto"/>
              <w:bottom w:val="single" w:sz="4" w:space="0" w:color="auto"/>
            </w:tcBorders>
            <w:noWrap/>
            <w:vAlign w:val="center"/>
            <w:hideMark/>
          </w:tcPr>
          <w:p w14:paraId="7E65707F" w14:textId="77777777" w:rsidR="00AF342A" w:rsidRPr="003563BF" w:rsidRDefault="00AF342A" w:rsidP="00835A65">
            <w:pPr>
              <w:rPr>
                <w:rFonts w:ascii="Times New Roman" w:hAnsi="Times New Roman" w:cs="Times New Roman"/>
              </w:rPr>
            </w:pPr>
            <w:proofErr w:type="spellStart"/>
            <w:r w:rsidRPr="003563BF">
              <w:rPr>
                <w:rFonts w:ascii="Times New Roman" w:hAnsi="Times New Roman" w:cs="Times New Roman"/>
              </w:rPr>
              <w:t>USD.Index</w:t>
            </w:r>
            <w:proofErr w:type="spellEnd"/>
          </w:p>
        </w:tc>
        <w:tc>
          <w:tcPr>
            <w:tcW w:w="334" w:type="pct"/>
            <w:tcBorders>
              <w:top w:val="single" w:sz="4" w:space="0" w:color="auto"/>
              <w:bottom w:val="single" w:sz="4" w:space="0" w:color="auto"/>
            </w:tcBorders>
            <w:noWrap/>
            <w:vAlign w:val="center"/>
            <w:hideMark/>
          </w:tcPr>
          <w:p w14:paraId="1499AE74" w14:textId="75CE4DB2" w:rsidR="00AF342A" w:rsidRPr="003563BF" w:rsidRDefault="00CC0E8D" w:rsidP="00835A65">
            <w:pPr>
              <w:rPr>
                <w:rFonts w:ascii="Times New Roman" w:hAnsi="Times New Roman" w:cs="Times New Roman"/>
              </w:rPr>
            </w:pPr>
            <w:r>
              <w:rPr>
                <w:rFonts w:ascii="Times New Roman" w:hAnsi="Times New Roman" w:cs="Times New Roman"/>
              </w:rPr>
              <w:t>From</w:t>
            </w:r>
          </w:p>
        </w:tc>
      </w:tr>
      <w:tr w:rsidR="00AF342A" w:rsidRPr="003563BF" w14:paraId="47AB0798" w14:textId="77777777" w:rsidTr="00AF342A">
        <w:trPr>
          <w:trHeight w:val="454"/>
        </w:trPr>
        <w:tc>
          <w:tcPr>
            <w:tcW w:w="342" w:type="pct"/>
            <w:vMerge w:val="restart"/>
            <w:tcBorders>
              <w:top w:val="single" w:sz="4" w:space="0" w:color="auto"/>
              <w:right w:val="nil"/>
            </w:tcBorders>
            <w:textDirection w:val="btLr"/>
          </w:tcPr>
          <w:p w14:paraId="47D1F2D7" w14:textId="0401C4D4" w:rsidR="00AF342A" w:rsidRPr="003563BF" w:rsidRDefault="00AF342A" w:rsidP="00AF342A">
            <w:pPr>
              <w:ind w:left="113" w:right="113"/>
              <w:rPr>
                <w:rFonts w:ascii="Times New Roman" w:hAnsi="Times New Roman" w:cs="Times New Roman"/>
              </w:rPr>
            </w:pPr>
            <w:r>
              <w:rPr>
                <w:rFonts w:ascii="Times New Roman" w:hAnsi="Times New Roman" w:cs="Times New Roman"/>
              </w:rPr>
              <w:t>DEX tokens</w:t>
            </w:r>
          </w:p>
        </w:tc>
        <w:tc>
          <w:tcPr>
            <w:tcW w:w="468" w:type="pct"/>
            <w:tcBorders>
              <w:top w:val="single" w:sz="4" w:space="0" w:color="auto"/>
              <w:left w:val="nil"/>
              <w:bottom w:val="nil"/>
              <w:right w:val="single" w:sz="4" w:space="0" w:color="auto"/>
            </w:tcBorders>
            <w:noWrap/>
            <w:vAlign w:val="center"/>
            <w:hideMark/>
          </w:tcPr>
          <w:p w14:paraId="5F3BCA7C" w14:textId="68A973F2" w:rsidR="00AF342A" w:rsidRPr="003563BF" w:rsidRDefault="00AF342A" w:rsidP="00835A65">
            <w:pPr>
              <w:rPr>
                <w:rFonts w:ascii="Times New Roman" w:hAnsi="Times New Roman" w:cs="Times New Roman"/>
              </w:rPr>
            </w:pPr>
            <w:r w:rsidRPr="003563BF">
              <w:rPr>
                <w:rFonts w:ascii="Times New Roman" w:hAnsi="Times New Roman" w:cs="Times New Roman"/>
              </w:rPr>
              <w:t>RUNE</w:t>
            </w:r>
          </w:p>
        </w:tc>
        <w:tc>
          <w:tcPr>
            <w:tcW w:w="314" w:type="pct"/>
            <w:tcBorders>
              <w:top w:val="single" w:sz="4" w:space="0" w:color="auto"/>
              <w:left w:val="single" w:sz="4" w:space="0" w:color="auto"/>
              <w:bottom w:val="nil"/>
            </w:tcBorders>
            <w:noWrap/>
            <w:vAlign w:val="center"/>
            <w:hideMark/>
          </w:tcPr>
          <w:p w14:paraId="13D3DC6E"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9.71</w:t>
            </w:r>
          </w:p>
        </w:tc>
        <w:tc>
          <w:tcPr>
            <w:tcW w:w="257" w:type="pct"/>
            <w:tcBorders>
              <w:top w:val="single" w:sz="4" w:space="0" w:color="auto"/>
              <w:bottom w:val="nil"/>
            </w:tcBorders>
            <w:noWrap/>
            <w:vAlign w:val="center"/>
            <w:hideMark/>
          </w:tcPr>
          <w:p w14:paraId="41BC123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7.02</w:t>
            </w:r>
          </w:p>
        </w:tc>
        <w:tc>
          <w:tcPr>
            <w:tcW w:w="296" w:type="pct"/>
            <w:tcBorders>
              <w:top w:val="single" w:sz="4" w:space="0" w:color="auto"/>
              <w:bottom w:val="nil"/>
              <w:right w:val="single" w:sz="4" w:space="0" w:color="auto"/>
            </w:tcBorders>
            <w:noWrap/>
            <w:vAlign w:val="center"/>
            <w:hideMark/>
          </w:tcPr>
          <w:p w14:paraId="6713D944"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7.61</w:t>
            </w:r>
          </w:p>
        </w:tc>
        <w:tc>
          <w:tcPr>
            <w:tcW w:w="258" w:type="pct"/>
            <w:tcBorders>
              <w:top w:val="single" w:sz="4" w:space="0" w:color="auto"/>
              <w:left w:val="single" w:sz="4" w:space="0" w:color="auto"/>
              <w:bottom w:val="nil"/>
            </w:tcBorders>
            <w:noWrap/>
            <w:vAlign w:val="center"/>
            <w:hideMark/>
          </w:tcPr>
          <w:p w14:paraId="7F82E742"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7.81</w:t>
            </w:r>
          </w:p>
        </w:tc>
        <w:tc>
          <w:tcPr>
            <w:tcW w:w="257" w:type="pct"/>
            <w:tcBorders>
              <w:top w:val="single" w:sz="4" w:space="0" w:color="auto"/>
              <w:bottom w:val="nil"/>
            </w:tcBorders>
            <w:noWrap/>
            <w:vAlign w:val="center"/>
            <w:hideMark/>
          </w:tcPr>
          <w:p w14:paraId="5BEEBBD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7.20</w:t>
            </w:r>
          </w:p>
        </w:tc>
        <w:tc>
          <w:tcPr>
            <w:tcW w:w="296" w:type="pct"/>
            <w:tcBorders>
              <w:top w:val="single" w:sz="4" w:space="0" w:color="auto"/>
              <w:bottom w:val="nil"/>
              <w:right w:val="single" w:sz="4" w:space="0" w:color="auto"/>
            </w:tcBorders>
            <w:noWrap/>
            <w:vAlign w:val="center"/>
            <w:hideMark/>
          </w:tcPr>
          <w:p w14:paraId="70A94AD2"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8.19</w:t>
            </w:r>
          </w:p>
        </w:tc>
        <w:tc>
          <w:tcPr>
            <w:tcW w:w="296" w:type="pct"/>
            <w:tcBorders>
              <w:top w:val="single" w:sz="4" w:space="0" w:color="auto"/>
              <w:left w:val="single" w:sz="4" w:space="0" w:color="auto"/>
              <w:bottom w:val="nil"/>
            </w:tcBorders>
            <w:noWrap/>
            <w:vAlign w:val="center"/>
            <w:hideMark/>
          </w:tcPr>
          <w:p w14:paraId="29A85613"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7.59</w:t>
            </w:r>
          </w:p>
        </w:tc>
        <w:tc>
          <w:tcPr>
            <w:tcW w:w="257" w:type="pct"/>
            <w:tcBorders>
              <w:top w:val="single" w:sz="4" w:space="0" w:color="auto"/>
              <w:bottom w:val="nil"/>
            </w:tcBorders>
            <w:noWrap/>
            <w:vAlign w:val="center"/>
            <w:hideMark/>
          </w:tcPr>
          <w:p w14:paraId="39FACD14"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6.70</w:t>
            </w:r>
          </w:p>
        </w:tc>
        <w:tc>
          <w:tcPr>
            <w:tcW w:w="257" w:type="pct"/>
            <w:tcBorders>
              <w:top w:val="single" w:sz="4" w:space="0" w:color="auto"/>
              <w:bottom w:val="nil"/>
            </w:tcBorders>
            <w:noWrap/>
            <w:vAlign w:val="center"/>
            <w:hideMark/>
          </w:tcPr>
          <w:p w14:paraId="659A384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7.68</w:t>
            </w:r>
          </w:p>
        </w:tc>
        <w:tc>
          <w:tcPr>
            <w:tcW w:w="296" w:type="pct"/>
            <w:tcBorders>
              <w:top w:val="single" w:sz="4" w:space="0" w:color="auto"/>
              <w:bottom w:val="nil"/>
            </w:tcBorders>
            <w:noWrap/>
            <w:vAlign w:val="center"/>
            <w:hideMark/>
          </w:tcPr>
          <w:p w14:paraId="686CF41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7.84</w:t>
            </w:r>
          </w:p>
        </w:tc>
        <w:tc>
          <w:tcPr>
            <w:tcW w:w="310" w:type="pct"/>
            <w:tcBorders>
              <w:top w:val="single" w:sz="4" w:space="0" w:color="auto"/>
              <w:bottom w:val="nil"/>
            </w:tcBorders>
            <w:noWrap/>
            <w:vAlign w:val="center"/>
            <w:hideMark/>
          </w:tcPr>
          <w:p w14:paraId="36DD3ECC"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7.90</w:t>
            </w:r>
          </w:p>
        </w:tc>
        <w:tc>
          <w:tcPr>
            <w:tcW w:w="296" w:type="pct"/>
            <w:tcBorders>
              <w:top w:val="single" w:sz="4" w:space="0" w:color="auto"/>
              <w:bottom w:val="nil"/>
            </w:tcBorders>
            <w:noWrap/>
            <w:vAlign w:val="center"/>
            <w:hideMark/>
          </w:tcPr>
          <w:p w14:paraId="60BED82C"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7.70</w:t>
            </w:r>
          </w:p>
        </w:tc>
        <w:tc>
          <w:tcPr>
            <w:tcW w:w="468" w:type="pct"/>
            <w:tcBorders>
              <w:top w:val="single" w:sz="4" w:space="0" w:color="auto"/>
              <w:bottom w:val="nil"/>
            </w:tcBorders>
            <w:noWrap/>
            <w:vAlign w:val="center"/>
            <w:hideMark/>
          </w:tcPr>
          <w:p w14:paraId="1477F57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7.06</w:t>
            </w:r>
          </w:p>
        </w:tc>
        <w:tc>
          <w:tcPr>
            <w:tcW w:w="334" w:type="pct"/>
            <w:tcBorders>
              <w:top w:val="single" w:sz="4" w:space="0" w:color="auto"/>
              <w:bottom w:val="nil"/>
            </w:tcBorders>
            <w:noWrap/>
            <w:vAlign w:val="center"/>
            <w:hideMark/>
          </w:tcPr>
          <w:p w14:paraId="590FA147"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90.29</w:t>
            </w:r>
          </w:p>
        </w:tc>
      </w:tr>
      <w:tr w:rsidR="00AF342A" w:rsidRPr="003563BF" w14:paraId="2B4DCBB4" w14:textId="77777777" w:rsidTr="00AF342A">
        <w:trPr>
          <w:trHeight w:val="454"/>
        </w:trPr>
        <w:tc>
          <w:tcPr>
            <w:tcW w:w="342" w:type="pct"/>
            <w:vMerge/>
            <w:tcBorders>
              <w:right w:val="nil"/>
            </w:tcBorders>
          </w:tcPr>
          <w:p w14:paraId="1C3868DB" w14:textId="77777777" w:rsidR="00AF342A" w:rsidRPr="003563BF" w:rsidRDefault="00AF342A" w:rsidP="00835A65">
            <w:pPr>
              <w:rPr>
                <w:rFonts w:ascii="Times New Roman" w:hAnsi="Times New Roman" w:cs="Times New Roman"/>
              </w:rPr>
            </w:pPr>
          </w:p>
        </w:tc>
        <w:tc>
          <w:tcPr>
            <w:tcW w:w="468" w:type="pct"/>
            <w:tcBorders>
              <w:top w:val="nil"/>
              <w:left w:val="nil"/>
              <w:bottom w:val="nil"/>
              <w:right w:val="single" w:sz="4" w:space="0" w:color="auto"/>
            </w:tcBorders>
            <w:noWrap/>
            <w:vAlign w:val="center"/>
            <w:hideMark/>
          </w:tcPr>
          <w:p w14:paraId="074F3427" w14:textId="5C5DF978" w:rsidR="00AF342A" w:rsidRPr="003563BF" w:rsidRDefault="00AF342A" w:rsidP="00835A65">
            <w:pPr>
              <w:rPr>
                <w:rFonts w:ascii="Times New Roman" w:hAnsi="Times New Roman" w:cs="Times New Roman"/>
              </w:rPr>
            </w:pPr>
            <w:r w:rsidRPr="003563BF">
              <w:rPr>
                <w:rFonts w:ascii="Times New Roman" w:hAnsi="Times New Roman" w:cs="Times New Roman"/>
              </w:rPr>
              <w:t>LRC</w:t>
            </w:r>
          </w:p>
        </w:tc>
        <w:tc>
          <w:tcPr>
            <w:tcW w:w="314" w:type="pct"/>
            <w:tcBorders>
              <w:top w:val="nil"/>
              <w:left w:val="single" w:sz="4" w:space="0" w:color="auto"/>
              <w:bottom w:val="nil"/>
            </w:tcBorders>
            <w:noWrap/>
            <w:vAlign w:val="center"/>
            <w:hideMark/>
          </w:tcPr>
          <w:p w14:paraId="04907F2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7.84</w:t>
            </w:r>
          </w:p>
        </w:tc>
        <w:tc>
          <w:tcPr>
            <w:tcW w:w="257" w:type="pct"/>
            <w:tcBorders>
              <w:top w:val="nil"/>
              <w:bottom w:val="nil"/>
            </w:tcBorders>
            <w:noWrap/>
            <w:vAlign w:val="center"/>
            <w:hideMark/>
          </w:tcPr>
          <w:p w14:paraId="366AE3D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10.40</w:t>
            </w:r>
          </w:p>
        </w:tc>
        <w:tc>
          <w:tcPr>
            <w:tcW w:w="296" w:type="pct"/>
            <w:tcBorders>
              <w:top w:val="nil"/>
              <w:bottom w:val="nil"/>
              <w:right w:val="single" w:sz="4" w:space="0" w:color="auto"/>
            </w:tcBorders>
            <w:noWrap/>
            <w:vAlign w:val="center"/>
            <w:hideMark/>
          </w:tcPr>
          <w:p w14:paraId="3DB3A5CB"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8.02</w:t>
            </w:r>
          </w:p>
        </w:tc>
        <w:tc>
          <w:tcPr>
            <w:tcW w:w="258" w:type="pct"/>
            <w:tcBorders>
              <w:top w:val="nil"/>
              <w:left w:val="single" w:sz="4" w:space="0" w:color="auto"/>
              <w:bottom w:val="nil"/>
            </w:tcBorders>
            <w:noWrap/>
            <w:vAlign w:val="center"/>
            <w:hideMark/>
          </w:tcPr>
          <w:p w14:paraId="2FEC2BCC"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7.75</w:t>
            </w:r>
          </w:p>
        </w:tc>
        <w:tc>
          <w:tcPr>
            <w:tcW w:w="257" w:type="pct"/>
            <w:tcBorders>
              <w:top w:val="nil"/>
              <w:bottom w:val="nil"/>
            </w:tcBorders>
            <w:noWrap/>
            <w:vAlign w:val="center"/>
            <w:hideMark/>
          </w:tcPr>
          <w:p w14:paraId="1258FCCA"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6.77</w:t>
            </w:r>
          </w:p>
        </w:tc>
        <w:tc>
          <w:tcPr>
            <w:tcW w:w="296" w:type="pct"/>
            <w:tcBorders>
              <w:top w:val="nil"/>
              <w:bottom w:val="nil"/>
              <w:right w:val="single" w:sz="4" w:space="0" w:color="auto"/>
            </w:tcBorders>
            <w:noWrap/>
            <w:vAlign w:val="center"/>
            <w:hideMark/>
          </w:tcPr>
          <w:p w14:paraId="7AE69663"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8.00</w:t>
            </w:r>
          </w:p>
        </w:tc>
        <w:tc>
          <w:tcPr>
            <w:tcW w:w="296" w:type="pct"/>
            <w:tcBorders>
              <w:top w:val="nil"/>
              <w:left w:val="single" w:sz="4" w:space="0" w:color="auto"/>
              <w:bottom w:val="nil"/>
            </w:tcBorders>
            <w:noWrap/>
            <w:vAlign w:val="center"/>
            <w:hideMark/>
          </w:tcPr>
          <w:p w14:paraId="7B245F54"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7.56</w:t>
            </w:r>
          </w:p>
        </w:tc>
        <w:tc>
          <w:tcPr>
            <w:tcW w:w="257" w:type="pct"/>
            <w:tcBorders>
              <w:top w:val="nil"/>
              <w:bottom w:val="nil"/>
            </w:tcBorders>
            <w:noWrap/>
            <w:vAlign w:val="center"/>
            <w:hideMark/>
          </w:tcPr>
          <w:p w14:paraId="3D6A1406"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6.55</w:t>
            </w:r>
          </w:p>
        </w:tc>
        <w:tc>
          <w:tcPr>
            <w:tcW w:w="257" w:type="pct"/>
            <w:tcBorders>
              <w:top w:val="nil"/>
              <w:bottom w:val="nil"/>
            </w:tcBorders>
            <w:noWrap/>
            <w:vAlign w:val="center"/>
            <w:hideMark/>
          </w:tcPr>
          <w:p w14:paraId="298F036C"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7.63</w:t>
            </w:r>
          </w:p>
        </w:tc>
        <w:tc>
          <w:tcPr>
            <w:tcW w:w="296" w:type="pct"/>
            <w:tcBorders>
              <w:top w:val="nil"/>
              <w:bottom w:val="nil"/>
            </w:tcBorders>
            <w:noWrap/>
            <w:vAlign w:val="center"/>
            <w:hideMark/>
          </w:tcPr>
          <w:p w14:paraId="6E830685"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7.73</w:t>
            </w:r>
          </w:p>
        </w:tc>
        <w:tc>
          <w:tcPr>
            <w:tcW w:w="310" w:type="pct"/>
            <w:tcBorders>
              <w:top w:val="nil"/>
              <w:bottom w:val="nil"/>
            </w:tcBorders>
            <w:noWrap/>
            <w:vAlign w:val="center"/>
            <w:hideMark/>
          </w:tcPr>
          <w:p w14:paraId="339E16AD"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7.59</w:t>
            </w:r>
          </w:p>
        </w:tc>
        <w:tc>
          <w:tcPr>
            <w:tcW w:w="296" w:type="pct"/>
            <w:tcBorders>
              <w:top w:val="nil"/>
              <w:bottom w:val="nil"/>
            </w:tcBorders>
            <w:noWrap/>
            <w:vAlign w:val="center"/>
            <w:hideMark/>
          </w:tcPr>
          <w:p w14:paraId="52D8B626"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7.55</w:t>
            </w:r>
          </w:p>
        </w:tc>
        <w:tc>
          <w:tcPr>
            <w:tcW w:w="468" w:type="pct"/>
            <w:tcBorders>
              <w:top w:val="nil"/>
              <w:bottom w:val="nil"/>
            </w:tcBorders>
            <w:noWrap/>
            <w:vAlign w:val="center"/>
            <w:hideMark/>
          </w:tcPr>
          <w:p w14:paraId="5ED0BEB2"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6.60</w:t>
            </w:r>
          </w:p>
        </w:tc>
        <w:tc>
          <w:tcPr>
            <w:tcW w:w="334" w:type="pct"/>
            <w:tcBorders>
              <w:top w:val="nil"/>
              <w:bottom w:val="nil"/>
            </w:tcBorders>
            <w:noWrap/>
            <w:vAlign w:val="center"/>
            <w:hideMark/>
          </w:tcPr>
          <w:p w14:paraId="0930AC47"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89.60</w:t>
            </w:r>
          </w:p>
        </w:tc>
      </w:tr>
      <w:tr w:rsidR="00AF342A" w:rsidRPr="003563BF" w14:paraId="6C1251F1" w14:textId="77777777" w:rsidTr="00AF342A">
        <w:trPr>
          <w:trHeight w:val="454"/>
        </w:trPr>
        <w:tc>
          <w:tcPr>
            <w:tcW w:w="342" w:type="pct"/>
            <w:vMerge/>
            <w:tcBorders>
              <w:bottom w:val="single" w:sz="4" w:space="0" w:color="auto"/>
              <w:right w:val="nil"/>
            </w:tcBorders>
          </w:tcPr>
          <w:p w14:paraId="2477E0A3" w14:textId="77777777" w:rsidR="00AF342A" w:rsidRPr="003563BF" w:rsidRDefault="00AF342A" w:rsidP="00835A65">
            <w:pPr>
              <w:rPr>
                <w:rFonts w:ascii="Times New Roman" w:hAnsi="Times New Roman" w:cs="Times New Roman"/>
              </w:rPr>
            </w:pPr>
          </w:p>
        </w:tc>
        <w:tc>
          <w:tcPr>
            <w:tcW w:w="468" w:type="pct"/>
            <w:tcBorders>
              <w:top w:val="nil"/>
              <w:left w:val="nil"/>
              <w:bottom w:val="single" w:sz="4" w:space="0" w:color="auto"/>
              <w:right w:val="single" w:sz="4" w:space="0" w:color="auto"/>
            </w:tcBorders>
            <w:noWrap/>
            <w:vAlign w:val="center"/>
            <w:hideMark/>
          </w:tcPr>
          <w:p w14:paraId="628C7CCC" w14:textId="3B1B617E" w:rsidR="00AF342A" w:rsidRPr="003563BF" w:rsidRDefault="00AF342A" w:rsidP="00835A65">
            <w:pPr>
              <w:rPr>
                <w:rFonts w:ascii="Times New Roman" w:hAnsi="Times New Roman" w:cs="Times New Roman"/>
              </w:rPr>
            </w:pPr>
            <w:r w:rsidRPr="003563BF">
              <w:rPr>
                <w:rFonts w:ascii="Times New Roman" w:hAnsi="Times New Roman" w:cs="Times New Roman"/>
              </w:rPr>
              <w:t>GNO</w:t>
            </w:r>
          </w:p>
        </w:tc>
        <w:tc>
          <w:tcPr>
            <w:tcW w:w="314" w:type="pct"/>
            <w:tcBorders>
              <w:top w:val="nil"/>
              <w:left w:val="single" w:sz="4" w:space="0" w:color="auto"/>
              <w:bottom w:val="single" w:sz="4" w:space="0" w:color="auto"/>
            </w:tcBorders>
            <w:noWrap/>
            <w:vAlign w:val="center"/>
            <w:hideMark/>
          </w:tcPr>
          <w:p w14:paraId="429C981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7.83</w:t>
            </w:r>
          </w:p>
        </w:tc>
        <w:tc>
          <w:tcPr>
            <w:tcW w:w="257" w:type="pct"/>
            <w:tcBorders>
              <w:top w:val="nil"/>
              <w:bottom w:val="single" w:sz="4" w:space="0" w:color="auto"/>
            </w:tcBorders>
            <w:noWrap/>
            <w:vAlign w:val="center"/>
            <w:hideMark/>
          </w:tcPr>
          <w:p w14:paraId="0C839F7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7.04</w:t>
            </w:r>
          </w:p>
        </w:tc>
        <w:tc>
          <w:tcPr>
            <w:tcW w:w="296" w:type="pct"/>
            <w:tcBorders>
              <w:top w:val="nil"/>
              <w:bottom w:val="single" w:sz="4" w:space="0" w:color="auto"/>
              <w:right w:val="single" w:sz="4" w:space="0" w:color="auto"/>
            </w:tcBorders>
            <w:noWrap/>
            <w:vAlign w:val="center"/>
            <w:hideMark/>
          </w:tcPr>
          <w:p w14:paraId="308994C3"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10.20</w:t>
            </w:r>
          </w:p>
        </w:tc>
        <w:tc>
          <w:tcPr>
            <w:tcW w:w="258" w:type="pct"/>
            <w:tcBorders>
              <w:top w:val="nil"/>
              <w:left w:val="single" w:sz="4" w:space="0" w:color="auto"/>
              <w:bottom w:val="single" w:sz="4" w:space="0" w:color="auto"/>
            </w:tcBorders>
            <w:noWrap/>
            <w:vAlign w:val="center"/>
            <w:hideMark/>
          </w:tcPr>
          <w:p w14:paraId="291CD256"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7.65</w:t>
            </w:r>
          </w:p>
        </w:tc>
        <w:tc>
          <w:tcPr>
            <w:tcW w:w="257" w:type="pct"/>
            <w:tcBorders>
              <w:top w:val="nil"/>
              <w:bottom w:val="single" w:sz="4" w:space="0" w:color="auto"/>
            </w:tcBorders>
            <w:noWrap/>
            <w:vAlign w:val="center"/>
            <w:hideMark/>
          </w:tcPr>
          <w:p w14:paraId="51BDEA62"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7.06</w:t>
            </w:r>
          </w:p>
        </w:tc>
        <w:tc>
          <w:tcPr>
            <w:tcW w:w="296" w:type="pct"/>
            <w:tcBorders>
              <w:top w:val="nil"/>
              <w:bottom w:val="single" w:sz="4" w:space="0" w:color="auto"/>
              <w:right w:val="single" w:sz="4" w:space="0" w:color="auto"/>
            </w:tcBorders>
            <w:noWrap/>
            <w:vAlign w:val="center"/>
            <w:hideMark/>
          </w:tcPr>
          <w:p w14:paraId="7DD593D4"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7.91</w:t>
            </w:r>
          </w:p>
        </w:tc>
        <w:tc>
          <w:tcPr>
            <w:tcW w:w="296" w:type="pct"/>
            <w:tcBorders>
              <w:top w:val="nil"/>
              <w:left w:val="single" w:sz="4" w:space="0" w:color="auto"/>
              <w:bottom w:val="single" w:sz="4" w:space="0" w:color="auto"/>
            </w:tcBorders>
            <w:noWrap/>
            <w:vAlign w:val="center"/>
            <w:hideMark/>
          </w:tcPr>
          <w:p w14:paraId="0595313E"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7.45</w:t>
            </w:r>
          </w:p>
        </w:tc>
        <w:tc>
          <w:tcPr>
            <w:tcW w:w="257" w:type="pct"/>
            <w:tcBorders>
              <w:top w:val="nil"/>
              <w:bottom w:val="single" w:sz="4" w:space="0" w:color="auto"/>
            </w:tcBorders>
            <w:noWrap/>
            <w:vAlign w:val="center"/>
            <w:hideMark/>
          </w:tcPr>
          <w:p w14:paraId="478EC980"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6.64</w:t>
            </w:r>
          </w:p>
        </w:tc>
        <w:tc>
          <w:tcPr>
            <w:tcW w:w="257" w:type="pct"/>
            <w:tcBorders>
              <w:top w:val="nil"/>
              <w:bottom w:val="single" w:sz="4" w:space="0" w:color="auto"/>
            </w:tcBorders>
            <w:noWrap/>
            <w:vAlign w:val="center"/>
            <w:hideMark/>
          </w:tcPr>
          <w:p w14:paraId="4BD51342"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7.72</w:t>
            </w:r>
          </w:p>
        </w:tc>
        <w:tc>
          <w:tcPr>
            <w:tcW w:w="296" w:type="pct"/>
            <w:tcBorders>
              <w:top w:val="nil"/>
              <w:bottom w:val="single" w:sz="4" w:space="0" w:color="auto"/>
            </w:tcBorders>
            <w:noWrap/>
            <w:vAlign w:val="center"/>
            <w:hideMark/>
          </w:tcPr>
          <w:p w14:paraId="4850AA0F"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7.89</w:t>
            </w:r>
          </w:p>
        </w:tc>
        <w:tc>
          <w:tcPr>
            <w:tcW w:w="310" w:type="pct"/>
            <w:tcBorders>
              <w:top w:val="nil"/>
              <w:bottom w:val="single" w:sz="4" w:space="0" w:color="auto"/>
            </w:tcBorders>
            <w:noWrap/>
            <w:vAlign w:val="center"/>
            <w:hideMark/>
          </w:tcPr>
          <w:p w14:paraId="5998EE8B"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7.77</w:t>
            </w:r>
          </w:p>
        </w:tc>
        <w:tc>
          <w:tcPr>
            <w:tcW w:w="296" w:type="pct"/>
            <w:tcBorders>
              <w:top w:val="nil"/>
              <w:bottom w:val="single" w:sz="4" w:space="0" w:color="auto"/>
            </w:tcBorders>
            <w:noWrap/>
            <w:vAlign w:val="center"/>
            <w:hideMark/>
          </w:tcPr>
          <w:p w14:paraId="5B04365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7.89</w:t>
            </w:r>
          </w:p>
        </w:tc>
        <w:tc>
          <w:tcPr>
            <w:tcW w:w="468" w:type="pct"/>
            <w:tcBorders>
              <w:top w:val="nil"/>
              <w:bottom w:val="single" w:sz="4" w:space="0" w:color="auto"/>
            </w:tcBorders>
            <w:noWrap/>
            <w:vAlign w:val="center"/>
            <w:hideMark/>
          </w:tcPr>
          <w:p w14:paraId="4BA4A9E0"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6.95</w:t>
            </w:r>
          </w:p>
        </w:tc>
        <w:tc>
          <w:tcPr>
            <w:tcW w:w="334" w:type="pct"/>
            <w:tcBorders>
              <w:top w:val="nil"/>
              <w:bottom w:val="single" w:sz="4" w:space="0" w:color="auto"/>
            </w:tcBorders>
            <w:noWrap/>
            <w:vAlign w:val="center"/>
            <w:hideMark/>
          </w:tcPr>
          <w:p w14:paraId="0715D82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89.80</w:t>
            </w:r>
          </w:p>
        </w:tc>
      </w:tr>
      <w:tr w:rsidR="00AF342A" w:rsidRPr="003563BF" w14:paraId="7A98D860" w14:textId="77777777" w:rsidTr="00AF342A">
        <w:trPr>
          <w:trHeight w:val="454"/>
        </w:trPr>
        <w:tc>
          <w:tcPr>
            <w:tcW w:w="342" w:type="pct"/>
            <w:vMerge w:val="restart"/>
            <w:tcBorders>
              <w:top w:val="single" w:sz="4" w:space="0" w:color="auto"/>
              <w:right w:val="nil"/>
            </w:tcBorders>
            <w:textDirection w:val="btLr"/>
          </w:tcPr>
          <w:p w14:paraId="40B14C22" w14:textId="5F2240FD" w:rsidR="00AF342A" w:rsidRPr="003563BF" w:rsidRDefault="00AF342A" w:rsidP="00AF342A">
            <w:pPr>
              <w:ind w:left="113" w:right="113"/>
              <w:rPr>
                <w:rFonts w:ascii="Times New Roman" w:hAnsi="Times New Roman" w:cs="Times New Roman"/>
              </w:rPr>
            </w:pPr>
            <w:r>
              <w:rPr>
                <w:rFonts w:ascii="Times New Roman" w:hAnsi="Times New Roman" w:cs="Times New Roman"/>
              </w:rPr>
              <w:t>CEX tokens</w:t>
            </w:r>
          </w:p>
        </w:tc>
        <w:tc>
          <w:tcPr>
            <w:tcW w:w="468" w:type="pct"/>
            <w:tcBorders>
              <w:top w:val="single" w:sz="4" w:space="0" w:color="auto"/>
              <w:left w:val="nil"/>
              <w:bottom w:val="nil"/>
              <w:right w:val="single" w:sz="4" w:space="0" w:color="auto"/>
            </w:tcBorders>
            <w:noWrap/>
            <w:vAlign w:val="center"/>
            <w:hideMark/>
          </w:tcPr>
          <w:p w14:paraId="15DE7B78" w14:textId="25F19A18" w:rsidR="00AF342A" w:rsidRPr="003563BF" w:rsidRDefault="00AF342A" w:rsidP="00835A65">
            <w:pPr>
              <w:rPr>
                <w:rFonts w:ascii="Times New Roman" w:hAnsi="Times New Roman" w:cs="Times New Roman"/>
              </w:rPr>
            </w:pPr>
            <w:r w:rsidRPr="003563BF">
              <w:rPr>
                <w:rFonts w:ascii="Times New Roman" w:hAnsi="Times New Roman" w:cs="Times New Roman"/>
              </w:rPr>
              <w:t>BNB</w:t>
            </w:r>
          </w:p>
        </w:tc>
        <w:tc>
          <w:tcPr>
            <w:tcW w:w="314" w:type="pct"/>
            <w:tcBorders>
              <w:top w:val="single" w:sz="4" w:space="0" w:color="auto"/>
              <w:left w:val="single" w:sz="4" w:space="0" w:color="auto"/>
              <w:bottom w:val="nil"/>
            </w:tcBorders>
            <w:noWrap/>
            <w:vAlign w:val="center"/>
            <w:hideMark/>
          </w:tcPr>
          <w:p w14:paraId="13337A3F"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7.77</w:t>
            </w:r>
          </w:p>
        </w:tc>
        <w:tc>
          <w:tcPr>
            <w:tcW w:w="257" w:type="pct"/>
            <w:tcBorders>
              <w:top w:val="single" w:sz="4" w:space="0" w:color="auto"/>
              <w:bottom w:val="nil"/>
            </w:tcBorders>
            <w:noWrap/>
            <w:vAlign w:val="center"/>
            <w:hideMark/>
          </w:tcPr>
          <w:p w14:paraId="38E57996"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7.02</w:t>
            </w:r>
          </w:p>
        </w:tc>
        <w:tc>
          <w:tcPr>
            <w:tcW w:w="296" w:type="pct"/>
            <w:tcBorders>
              <w:top w:val="single" w:sz="4" w:space="0" w:color="auto"/>
              <w:bottom w:val="nil"/>
              <w:right w:val="single" w:sz="4" w:space="0" w:color="auto"/>
            </w:tcBorders>
            <w:noWrap/>
            <w:vAlign w:val="center"/>
            <w:hideMark/>
          </w:tcPr>
          <w:p w14:paraId="567639E5"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7.68</w:t>
            </w:r>
          </w:p>
        </w:tc>
        <w:tc>
          <w:tcPr>
            <w:tcW w:w="258" w:type="pct"/>
            <w:tcBorders>
              <w:top w:val="single" w:sz="4" w:space="0" w:color="auto"/>
              <w:left w:val="single" w:sz="4" w:space="0" w:color="auto"/>
              <w:bottom w:val="nil"/>
            </w:tcBorders>
            <w:noWrap/>
            <w:vAlign w:val="center"/>
            <w:hideMark/>
          </w:tcPr>
          <w:p w14:paraId="1097EE32"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9.78</w:t>
            </w:r>
          </w:p>
        </w:tc>
        <w:tc>
          <w:tcPr>
            <w:tcW w:w="257" w:type="pct"/>
            <w:tcBorders>
              <w:top w:val="single" w:sz="4" w:space="0" w:color="auto"/>
              <w:bottom w:val="nil"/>
            </w:tcBorders>
            <w:noWrap/>
            <w:vAlign w:val="center"/>
            <w:hideMark/>
          </w:tcPr>
          <w:p w14:paraId="2F99AC23"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7.20</w:t>
            </w:r>
          </w:p>
        </w:tc>
        <w:tc>
          <w:tcPr>
            <w:tcW w:w="296" w:type="pct"/>
            <w:tcBorders>
              <w:top w:val="single" w:sz="4" w:space="0" w:color="auto"/>
              <w:bottom w:val="nil"/>
              <w:right w:val="single" w:sz="4" w:space="0" w:color="auto"/>
            </w:tcBorders>
            <w:noWrap/>
            <w:vAlign w:val="center"/>
            <w:hideMark/>
          </w:tcPr>
          <w:p w14:paraId="356D887E"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8.65</w:t>
            </w:r>
          </w:p>
        </w:tc>
        <w:tc>
          <w:tcPr>
            <w:tcW w:w="296" w:type="pct"/>
            <w:tcBorders>
              <w:top w:val="single" w:sz="4" w:space="0" w:color="auto"/>
              <w:left w:val="single" w:sz="4" w:space="0" w:color="auto"/>
              <w:bottom w:val="nil"/>
            </w:tcBorders>
            <w:noWrap/>
            <w:vAlign w:val="center"/>
            <w:hideMark/>
          </w:tcPr>
          <w:p w14:paraId="461A1214"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7.05</w:t>
            </w:r>
          </w:p>
        </w:tc>
        <w:tc>
          <w:tcPr>
            <w:tcW w:w="257" w:type="pct"/>
            <w:tcBorders>
              <w:top w:val="single" w:sz="4" w:space="0" w:color="auto"/>
              <w:bottom w:val="nil"/>
            </w:tcBorders>
            <w:noWrap/>
            <w:vAlign w:val="center"/>
            <w:hideMark/>
          </w:tcPr>
          <w:p w14:paraId="71346DF7"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6.55</w:t>
            </w:r>
          </w:p>
        </w:tc>
        <w:tc>
          <w:tcPr>
            <w:tcW w:w="257" w:type="pct"/>
            <w:tcBorders>
              <w:top w:val="single" w:sz="4" w:space="0" w:color="auto"/>
              <w:bottom w:val="nil"/>
            </w:tcBorders>
            <w:noWrap/>
            <w:vAlign w:val="center"/>
            <w:hideMark/>
          </w:tcPr>
          <w:p w14:paraId="036BA1BB"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7.84</w:t>
            </w:r>
          </w:p>
        </w:tc>
        <w:tc>
          <w:tcPr>
            <w:tcW w:w="296" w:type="pct"/>
            <w:tcBorders>
              <w:top w:val="single" w:sz="4" w:space="0" w:color="auto"/>
              <w:bottom w:val="nil"/>
            </w:tcBorders>
            <w:noWrap/>
            <w:vAlign w:val="center"/>
            <w:hideMark/>
          </w:tcPr>
          <w:p w14:paraId="5328464B"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7.82</w:t>
            </w:r>
          </w:p>
        </w:tc>
        <w:tc>
          <w:tcPr>
            <w:tcW w:w="310" w:type="pct"/>
            <w:tcBorders>
              <w:top w:val="single" w:sz="4" w:space="0" w:color="auto"/>
              <w:bottom w:val="nil"/>
            </w:tcBorders>
            <w:noWrap/>
            <w:vAlign w:val="center"/>
            <w:hideMark/>
          </w:tcPr>
          <w:p w14:paraId="4B1D9066"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7.93</w:t>
            </w:r>
          </w:p>
        </w:tc>
        <w:tc>
          <w:tcPr>
            <w:tcW w:w="296" w:type="pct"/>
            <w:tcBorders>
              <w:top w:val="single" w:sz="4" w:space="0" w:color="auto"/>
              <w:bottom w:val="nil"/>
            </w:tcBorders>
            <w:noWrap/>
            <w:vAlign w:val="center"/>
            <w:hideMark/>
          </w:tcPr>
          <w:p w14:paraId="48397B23"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7.66</w:t>
            </w:r>
          </w:p>
        </w:tc>
        <w:tc>
          <w:tcPr>
            <w:tcW w:w="468" w:type="pct"/>
            <w:tcBorders>
              <w:top w:val="single" w:sz="4" w:space="0" w:color="auto"/>
              <w:bottom w:val="nil"/>
            </w:tcBorders>
            <w:noWrap/>
            <w:vAlign w:val="center"/>
            <w:hideMark/>
          </w:tcPr>
          <w:p w14:paraId="6035BEA3"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7.05</w:t>
            </w:r>
          </w:p>
        </w:tc>
        <w:tc>
          <w:tcPr>
            <w:tcW w:w="334" w:type="pct"/>
            <w:tcBorders>
              <w:top w:val="single" w:sz="4" w:space="0" w:color="auto"/>
              <w:bottom w:val="nil"/>
            </w:tcBorders>
            <w:noWrap/>
            <w:vAlign w:val="center"/>
            <w:hideMark/>
          </w:tcPr>
          <w:p w14:paraId="08DF53A7"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90.22</w:t>
            </w:r>
          </w:p>
        </w:tc>
      </w:tr>
      <w:tr w:rsidR="00AF342A" w:rsidRPr="003563BF" w14:paraId="4910B319" w14:textId="77777777" w:rsidTr="00AF342A">
        <w:trPr>
          <w:trHeight w:val="454"/>
        </w:trPr>
        <w:tc>
          <w:tcPr>
            <w:tcW w:w="342" w:type="pct"/>
            <w:vMerge/>
            <w:tcBorders>
              <w:right w:val="nil"/>
            </w:tcBorders>
          </w:tcPr>
          <w:p w14:paraId="7C603BCB" w14:textId="77777777" w:rsidR="00AF342A" w:rsidRPr="003563BF" w:rsidRDefault="00AF342A" w:rsidP="00835A65">
            <w:pPr>
              <w:rPr>
                <w:rFonts w:ascii="Times New Roman" w:hAnsi="Times New Roman" w:cs="Times New Roman"/>
              </w:rPr>
            </w:pPr>
          </w:p>
        </w:tc>
        <w:tc>
          <w:tcPr>
            <w:tcW w:w="468" w:type="pct"/>
            <w:tcBorders>
              <w:top w:val="nil"/>
              <w:left w:val="nil"/>
              <w:bottom w:val="nil"/>
              <w:right w:val="single" w:sz="4" w:space="0" w:color="auto"/>
            </w:tcBorders>
            <w:noWrap/>
            <w:vAlign w:val="center"/>
            <w:hideMark/>
          </w:tcPr>
          <w:p w14:paraId="54B1C93E" w14:textId="6CC27DC7" w:rsidR="00AF342A" w:rsidRPr="003563BF" w:rsidRDefault="00AF342A" w:rsidP="00835A65">
            <w:pPr>
              <w:rPr>
                <w:rFonts w:ascii="Times New Roman" w:hAnsi="Times New Roman" w:cs="Times New Roman"/>
              </w:rPr>
            </w:pPr>
            <w:r w:rsidRPr="003563BF">
              <w:rPr>
                <w:rFonts w:ascii="Times New Roman" w:hAnsi="Times New Roman" w:cs="Times New Roman"/>
              </w:rPr>
              <w:t>LEO</w:t>
            </w:r>
          </w:p>
        </w:tc>
        <w:tc>
          <w:tcPr>
            <w:tcW w:w="314" w:type="pct"/>
            <w:tcBorders>
              <w:top w:val="nil"/>
              <w:left w:val="single" w:sz="4" w:space="0" w:color="auto"/>
              <w:bottom w:val="nil"/>
            </w:tcBorders>
            <w:noWrap/>
            <w:vAlign w:val="center"/>
            <w:hideMark/>
          </w:tcPr>
          <w:p w14:paraId="43823ECB"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7.35</w:t>
            </w:r>
          </w:p>
        </w:tc>
        <w:tc>
          <w:tcPr>
            <w:tcW w:w="257" w:type="pct"/>
            <w:tcBorders>
              <w:top w:val="nil"/>
              <w:bottom w:val="nil"/>
            </w:tcBorders>
            <w:noWrap/>
            <w:vAlign w:val="center"/>
            <w:hideMark/>
          </w:tcPr>
          <w:p w14:paraId="76AFC177"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6.40</w:t>
            </w:r>
          </w:p>
        </w:tc>
        <w:tc>
          <w:tcPr>
            <w:tcW w:w="296" w:type="pct"/>
            <w:tcBorders>
              <w:top w:val="nil"/>
              <w:bottom w:val="nil"/>
              <w:right w:val="single" w:sz="4" w:space="0" w:color="auto"/>
            </w:tcBorders>
            <w:noWrap/>
            <w:vAlign w:val="center"/>
            <w:hideMark/>
          </w:tcPr>
          <w:p w14:paraId="4F9DFC9F"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7.38</w:t>
            </w:r>
          </w:p>
        </w:tc>
        <w:tc>
          <w:tcPr>
            <w:tcW w:w="258" w:type="pct"/>
            <w:tcBorders>
              <w:top w:val="nil"/>
              <w:left w:val="single" w:sz="4" w:space="0" w:color="auto"/>
              <w:bottom w:val="nil"/>
            </w:tcBorders>
            <w:noWrap/>
            <w:vAlign w:val="center"/>
            <w:hideMark/>
          </w:tcPr>
          <w:p w14:paraId="7AF14C7B"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7.17</w:t>
            </w:r>
          </w:p>
        </w:tc>
        <w:tc>
          <w:tcPr>
            <w:tcW w:w="257" w:type="pct"/>
            <w:tcBorders>
              <w:top w:val="nil"/>
              <w:bottom w:val="nil"/>
            </w:tcBorders>
            <w:noWrap/>
            <w:vAlign w:val="center"/>
            <w:hideMark/>
          </w:tcPr>
          <w:p w14:paraId="160FFA0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10.82</w:t>
            </w:r>
          </w:p>
        </w:tc>
        <w:tc>
          <w:tcPr>
            <w:tcW w:w="296" w:type="pct"/>
            <w:tcBorders>
              <w:top w:val="nil"/>
              <w:bottom w:val="nil"/>
              <w:right w:val="single" w:sz="4" w:space="0" w:color="auto"/>
            </w:tcBorders>
            <w:noWrap/>
            <w:vAlign w:val="center"/>
            <w:hideMark/>
          </w:tcPr>
          <w:p w14:paraId="7DF7B562"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7.67</w:t>
            </w:r>
          </w:p>
        </w:tc>
        <w:tc>
          <w:tcPr>
            <w:tcW w:w="296" w:type="pct"/>
            <w:tcBorders>
              <w:top w:val="nil"/>
              <w:left w:val="single" w:sz="4" w:space="0" w:color="auto"/>
              <w:bottom w:val="nil"/>
            </w:tcBorders>
            <w:noWrap/>
            <w:vAlign w:val="center"/>
            <w:hideMark/>
          </w:tcPr>
          <w:p w14:paraId="22F65E73"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7.85</w:t>
            </w:r>
          </w:p>
        </w:tc>
        <w:tc>
          <w:tcPr>
            <w:tcW w:w="257" w:type="pct"/>
            <w:tcBorders>
              <w:top w:val="nil"/>
              <w:bottom w:val="nil"/>
            </w:tcBorders>
            <w:noWrap/>
            <w:vAlign w:val="center"/>
            <w:hideMark/>
          </w:tcPr>
          <w:p w14:paraId="60922057"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6.78</w:t>
            </w:r>
          </w:p>
        </w:tc>
        <w:tc>
          <w:tcPr>
            <w:tcW w:w="257" w:type="pct"/>
            <w:tcBorders>
              <w:top w:val="nil"/>
              <w:bottom w:val="nil"/>
            </w:tcBorders>
            <w:noWrap/>
            <w:vAlign w:val="center"/>
            <w:hideMark/>
          </w:tcPr>
          <w:p w14:paraId="60EF9D25"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7.12</w:t>
            </w:r>
          </w:p>
        </w:tc>
        <w:tc>
          <w:tcPr>
            <w:tcW w:w="296" w:type="pct"/>
            <w:tcBorders>
              <w:top w:val="nil"/>
              <w:bottom w:val="nil"/>
            </w:tcBorders>
            <w:noWrap/>
            <w:vAlign w:val="center"/>
            <w:hideMark/>
          </w:tcPr>
          <w:p w14:paraId="636C71BA"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8.03</w:t>
            </w:r>
          </w:p>
        </w:tc>
        <w:tc>
          <w:tcPr>
            <w:tcW w:w="310" w:type="pct"/>
            <w:tcBorders>
              <w:top w:val="nil"/>
              <w:bottom w:val="nil"/>
            </w:tcBorders>
            <w:noWrap/>
            <w:vAlign w:val="center"/>
            <w:hideMark/>
          </w:tcPr>
          <w:p w14:paraId="5253CBE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8.01</w:t>
            </w:r>
          </w:p>
        </w:tc>
        <w:tc>
          <w:tcPr>
            <w:tcW w:w="296" w:type="pct"/>
            <w:tcBorders>
              <w:top w:val="nil"/>
              <w:bottom w:val="nil"/>
            </w:tcBorders>
            <w:noWrap/>
            <w:vAlign w:val="center"/>
            <w:hideMark/>
          </w:tcPr>
          <w:p w14:paraId="73C1525F"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8.08</w:t>
            </w:r>
          </w:p>
        </w:tc>
        <w:tc>
          <w:tcPr>
            <w:tcW w:w="468" w:type="pct"/>
            <w:tcBorders>
              <w:top w:val="nil"/>
              <w:bottom w:val="nil"/>
            </w:tcBorders>
            <w:noWrap/>
            <w:vAlign w:val="center"/>
            <w:hideMark/>
          </w:tcPr>
          <w:p w14:paraId="5A820C55"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7.35</w:t>
            </w:r>
          </w:p>
        </w:tc>
        <w:tc>
          <w:tcPr>
            <w:tcW w:w="334" w:type="pct"/>
            <w:tcBorders>
              <w:top w:val="nil"/>
              <w:bottom w:val="nil"/>
            </w:tcBorders>
            <w:noWrap/>
            <w:vAlign w:val="center"/>
            <w:hideMark/>
          </w:tcPr>
          <w:p w14:paraId="4A20029A"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89.18</w:t>
            </w:r>
          </w:p>
        </w:tc>
      </w:tr>
      <w:tr w:rsidR="00AF342A" w:rsidRPr="003563BF" w14:paraId="1CD36EDB" w14:textId="77777777" w:rsidTr="00AF342A">
        <w:trPr>
          <w:trHeight w:val="454"/>
        </w:trPr>
        <w:tc>
          <w:tcPr>
            <w:tcW w:w="342" w:type="pct"/>
            <w:vMerge/>
            <w:tcBorders>
              <w:bottom w:val="single" w:sz="4" w:space="0" w:color="auto"/>
              <w:right w:val="nil"/>
            </w:tcBorders>
          </w:tcPr>
          <w:p w14:paraId="212D8E19" w14:textId="77777777" w:rsidR="00AF342A" w:rsidRPr="003563BF" w:rsidRDefault="00AF342A" w:rsidP="00835A65">
            <w:pPr>
              <w:rPr>
                <w:rFonts w:ascii="Times New Roman" w:hAnsi="Times New Roman" w:cs="Times New Roman"/>
              </w:rPr>
            </w:pPr>
          </w:p>
        </w:tc>
        <w:tc>
          <w:tcPr>
            <w:tcW w:w="468" w:type="pct"/>
            <w:tcBorders>
              <w:top w:val="nil"/>
              <w:left w:val="nil"/>
              <w:bottom w:val="single" w:sz="4" w:space="0" w:color="auto"/>
              <w:right w:val="single" w:sz="4" w:space="0" w:color="auto"/>
            </w:tcBorders>
            <w:noWrap/>
            <w:vAlign w:val="center"/>
            <w:hideMark/>
          </w:tcPr>
          <w:p w14:paraId="20B3A82A" w14:textId="12E2C85F" w:rsidR="00AF342A" w:rsidRPr="003563BF" w:rsidRDefault="00AF342A" w:rsidP="00835A65">
            <w:pPr>
              <w:rPr>
                <w:rFonts w:ascii="Times New Roman" w:hAnsi="Times New Roman" w:cs="Times New Roman"/>
              </w:rPr>
            </w:pPr>
            <w:r w:rsidRPr="003563BF">
              <w:rPr>
                <w:rFonts w:ascii="Times New Roman" w:hAnsi="Times New Roman" w:cs="Times New Roman"/>
              </w:rPr>
              <w:t>FTT</w:t>
            </w:r>
          </w:p>
        </w:tc>
        <w:tc>
          <w:tcPr>
            <w:tcW w:w="314" w:type="pct"/>
            <w:tcBorders>
              <w:top w:val="nil"/>
              <w:left w:val="single" w:sz="4" w:space="0" w:color="auto"/>
              <w:bottom w:val="single" w:sz="4" w:space="0" w:color="auto"/>
            </w:tcBorders>
            <w:noWrap/>
            <w:vAlign w:val="center"/>
            <w:hideMark/>
          </w:tcPr>
          <w:p w14:paraId="2747242F"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7.51</w:t>
            </w:r>
          </w:p>
        </w:tc>
        <w:tc>
          <w:tcPr>
            <w:tcW w:w="257" w:type="pct"/>
            <w:tcBorders>
              <w:top w:val="nil"/>
              <w:bottom w:val="single" w:sz="4" w:space="0" w:color="auto"/>
            </w:tcBorders>
            <w:noWrap/>
            <w:vAlign w:val="center"/>
            <w:hideMark/>
          </w:tcPr>
          <w:p w14:paraId="6F43D924"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6.92</w:t>
            </w:r>
          </w:p>
        </w:tc>
        <w:tc>
          <w:tcPr>
            <w:tcW w:w="296" w:type="pct"/>
            <w:tcBorders>
              <w:top w:val="nil"/>
              <w:bottom w:val="single" w:sz="4" w:space="0" w:color="auto"/>
              <w:right w:val="single" w:sz="4" w:space="0" w:color="auto"/>
            </w:tcBorders>
            <w:noWrap/>
            <w:vAlign w:val="center"/>
            <w:hideMark/>
          </w:tcPr>
          <w:p w14:paraId="18EE3184"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7.70</w:t>
            </w:r>
          </w:p>
        </w:tc>
        <w:tc>
          <w:tcPr>
            <w:tcW w:w="258" w:type="pct"/>
            <w:tcBorders>
              <w:top w:val="nil"/>
              <w:left w:val="single" w:sz="4" w:space="0" w:color="auto"/>
              <w:bottom w:val="single" w:sz="4" w:space="0" w:color="auto"/>
            </w:tcBorders>
            <w:noWrap/>
            <w:vAlign w:val="center"/>
            <w:hideMark/>
          </w:tcPr>
          <w:p w14:paraId="04EE5D1D"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8.11</w:t>
            </w:r>
          </w:p>
        </w:tc>
        <w:tc>
          <w:tcPr>
            <w:tcW w:w="257" w:type="pct"/>
            <w:tcBorders>
              <w:top w:val="nil"/>
              <w:bottom w:val="single" w:sz="4" w:space="0" w:color="auto"/>
            </w:tcBorders>
            <w:noWrap/>
            <w:vAlign w:val="center"/>
            <w:hideMark/>
          </w:tcPr>
          <w:p w14:paraId="4776D1F0"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7.24</w:t>
            </w:r>
          </w:p>
        </w:tc>
        <w:tc>
          <w:tcPr>
            <w:tcW w:w="296" w:type="pct"/>
            <w:tcBorders>
              <w:top w:val="nil"/>
              <w:bottom w:val="single" w:sz="4" w:space="0" w:color="auto"/>
              <w:right w:val="single" w:sz="4" w:space="0" w:color="auto"/>
            </w:tcBorders>
            <w:noWrap/>
            <w:vAlign w:val="center"/>
            <w:hideMark/>
          </w:tcPr>
          <w:p w14:paraId="3460CB1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9.69</w:t>
            </w:r>
          </w:p>
        </w:tc>
        <w:tc>
          <w:tcPr>
            <w:tcW w:w="296" w:type="pct"/>
            <w:tcBorders>
              <w:top w:val="nil"/>
              <w:left w:val="single" w:sz="4" w:space="0" w:color="auto"/>
              <w:bottom w:val="single" w:sz="4" w:space="0" w:color="auto"/>
            </w:tcBorders>
            <w:noWrap/>
            <w:vAlign w:val="center"/>
            <w:hideMark/>
          </w:tcPr>
          <w:p w14:paraId="005B0DB7"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7.39</w:t>
            </w:r>
          </w:p>
        </w:tc>
        <w:tc>
          <w:tcPr>
            <w:tcW w:w="257" w:type="pct"/>
            <w:tcBorders>
              <w:top w:val="nil"/>
              <w:bottom w:val="single" w:sz="4" w:space="0" w:color="auto"/>
            </w:tcBorders>
            <w:noWrap/>
            <w:vAlign w:val="center"/>
            <w:hideMark/>
          </w:tcPr>
          <w:p w14:paraId="4029E45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6.57</w:t>
            </w:r>
          </w:p>
        </w:tc>
        <w:tc>
          <w:tcPr>
            <w:tcW w:w="257" w:type="pct"/>
            <w:tcBorders>
              <w:top w:val="nil"/>
              <w:bottom w:val="single" w:sz="4" w:space="0" w:color="auto"/>
            </w:tcBorders>
            <w:noWrap/>
            <w:vAlign w:val="center"/>
            <w:hideMark/>
          </w:tcPr>
          <w:p w14:paraId="2229ED06"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8.21</w:t>
            </w:r>
          </w:p>
        </w:tc>
        <w:tc>
          <w:tcPr>
            <w:tcW w:w="296" w:type="pct"/>
            <w:tcBorders>
              <w:top w:val="nil"/>
              <w:bottom w:val="single" w:sz="4" w:space="0" w:color="auto"/>
            </w:tcBorders>
            <w:noWrap/>
            <w:vAlign w:val="center"/>
            <w:hideMark/>
          </w:tcPr>
          <w:p w14:paraId="3D76B40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7.98</w:t>
            </w:r>
          </w:p>
        </w:tc>
        <w:tc>
          <w:tcPr>
            <w:tcW w:w="310" w:type="pct"/>
            <w:tcBorders>
              <w:top w:val="nil"/>
              <w:bottom w:val="single" w:sz="4" w:space="0" w:color="auto"/>
            </w:tcBorders>
            <w:noWrap/>
            <w:vAlign w:val="center"/>
            <w:hideMark/>
          </w:tcPr>
          <w:p w14:paraId="0DE4666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7.84</w:t>
            </w:r>
          </w:p>
        </w:tc>
        <w:tc>
          <w:tcPr>
            <w:tcW w:w="296" w:type="pct"/>
            <w:tcBorders>
              <w:top w:val="nil"/>
              <w:bottom w:val="single" w:sz="4" w:space="0" w:color="auto"/>
            </w:tcBorders>
            <w:noWrap/>
            <w:vAlign w:val="center"/>
            <w:hideMark/>
          </w:tcPr>
          <w:p w14:paraId="0E384CD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7.83</w:t>
            </w:r>
          </w:p>
        </w:tc>
        <w:tc>
          <w:tcPr>
            <w:tcW w:w="468" w:type="pct"/>
            <w:tcBorders>
              <w:top w:val="nil"/>
              <w:bottom w:val="single" w:sz="4" w:space="0" w:color="auto"/>
            </w:tcBorders>
            <w:noWrap/>
            <w:vAlign w:val="center"/>
            <w:hideMark/>
          </w:tcPr>
          <w:p w14:paraId="20E79C8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7.01</w:t>
            </w:r>
          </w:p>
        </w:tc>
        <w:tc>
          <w:tcPr>
            <w:tcW w:w="334" w:type="pct"/>
            <w:tcBorders>
              <w:top w:val="nil"/>
              <w:bottom w:val="single" w:sz="4" w:space="0" w:color="auto"/>
            </w:tcBorders>
            <w:noWrap/>
            <w:vAlign w:val="center"/>
            <w:hideMark/>
          </w:tcPr>
          <w:p w14:paraId="706CE67E"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90.31</w:t>
            </w:r>
          </w:p>
        </w:tc>
      </w:tr>
      <w:tr w:rsidR="00AF342A" w:rsidRPr="003563BF" w14:paraId="4F47E1B6" w14:textId="77777777" w:rsidTr="00AF342A">
        <w:trPr>
          <w:trHeight w:val="454"/>
        </w:trPr>
        <w:tc>
          <w:tcPr>
            <w:tcW w:w="342" w:type="pct"/>
            <w:tcBorders>
              <w:top w:val="single" w:sz="4" w:space="0" w:color="auto"/>
              <w:right w:val="nil"/>
            </w:tcBorders>
          </w:tcPr>
          <w:p w14:paraId="064B11F4" w14:textId="77777777" w:rsidR="00AF342A" w:rsidRPr="003563BF" w:rsidRDefault="00AF342A" w:rsidP="00835A65">
            <w:pPr>
              <w:rPr>
                <w:rFonts w:ascii="Times New Roman" w:hAnsi="Times New Roman" w:cs="Times New Roman"/>
              </w:rPr>
            </w:pPr>
          </w:p>
        </w:tc>
        <w:tc>
          <w:tcPr>
            <w:tcW w:w="468" w:type="pct"/>
            <w:tcBorders>
              <w:top w:val="single" w:sz="4" w:space="0" w:color="auto"/>
              <w:left w:val="nil"/>
              <w:right w:val="single" w:sz="4" w:space="0" w:color="auto"/>
            </w:tcBorders>
            <w:noWrap/>
            <w:vAlign w:val="center"/>
            <w:hideMark/>
          </w:tcPr>
          <w:p w14:paraId="76507D6E" w14:textId="6BB127A7" w:rsidR="00AF342A" w:rsidRPr="003563BF" w:rsidRDefault="00AF342A" w:rsidP="00835A65">
            <w:pPr>
              <w:rPr>
                <w:rFonts w:ascii="Times New Roman" w:hAnsi="Times New Roman" w:cs="Times New Roman"/>
              </w:rPr>
            </w:pPr>
            <w:r w:rsidRPr="003563BF">
              <w:rPr>
                <w:rFonts w:ascii="Times New Roman" w:hAnsi="Times New Roman" w:cs="Times New Roman"/>
              </w:rPr>
              <w:t>Gold</w:t>
            </w:r>
          </w:p>
        </w:tc>
        <w:tc>
          <w:tcPr>
            <w:tcW w:w="314" w:type="pct"/>
            <w:tcBorders>
              <w:top w:val="single" w:sz="4" w:space="0" w:color="auto"/>
              <w:left w:val="single" w:sz="4" w:space="0" w:color="auto"/>
            </w:tcBorders>
            <w:noWrap/>
            <w:vAlign w:val="center"/>
            <w:hideMark/>
          </w:tcPr>
          <w:p w14:paraId="08E8D5CF"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7.34</w:t>
            </w:r>
          </w:p>
        </w:tc>
        <w:tc>
          <w:tcPr>
            <w:tcW w:w="257" w:type="pct"/>
            <w:tcBorders>
              <w:top w:val="single" w:sz="4" w:space="0" w:color="auto"/>
            </w:tcBorders>
            <w:noWrap/>
            <w:vAlign w:val="center"/>
            <w:hideMark/>
          </w:tcPr>
          <w:p w14:paraId="675F0897"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6.61</w:t>
            </w:r>
          </w:p>
        </w:tc>
        <w:tc>
          <w:tcPr>
            <w:tcW w:w="296" w:type="pct"/>
            <w:tcBorders>
              <w:top w:val="single" w:sz="4" w:space="0" w:color="auto"/>
              <w:right w:val="single" w:sz="4" w:space="0" w:color="auto"/>
            </w:tcBorders>
            <w:noWrap/>
            <w:vAlign w:val="center"/>
            <w:hideMark/>
          </w:tcPr>
          <w:p w14:paraId="43D97102"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7.19</w:t>
            </w:r>
          </w:p>
        </w:tc>
        <w:tc>
          <w:tcPr>
            <w:tcW w:w="258" w:type="pct"/>
            <w:tcBorders>
              <w:top w:val="single" w:sz="4" w:space="0" w:color="auto"/>
              <w:left w:val="single" w:sz="4" w:space="0" w:color="auto"/>
            </w:tcBorders>
            <w:noWrap/>
            <w:vAlign w:val="center"/>
            <w:hideMark/>
          </w:tcPr>
          <w:p w14:paraId="07D11FA3"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7.08</w:t>
            </w:r>
          </w:p>
        </w:tc>
        <w:tc>
          <w:tcPr>
            <w:tcW w:w="257" w:type="pct"/>
            <w:tcBorders>
              <w:top w:val="single" w:sz="4" w:space="0" w:color="auto"/>
            </w:tcBorders>
            <w:noWrap/>
            <w:vAlign w:val="center"/>
            <w:hideMark/>
          </w:tcPr>
          <w:p w14:paraId="7CB775BF"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7.00</w:t>
            </w:r>
          </w:p>
        </w:tc>
        <w:tc>
          <w:tcPr>
            <w:tcW w:w="296" w:type="pct"/>
            <w:tcBorders>
              <w:top w:val="single" w:sz="4" w:space="0" w:color="auto"/>
              <w:right w:val="single" w:sz="4" w:space="0" w:color="auto"/>
            </w:tcBorders>
            <w:noWrap/>
            <w:vAlign w:val="center"/>
            <w:hideMark/>
          </w:tcPr>
          <w:p w14:paraId="252D0FCF"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7.44</w:t>
            </w:r>
          </w:p>
        </w:tc>
        <w:tc>
          <w:tcPr>
            <w:tcW w:w="296" w:type="pct"/>
            <w:tcBorders>
              <w:top w:val="single" w:sz="4" w:space="0" w:color="auto"/>
              <w:left w:val="single" w:sz="4" w:space="0" w:color="auto"/>
            </w:tcBorders>
            <w:noWrap/>
            <w:vAlign w:val="center"/>
            <w:hideMark/>
          </w:tcPr>
          <w:p w14:paraId="4CC42F92"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10.91</w:t>
            </w:r>
          </w:p>
        </w:tc>
        <w:tc>
          <w:tcPr>
            <w:tcW w:w="257" w:type="pct"/>
            <w:tcBorders>
              <w:top w:val="single" w:sz="4" w:space="0" w:color="auto"/>
            </w:tcBorders>
            <w:noWrap/>
            <w:vAlign w:val="center"/>
            <w:hideMark/>
          </w:tcPr>
          <w:p w14:paraId="1D61D6CC"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7.11</w:t>
            </w:r>
          </w:p>
        </w:tc>
        <w:tc>
          <w:tcPr>
            <w:tcW w:w="257" w:type="pct"/>
            <w:tcBorders>
              <w:top w:val="single" w:sz="4" w:space="0" w:color="auto"/>
            </w:tcBorders>
            <w:noWrap/>
            <w:vAlign w:val="center"/>
            <w:hideMark/>
          </w:tcPr>
          <w:p w14:paraId="4D7A1305"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7.16</w:t>
            </w:r>
          </w:p>
        </w:tc>
        <w:tc>
          <w:tcPr>
            <w:tcW w:w="296" w:type="pct"/>
            <w:tcBorders>
              <w:top w:val="single" w:sz="4" w:space="0" w:color="auto"/>
            </w:tcBorders>
            <w:noWrap/>
            <w:vAlign w:val="center"/>
            <w:hideMark/>
          </w:tcPr>
          <w:p w14:paraId="5F388885"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8.15</w:t>
            </w:r>
          </w:p>
        </w:tc>
        <w:tc>
          <w:tcPr>
            <w:tcW w:w="310" w:type="pct"/>
            <w:tcBorders>
              <w:top w:val="single" w:sz="4" w:space="0" w:color="auto"/>
            </w:tcBorders>
            <w:noWrap/>
            <w:vAlign w:val="center"/>
            <w:hideMark/>
          </w:tcPr>
          <w:p w14:paraId="16DA5120"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8.00</w:t>
            </w:r>
          </w:p>
        </w:tc>
        <w:tc>
          <w:tcPr>
            <w:tcW w:w="296" w:type="pct"/>
            <w:tcBorders>
              <w:top w:val="single" w:sz="4" w:space="0" w:color="auto"/>
            </w:tcBorders>
            <w:noWrap/>
            <w:vAlign w:val="center"/>
            <w:hideMark/>
          </w:tcPr>
          <w:p w14:paraId="5067074D"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9.09</w:t>
            </w:r>
          </w:p>
        </w:tc>
        <w:tc>
          <w:tcPr>
            <w:tcW w:w="468" w:type="pct"/>
            <w:tcBorders>
              <w:top w:val="single" w:sz="4" w:space="0" w:color="auto"/>
            </w:tcBorders>
            <w:noWrap/>
            <w:vAlign w:val="center"/>
            <w:hideMark/>
          </w:tcPr>
          <w:p w14:paraId="1B8FE42D"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6.92</w:t>
            </w:r>
          </w:p>
        </w:tc>
        <w:tc>
          <w:tcPr>
            <w:tcW w:w="334" w:type="pct"/>
            <w:tcBorders>
              <w:top w:val="single" w:sz="4" w:space="0" w:color="auto"/>
            </w:tcBorders>
            <w:noWrap/>
            <w:vAlign w:val="center"/>
            <w:hideMark/>
          </w:tcPr>
          <w:p w14:paraId="7A31459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89.09</w:t>
            </w:r>
          </w:p>
        </w:tc>
      </w:tr>
      <w:tr w:rsidR="00AF342A" w:rsidRPr="003563BF" w14:paraId="1209491F" w14:textId="77777777" w:rsidTr="00AF342A">
        <w:trPr>
          <w:trHeight w:val="454"/>
        </w:trPr>
        <w:tc>
          <w:tcPr>
            <w:tcW w:w="342" w:type="pct"/>
            <w:tcBorders>
              <w:right w:val="nil"/>
            </w:tcBorders>
          </w:tcPr>
          <w:p w14:paraId="59E80269" w14:textId="77777777" w:rsidR="00AF342A" w:rsidRPr="003563BF" w:rsidRDefault="00AF342A" w:rsidP="00835A65">
            <w:pPr>
              <w:rPr>
                <w:rFonts w:ascii="Times New Roman" w:hAnsi="Times New Roman" w:cs="Times New Roman"/>
              </w:rPr>
            </w:pPr>
          </w:p>
        </w:tc>
        <w:tc>
          <w:tcPr>
            <w:tcW w:w="468" w:type="pct"/>
            <w:tcBorders>
              <w:left w:val="nil"/>
              <w:right w:val="single" w:sz="4" w:space="0" w:color="auto"/>
            </w:tcBorders>
            <w:noWrap/>
            <w:vAlign w:val="center"/>
            <w:hideMark/>
          </w:tcPr>
          <w:p w14:paraId="13AAE8F3" w14:textId="08FC80DB" w:rsidR="00AF342A" w:rsidRPr="003563BF" w:rsidRDefault="00AF342A" w:rsidP="00835A65">
            <w:pPr>
              <w:rPr>
                <w:rFonts w:ascii="Times New Roman" w:hAnsi="Times New Roman" w:cs="Times New Roman"/>
              </w:rPr>
            </w:pPr>
            <w:r w:rsidRPr="003563BF">
              <w:rPr>
                <w:rFonts w:ascii="Times New Roman" w:hAnsi="Times New Roman" w:cs="Times New Roman"/>
              </w:rPr>
              <w:t>Oil</w:t>
            </w:r>
          </w:p>
        </w:tc>
        <w:tc>
          <w:tcPr>
            <w:tcW w:w="314" w:type="pct"/>
            <w:tcBorders>
              <w:left w:val="single" w:sz="4" w:space="0" w:color="auto"/>
            </w:tcBorders>
            <w:noWrap/>
            <w:vAlign w:val="center"/>
            <w:hideMark/>
          </w:tcPr>
          <w:p w14:paraId="1EB75FFC"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7.35</w:t>
            </w:r>
          </w:p>
        </w:tc>
        <w:tc>
          <w:tcPr>
            <w:tcW w:w="257" w:type="pct"/>
            <w:noWrap/>
            <w:vAlign w:val="center"/>
            <w:hideMark/>
          </w:tcPr>
          <w:p w14:paraId="7BEA18BD"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6.51</w:t>
            </w:r>
          </w:p>
        </w:tc>
        <w:tc>
          <w:tcPr>
            <w:tcW w:w="296" w:type="pct"/>
            <w:tcBorders>
              <w:right w:val="single" w:sz="4" w:space="0" w:color="auto"/>
            </w:tcBorders>
            <w:noWrap/>
            <w:vAlign w:val="center"/>
            <w:hideMark/>
          </w:tcPr>
          <w:p w14:paraId="5EC414D4"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7.34</w:t>
            </w:r>
          </w:p>
        </w:tc>
        <w:tc>
          <w:tcPr>
            <w:tcW w:w="258" w:type="pct"/>
            <w:tcBorders>
              <w:left w:val="single" w:sz="4" w:space="0" w:color="auto"/>
            </w:tcBorders>
            <w:noWrap/>
            <w:vAlign w:val="center"/>
            <w:hideMark/>
          </w:tcPr>
          <w:p w14:paraId="235FE0C2"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6.84</w:t>
            </w:r>
          </w:p>
        </w:tc>
        <w:tc>
          <w:tcPr>
            <w:tcW w:w="257" w:type="pct"/>
            <w:noWrap/>
            <w:vAlign w:val="center"/>
            <w:hideMark/>
          </w:tcPr>
          <w:p w14:paraId="303E40DA"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6.85</w:t>
            </w:r>
          </w:p>
        </w:tc>
        <w:tc>
          <w:tcPr>
            <w:tcW w:w="296" w:type="pct"/>
            <w:tcBorders>
              <w:right w:val="single" w:sz="4" w:space="0" w:color="auto"/>
            </w:tcBorders>
            <w:noWrap/>
            <w:vAlign w:val="center"/>
            <w:hideMark/>
          </w:tcPr>
          <w:p w14:paraId="5F4AC4E2"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7.26</w:t>
            </w:r>
          </w:p>
        </w:tc>
        <w:tc>
          <w:tcPr>
            <w:tcW w:w="296" w:type="pct"/>
            <w:tcBorders>
              <w:left w:val="single" w:sz="4" w:space="0" w:color="auto"/>
            </w:tcBorders>
            <w:noWrap/>
            <w:vAlign w:val="center"/>
            <w:hideMark/>
          </w:tcPr>
          <w:p w14:paraId="526FFC33"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7.83</w:t>
            </w:r>
          </w:p>
        </w:tc>
        <w:tc>
          <w:tcPr>
            <w:tcW w:w="257" w:type="pct"/>
            <w:noWrap/>
            <w:vAlign w:val="center"/>
            <w:hideMark/>
          </w:tcPr>
          <w:p w14:paraId="2D2B122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10.90</w:t>
            </w:r>
          </w:p>
        </w:tc>
        <w:tc>
          <w:tcPr>
            <w:tcW w:w="257" w:type="pct"/>
            <w:noWrap/>
            <w:vAlign w:val="center"/>
            <w:hideMark/>
          </w:tcPr>
          <w:p w14:paraId="68647C5E"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6.91</w:t>
            </w:r>
          </w:p>
        </w:tc>
        <w:tc>
          <w:tcPr>
            <w:tcW w:w="296" w:type="pct"/>
            <w:noWrap/>
            <w:vAlign w:val="center"/>
            <w:hideMark/>
          </w:tcPr>
          <w:p w14:paraId="72041B4E"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8.23</w:t>
            </w:r>
          </w:p>
        </w:tc>
        <w:tc>
          <w:tcPr>
            <w:tcW w:w="310" w:type="pct"/>
            <w:noWrap/>
            <w:vAlign w:val="center"/>
            <w:hideMark/>
          </w:tcPr>
          <w:p w14:paraId="22987487"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8.78</w:t>
            </w:r>
          </w:p>
        </w:tc>
        <w:tc>
          <w:tcPr>
            <w:tcW w:w="296" w:type="pct"/>
            <w:noWrap/>
            <w:vAlign w:val="center"/>
            <w:hideMark/>
          </w:tcPr>
          <w:p w14:paraId="4DBB15D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8.15</w:t>
            </w:r>
          </w:p>
        </w:tc>
        <w:tc>
          <w:tcPr>
            <w:tcW w:w="468" w:type="pct"/>
            <w:noWrap/>
            <w:vAlign w:val="center"/>
            <w:hideMark/>
          </w:tcPr>
          <w:p w14:paraId="1D40C44D"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7.03</w:t>
            </w:r>
          </w:p>
        </w:tc>
        <w:tc>
          <w:tcPr>
            <w:tcW w:w="334" w:type="pct"/>
            <w:noWrap/>
            <w:vAlign w:val="center"/>
            <w:hideMark/>
          </w:tcPr>
          <w:p w14:paraId="58B77B7D"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89.10</w:t>
            </w:r>
          </w:p>
        </w:tc>
      </w:tr>
      <w:tr w:rsidR="00AF342A" w:rsidRPr="003563BF" w14:paraId="675F928B" w14:textId="77777777" w:rsidTr="00AF342A">
        <w:trPr>
          <w:trHeight w:val="454"/>
        </w:trPr>
        <w:tc>
          <w:tcPr>
            <w:tcW w:w="342" w:type="pct"/>
            <w:tcBorders>
              <w:right w:val="nil"/>
            </w:tcBorders>
          </w:tcPr>
          <w:p w14:paraId="13CEABC5" w14:textId="77777777" w:rsidR="00AF342A" w:rsidRPr="003563BF" w:rsidRDefault="00AF342A" w:rsidP="00835A65">
            <w:pPr>
              <w:rPr>
                <w:rFonts w:ascii="Times New Roman" w:hAnsi="Times New Roman" w:cs="Times New Roman"/>
              </w:rPr>
            </w:pPr>
          </w:p>
        </w:tc>
        <w:tc>
          <w:tcPr>
            <w:tcW w:w="468" w:type="pct"/>
            <w:tcBorders>
              <w:left w:val="nil"/>
              <w:right w:val="single" w:sz="4" w:space="0" w:color="auto"/>
            </w:tcBorders>
            <w:noWrap/>
            <w:vAlign w:val="center"/>
            <w:hideMark/>
          </w:tcPr>
          <w:p w14:paraId="0946F485" w14:textId="34B16078" w:rsidR="00AF342A" w:rsidRPr="003563BF" w:rsidRDefault="00AF342A" w:rsidP="00835A65">
            <w:pPr>
              <w:rPr>
                <w:rFonts w:ascii="Times New Roman" w:hAnsi="Times New Roman" w:cs="Times New Roman"/>
              </w:rPr>
            </w:pPr>
            <w:r w:rsidRPr="003563BF">
              <w:rPr>
                <w:rFonts w:ascii="Times New Roman" w:hAnsi="Times New Roman" w:cs="Times New Roman"/>
              </w:rPr>
              <w:t>BTC</w:t>
            </w:r>
          </w:p>
        </w:tc>
        <w:tc>
          <w:tcPr>
            <w:tcW w:w="314" w:type="pct"/>
            <w:tcBorders>
              <w:left w:val="single" w:sz="4" w:space="0" w:color="auto"/>
            </w:tcBorders>
            <w:noWrap/>
            <w:vAlign w:val="center"/>
            <w:hideMark/>
          </w:tcPr>
          <w:p w14:paraId="021F4605"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7.75</w:t>
            </w:r>
          </w:p>
        </w:tc>
        <w:tc>
          <w:tcPr>
            <w:tcW w:w="257" w:type="pct"/>
            <w:noWrap/>
            <w:vAlign w:val="center"/>
            <w:hideMark/>
          </w:tcPr>
          <w:p w14:paraId="04CDEE0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6.92</w:t>
            </w:r>
          </w:p>
        </w:tc>
        <w:tc>
          <w:tcPr>
            <w:tcW w:w="296" w:type="pct"/>
            <w:tcBorders>
              <w:right w:val="single" w:sz="4" w:space="0" w:color="auto"/>
            </w:tcBorders>
            <w:noWrap/>
            <w:vAlign w:val="center"/>
            <w:hideMark/>
          </w:tcPr>
          <w:p w14:paraId="6B3175EF"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7.79</w:t>
            </w:r>
          </w:p>
        </w:tc>
        <w:tc>
          <w:tcPr>
            <w:tcW w:w="258" w:type="pct"/>
            <w:tcBorders>
              <w:left w:val="single" w:sz="4" w:space="0" w:color="auto"/>
            </w:tcBorders>
            <w:noWrap/>
            <w:vAlign w:val="center"/>
            <w:hideMark/>
          </w:tcPr>
          <w:p w14:paraId="6386382A"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8.16</w:t>
            </w:r>
          </w:p>
        </w:tc>
        <w:tc>
          <w:tcPr>
            <w:tcW w:w="257" w:type="pct"/>
            <w:noWrap/>
            <w:vAlign w:val="center"/>
            <w:hideMark/>
          </w:tcPr>
          <w:p w14:paraId="2F2598F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7.19</w:t>
            </w:r>
          </w:p>
        </w:tc>
        <w:tc>
          <w:tcPr>
            <w:tcW w:w="296" w:type="pct"/>
            <w:tcBorders>
              <w:right w:val="single" w:sz="4" w:space="0" w:color="auto"/>
            </w:tcBorders>
            <w:noWrap/>
            <w:vAlign w:val="center"/>
            <w:hideMark/>
          </w:tcPr>
          <w:p w14:paraId="506A49A5"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8.63</w:t>
            </w:r>
          </w:p>
        </w:tc>
        <w:tc>
          <w:tcPr>
            <w:tcW w:w="296" w:type="pct"/>
            <w:tcBorders>
              <w:left w:val="single" w:sz="4" w:space="0" w:color="auto"/>
            </w:tcBorders>
            <w:noWrap/>
            <w:vAlign w:val="center"/>
            <w:hideMark/>
          </w:tcPr>
          <w:p w14:paraId="189819D5"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7.27</w:t>
            </w:r>
          </w:p>
        </w:tc>
        <w:tc>
          <w:tcPr>
            <w:tcW w:w="257" w:type="pct"/>
            <w:noWrap/>
            <w:vAlign w:val="center"/>
            <w:hideMark/>
          </w:tcPr>
          <w:p w14:paraId="1E23C085"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6.59</w:t>
            </w:r>
          </w:p>
        </w:tc>
        <w:tc>
          <w:tcPr>
            <w:tcW w:w="257" w:type="pct"/>
            <w:noWrap/>
            <w:vAlign w:val="center"/>
            <w:hideMark/>
          </w:tcPr>
          <w:p w14:paraId="5C9D745F"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9.30</w:t>
            </w:r>
          </w:p>
        </w:tc>
        <w:tc>
          <w:tcPr>
            <w:tcW w:w="296" w:type="pct"/>
            <w:noWrap/>
            <w:vAlign w:val="center"/>
            <w:hideMark/>
          </w:tcPr>
          <w:p w14:paraId="1F865A5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7.61</w:t>
            </w:r>
          </w:p>
        </w:tc>
        <w:tc>
          <w:tcPr>
            <w:tcW w:w="310" w:type="pct"/>
            <w:noWrap/>
            <w:vAlign w:val="center"/>
            <w:hideMark/>
          </w:tcPr>
          <w:p w14:paraId="0044C926"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8.01</w:t>
            </w:r>
          </w:p>
        </w:tc>
        <w:tc>
          <w:tcPr>
            <w:tcW w:w="296" w:type="pct"/>
            <w:noWrap/>
            <w:vAlign w:val="center"/>
            <w:hideMark/>
          </w:tcPr>
          <w:p w14:paraId="69E56ED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7.75</w:t>
            </w:r>
          </w:p>
        </w:tc>
        <w:tc>
          <w:tcPr>
            <w:tcW w:w="468" w:type="pct"/>
            <w:noWrap/>
            <w:vAlign w:val="center"/>
            <w:hideMark/>
          </w:tcPr>
          <w:p w14:paraId="21DA75F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7.03</w:t>
            </w:r>
          </w:p>
        </w:tc>
        <w:tc>
          <w:tcPr>
            <w:tcW w:w="334" w:type="pct"/>
            <w:noWrap/>
            <w:vAlign w:val="center"/>
            <w:hideMark/>
          </w:tcPr>
          <w:p w14:paraId="54EB711F"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90.70</w:t>
            </w:r>
          </w:p>
        </w:tc>
      </w:tr>
      <w:tr w:rsidR="00AF342A" w:rsidRPr="003563BF" w14:paraId="57217B3C" w14:textId="77777777" w:rsidTr="00AF342A">
        <w:trPr>
          <w:trHeight w:val="454"/>
        </w:trPr>
        <w:tc>
          <w:tcPr>
            <w:tcW w:w="342" w:type="pct"/>
            <w:tcBorders>
              <w:right w:val="nil"/>
            </w:tcBorders>
          </w:tcPr>
          <w:p w14:paraId="76699821" w14:textId="77777777" w:rsidR="00AF342A" w:rsidRPr="003563BF" w:rsidRDefault="00AF342A" w:rsidP="00835A65">
            <w:pPr>
              <w:rPr>
                <w:rFonts w:ascii="Times New Roman" w:hAnsi="Times New Roman" w:cs="Times New Roman"/>
              </w:rPr>
            </w:pPr>
          </w:p>
        </w:tc>
        <w:tc>
          <w:tcPr>
            <w:tcW w:w="468" w:type="pct"/>
            <w:tcBorders>
              <w:left w:val="nil"/>
              <w:right w:val="single" w:sz="4" w:space="0" w:color="auto"/>
            </w:tcBorders>
            <w:noWrap/>
            <w:vAlign w:val="center"/>
            <w:hideMark/>
          </w:tcPr>
          <w:p w14:paraId="5885C7FE" w14:textId="7AA065AD" w:rsidR="00AF342A" w:rsidRPr="003563BF" w:rsidRDefault="00AF342A" w:rsidP="00835A65">
            <w:pPr>
              <w:rPr>
                <w:rFonts w:ascii="Times New Roman" w:hAnsi="Times New Roman" w:cs="Times New Roman"/>
              </w:rPr>
            </w:pPr>
            <w:r w:rsidRPr="003563BF">
              <w:rPr>
                <w:rFonts w:ascii="Times New Roman" w:hAnsi="Times New Roman" w:cs="Times New Roman"/>
              </w:rPr>
              <w:t>REIT</w:t>
            </w:r>
          </w:p>
        </w:tc>
        <w:tc>
          <w:tcPr>
            <w:tcW w:w="314" w:type="pct"/>
            <w:tcBorders>
              <w:left w:val="single" w:sz="4" w:space="0" w:color="auto"/>
            </w:tcBorders>
            <w:noWrap/>
            <w:vAlign w:val="center"/>
            <w:hideMark/>
          </w:tcPr>
          <w:p w14:paraId="1F5651E3"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6.96</w:t>
            </w:r>
          </w:p>
        </w:tc>
        <w:tc>
          <w:tcPr>
            <w:tcW w:w="257" w:type="pct"/>
            <w:noWrap/>
            <w:vAlign w:val="center"/>
            <w:hideMark/>
          </w:tcPr>
          <w:p w14:paraId="4D90398C"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6.56</w:t>
            </w:r>
          </w:p>
        </w:tc>
        <w:tc>
          <w:tcPr>
            <w:tcW w:w="296" w:type="pct"/>
            <w:tcBorders>
              <w:right w:val="single" w:sz="4" w:space="0" w:color="auto"/>
            </w:tcBorders>
            <w:noWrap/>
            <w:vAlign w:val="center"/>
            <w:hideMark/>
          </w:tcPr>
          <w:p w14:paraId="30FC7FA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7.25</w:t>
            </w:r>
          </w:p>
        </w:tc>
        <w:tc>
          <w:tcPr>
            <w:tcW w:w="258" w:type="pct"/>
            <w:tcBorders>
              <w:left w:val="single" w:sz="4" w:space="0" w:color="auto"/>
            </w:tcBorders>
            <w:noWrap/>
            <w:vAlign w:val="center"/>
            <w:hideMark/>
          </w:tcPr>
          <w:p w14:paraId="61BA3B07"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7.23</w:t>
            </w:r>
          </w:p>
        </w:tc>
        <w:tc>
          <w:tcPr>
            <w:tcW w:w="257" w:type="pct"/>
            <w:noWrap/>
            <w:vAlign w:val="center"/>
            <w:hideMark/>
          </w:tcPr>
          <w:p w14:paraId="4077641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6.95</w:t>
            </w:r>
          </w:p>
        </w:tc>
        <w:tc>
          <w:tcPr>
            <w:tcW w:w="296" w:type="pct"/>
            <w:tcBorders>
              <w:right w:val="single" w:sz="4" w:space="0" w:color="auto"/>
            </w:tcBorders>
            <w:noWrap/>
            <w:vAlign w:val="center"/>
            <w:hideMark/>
          </w:tcPr>
          <w:p w14:paraId="3F46C8ED"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7.42</w:t>
            </w:r>
          </w:p>
        </w:tc>
        <w:tc>
          <w:tcPr>
            <w:tcW w:w="296" w:type="pct"/>
            <w:tcBorders>
              <w:left w:val="single" w:sz="4" w:space="0" w:color="auto"/>
            </w:tcBorders>
            <w:noWrap/>
            <w:vAlign w:val="center"/>
            <w:hideMark/>
          </w:tcPr>
          <w:p w14:paraId="19970364"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7.85</w:t>
            </w:r>
          </w:p>
        </w:tc>
        <w:tc>
          <w:tcPr>
            <w:tcW w:w="257" w:type="pct"/>
            <w:noWrap/>
            <w:vAlign w:val="center"/>
            <w:hideMark/>
          </w:tcPr>
          <w:p w14:paraId="5169DE4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7.08</w:t>
            </w:r>
          </w:p>
        </w:tc>
        <w:tc>
          <w:tcPr>
            <w:tcW w:w="257" w:type="pct"/>
            <w:noWrap/>
            <w:vAlign w:val="center"/>
            <w:hideMark/>
          </w:tcPr>
          <w:p w14:paraId="65805607"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7.12</w:t>
            </w:r>
          </w:p>
        </w:tc>
        <w:tc>
          <w:tcPr>
            <w:tcW w:w="296" w:type="pct"/>
            <w:noWrap/>
            <w:vAlign w:val="center"/>
            <w:hideMark/>
          </w:tcPr>
          <w:p w14:paraId="07713266"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10.91</w:t>
            </w:r>
          </w:p>
        </w:tc>
        <w:tc>
          <w:tcPr>
            <w:tcW w:w="310" w:type="pct"/>
            <w:noWrap/>
            <w:vAlign w:val="center"/>
            <w:hideMark/>
          </w:tcPr>
          <w:p w14:paraId="1CA71D1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9.00</w:t>
            </w:r>
          </w:p>
        </w:tc>
        <w:tc>
          <w:tcPr>
            <w:tcW w:w="296" w:type="pct"/>
            <w:noWrap/>
            <w:vAlign w:val="center"/>
            <w:hideMark/>
          </w:tcPr>
          <w:p w14:paraId="5213D15F"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8.68</w:t>
            </w:r>
          </w:p>
        </w:tc>
        <w:tc>
          <w:tcPr>
            <w:tcW w:w="468" w:type="pct"/>
            <w:noWrap/>
            <w:vAlign w:val="center"/>
            <w:hideMark/>
          </w:tcPr>
          <w:p w14:paraId="5D54176E"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6.98</w:t>
            </w:r>
          </w:p>
        </w:tc>
        <w:tc>
          <w:tcPr>
            <w:tcW w:w="334" w:type="pct"/>
            <w:noWrap/>
            <w:vAlign w:val="center"/>
            <w:hideMark/>
          </w:tcPr>
          <w:p w14:paraId="7E13C2B4"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89.09</w:t>
            </w:r>
          </w:p>
        </w:tc>
      </w:tr>
      <w:tr w:rsidR="00AF342A" w:rsidRPr="003563BF" w14:paraId="27C2843A" w14:textId="77777777" w:rsidTr="00AF342A">
        <w:trPr>
          <w:trHeight w:val="454"/>
        </w:trPr>
        <w:tc>
          <w:tcPr>
            <w:tcW w:w="342" w:type="pct"/>
            <w:tcBorders>
              <w:right w:val="nil"/>
            </w:tcBorders>
          </w:tcPr>
          <w:p w14:paraId="6D6990CA" w14:textId="77777777" w:rsidR="00AF342A" w:rsidRPr="003563BF" w:rsidRDefault="00AF342A" w:rsidP="00835A65">
            <w:pPr>
              <w:rPr>
                <w:rFonts w:ascii="Times New Roman" w:hAnsi="Times New Roman" w:cs="Times New Roman"/>
              </w:rPr>
            </w:pPr>
          </w:p>
        </w:tc>
        <w:tc>
          <w:tcPr>
            <w:tcW w:w="468" w:type="pct"/>
            <w:tcBorders>
              <w:left w:val="nil"/>
              <w:right w:val="single" w:sz="4" w:space="0" w:color="auto"/>
            </w:tcBorders>
            <w:noWrap/>
            <w:vAlign w:val="center"/>
            <w:hideMark/>
          </w:tcPr>
          <w:p w14:paraId="3A8192C6" w14:textId="4BFE149C" w:rsidR="00AF342A" w:rsidRPr="003563BF" w:rsidRDefault="00AF342A" w:rsidP="00835A65">
            <w:pPr>
              <w:rPr>
                <w:rFonts w:ascii="Times New Roman" w:hAnsi="Times New Roman" w:cs="Times New Roman"/>
              </w:rPr>
            </w:pPr>
            <w:r w:rsidRPr="003563BF">
              <w:rPr>
                <w:rFonts w:ascii="Times New Roman" w:hAnsi="Times New Roman" w:cs="Times New Roman"/>
              </w:rPr>
              <w:t>Equity</w:t>
            </w:r>
          </w:p>
        </w:tc>
        <w:tc>
          <w:tcPr>
            <w:tcW w:w="314" w:type="pct"/>
            <w:tcBorders>
              <w:left w:val="single" w:sz="4" w:space="0" w:color="auto"/>
            </w:tcBorders>
            <w:noWrap/>
            <w:vAlign w:val="center"/>
            <w:hideMark/>
          </w:tcPr>
          <w:p w14:paraId="17E897F0"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7.00</w:t>
            </w:r>
          </w:p>
        </w:tc>
        <w:tc>
          <w:tcPr>
            <w:tcW w:w="257" w:type="pct"/>
            <w:noWrap/>
            <w:vAlign w:val="center"/>
            <w:hideMark/>
          </w:tcPr>
          <w:p w14:paraId="51199C24"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6.56</w:t>
            </w:r>
          </w:p>
        </w:tc>
        <w:tc>
          <w:tcPr>
            <w:tcW w:w="296" w:type="pct"/>
            <w:tcBorders>
              <w:right w:val="single" w:sz="4" w:space="0" w:color="auto"/>
            </w:tcBorders>
            <w:noWrap/>
            <w:vAlign w:val="center"/>
            <w:hideMark/>
          </w:tcPr>
          <w:p w14:paraId="5E87F5A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7.13</w:t>
            </w:r>
          </w:p>
        </w:tc>
        <w:tc>
          <w:tcPr>
            <w:tcW w:w="258" w:type="pct"/>
            <w:tcBorders>
              <w:left w:val="single" w:sz="4" w:space="0" w:color="auto"/>
            </w:tcBorders>
            <w:noWrap/>
            <w:vAlign w:val="center"/>
            <w:hideMark/>
          </w:tcPr>
          <w:p w14:paraId="20E7188D"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7.24</w:t>
            </w:r>
          </w:p>
        </w:tc>
        <w:tc>
          <w:tcPr>
            <w:tcW w:w="257" w:type="pct"/>
            <w:noWrap/>
            <w:vAlign w:val="center"/>
            <w:hideMark/>
          </w:tcPr>
          <w:p w14:paraId="5CA5A4C0"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7.24</w:t>
            </w:r>
          </w:p>
        </w:tc>
        <w:tc>
          <w:tcPr>
            <w:tcW w:w="296" w:type="pct"/>
            <w:tcBorders>
              <w:right w:val="single" w:sz="4" w:space="0" w:color="auto"/>
            </w:tcBorders>
            <w:noWrap/>
            <w:vAlign w:val="center"/>
            <w:hideMark/>
          </w:tcPr>
          <w:p w14:paraId="59AE372F"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7.61</w:t>
            </w:r>
          </w:p>
        </w:tc>
        <w:tc>
          <w:tcPr>
            <w:tcW w:w="296" w:type="pct"/>
            <w:tcBorders>
              <w:left w:val="single" w:sz="4" w:space="0" w:color="auto"/>
            </w:tcBorders>
            <w:noWrap/>
            <w:vAlign w:val="center"/>
            <w:hideMark/>
          </w:tcPr>
          <w:p w14:paraId="0B87F353"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8.02</w:t>
            </w:r>
          </w:p>
        </w:tc>
        <w:tc>
          <w:tcPr>
            <w:tcW w:w="257" w:type="pct"/>
            <w:noWrap/>
            <w:vAlign w:val="center"/>
            <w:hideMark/>
          </w:tcPr>
          <w:p w14:paraId="798E642E"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7.18</w:t>
            </w:r>
          </w:p>
        </w:tc>
        <w:tc>
          <w:tcPr>
            <w:tcW w:w="257" w:type="pct"/>
            <w:noWrap/>
            <w:vAlign w:val="center"/>
            <w:hideMark/>
          </w:tcPr>
          <w:p w14:paraId="66A63F4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7.20</w:t>
            </w:r>
          </w:p>
        </w:tc>
        <w:tc>
          <w:tcPr>
            <w:tcW w:w="296" w:type="pct"/>
            <w:noWrap/>
            <w:vAlign w:val="center"/>
            <w:hideMark/>
          </w:tcPr>
          <w:p w14:paraId="12D68FB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8.72</w:t>
            </w:r>
          </w:p>
        </w:tc>
        <w:tc>
          <w:tcPr>
            <w:tcW w:w="310" w:type="pct"/>
            <w:noWrap/>
            <w:vAlign w:val="center"/>
            <w:hideMark/>
          </w:tcPr>
          <w:p w14:paraId="4C53274E"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10.79</w:t>
            </w:r>
          </w:p>
        </w:tc>
        <w:tc>
          <w:tcPr>
            <w:tcW w:w="296" w:type="pct"/>
            <w:noWrap/>
            <w:vAlign w:val="center"/>
            <w:hideMark/>
          </w:tcPr>
          <w:p w14:paraId="2D17C96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8.39</w:t>
            </w:r>
          </w:p>
        </w:tc>
        <w:tc>
          <w:tcPr>
            <w:tcW w:w="468" w:type="pct"/>
            <w:noWrap/>
            <w:vAlign w:val="center"/>
            <w:hideMark/>
          </w:tcPr>
          <w:p w14:paraId="04966E1B"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6.93</w:t>
            </w:r>
          </w:p>
        </w:tc>
        <w:tc>
          <w:tcPr>
            <w:tcW w:w="334" w:type="pct"/>
            <w:noWrap/>
            <w:vAlign w:val="center"/>
            <w:hideMark/>
          </w:tcPr>
          <w:p w14:paraId="1A0AB4B0"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89.21</w:t>
            </w:r>
          </w:p>
        </w:tc>
      </w:tr>
      <w:tr w:rsidR="00AF342A" w:rsidRPr="003563BF" w14:paraId="71D34E1F" w14:textId="77777777" w:rsidTr="00AF342A">
        <w:trPr>
          <w:trHeight w:val="454"/>
        </w:trPr>
        <w:tc>
          <w:tcPr>
            <w:tcW w:w="342" w:type="pct"/>
            <w:tcBorders>
              <w:right w:val="nil"/>
            </w:tcBorders>
          </w:tcPr>
          <w:p w14:paraId="2DE98634" w14:textId="77777777" w:rsidR="00AF342A" w:rsidRPr="003563BF" w:rsidRDefault="00AF342A" w:rsidP="00835A65">
            <w:pPr>
              <w:rPr>
                <w:rFonts w:ascii="Times New Roman" w:hAnsi="Times New Roman" w:cs="Times New Roman"/>
              </w:rPr>
            </w:pPr>
          </w:p>
        </w:tc>
        <w:tc>
          <w:tcPr>
            <w:tcW w:w="468" w:type="pct"/>
            <w:tcBorders>
              <w:left w:val="nil"/>
              <w:right w:val="single" w:sz="4" w:space="0" w:color="auto"/>
            </w:tcBorders>
            <w:noWrap/>
            <w:vAlign w:val="center"/>
            <w:hideMark/>
          </w:tcPr>
          <w:p w14:paraId="6C577910" w14:textId="05E499B6" w:rsidR="00AF342A" w:rsidRPr="003563BF" w:rsidRDefault="00AF342A" w:rsidP="00835A65">
            <w:pPr>
              <w:rPr>
                <w:rFonts w:ascii="Times New Roman" w:hAnsi="Times New Roman" w:cs="Times New Roman"/>
              </w:rPr>
            </w:pPr>
            <w:r w:rsidRPr="003563BF">
              <w:rPr>
                <w:rFonts w:ascii="Times New Roman" w:hAnsi="Times New Roman" w:cs="Times New Roman"/>
              </w:rPr>
              <w:t>Bond</w:t>
            </w:r>
          </w:p>
        </w:tc>
        <w:tc>
          <w:tcPr>
            <w:tcW w:w="314" w:type="pct"/>
            <w:tcBorders>
              <w:left w:val="single" w:sz="4" w:space="0" w:color="auto"/>
            </w:tcBorders>
            <w:noWrap/>
            <w:vAlign w:val="center"/>
            <w:hideMark/>
          </w:tcPr>
          <w:p w14:paraId="72CC4C67"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7.10</w:t>
            </w:r>
          </w:p>
        </w:tc>
        <w:tc>
          <w:tcPr>
            <w:tcW w:w="257" w:type="pct"/>
            <w:noWrap/>
            <w:vAlign w:val="center"/>
            <w:hideMark/>
          </w:tcPr>
          <w:p w14:paraId="229BF35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6.39</w:t>
            </w:r>
          </w:p>
        </w:tc>
        <w:tc>
          <w:tcPr>
            <w:tcW w:w="296" w:type="pct"/>
            <w:tcBorders>
              <w:right w:val="single" w:sz="4" w:space="0" w:color="auto"/>
            </w:tcBorders>
            <w:noWrap/>
            <w:vAlign w:val="center"/>
            <w:hideMark/>
          </w:tcPr>
          <w:p w14:paraId="53D34E6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7.33</w:t>
            </w:r>
          </w:p>
        </w:tc>
        <w:tc>
          <w:tcPr>
            <w:tcW w:w="258" w:type="pct"/>
            <w:tcBorders>
              <w:left w:val="single" w:sz="4" w:space="0" w:color="auto"/>
            </w:tcBorders>
            <w:noWrap/>
            <w:vAlign w:val="center"/>
            <w:hideMark/>
          </w:tcPr>
          <w:p w14:paraId="6C73EB02"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7.05</w:t>
            </w:r>
          </w:p>
        </w:tc>
        <w:tc>
          <w:tcPr>
            <w:tcW w:w="257" w:type="pct"/>
            <w:noWrap/>
            <w:vAlign w:val="center"/>
            <w:hideMark/>
          </w:tcPr>
          <w:p w14:paraId="360B95E7"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6.90</w:t>
            </w:r>
          </w:p>
        </w:tc>
        <w:tc>
          <w:tcPr>
            <w:tcW w:w="296" w:type="pct"/>
            <w:tcBorders>
              <w:right w:val="single" w:sz="4" w:space="0" w:color="auto"/>
            </w:tcBorders>
            <w:noWrap/>
            <w:vAlign w:val="center"/>
            <w:hideMark/>
          </w:tcPr>
          <w:p w14:paraId="7582813A"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7.30</w:t>
            </w:r>
          </w:p>
        </w:tc>
        <w:tc>
          <w:tcPr>
            <w:tcW w:w="296" w:type="pct"/>
            <w:tcBorders>
              <w:left w:val="single" w:sz="4" w:space="0" w:color="auto"/>
            </w:tcBorders>
            <w:noWrap/>
            <w:vAlign w:val="center"/>
            <w:hideMark/>
          </w:tcPr>
          <w:p w14:paraId="2AA484C2"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8.53</w:t>
            </w:r>
          </w:p>
        </w:tc>
        <w:tc>
          <w:tcPr>
            <w:tcW w:w="257" w:type="pct"/>
            <w:noWrap/>
            <w:vAlign w:val="center"/>
            <w:hideMark/>
          </w:tcPr>
          <w:p w14:paraId="0485D58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6.97</w:t>
            </w:r>
          </w:p>
        </w:tc>
        <w:tc>
          <w:tcPr>
            <w:tcW w:w="257" w:type="pct"/>
            <w:noWrap/>
            <w:vAlign w:val="center"/>
            <w:hideMark/>
          </w:tcPr>
          <w:p w14:paraId="1D5D67B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7.05</w:t>
            </w:r>
          </w:p>
        </w:tc>
        <w:tc>
          <w:tcPr>
            <w:tcW w:w="296" w:type="pct"/>
            <w:noWrap/>
            <w:vAlign w:val="center"/>
            <w:hideMark/>
          </w:tcPr>
          <w:p w14:paraId="2360E93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8.36</w:t>
            </w:r>
          </w:p>
        </w:tc>
        <w:tc>
          <w:tcPr>
            <w:tcW w:w="310" w:type="pct"/>
            <w:noWrap/>
            <w:vAlign w:val="center"/>
            <w:hideMark/>
          </w:tcPr>
          <w:p w14:paraId="57DFC7FC"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8.59</w:t>
            </w:r>
          </w:p>
        </w:tc>
        <w:tc>
          <w:tcPr>
            <w:tcW w:w="296" w:type="pct"/>
            <w:noWrap/>
            <w:vAlign w:val="center"/>
            <w:hideMark/>
          </w:tcPr>
          <w:p w14:paraId="3F07E2B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11.45</w:t>
            </w:r>
          </w:p>
        </w:tc>
        <w:tc>
          <w:tcPr>
            <w:tcW w:w="468" w:type="pct"/>
            <w:noWrap/>
            <w:vAlign w:val="center"/>
            <w:hideMark/>
          </w:tcPr>
          <w:p w14:paraId="2C90797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6.97</w:t>
            </w:r>
          </w:p>
        </w:tc>
        <w:tc>
          <w:tcPr>
            <w:tcW w:w="334" w:type="pct"/>
            <w:noWrap/>
            <w:vAlign w:val="center"/>
            <w:hideMark/>
          </w:tcPr>
          <w:p w14:paraId="3D90A9EA"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88.55</w:t>
            </w:r>
          </w:p>
        </w:tc>
      </w:tr>
      <w:tr w:rsidR="00AF342A" w:rsidRPr="003563BF" w14:paraId="6788665F" w14:textId="77777777" w:rsidTr="00AF342A">
        <w:trPr>
          <w:trHeight w:val="454"/>
        </w:trPr>
        <w:tc>
          <w:tcPr>
            <w:tcW w:w="342" w:type="pct"/>
            <w:tcBorders>
              <w:right w:val="nil"/>
            </w:tcBorders>
          </w:tcPr>
          <w:p w14:paraId="6D156676" w14:textId="77777777" w:rsidR="00AF342A" w:rsidRPr="003563BF" w:rsidRDefault="00AF342A" w:rsidP="00835A65">
            <w:pPr>
              <w:rPr>
                <w:rFonts w:ascii="Times New Roman" w:hAnsi="Times New Roman" w:cs="Times New Roman"/>
              </w:rPr>
            </w:pPr>
          </w:p>
        </w:tc>
        <w:tc>
          <w:tcPr>
            <w:tcW w:w="468" w:type="pct"/>
            <w:tcBorders>
              <w:left w:val="nil"/>
              <w:right w:val="single" w:sz="4" w:space="0" w:color="auto"/>
            </w:tcBorders>
            <w:noWrap/>
            <w:vAlign w:val="center"/>
            <w:hideMark/>
          </w:tcPr>
          <w:p w14:paraId="5268EC7A" w14:textId="72CE3D5F" w:rsidR="00AF342A" w:rsidRPr="003563BF" w:rsidRDefault="00AF342A" w:rsidP="00835A65">
            <w:pPr>
              <w:rPr>
                <w:rFonts w:ascii="Times New Roman" w:hAnsi="Times New Roman" w:cs="Times New Roman"/>
              </w:rPr>
            </w:pPr>
            <w:proofErr w:type="spellStart"/>
            <w:r w:rsidRPr="003563BF">
              <w:rPr>
                <w:rFonts w:ascii="Times New Roman" w:hAnsi="Times New Roman" w:cs="Times New Roman"/>
              </w:rPr>
              <w:t>USD.Index</w:t>
            </w:r>
            <w:proofErr w:type="spellEnd"/>
          </w:p>
        </w:tc>
        <w:tc>
          <w:tcPr>
            <w:tcW w:w="314" w:type="pct"/>
            <w:tcBorders>
              <w:left w:val="single" w:sz="4" w:space="0" w:color="auto"/>
            </w:tcBorders>
            <w:noWrap/>
            <w:vAlign w:val="center"/>
            <w:hideMark/>
          </w:tcPr>
          <w:p w14:paraId="1E44EFD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7.28</w:t>
            </w:r>
          </w:p>
        </w:tc>
        <w:tc>
          <w:tcPr>
            <w:tcW w:w="257" w:type="pct"/>
            <w:noWrap/>
            <w:vAlign w:val="center"/>
            <w:hideMark/>
          </w:tcPr>
          <w:p w14:paraId="55B1FE0B"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6.25</w:t>
            </w:r>
          </w:p>
        </w:tc>
        <w:tc>
          <w:tcPr>
            <w:tcW w:w="296" w:type="pct"/>
            <w:tcBorders>
              <w:right w:val="single" w:sz="4" w:space="0" w:color="auto"/>
            </w:tcBorders>
            <w:noWrap/>
            <w:vAlign w:val="center"/>
            <w:hideMark/>
          </w:tcPr>
          <w:p w14:paraId="286BDE43"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7.45</w:t>
            </w:r>
          </w:p>
        </w:tc>
        <w:tc>
          <w:tcPr>
            <w:tcW w:w="258" w:type="pct"/>
            <w:tcBorders>
              <w:left w:val="single" w:sz="4" w:space="0" w:color="auto"/>
            </w:tcBorders>
            <w:noWrap/>
            <w:vAlign w:val="center"/>
            <w:hideMark/>
          </w:tcPr>
          <w:p w14:paraId="4D3A8A4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7.20</w:t>
            </w:r>
          </w:p>
        </w:tc>
        <w:tc>
          <w:tcPr>
            <w:tcW w:w="257" w:type="pct"/>
            <w:noWrap/>
            <w:vAlign w:val="center"/>
            <w:hideMark/>
          </w:tcPr>
          <w:p w14:paraId="59D6B84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7.44</w:t>
            </w:r>
          </w:p>
        </w:tc>
        <w:tc>
          <w:tcPr>
            <w:tcW w:w="296" w:type="pct"/>
            <w:tcBorders>
              <w:right w:val="single" w:sz="4" w:space="0" w:color="auto"/>
            </w:tcBorders>
            <w:noWrap/>
            <w:vAlign w:val="center"/>
            <w:hideMark/>
          </w:tcPr>
          <w:p w14:paraId="1D676AE2"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7.28</w:t>
            </w:r>
          </w:p>
        </w:tc>
        <w:tc>
          <w:tcPr>
            <w:tcW w:w="296" w:type="pct"/>
            <w:tcBorders>
              <w:left w:val="single" w:sz="4" w:space="0" w:color="auto"/>
            </w:tcBorders>
            <w:noWrap/>
            <w:vAlign w:val="center"/>
            <w:hideMark/>
          </w:tcPr>
          <w:p w14:paraId="237C2EB4"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7.65</w:t>
            </w:r>
          </w:p>
        </w:tc>
        <w:tc>
          <w:tcPr>
            <w:tcW w:w="257" w:type="pct"/>
            <w:noWrap/>
            <w:vAlign w:val="center"/>
            <w:hideMark/>
          </w:tcPr>
          <w:p w14:paraId="6E18779E"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6.95</w:t>
            </w:r>
          </w:p>
        </w:tc>
        <w:tc>
          <w:tcPr>
            <w:tcW w:w="257" w:type="pct"/>
            <w:noWrap/>
            <w:vAlign w:val="center"/>
            <w:hideMark/>
          </w:tcPr>
          <w:p w14:paraId="3BB1EC7F"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7.16</w:t>
            </w:r>
          </w:p>
        </w:tc>
        <w:tc>
          <w:tcPr>
            <w:tcW w:w="296" w:type="pct"/>
            <w:noWrap/>
            <w:vAlign w:val="center"/>
            <w:hideMark/>
          </w:tcPr>
          <w:p w14:paraId="33CAA6F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8.08</w:t>
            </w:r>
          </w:p>
        </w:tc>
        <w:tc>
          <w:tcPr>
            <w:tcW w:w="310" w:type="pct"/>
            <w:noWrap/>
            <w:vAlign w:val="center"/>
            <w:hideMark/>
          </w:tcPr>
          <w:p w14:paraId="007441FA"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8.51</w:t>
            </w:r>
          </w:p>
        </w:tc>
        <w:tc>
          <w:tcPr>
            <w:tcW w:w="296" w:type="pct"/>
            <w:noWrap/>
            <w:vAlign w:val="center"/>
            <w:hideMark/>
          </w:tcPr>
          <w:p w14:paraId="0713CB0C"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8.45</w:t>
            </w:r>
          </w:p>
        </w:tc>
        <w:tc>
          <w:tcPr>
            <w:tcW w:w="468" w:type="pct"/>
            <w:noWrap/>
            <w:vAlign w:val="center"/>
            <w:hideMark/>
          </w:tcPr>
          <w:p w14:paraId="1D6139D2"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10.29</w:t>
            </w:r>
          </w:p>
        </w:tc>
        <w:tc>
          <w:tcPr>
            <w:tcW w:w="334" w:type="pct"/>
            <w:noWrap/>
            <w:vAlign w:val="center"/>
            <w:hideMark/>
          </w:tcPr>
          <w:p w14:paraId="35F3DD95"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89.71</w:t>
            </w:r>
          </w:p>
        </w:tc>
      </w:tr>
      <w:tr w:rsidR="00AF342A" w:rsidRPr="003563BF" w14:paraId="34F00A33" w14:textId="77777777" w:rsidTr="00AF342A">
        <w:trPr>
          <w:trHeight w:val="454"/>
        </w:trPr>
        <w:tc>
          <w:tcPr>
            <w:tcW w:w="342" w:type="pct"/>
            <w:tcBorders>
              <w:right w:val="nil"/>
            </w:tcBorders>
          </w:tcPr>
          <w:p w14:paraId="0D05876A" w14:textId="77777777" w:rsidR="00AF342A" w:rsidRPr="003563BF" w:rsidRDefault="00AF342A" w:rsidP="00835A65">
            <w:pPr>
              <w:rPr>
                <w:rFonts w:ascii="Times New Roman" w:hAnsi="Times New Roman" w:cs="Times New Roman"/>
              </w:rPr>
            </w:pPr>
          </w:p>
        </w:tc>
        <w:tc>
          <w:tcPr>
            <w:tcW w:w="468" w:type="pct"/>
            <w:tcBorders>
              <w:left w:val="nil"/>
              <w:right w:val="single" w:sz="4" w:space="0" w:color="auto"/>
            </w:tcBorders>
            <w:noWrap/>
            <w:vAlign w:val="center"/>
            <w:hideMark/>
          </w:tcPr>
          <w:p w14:paraId="76CC265F" w14:textId="679E27CB" w:rsidR="00AF342A" w:rsidRPr="003563BF" w:rsidRDefault="00AD4771" w:rsidP="00835A65">
            <w:pPr>
              <w:rPr>
                <w:rFonts w:ascii="Times New Roman" w:hAnsi="Times New Roman" w:cs="Times New Roman"/>
              </w:rPr>
            </w:pPr>
            <w:r>
              <w:rPr>
                <w:rFonts w:ascii="Times New Roman" w:hAnsi="Times New Roman" w:cs="Times New Roman"/>
              </w:rPr>
              <w:t>To Others</w:t>
            </w:r>
          </w:p>
        </w:tc>
        <w:tc>
          <w:tcPr>
            <w:tcW w:w="314" w:type="pct"/>
            <w:tcBorders>
              <w:left w:val="single" w:sz="4" w:space="0" w:color="auto"/>
            </w:tcBorders>
            <w:noWrap/>
            <w:vAlign w:val="center"/>
            <w:hideMark/>
          </w:tcPr>
          <w:p w14:paraId="10E8FEE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89.08</w:t>
            </w:r>
          </w:p>
        </w:tc>
        <w:tc>
          <w:tcPr>
            <w:tcW w:w="257" w:type="pct"/>
            <w:noWrap/>
            <w:vAlign w:val="center"/>
            <w:hideMark/>
          </w:tcPr>
          <w:p w14:paraId="5586B4A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80.19</w:t>
            </w:r>
          </w:p>
        </w:tc>
        <w:tc>
          <w:tcPr>
            <w:tcW w:w="296" w:type="pct"/>
            <w:tcBorders>
              <w:right w:val="single" w:sz="4" w:space="0" w:color="auto"/>
            </w:tcBorders>
            <w:noWrap/>
            <w:vAlign w:val="center"/>
            <w:hideMark/>
          </w:tcPr>
          <w:p w14:paraId="2BCD96B4"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89.87</w:t>
            </w:r>
          </w:p>
        </w:tc>
        <w:tc>
          <w:tcPr>
            <w:tcW w:w="258" w:type="pct"/>
            <w:tcBorders>
              <w:left w:val="single" w:sz="4" w:space="0" w:color="auto"/>
            </w:tcBorders>
            <w:noWrap/>
            <w:vAlign w:val="center"/>
            <w:hideMark/>
          </w:tcPr>
          <w:p w14:paraId="091B530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89.30</w:t>
            </w:r>
          </w:p>
        </w:tc>
        <w:tc>
          <w:tcPr>
            <w:tcW w:w="257" w:type="pct"/>
            <w:noWrap/>
            <w:vAlign w:val="center"/>
            <w:hideMark/>
          </w:tcPr>
          <w:p w14:paraId="784D1300"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85.01</w:t>
            </w:r>
          </w:p>
        </w:tc>
        <w:tc>
          <w:tcPr>
            <w:tcW w:w="296" w:type="pct"/>
            <w:tcBorders>
              <w:right w:val="single" w:sz="4" w:space="0" w:color="auto"/>
            </w:tcBorders>
            <w:noWrap/>
            <w:vAlign w:val="center"/>
            <w:hideMark/>
          </w:tcPr>
          <w:p w14:paraId="3FDED093"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93.37</w:t>
            </w:r>
          </w:p>
        </w:tc>
        <w:tc>
          <w:tcPr>
            <w:tcW w:w="296" w:type="pct"/>
            <w:tcBorders>
              <w:left w:val="single" w:sz="4" w:space="0" w:color="auto"/>
            </w:tcBorders>
            <w:noWrap/>
            <w:vAlign w:val="center"/>
            <w:hideMark/>
          </w:tcPr>
          <w:p w14:paraId="61F46EB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92.05</w:t>
            </w:r>
          </w:p>
        </w:tc>
        <w:tc>
          <w:tcPr>
            <w:tcW w:w="257" w:type="pct"/>
            <w:noWrap/>
            <w:vAlign w:val="center"/>
            <w:hideMark/>
          </w:tcPr>
          <w:p w14:paraId="79476D97"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81.68</w:t>
            </w:r>
          </w:p>
        </w:tc>
        <w:tc>
          <w:tcPr>
            <w:tcW w:w="257" w:type="pct"/>
            <w:noWrap/>
            <w:vAlign w:val="center"/>
            <w:hideMark/>
          </w:tcPr>
          <w:p w14:paraId="44442C45"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88.79</w:t>
            </w:r>
          </w:p>
        </w:tc>
        <w:tc>
          <w:tcPr>
            <w:tcW w:w="296" w:type="pct"/>
            <w:noWrap/>
            <w:vAlign w:val="center"/>
            <w:hideMark/>
          </w:tcPr>
          <w:p w14:paraId="06633AFF"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96.45</w:t>
            </w:r>
          </w:p>
        </w:tc>
        <w:tc>
          <w:tcPr>
            <w:tcW w:w="310" w:type="pct"/>
            <w:noWrap/>
            <w:vAlign w:val="center"/>
            <w:hideMark/>
          </w:tcPr>
          <w:p w14:paraId="27DAF9A4"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97.95</w:t>
            </w:r>
          </w:p>
        </w:tc>
        <w:tc>
          <w:tcPr>
            <w:tcW w:w="296" w:type="pct"/>
            <w:noWrap/>
            <w:vAlign w:val="center"/>
            <w:hideMark/>
          </w:tcPr>
          <w:p w14:paraId="16A7DA7A"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97.22</w:t>
            </w:r>
          </w:p>
        </w:tc>
        <w:tc>
          <w:tcPr>
            <w:tcW w:w="468" w:type="pct"/>
            <w:noWrap/>
            <w:vAlign w:val="center"/>
            <w:hideMark/>
          </w:tcPr>
          <w:p w14:paraId="40754240"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83.88</w:t>
            </w:r>
          </w:p>
        </w:tc>
        <w:tc>
          <w:tcPr>
            <w:tcW w:w="334" w:type="pct"/>
            <w:noWrap/>
            <w:vAlign w:val="center"/>
            <w:hideMark/>
          </w:tcPr>
          <w:p w14:paraId="6D7B797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1164.84</w:t>
            </w:r>
          </w:p>
        </w:tc>
      </w:tr>
      <w:tr w:rsidR="00AF342A" w:rsidRPr="003563BF" w14:paraId="351B0754" w14:textId="77777777" w:rsidTr="00AF342A">
        <w:trPr>
          <w:trHeight w:val="454"/>
        </w:trPr>
        <w:tc>
          <w:tcPr>
            <w:tcW w:w="342" w:type="pct"/>
            <w:tcBorders>
              <w:right w:val="nil"/>
            </w:tcBorders>
          </w:tcPr>
          <w:p w14:paraId="38F41DE2" w14:textId="77777777" w:rsidR="00AF342A" w:rsidRPr="003563BF" w:rsidRDefault="00AF342A" w:rsidP="00835A65">
            <w:pPr>
              <w:rPr>
                <w:rFonts w:ascii="Times New Roman" w:hAnsi="Times New Roman" w:cs="Times New Roman"/>
              </w:rPr>
            </w:pPr>
          </w:p>
        </w:tc>
        <w:tc>
          <w:tcPr>
            <w:tcW w:w="468" w:type="pct"/>
            <w:tcBorders>
              <w:left w:val="nil"/>
              <w:right w:val="single" w:sz="4" w:space="0" w:color="auto"/>
            </w:tcBorders>
            <w:noWrap/>
            <w:vAlign w:val="center"/>
            <w:hideMark/>
          </w:tcPr>
          <w:p w14:paraId="77C40816" w14:textId="28289BF7" w:rsidR="00AF342A" w:rsidRPr="003563BF" w:rsidRDefault="00AF342A" w:rsidP="00835A65">
            <w:pPr>
              <w:rPr>
                <w:rFonts w:ascii="Times New Roman" w:hAnsi="Times New Roman" w:cs="Times New Roman"/>
              </w:rPr>
            </w:pPr>
            <w:proofErr w:type="spellStart"/>
            <w:r w:rsidRPr="003563BF">
              <w:rPr>
                <w:rFonts w:ascii="Times New Roman" w:hAnsi="Times New Roman" w:cs="Times New Roman"/>
              </w:rPr>
              <w:t>Inc.Own</w:t>
            </w:r>
            <w:proofErr w:type="spellEnd"/>
          </w:p>
        </w:tc>
        <w:tc>
          <w:tcPr>
            <w:tcW w:w="314" w:type="pct"/>
            <w:tcBorders>
              <w:left w:val="single" w:sz="4" w:space="0" w:color="auto"/>
            </w:tcBorders>
            <w:noWrap/>
            <w:vAlign w:val="center"/>
            <w:hideMark/>
          </w:tcPr>
          <w:p w14:paraId="367731B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98.79</w:t>
            </w:r>
          </w:p>
        </w:tc>
        <w:tc>
          <w:tcPr>
            <w:tcW w:w="257" w:type="pct"/>
            <w:noWrap/>
            <w:vAlign w:val="center"/>
            <w:hideMark/>
          </w:tcPr>
          <w:p w14:paraId="15BB5842"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90.59</w:t>
            </w:r>
          </w:p>
        </w:tc>
        <w:tc>
          <w:tcPr>
            <w:tcW w:w="296" w:type="pct"/>
            <w:tcBorders>
              <w:right w:val="single" w:sz="4" w:space="0" w:color="auto"/>
            </w:tcBorders>
            <w:noWrap/>
            <w:vAlign w:val="center"/>
            <w:hideMark/>
          </w:tcPr>
          <w:p w14:paraId="4F358B7B"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100.07</w:t>
            </w:r>
          </w:p>
        </w:tc>
        <w:tc>
          <w:tcPr>
            <w:tcW w:w="258" w:type="pct"/>
            <w:tcBorders>
              <w:left w:val="single" w:sz="4" w:space="0" w:color="auto"/>
            </w:tcBorders>
            <w:noWrap/>
            <w:vAlign w:val="center"/>
            <w:hideMark/>
          </w:tcPr>
          <w:p w14:paraId="5434CDAA"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99.09</w:t>
            </w:r>
          </w:p>
        </w:tc>
        <w:tc>
          <w:tcPr>
            <w:tcW w:w="257" w:type="pct"/>
            <w:noWrap/>
            <w:vAlign w:val="center"/>
            <w:hideMark/>
          </w:tcPr>
          <w:p w14:paraId="08C2E6C0"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95.83</w:t>
            </w:r>
          </w:p>
        </w:tc>
        <w:tc>
          <w:tcPr>
            <w:tcW w:w="296" w:type="pct"/>
            <w:tcBorders>
              <w:right w:val="single" w:sz="4" w:space="0" w:color="auto"/>
            </w:tcBorders>
            <w:noWrap/>
            <w:vAlign w:val="center"/>
            <w:hideMark/>
          </w:tcPr>
          <w:p w14:paraId="381B0E1F"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103.06</w:t>
            </w:r>
          </w:p>
        </w:tc>
        <w:tc>
          <w:tcPr>
            <w:tcW w:w="296" w:type="pct"/>
            <w:tcBorders>
              <w:left w:val="single" w:sz="4" w:space="0" w:color="auto"/>
            </w:tcBorders>
            <w:noWrap/>
            <w:vAlign w:val="center"/>
            <w:hideMark/>
          </w:tcPr>
          <w:p w14:paraId="00F981D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102.96</w:t>
            </w:r>
          </w:p>
        </w:tc>
        <w:tc>
          <w:tcPr>
            <w:tcW w:w="257" w:type="pct"/>
            <w:noWrap/>
            <w:vAlign w:val="center"/>
            <w:hideMark/>
          </w:tcPr>
          <w:p w14:paraId="7EF7195A"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92.59</w:t>
            </w:r>
          </w:p>
        </w:tc>
        <w:tc>
          <w:tcPr>
            <w:tcW w:w="257" w:type="pct"/>
            <w:noWrap/>
            <w:vAlign w:val="center"/>
            <w:hideMark/>
          </w:tcPr>
          <w:p w14:paraId="68948263"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98.09</w:t>
            </w:r>
          </w:p>
        </w:tc>
        <w:tc>
          <w:tcPr>
            <w:tcW w:w="296" w:type="pct"/>
            <w:noWrap/>
            <w:vAlign w:val="center"/>
            <w:hideMark/>
          </w:tcPr>
          <w:p w14:paraId="245AFC8A"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107.37</w:t>
            </w:r>
          </w:p>
        </w:tc>
        <w:tc>
          <w:tcPr>
            <w:tcW w:w="310" w:type="pct"/>
            <w:noWrap/>
            <w:vAlign w:val="center"/>
            <w:hideMark/>
          </w:tcPr>
          <w:p w14:paraId="5196F52D"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108.73</w:t>
            </w:r>
          </w:p>
        </w:tc>
        <w:tc>
          <w:tcPr>
            <w:tcW w:w="296" w:type="pct"/>
            <w:noWrap/>
            <w:vAlign w:val="center"/>
            <w:hideMark/>
          </w:tcPr>
          <w:p w14:paraId="27489E49"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108.67</w:t>
            </w:r>
          </w:p>
        </w:tc>
        <w:tc>
          <w:tcPr>
            <w:tcW w:w="468" w:type="pct"/>
            <w:noWrap/>
            <w:vAlign w:val="center"/>
            <w:hideMark/>
          </w:tcPr>
          <w:p w14:paraId="27ED0F5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94.18</w:t>
            </w:r>
          </w:p>
        </w:tc>
        <w:tc>
          <w:tcPr>
            <w:tcW w:w="334" w:type="pct"/>
            <w:noWrap/>
            <w:vAlign w:val="center"/>
            <w:hideMark/>
          </w:tcPr>
          <w:p w14:paraId="4C716420"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TCI</w:t>
            </w:r>
          </w:p>
        </w:tc>
      </w:tr>
      <w:tr w:rsidR="00AF342A" w:rsidRPr="003563BF" w14:paraId="2ADCE37D" w14:textId="77777777" w:rsidTr="00AF342A">
        <w:trPr>
          <w:trHeight w:val="454"/>
        </w:trPr>
        <w:tc>
          <w:tcPr>
            <w:tcW w:w="342" w:type="pct"/>
            <w:tcBorders>
              <w:right w:val="nil"/>
            </w:tcBorders>
          </w:tcPr>
          <w:p w14:paraId="7F7842EF" w14:textId="77777777" w:rsidR="00AF342A" w:rsidRPr="003563BF" w:rsidRDefault="00AF342A" w:rsidP="00835A65">
            <w:pPr>
              <w:rPr>
                <w:rFonts w:ascii="Times New Roman" w:hAnsi="Times New Roman" w:cs="Times New Roman"/>
              </w:rPr>
            </w:pPr>
          </w:p>
        </w:tc>
        <w:tc>
          <w:tcPr>
            <w:tcW w:w="468" w:type="pct"/>
            <w:tcBorders>
              <w:left w:val="nil"/>
              <w:bottom w:val="single" w:sz="4" w:space="0" w:color="auto"/>
              <w:right w:val="single" w:sz="4" w:space="0" w:color="auto"/>
            </w:tcBorders>
            <w:noWrap/>
            <w:vAlign w:val="center"/>
            <w:hideMark/>
          </w:tcPr>
          <w:p w14:paraId="68F4E3FA" w14:textId="2D5275E4" w:rsidR="00AF342A" w:rsidRPr="003563BF" w:rsidRDefault="00D97C9B" w:rsidP="00835A65">
            <w:pPr>
              <w:rPr>
                <w:rFonts w:ascii="Times New Roman" w:hAnsi="Times New Roman" w:cs="Times New Roman"/>
              </w:rPr>
            </w:pPr>
            <w:r>
              <w:rPr>
                <w:rFonts w:ascii="Times New Roman" w:hAnsi="Times New Roman" w:cs="Times New Roman"/>
              </w:rPr>
              <w:t>Net</w:t>
            </w:r>
          </w:p>
        </w:tc>
        <w:tc>
          <w:tcPr>
            <w:tcW w:w="314" w:type="pct"/>
            <w:tcBorders>
              <w:left w:val="single" w:sz="4" w:space="0" w:color="auto"/>
              <w:bottom w:val="single" w:sz="4" w:space="0" w:color="auto"/>
            </w:tcBorders>
            <w:noWrap/>
            <w:vAlign w:val="center"/>
            <w:hideMark/>
          </w:tcPr>
          <w:p w14:paraId="15DACC15"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-1.21</w:t>
            </w:r>
          </w:p>
        </w:tc>
        <w:tc>
          <w:tcPr>
            <w:tcW w:w="257" w:type="pct"/>
            <w:tcBorders>
              <w:bottom w:val="single" w:sz="4" w:space="0" w:color="auto"/>
            </w:tcBorders>
            <w:noWrap/>
            <w:vAlign w:val="center"/>
            <w:hideMark/>
          </w:tcPr>
          <w:p w14:paraId="05D4087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-9.41</w:t>
            </w:r>
          </w:p>
        </w:tc>
        <w:tc>
          <w:tcPr>
            <w:tcW w:w="296" w:type="pct"/>
            <w:tcBorders>
              <w:bottom w:val="single" w:sz="4" w:space="0" w:color="auto"/>
              <w:right w:val="single" w:sz="4" w:space="0" w:color="auto"/>
            </w:tcBorders>
            <w:noWrap/>
            <w:vAlign w:val="center"/>
            <w:hideMark/>
          </w:tcPr>
          <w:p w14:paraId="32547D1E"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0.07</w:t>
            </w:r>
          </w:p>
        </w:tc>
        <w:tc>
          <w:tcPr>
            <w:tcW w:w="258" w:type="pct"/>
            <w:tcBorders>
              <w:left w:val="single" w:sz="4" w:space="0" w:color="auto"/>
              <w:bottom w:val="single" w:sz="4" w:space="0" w:color="auto"/>
            </w:tcBorders>
            <w:noWrap/>
            <w:vAlign w:val="center"/>
            <w:hideMark/>
          </w:tcPr>
          <w:p w14:paraId="6E50A5DD"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-0.91</w:t>
            </w:r>
          </w:p>
        </w:tc>
        <w:tc>
          <w:tcPr>
            <w:tcW w:w="257" w:type="pct"/>
            <w:tcBorders>
              <w:bottom w:val="single" w:sz="4" w:space="0" w:color="auto"/>
            </w:tcBorders>
            <w:noWrap/>
            <w:vAlign w:val="center"/>
            <w:hideMark/>
          </w:tcPr>
          <w:p w14:paraId="26F7F171"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-4.17</w:t>
            </w:r>
          </w:p>
        </w:tc>
        <w:tc>
          <w:tcPr>
            <w:tcW w:w="296" w:type="pct"/>
            <w:tcBorders>
              <w:bottom w:val="single" w:sz="4" w:space="0" w:color="auto"/>
              <w:right w:val="single" w:sz="4" w:space="0" w:color="auto"/>
            </w:tcBorders>
            <w:noWrap/>
            <w:vAlign w:val="center"/>
            <w:hideMark/>
          </w:tcPr>
          <w:p w14:paraId="10F6541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3.06</w:t>
            </w:r>
          </w:p>
        </w:tc>
        <w:tc>
          <w:tcPr>
            <w:tcW w:w="296" w:type="pct"/>
            <w:tcBorders>
              <w:left w:val="single" w:sz="4" w:space="0" w:color="auto"/>
            </w:tcBorders>
            <w:noWrap/>
            <w:vAlign w:val="center"/>
            <w:hideMark/>
          </w:tcPr>
          <w:p w14:paraId="5504E09A"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2.96</w:t>
            </w:r>
          </w:p>
        </w:tc>
        <w:tc>
          <w:tcPr>
            <w:tcW w:w="257" w:type="pct"/>
            <w:noWrap/>
            <w:vAlign w:val="center"/>
            <w:hideMark/>
          </w:tcPr>
          <w:p w14:paraId="37296384"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-7.41</w:t>
            </w:r>
          </w:p>
        </w:tc>
        <w:tc>
          <w:tcPr>
            <w:tcW w:w="257" w:type="pct"/>
            <w:noWrap/>
            <w:vAlign w:val="center"/>
            <w:hideMark/>
          </w:tcPr>
          <w:p w14:paraId="49DB8430"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-1.91</w:t>
            </w:r>
          </w:p>
        </w:tc>
        <w:tc>
          <w:tcPr>
            <w:tcW w:w="296" w:type="pct"/>
            <w:noWrap/>
            <w:vAlign w:val="center"/>
            <w:hideMark/>
          </w:tcPr>
          <w:p w14:paraId="056AF8FD"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7.37</w:t>
            </w:r>
          </w:p>
        </w:tc>
        <w:tc>
          <w:tcPr>
            <w:tcW w:w="310" w:type="pct"/>
            <w:noWrap/>
            <w:vAlign w:val="center"/>
            <w:hideMark/>
          </w:tcPr>
          <w:p w14:paraId="73DEA353"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8.73</w:t>
            </w:r>
          </w:p>
        </w:tc>
        <w:tc>
          <w:tcPr>
            <w:tcW w:w="296" w:type="pct"/>
            <w:noWrap/>
            <w:vAlign w:val="center"/>
            <w:hideMark/>
          </w:tcPr>
          <w:p w14:paraId="3F2CA7CE"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8.67</w:t>
            </w:r>
          </w:p>
        </w:tc>
        <w:tc>
          <w:tcPr>
            <w:tcW w:w="468" w:type="pct"/>
            <w:noWrap/>
            <w:vAlign w:val="center"/>
            <w:hideMark/>
          </w:tcPr>
          <w:p w14:paraId="2F2E5F08" w14:textId="77777777"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-5.82</w:t>
            </w:r>
          </w:p>
        </w:tc>
        <w:tc>
          <w:tcPr>
            <w:tcW w:w="334" w:type="pct"/>
            <w:noWrap/>
            <w:vAlign w:val="center"/>
            <w:hideMark/>
          </w:tcPr>
          <w:p w14:paraId="21007D8A" w14:textId="00BF401B" w:rsidR="00AF342A" w:rsidRPr="00AF342A" w:rsidRDefault="00AF342A" w:rsidP="00835A65">
            <w:pPr>
              <w:rPr>
                <w:rFonts w:ascii="Times New Roman" w:hAnsi="Times New Roman" w:cs="Times New Roman"/>
                <w:sz w:val="20"/>
              </w:rPr>
            </w:pPr>
            <w:r w:rsidRPr="00AF342A">
              <w:rPr>
                <w:rFonts w:ascii="Times New Roman" w:hAnsi="Times New Roman" w:cs="Times New Roman"/>
                <w:sz w:val="20"/>
              </w:rPr>
              <w:t>89.60</w:t>
            </w:r>
          </w:p>
        </w:tc>
      </w:tr>
    </w:tbl>
    <w:p w14:paraId="7397E8B8" w14:textId="5600AA8D" w:rsidR="00D07B84" w:rsidRDefault="00835A65" w:rsidP="00D07B84">
      <w:pPr>
        <w:jc w:val="both"/>
        <w:rPr>
          <w:rFonts w:ascii="Times New Roman" w:hAnsi="Times New Roman" w:cs="Times New Roman"/>
          <w:sz w:val="18"/>
          <w:szCs w:val="18"/>
        </w:rPr>
      </w:pPr>
      <w:r w:rsidRPr="0065228D">
        <w:rPr>
          <w:rFonts w:ascii="Times New Roman" w:hAnsi="Times New Roman" w:cs="Times New Roman"/>
          <w:sz w:val="18"/>
          <w:szCs w:val="18"/>
        </w:rPr>
        <w:t>Notes: DEX- Decentralized Exchange, CEX- Centralized Exchange, RUNE-</w:t>
      </w:r>
      <w:r w:rsidR="009C39DF">
        <w:rPr>
          <w:rFonts w:ascii="Times New Roman" w:hAnsi="Times New Roman" w:cs="Times New Roman"/>
          <w:sz w:val="18"/>
          <w:szCs w:val="18"/>
        </w:rPr>
        <w:t xml:space="preserve"> </w:t>
      </w:r>
      <w:proofErr w:type="spellStart"/>
      <w:r w:rsidRPr="0065228D">
        <w:rPr>
          <w:rFonts w:ascii="Times New Roman" w:hAnsi="Times New Roman" w:cs="Times New Roman"/>
          <w:sz w:val="18"/>
          <w:szCs w:val="18"/>
        </w:rPr>
        <w:t>THORChain</w:t>
      </w:r>
      <w:proofErr w:type="spellEnd"/>
      <w:r w:rsidRPr="0065228D">
        <w:rPr>
          <w:rFonts w:ascii="Times New Roman" w:hAnsi="Times New Roman" w:cs="Times New Roman"/>
          <w:sz w:val="18"/>
          <w:szCs w:val="18"/>
        </w:rPr>
        <w:t>, LRC-</w:t>
      </w:r>
      <w:r w:rsidR="009C39DF">
        <w:rPr>
          <w:rFonts w:ascii="Times New Roman" w:hAnsi="Times New Roman" w:cs="Times New Roman"/>
          <w:sz w:val="18"/>
          <w:szCs w:val="18"/>
        </w:rPr>
        <w:t xml:space="preserve"> </w:t>
      </w:r>
      <w:proofErr w:type="spellStart"/>
      <w:proofErr w:type="gramStart"/>
      <w:r w:rsidRPr="0065228D">
        <w:rPr>
          <w:rFonts w:ascii="Times New Roman" w:hAnsi="Times New Roman" w:cs="Times New Roman"/>
          <w:sz w:val="18"/>
          <w:szCs w:val="18"/>
        </w:rPr>
        <w:t>Loopring</w:t>
      </w:r>
      <w:proofErr w:type="spellEnd"/>
      <w:r w:rsidRPr="0065228D">
        <w:rPr>
          <w:rFonts w:ascii="Times New Roman" w:hAnsi="Times New Roman" w:cs="Times New Roman"/>
          <w:sz w:val="18"/>
          <w:szCs w:val="18"/>
        </w:rPr>
        <w:t> ,</w:t>
      </w:r>
      <w:proofErr w:type="gramEnd"/>
      <w:r w:rsidRPr="0065228D">
        <w:rPr>
          <w:rFonts w:ascii="Times New Roman" w:hAnsi="Times New Roman" w:cs="Times New Roman"/>
          <w:sz w:val="18"/>
          <w:szCs w:val="18"/>
        </w:rPr>
        <w:t xml:space="preserve"> GNO-</w:t>
      </w:r>
      <w:r w:rsidR="009C39DF">
        <w:rPr>
          <w:rFonts w:ascii="Times New Roman" w:hAnsi="Times New Roman" w:cs="Times New Roman"/>
          <w:sz w:val="18"/>
          <w:szCs w:val="18"/>
        </w:rPr>
        <w:t xml:space="preserve"> </w:t>
      </w:r>
      <w:r w:rsidRPr="0065228D">
        <w:rPr>
          <w:rFonts w:ascii="Times New Roman" w:hAnsi="Times New Roman" w:cs="Times New Roman"/>
          <w:sz w:val="18"/>
          <w:szCs w:val="18"/>
        </w:rPr>
        <w:t>Gnosis, BNB-</w:t>
      </w:r>
      <w:r w:rsidR="009C39DF">
        <w:rPr>
          <w:rFonts w:ascii="Times New Roman" w:hAnsi="Times New Roman" w:cs="Times New Roman"/>
          <w:sz w:val="18"/>
          <w:szCs w:val="18"/>
        </w:rPr>
        <w:t xml:space="preserve"> </w:t>
      </w:r>
      <w:proofErr w:type="spellStart"/>
      <w:r w:rsidRPr="0065228D">
        <w:rPr>
          <w:rFonts w:ascii="Times New Roman" w:hAnsi="Times New Roman" w:cs="Times New Roman"/>
          <w:sz w:val="18"/>
          <w:szCs w:val="18"/>
        </w:rPr>
        <w:t>Binance</w:t>
      </w:r>
      <w:proofErr w:type="spellEnd"/>
      <w:r w:rsidRPr="0065228D">
        <w:rPr>
          <w:rFonts w:ascii="Times New Roman" w:hAnsi="Times New Roman" w:cs="Times New Roman"/>
          <w:sz w:val="18"/>
          <w:szCs w:val="18"/>
        </w:rPr>
        <w:t xml:space="preserve"> Coin, LEO-</w:t>
      </w:r>
      <w:r w:rsidR="009C39DF">
        <w:rPr>
          <w:rFonts w:ascii="Times New Roman" w:hAnsi="Times New Roman" w:cs="Times New Roman"/>
          <w:sz w:val="18"/>
          <w:szCs w:val="18"/>
        </w:rPr>
        <w:t xml:space="preserve"> </w:t>
      </w:r>
      <w:r w:rsidRPr="0065228D">
        <w:rPr>
          <w:rFonts w:ascii="Times New Roman" w:hAnsi="Times New Roman" w:cs="Times New Roman"/>
          <w:sz w:val="18"/>
          <w:szCs w:val="18"/>
        </w:rPr>
        <w:t>UNUS SED LEO, FTT-</w:t>
      </w:r>
      <w:r w:rsidR="009C39DF">
        <w:rPr>
          <w:rFonts w:ascii="Times New Roman" w:hAnsi="Times New Roman" w:cs="Times New Roman"/>
          <w:sz w:val="18"/>
          <w:szCs w:val="18"/>
        </w:rPr>
        <w:t xml:space="preserve"> </w:t>
      </w:r>
      <w:r w:rsidRPr="0065228D">
        <w:rPr>
          <w:rFonts w:ascii="Times New Roman" w:hAnsi="Times New Roman" w:cs="Times New Roman"/>
          <w:sz w:val="18"/>
          <w:szCs w:val="18"/>
        </w:rPr>
        <w:t>FTX Token, BTC-</w:t>
      </w:r>
      <w:r w:rsidR="009C39DF">
        <w:rPr>
          <w:rFonts w:ascii="Times New Roman" w:hAnsi="Times New Roman" w:cs="Times New Roman"/>
          <w:sz w:val="18"/>
          <w:szCs w:val="18"/>
        </w:rPr>
        <w:t xml:space="preserve"> </w:t>
      </w:r>
      <w:r w:rsidRPr="0065228D">
        <w:rPr>
          <w:rFonts w:ascii="Times New Roman" w:hAnsi="Times New Roman" w:cs="Times New Roman"/>
          <w:sz w:val="18"/>
          <w:szCs w:val="18"/>
        </w:rPr>
        <w:t>Bitcoin.</w:t>
      </w:r>
    </w:p>
    <w:p w14:paraId="4053140A" w14:textId="231A94AE" w:rsidR="00835A65" w:rsidRPr="00D07B84" w:rsidRDefault="00835A65" w:rsidP="00D07B84">
      <w:pPr>
        <w:jc w:val="both"/>
        <w:rPr>
          <w:rFonts w:ascii="Times New Roman" w:hAnsi="Times New Roman" w:cs="Times New Roman"/>
          <w:sz w:val="18"/>
          <w:szCs w:val="18"/>
        </w:rPr>
      </w:pPr>
      <w:r w:rsidRPr="0065228D">
        <w:rPr>
          <w:rFonts w:ascii="Times New Roman" w:hAnsi="Times New Roman" w:cs="Times New Roman"/>
          <w:b/>
          <w:bCs/>
          <w:sz w:val="24"/>
          <w:szCs w:val="24"/>
        </w:rPr>
        <w:lastRenderedPageBreak/>
        <w:t>Table 6.</w:t>
      </w:r>
      <w:r w:rsidRPr="0065228D">
        <w:rPr>
          <w:rFonts w:ascii="Times New Roman" w:hAnsi="Times New Roman" w:cs="Times New Roman"/>
          <w:sz w:val="24"/>
          <w:szCs w:val="24"/>
        </w:rPr>
        <w:t xml:space="preserve"> Static return spillover at </w:t>
      </w:r>
      <w:r w:rsidR="006B43E8">
        <w:rPr>
          <w:rFonts w:ascii="Times New Roman" w:hAnsi="Times New Roman" w:cs="Times New Roman"/>
          <w:sz w:val="24"/>
          <w:szCs w:val="24"/>
        </w:rPr>
        <w:t xml:space="preserve">the </w:t>
      </w:r>
      <w:r w:rsidRPr="0065228D">
        <w:rPr>
          <w:rFonts w:ascii="Times New Roman" w:hAnsi="Times New Roman" w:cs="Times New Roman"/>
          <w:sz w:val="24"/>
          <w:szCs w:val="24"/>
        </w:rPr>
        <w:t>extreme upper quantile (Q</w:t>
      </w:r>
      <w:r w:rsidR="0065228D" w:rsidRPr="0065228D">
        <w:rPr>
          <w:rFonts w:ascii="Times New Roman" w:hAnsi="Times New Roman" w:cs="Times New Roman"/>
          <w:sz w:val="24"/>
          <w:szCs w:val="24"/>
        </w:rPr>
        <w:t xml:space="preserve"> </w:t>
      </w:r>
      <w:r w:rsidRPr="0065228D">
        <w:rPr>
          <w:rFonts w:ascii="Times New Roman" w:hAnsi="Times New Roman" w:cs="Times New Roman"/>
          <w:sz w:val="24"/>
          <w:szCs w:val="24"/>
        </w:rPr>
        <w:t>=</w:t>
      </w:r>
      <w:r w:rsidR="0065228D" w:rsidRPr="0065228D">
        <w:rPr>
          <w:rFonts w:ascii="Times New Roman" w:hAnsi="Times New Roman" w:cs="Times New Roman"/>
          <w:sz w:val="24"/>
          <w:szCs w:val="24"/>
        </w:rPr>
        <w:t xml:space="preserve"> </w:t>
      </w:r>
      <w:r w:rsidRPr="0065228D">
        <w:rPr>
          <w:rFonts w:ascii="Times New Roman" w:hAnsi="Times New Roman" w:cs="Times New Roman"/>
          <w:sz w:val="24"/>
          <w:szCs w:val="24"/>
        </w:rPr>
        <w:t>0.95)</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1527"/>
        <w:gridCol w:w="815"/>
        <w:gridCol w:w="666"/>
        <w:gridCol w:w="766"/>
        <w:gridCol w:w="766"/>
        <w:gridCol w:w="666"/>
        <w:gridCol w:w="766"/>
        <w:gridCol w:w="666"/>
        <w:gridCol w:w="733"/>
        <w:gridCol w:w="766"/>
        <w:gridCol w:w="766"/>
        <w:gridCol w:w="803"/>
        <w:gridCol w:w="693"/>
        <w:gridCol w:w="1213"/>
        <w:gridCol w:w="866"/>
      </w:tblGrid>
      <w:tr w:rsidR="00D07B84" w:rsidRPr="003563BF" w14:paraId="4681C025" w14:textId="77777777" w:rsidTr="00AD4771">
        <w:trPr>
          <w:trHeight w:val="454"/>
        </w:trPr>
        <w:tc>
          <w:tcPr>
            <w:tcW w:w="161" w:type="pct"/>
            <w:tcBorders>
              <w:top w:val="single" w:sz="4" w:space="0" w:color="auto"/>
              <w:bottom w:val="single" w:sz="4" w:space="0" w:color="auto"/>
              <w:right w:val="nil"/>
            </w:tcBorders>
          </w:tcPr>
          <w:p w14:paraId="59D18C27" w14:textId="77777777" w:rsidR="00D07B84" w:rsidRPr="003563BF" w:rsidRDefault="00D07B84" w:rsidP="00835A65">
            <w:pPr>
              <w:rPr>
                <w:rFonts w:ascii="Times New Roman" w:hAnsi="Times New Roman" w:cs="Times New Roman"/>
              </w:rPr>
            </w:pPr>
          </w:p>
        </w:tc>
        <w:tc>
          <w:tcPr>
            <w:tcW w:w="731" w:type="pct"/>
            <w:tcBorders>
              <w:top w:val="single" w:sz="4" w:space="0" w:color="auto"/>
              <w:left w:val="nil"/>
              <w:bottom w:val="single" w:sz="4" w:space="0" w:color="auto"/>
              <w:right w:val="single" w:sz="4" w:space="0" w:color="auto"/>
            </w:tcBorders>
            <w:noWrap/>
            <w:vAlign w:val="center"/>
          </w:tcPr>
          <w:p w14:paraId="2F6AC48E" w14:textId="6AA86903" w:rsidR="00D07B84" w:rsidRPr="003563BF" w:rsidRDefault="00D07B84" w:rsidP="00835A65">
            <w:pPr>
              <w:rPr>
                <w:rFonts w:ascii="Times New Roman" w:hAnsi="Times New Roman" w:cs="Times New Roman"/>
              </w:rPr>
            </w:pPr>
          </w:p>
        </w:tc>
        <w:tc>
          <w:tcPr>
            <w:tcW w:w="838" w:type="pct"/>
            <w:gridSpan w:val="3"/>
            <w:tcBorders>
              <w:top w:val="single" w:sz="4" w:space="0" w:color="auto"/>
              <w:left w:val="single" w:sz="4" w:space="0" w:color="auto"/>
              <w:bottom w:val="single" w:sz="4" w:space="0" w:color="auto"/>
              <w:right w:val="single" w:sz="4" w:space="0" w:color="auto"/>
            </w:tcBorders>
            <w:noWrap/>
            <w:vAlign w:val="center"/>
          </w:tcPr>
          <w:p w14:paraId="5BEE05E2" w14:textId="43A585EA" w:rsidR="00D07B84" w:rsidRPr="003563BF" w:rsidRDefault="00D07B84" w:rsidP="00D07B84">
            <w:pPr>
              <w:jc w:val="center"/>
              <w:rPr>
                <w:rFonts w:ascii="Times New Roman" w:hAnsi="Times New Roman" w:cs="Times New Roman"/>
              </w:rPr>
            </w:pPr>
            <w:r>
              <w:rPr>
                <w:rFonts w:ascii="Times New Roman" w:hAnsi="Times New Roman" w:cs="Times New Roman"/>
              </w:rPr>
              <w:t>DEX tokens</w:t>
            </w:r>
          </w:p>
        </w:tc>
        <w:tc>
          <w:tcPr>
            <w:tcW w:w="839" w:type="pct"/>
            <w:gridSpan w:val="3"/>
            <w:tcBorders>
              <w:top w:val="single" w:sz="4" w:space="0" w:color="auto"/>
              <w:left w:val="single" w:sz="4" w:space="0" w:color="auto"/>
              <w:bottom w:val="single" w:sz="4" w:space="0" w:color="auto"/>
              <w:right w:val="single" w:sz="4" w:space="0" w:color="auto"/>
            </w:tcBorders>
            <w:noWrap/>
            <w:vAlign w:val="center"/>
          </w:tcPr>
          <w:p w14:paraId="37F8DD41" w14:textId="07CBCF40" w:rsidR="00D07B84" w:rsidRPr="003563BF" w:rsidRDefault="00D07B84" w:rsidP="00D07B84">
            <w:pPr>
              <w:jc w:val="center"/>
              <w:rPr>
                <w:rFonts w:ascii="Times New Roman" w:hAnsi="Times New Roman" w:cs="Times New Roman"/>
              </w:rPr>
            </w:pPr>
            <w:r>
              <w:rPr>
                <w:rFonts w:ascii="Times New Roman" w:hAnsi="Times New Roman" w:cs="Times New Roman"/>
              </w:rPr>
              <w:t>CEX tokens</w:t>
            </w:r>
          </w:p>
        </w:tc>
        <w:tc>
          <w:tcPr>
            <w:tcW w:w="279" w:type="pct"/>
            <w:tcBorders>
              <w:top w:val="single" w:sz="4" w:space="0" w:color="auto"/>
              <w:left w:val="single" w:sz="4" w:space="0" w:color="auto"/>
              <w:bottom w:val="single" w:sz="4" w:space="0" w:color="auto"/>
            </w:tcBorders>
            <w:noWrap/>
            <w:vAlign w:val="center"/>
          </w:tcPr>
          <w:p w14:paraId="614CD19D" w14:textId="77777777" w:rsidR="00D07B84" w:rsidRPr="003563BF" w:rsidRDefault="00D07B84" w:rsidP="00835A65">
            <w:pPr>
              <w:rPr>
                <w:rFonts w:ascii="Times New Roman" w:hAnsi="Times New Roman" w:cs="Times New Roman"/>
              </w:rPr>
            </w:pPr>
          </w:p>
        </w:tc>
        <w:tc>
          <w:tcPr>
            <w:tcW w:w="279" w:type="pct"/>
            <w:tcBorders>
              <w:top w:val="single" w:sz="4" w:space="0" w:color="auto"/>
              <w:bottom w:val="single" w:sz="4" w:space="0" w:color="auto"/>
            </w:tcBorders>
            <w:noWrap/>
            <w:vAlign w:val="center"/>
          </w:tcPr>
          <w:p w14:paraId="5B126D6B" w14:textId="77777777" w:rsidR="00D07B84" w:rsidRPr="003563BF" w:rsidRDefault="00D07B84" w:rsidP="00835A65">
            <w:pPr>
              <w:rPr>
                <w:rFonts w:ascii="Times New Roman" w:hAnsi="Times New Roman" w:cs="Times New Roman"/>
              </w:rPr>
            </w:pPr>
          </w:p>
        </w:tc>
        <w:tc>
          <w:tcPr>
            <w:tcW w:w="280" w:type="pct"/>
            <w:tcBorders>
              <w:top w:val="single" w:sz="4" w:space="0" w:color="auto"/>
              <w:bottom w:val="single" w:sz="4" w:space="0" w:color="auto"/>
            </w:tcBorders>
            <w:noWrap/>
            <w:vAlign w:val="center"/>
          </w:tcPr>
          <w:p w14:paraId="6CFC8599" w14:textId="77777777" w:rsidR="00D07B84" w:rsidRPr="003563BF" w:rsidRDefault="00D07B84" w:rsidP="00835A65">
            <w:pPr>
              <w:rPr>
                <w:rFonts w:ascii="Times New Roman" w:hAnsi="Times New Roman" w:cs="Times New Roman"/>
              </w:rPr>
            </w:pPr>
          </w:p>
        </w:tc>
        <w:tc>
          <w:tcPr>
            <w:tcW w:w="280" w:type="pct"/>
            <w:tcBorders>
              <w:top w:val="single" w:sz="4" w:space="0" w:color="auto"/>
              <w:bottom w:val="single" w:sz="4" w:space="0" w:color="auto"/>
            </w:tcBorders>
            <w:noWrap/>
            <w:vAlign w:val="center"/>
          </w:tcPr>
          <w:p w14:paraId="2E9E35B8" w14:textId="77777777" w:rsidR="00D07B84" w:rsidRPr="003563BF" w:rsidRDefault="00D07B84" w:rsidP="00835A65">
            <w:pPr>
              <w:rPr>
                <w:rFonts w:ascii="Times New Roman" w:hAnsi="Times New Roman" w:cs="Times New Roman"/>
              </w:rPr>
            </w:pPr>
          </w:p>
        </w:tc>
        <w:tc>
          <w:tcPr>
            <w:tcW w:w="279" w:type="pct"/>
            <w:tcBorders>
              <w:top w:val="single" w:sz="4" w:space="0" w:color="auto"/>
              <w:bottom w:val="single" w:sz="4" w:space="0" w:color="auto"/>
            </w:tcBorders>
            <w:noWrap/>
            <w:vAlign w:val="center"/>
          </w:tcPr>
          <w:p w14:paraId="067FA67E" w14:textId="77777777" w:rsidR="00D07B84" w:rsidRPr="003563BF" w:rsidRDefault="00D07B84" w:rsidP="00835A65">
            <w:pPr>
              <w:rPr>
                <w:rFonts w:ascii="Times New Roman" w:hAnsi="Times New Roman" w:cs="Times New Roman"/>
              </w:rPr>
            </w:pPr>
          </w:p>
        </w:tc>
        <w:tc>
          <w:tcPr>
            <w:tcW w:w="279" w:type="pct"/>
            <w:tcBorders>
              <w:top w:val="single" w:sz="4" w:space="0" w:color="auto"/>
              <w:bottom w:val="single" w:sz="4" w:space="0" w:color="auto"/>
            </w:tcBorders>
            <w:noWrap/>
            <w:vAlign w:val="center"/>
          </w:tcPr>
          <w:p w14:paraId="6A22F0A9" w14:textId="77777777" w:rsidR="00D07B84" w:rsidRPr="003563BF" w:rsidRDefault="00D07B84" w:rsidP="00835A65">
            <w:pPr>
              <w:rPr>
                <w:rFonts w:ascii="Times New Roman" w:hAnsi="Times New Roman" w:cs="Times New Roman"/>
              </w:rPr>
            </w:pPr>
          </w:p>
        </w:tc>
        <w:tc>
          <w:tcPr>
            <w:tcW w:w="430" w:type="pct"/>
            <w:tcBorders>
              <w:top w:val="single" w:sz="4" w:space="0" w:color="auto"/>
              <w:bottom w:val="single" w:sz="4" w:space="0" w:color="auto"/>
            </w:tcBorders>
            <w:noWrap/>
            <w:vAlign w:val="center"/>
          </w:tcPr>
          <w:p w14:paraId="597768C5" w14:textId="77777777" w:rsidR="00D07B84" w:rsidRPr="003563BF" w:rsidRDefault="00D07B84" w:rsidP="00835A65">
            <w:pPr>
              <w:rPr>
                <w:rFonts w:ascii="Times New Roman" w:hAnsi="Times New Roman" w:cs="Times New Roman"/>
              </w:rPr>
            </w:pPr>
          </w:p>
        </w:tc>
        <w:tc>
          <w:tcPr>
            <w:tcW w:w="323" w:type="pct"/>
            <w:tcBorders>
              <w:top w:val="single" w:sz="4" w:space="0" w:color="auto"/>
              <w:bottom w:val="single" w:sz="4" w:space="0" w:color="auto"/>
            </w:tcBorders>
            <w:noWrap/>
            <w:vAlign w:val="center"/>
          </w:tcPr>
          <w:p w14:paraId="54FB448D" w14:textId="77777777" w:rsidR="00D07B84" w:rsidRPr="003563BF" w:rsidRDefault="00D07B84" w:rsidP="00835A65">
            <w:pPr>
              <w:rPr>
                <w:rFonts w:ascii="Times New Roman" w:hAnsi="Times New Roman" w:cs="Times New Roman"/>
              </w:rPr>
            </w:pPr>
          </w:p>
        </w:tc>
      </w:tr>
      <w:tr w:rsidR="00D07B84" w:rsidRPr="003563BF" w14:paraId="4BD28AAC" w14:textId="77777777" w:rsidTr="00AD4771">
        <w:trPr>
          <w:trHeight w:val="454"/>
        </w:trPr>
        <w:tc>
          <w:tcPr>
            <w:tcW w:w="161" w:type="pct"/>
            <w:tcBorders>
              <w:top w:val="single" w:sz="4" w:space="0" w:color="auto"/>
              <w:bottom w:val="single" w:sz="4" w:space="0" w:color="auto"/>
              <w:right w:val="nil"/>
            </w:tcBorders>
          </w:tcPr>
          <w:p w14:paraId="673A7C79" w14:textId="77777777" w:rsidR="00D07B84" w:rsidRPr="003563BF" w:rsidRDefault="00D07B84" w:rsidP="00835A65">
            <w:pPr>
              <w:rPr>
                <w:rFonts w:ascii="Times New Roman" w:hAnsi="Times New Roman" w:cs="Times New Roman"/>
              </w:rPr>
            </w:pPr>
          </w:p>
        </w:tc>
        <w:tc>
          <w:tcPr>
            <w:tcW w:w="731" w:type="pct"/>
            <w:tcBorders>
              <w:top w:val="single" w:sz="4" w:space="0" w:color="auto"/>
              <w:left w:val="nil"/>
              <w:bottom w:val="single" w:sz="4" w:space="0" w:color="auto"/>
              <w:right w:val="single" w:sz="4" w:space="0" w:color="auto"/>
            </w:tcBorders>
            <w:noWrap/>
            <w:vAlign w:val="center"/>
            <w:hideMark/>
          </w:tcPr>
          <w:p w14:paraId="4E34AA6F" w14:textId="56FA9BDE" w:rsidR="00D07B84" w:rsidRPr="003563BF" w:rsidRDefault="00D07B84" w:rsidP="00835A65">
            <w:pPr>
              <w:rPr>
                <w:rFonts w:ascii="Times New Roman" w:hAnsi="Times New Roman" w:cs="Times New Roman"/>
              </w:rPr>
            </w:pPr>
          </w:p>
        </w:tc>
        <w:tc>
          <w:tcPr>
            <w:tcW w:w="279" w:type="pct"/>
            <w:tcBorders>
              <w:top w:val="single" w:sz="4" w:space="0" w:color="auto"/>
              <w:left w:val="single" w:sz="4" w:space="0" w:color="auto"/>
              <w:bottom w:val="single" w:sz="4" w:space="0" w:color="auto"/>
            </w:tcBorders>
            <w:noWrap/>
            <w:vAlign w:val="center"/>
            <w:hideMark/>
          </w:tcPr>
          <w:p w14:paraId="557B4641" w14:textId="77777777" w:rsidR="00D07B84" w:rsidRPr="003563BF" w:rsidRDefault="00D07B84" w:rsidP="00835A65">
            <w:pPr>
              <w:rPr>
                <w:rFonts w:ascii="Times New Roman" w:hAnsi="Times New Roman" w:cs="Times New Roman"/>
              </w:rPr>
            </w:pPr>
            <w:r w:rsidRPr="003563BF">
              <w:rPr>
                <w:rFonts w:ascii="Times New Roman" w:hAnsi="Times New Roman" w:cs="Times New Roman"/>
              </w:rPr>
              <w:t>RUNE</w:t>
            </w:r>
          </w:p>
        </w:tc>
        <w:tc>
          <w:tcPr>
            <w:tcW w:w="279" w:type="pct"/>
            <w:tcBorders>
              <w:top w:val="single" w:sz="4" w:space="0" w:color="auto"/>
              <w:bottom w:val="single" w:sz="4" w:space="0" w:color="auto"/>
            </w:tcBorders>
            <w:noWrap/>
            <w:vAlign w:val="center"/>
            <w:hideMark/>
          </w:tcPr>
          <w:p w14:paraId="754314F6" w14:textId="77777777" w:rsidR="00D07B84" w:rsidRPr="003563BF" w:rsidRDefault="00D07B84" w:rsidP="00835A65">
            <w:pPr>
              <w:rPr>
                <w:rFonts w:ascii="Times New Roman" w:hAnsi="Times New Roman" w:cs="Times New Roman"/>
              </w:rPr>
            </w:pPr>
            <w:r w:rsidRPr="003563BF">
              <w:rPr>
                <w:rFonts w:ascii="Times New Roman" w:hAnsi="Times New Roman" w:cs="Times New Roman"/>
              </w:rPr>
              <w:t>LRC</w:t>
            </w:r>
          </w:p>
        </w:tc>
        <w:tc>
          <w:tcPr>
            <w:tcW w:w="280" w:type="pct"/>
            <w:tcBorders>
              <w:top w:val="single" w:sz="4" w:space="0" w:color="auto"/>
              <w:bottom w:val="single" w:sz="4" w:space="0" w:color="auto"/>
              <w:right w:val="single" w:sz="4" w:space="0" w:color="auto"/>
            </w:tcBorders>
            <w:noWrap/>
            <w:vAlign w:val="center"/>
            <w:hideMark/>
          </w:tcPr>
          <w:p w14:paraId="29880A0B" w14:textId="77777777" w:rsidR="00D07B84" w:rsidRPr="003563BF" w:rsidRDefault="00D07B84" w:rsidP="00835A65">
            <w:pPr>
              <w:rPr>
                <w:rFonts w:ascii="Times New Roman" w:hAnsi="Times New Roman" w:cs="Times New Roman"/>
              </w:rPr>
            </w:pPr>
            <w:r w:rsidRPr="003563BF">
              <w:rPr>
                <w:rFonts w:ascii="Times New Roman" w:hAnsi="Times New Roman" w:cs="Times New Roman"/>
              </w:rPr>
              <w:t>GNO</w:t>
            </w:r>
          </w:p>
        </w:tc>
        <w:tc>
          <w:tcPr>
            <w:tcW w:w="280" w:type="pct"/>
            <w:tcBorders>
              <w:top w:val="single" w:sz="4" w:space="0" w:color="auto"/>
              <w:left w:val="single" w:sz="4" w:space="0" w:color="auto"/>
              <w:bottom w:val="single" w:sz="4" w:space="0" w:color="auto"/>
            </w:tcBorders>
            <w:noWrap/>
            <w:vAlign w:val="center"/>
            <w:hideMark/>
          </w:tcPr>
          <w:p w14:paraId="62F61864" w14:textId="77777777" w:rsidR="00D07B84" w:rsidRPr="003563BF" w:rsidRDefault="00D07B84" w:rsidP="00835A65">
            <w:pPr>
              <w:rPr>
                <w:rFonts w:ascii="Times New Roman" w:hAnsi="Times New Roman" w:cs="Times New Roman"/>
              </w:rPr>
            </w:pPr>
            <w:r w:rsidRPr="003563BF">
              <w:rPr>
                <w:rFonts w:ascii="Times New Roman" w:hAnsi="Times New Roman" w:cs="Times New Roman"/>
              </w:rPr>
              <w:t>BNB</w:t>
            </w:r>
          </w:p>
        </w:tc>
        <w:tc>
          <w:tcPr>
            <w:tcW w:w="279" w:type="pct"/>
            <w:tcBorders>
              <w:top w:val="single" w:sz="4" w:space="0" w:color="auto"/>
              <w:bottom w:val="single" w:sz="4" w:space="0" w:color="auto"/>
            </w:tcBorders>
            <w:noWrap/>
            <w:vAlign w:val="center"/>
            <w:hideMark/>
          </w:tcPr>
          <w:p w14:paraId="1612B0B6" w14:textId="77777777" w:rsidR="00D07B84" w:rsidRPr="003563BF" w:rsidRDefault="00D07B84" w:rsidP="00835A65">
            <w:pPr>
              <w:rPr>
                <w:rFonts w:ascii="Times New Roman" w:hAnsi="Times New Roman" w:cs="Times New Roman"/>
              </w:rPr>
            </w:pPr>
            <w:r w:rsidRPr="003563BF">
              <w:rPr>
                <w:rFonts w:ascii="Times New Roman" w:hAnsi="Times New Roman" w:cs="Times New Roman"/>
              </w:rPr>
              <w:t>LEO</w:t>
            </w:r>
          </w:p>
        </w:tc>
        <w:tc>
          <w:tcPr>
            <w:tcW w:w="280" w:type="pct"/>
            <w:tcBorders>
              <w:top w:val="single" w:sz="4" w:space="0" w:color="auto"/>
              <w:bottom w:val="single" w:sz="4" w:space="0" w:color="auto"/>
              <w:right w:val="single" w:sz="4" w:space="0" w:color="auto"/>
            </w:tcBorders>
            <w:noWrap/>
            <w:vAlign w:val="center"/>
            <w:hideMark/>
          </w:tcPr>
          <w:p w14:paraId="6611FDAC" w14:textId="77777777" w:rsidR="00D07B84" w:rsidRPr="003563BF" w:rsidRDefault="00D07B84" w:rsidP="00835A65">
            <w:pPr>
              <w:rPr>
                <w:rFonts w:ascii="Times New Roman" w:hAnsi="Times New Roman" w:cs="Times New Roman"/>
              </w:rPr>
            </w:pPr>
            <w:r w:rsidRPr="003563BF">
              <w:rPr>
                <w:rFonts w:ascii="Times New Roman" w:hAnsi="Times New Roman" w:cs="Times New Roman"/>
              </w:rPr>
              <w:t>FTT</w:t>
            </w:r>
          </w:p>
        </w:tc>
        <w:tc>
          <w:tcPr>
            <w:tcW w:w="279" w:type="pct"/>
            <w:tcBorders>
              <w:top w:val="single" w:sz="4" w:space="0" w:color="auto"/>
              <w:left w:val="single" w:sz="4" w:space="0" w:color="auto"/>
              <w:bottom w:val="single" w:sz="4" w:space="0" w:color="auto"/>
            </w:tcBorders>
            <w:noWrap/>
            <w:vAlign w:val="center"/>
            <w:hideMark/>
          </w:tcPr>
          <w:p w14:paraId="5B3D9B3B" w14:textId="77777777" w:rsidR="00D07B84" w:rsidRPr="003563BF" w:rsidRDefault="00D07B84" w:rsidP="00835A65">
            <w:pPr>
              <w:rPr>
                <w:rFonts w:ascii="Times New Roman" w:hAnsi="Times New Roman" w:cs="Times New Roman"/>
              </w:rPr>
            </w:pPr>
            <w:r w:rsidRPr="003563BF">
              <w:rPr>
                <w:rFonts w:ascii="Times New Roman" w:hAnsi="Times New Roman" w:cs="Times New Roman"/>
              </w:rPr>
              <w:t>Gold</w:t>
            </w:r>
          </w:p>
        </w:tc>
        <w:tc>
          <w:tcPr>
            <w:tcW w:w="279" w:type="pct"/>
            <w:tcBorders>
              <w:top w:val="single" w:sz="4" w:space="0" w:color="auto"/>
              <w:bottom w:val="single" w:sz="4" w:space="0" w:color="auto"/>
            </w:tcBorders>
            <w:noWrap/>
            <w:vAlign w:val="center"/>
            <w:hideMark/>
          </w:tcPr>
          <w:p w14:paraId="657907EA" w14:textId="6732D33A" w:rsidR="00D07B84" w:rsidRPr="003563BF" w:rsidRDefault="00D07B84" w:rsidP="00835A65">
            <w:pPr>
              <w:rPr>
                <w:rFonts w:ascii="Times New Roman" w:hAnsi="Times New Roman" w:cs="Times New Roman"/>
              </w:rPr>
            </w:pPr>
            <w:r w:rsidRPr="003563BF">
              <w:rPr>
                <w:rFonts w:ascii="Times New Roman" w:hAnsi="Times New Roman" w:cs="Times New Roman"/>
              </w:rPr>
              <w:t>Oil</w:t>
            </w:r>
          </w:p>
        </w:tc>
        <w:tc>
          <w:tcPr>
            <w:tcW w:w="280" w:type="pct"/>
            <w:tcBorders>
              <w:top w:val="single" w:sz="4" w:space="0" w:color="auto"/>
              <w:bottom w:val="single" w:sz="4" w:space="0" w:color="auto"/>
            </w:tcBorders>
            <w:noWrap/>
            <w:vAlign w:val="center"/>
            <w:hideMark/>
          </w:tcPr>
          <w:p w14:paraId="6F3181E8" w14:textId="77777777" w:rsidR="00D07B84" w:rsidRPr="003563BF" w:rsidRDefault="00D07B84" w:rsidP="00835A65">
            <w:pPr>
              <w:rPr>
                <w:rFonts w:ascii="Times New Roman" w:hAnsi="Times New Roman" w:cs="Times New Roman"/>
              </w:rPr>
            </w:pPr>
            <w:r w:rsidRPr="003563BF">
              <w:rPr>
                <w:rFonts w:ascii="Times New Roman" w:hAnsi="Times New Roman" w:cs="Times New Roman"/>
              </w:rPr>
              <w:t>BTC</w:t>
            </w:r>
          </w:p>
        </w:tc>
        <w:tc>
          <w:tcPr>
            <w:tcW w:w="280" w:type="pct"/>
            <w:tcBorders>
              <w:top w:val="single" w:sz="4" w:space="0" w:color="auto"/>
              <w:bottom w:val="single" w:sz="4" w:space="0" w:color="auto"/>
            </w:tcBorders>
            <w:noWrap/>
            <w:vAlign w:val="center"/>
            <w:hideMark/>
          </w:tcPr>
          <w:p w14:paraId="5951A2AE" w14:textId="77777777" w:rsidR="00D07B84" w:rsidRPr="003563BF" w:rsidRDefault="00D07B84" w:rsidP="00835A65">
            <w:pPr>
              <w:rPr>
                <w:rFonts w:ascii="Times New Roman" w:hAnsi="Times New Roman" w:cs="Times New Roman"/>
              </w:rPr>
            </w:pPr>
            <w:r w:rsidRPr="003563BF">
              <w:rPr>
                <w:rFonts w:ascii="Times New Roman" w:hAnsi="Times New Roman" w:cs="Times New Roman"/>
              </w:rPr>
              <w:t>REIT</w:t>
            </w:r>
          </w:p>
        </w:tc>
        <w:tc>
          <w:tcPr>
            <w:tcW w:w="279" w:type="pct"/>
            <w:tcBorders>
              <w:top w:val="single" w:sz="4" w:space="0" w:color="auto"/>
              <w:bottom w:val="single" w:sz="4" w:space="0" w:color="auto"/>
            </w:tcBorders>
            <w:noWrap/>
            <w:vAlign w:val="center"/>
            <w:hideMark/>
          </w:tcPr>
          <w:p w14:paraId="2BDAE1BA" w14:textId="77777777" w:rsidR="00D07B84" w:rsidRPr="003563BF" w:rsidRDefault="00D07B84" w:rsidP="00835A65">
            <w:pPr>
              <w:rPr>
                <w:rFonts w:ascii="Times New Roman" w:hAnsi="Times New Roman" w:cs="Times New Roman"/>
              </w:rPr>
            </w:pPr>
            <w:r w:rsidRPr="003563BF">
              <w:rPr>
                <w:rFonts w:ascii="Times New Roman" w:hAnsi="Times New Roman" w:cs="Times New Roman"/>
              </w:rPr>
              <w:t>Equity</w:t>
            </w:r>
          </w:p>
        </w:tc>
        <w:tc>
          <w:tcPr>
            <w:tcW w:w="279" w:type="pct"/>
            <w:tcBorders>
              <w:top w:val="single" w:sz="4" w:space="0" w:color="auto"/>
              <w:bottom w:val="single" w:sz="4" w:space="0" w:color="auto"/>
            </w:tcBorders>
            <w:noWrap/>
            <w:vAlign w:val="center"/>
            <w:hideMark/>
          </w:tcPr>
          <w:p w14:paraId="0712615C" w14:textId="77777777" w:rsidR="00D07B84" w:rsidRPr="003563BF" w:rsidRDefault="00D07B84" w:rsidP="00835A65">
            <w:pPr>
              <w:rPr>
                <w:rFonts w:ascii="Times New Roman" w:hAnsi="Times New Roman" w:cs="Times New Roman"/>
              </w:rPr>
            </w:pPr>
            <w:r w:rsidRPr="003563BF">
              <w:rPr>
                <w:rFonts w:ascii="Times New Roman" w:hAnsi="Times New Roman" w:cs="Times New Roman"/>
              </w:rPr>
              <w:t>Bond</w:t>
            </w:r>
          </w:p>
        </w:tc>
        <w:tc>
          <w:tcPr>
            <w:tcW w:w="430" w:type="pct"/>
            <w:tcBorders>
              <w:top w:val="single" w:sz="4" w:space="0" w:color="auto"/>
              <w:bottom w:val="single" w:sz="4" w:space="0" w:color="auto"/>
            </w:tcBorders>
            <w:noWrap/>
            <w:vAlign w:val="center"/>
            <w:hideMark/>
          </w:tcPr>
          <w:p w14:paraId="672DB028" w14:textId="77777777" w:rsidR="00D07B84" w:rsidRPr="003563BF" w:rsidRDefault="00D07B84" w:rsidP="00835A65">
            <w:pPr>
              <w:rPr>
                <w:rFonts w:ascii="Times New Roman" w:hAnsi="Times New Roman" w:cs="Times New Roman"/>
              </w:rPr>
            </w:pPr>
            <w:proofErr w:type="spellStart"/>
            <w:r w:rsidRPr="003563BF">
              <w:rPr>
                <w:rFonts w:ascii="Times New Roman" w:hAnsi="Times New Roman" w:cs="Times New Roman"/>
              </w:rPr>
              <w:t>USD.Index</w:t>
            </w:r>
            <w:proofErr w:type="spellEnd"/>
          </w:p>
        </w:tc>
        <w:tc>
          <w:tcPr>
            <w:tcW w:w="323" w:type="pct"/>
            <w:tcBorders>
              <w:top w:val="single" w:sz="4" w:space="0" w:color="auto"/>
              <w:bottom w:val="single" w:sz="4" w:space="0" w:color="auto"/>
            </w:tcBorders>
            <w:noWrap/>
            <w:vAlign w:val="center"/>
            <w:hideMark/>
          </w:tcPr>
          <w:p w14:paraId="5ECBCF0A" w14:textId="7D7F9D9D" w:rsidR="00D07B84" w:rsidRPr="003563BF" w:rsidRDefault="00CC0E8D" w:rsidP="00835A65">
            <w:pPr>
              <w:rPr>
                <w:rFonts w:ascii="Times New Roman" w:hAnsi="Times New Roman" w:cs="Times New Roman"/>
              </w:rPr>
            </w:pPr>
            <w:r>
              <w:rPr>
                <w:rFonts w:ascii="Times New Roman" w:hAnsi="Times New Roman" w:cs="Times New Roman"/>
              </w:rPr>
              <w:t>From</w:t>
            </w:r>
          </w:p>
        </w:tc>
      </w:tr>
      <w:tr w:rsidR="00D07B84" w:rsidRPr="00D07B84" w14:paraId="65662828" w14:textId="77777777" w:rsidTr="00AD4771">
        <w:trPr>
          <w:trHeight w:val="454"/>
        </w:trPr>
        <w:tc>
          <w:tcPr>
            <w:tcW w:w="161" w:type="pct"/>
            <w:vMerge w:val="restart"/>
            <w:tcBorders>
              <w:top w:val="single" w:sz="4" w:space="0" w:color="auto"/>
              <w:right w:val="nil"/>
            </w:tcBorders>
            <w:textDirection w:val="btLr"/>
          </w:tcPr>
          <w:p w14:paraId="4DCF8727" w14:textId="195D54F7" w:rsidR="00D07B84" w:rsidRPr="003563BF" w:rsidRDefault="00D07B84" w:rsidP="00D07B84">
            <w:pPr>
              <w:ind w:left="113" w:right="113"/>
              <w:jc w:val="center"/>
              <w:rPr>
                <w:rFonts w:ascii="Times New Roman" w:hAnsi="Times New Roman" w:cs="Times New Roman"/>
              </w:rPr>
            </w:pPr>
            <w:r>
              <w:rPr>
                <w:rFonts w:ascii="Times New Roman" w:hAnsi="Times New Roman" w:cs="Times New Roman"/>
              </w:rPr>
              <w:t>DEX tokens</w:t>
            </w:r>
          </w:p>
        </w:tc>
        <w:tc>
          <w:tcPr>
            <w:tcW w:w="731" w:type="pct"/>
            <w:tcBorders>
              <w:top w:val="single" w:sz="4" w:space="0" w:color="auto"/>
              <w:left w:val="nil"/>
              <w:bottom w:val="nil"/>
              <w:right w:val="single" w:sz="4" w:space="0" w:color="auto"/>
            </w:tcBorders>
            <w:noWrap/>
            <w:vAlign w:val="center"/>
            <w:hideMark/>
          </w:tcPr>
          <w:p w14:paraId="671ED2BB" w14:textId="49C60C37" w:rsidR="00D07B84" w:rsidRPr="003563BF" w:rsidRDefault="00D07B84" w:rsidP="00835A65">
            <w:pPr>
              <w:rPr>
                <w:rFonts w:ascii="Times New Roman" w:hAnsi="Times New Roman" w:cs="Times New Roman"/>
              </w:rPr>
            </w:pPr>
            <w:r w:rsidRPr="003563BF">
              <w:rPr>
                <w:rFonts w:ascii="Times New Roman" w:hAnsi="Times New Roman" w:cs="Times New Roman"/>
              </w:rPr>
              <w:t>RUNE</w:t>
            </w:r>
          </w:p>
        </w:tc>
        <w:tc>
          <w:tcPr>
            <w:tcW w:w="279" w:type="pct"/>
            <w:tcBorders>
              <w:top w:val="single" w:sz="4" w:space="0" w:color="auto"/>
              <w:left w:val="single" w:sz="4" w:space="0" w:color="auto"/>
              <w:bottom w:val="nil"/>
            </w:tcBorders>
            <w:noWrap/>
            <w:vAlign w:val="center"/>
            <w:hideMark/>
          </w:tcPr>
          <w:p w14:paraId="24873F81"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9.84</w:t>
            </w:r>
          </w:p>
        </w:tc>
        <w:tc>
          <w:tcPr>
            <w:tcW w:w="279" w:type="pct"/>
            <w:tcBorders>
              <w:top w:val="single" w:sz="4" w:space="0" w:color="auto"/>
              <w:bottom w:val="nil"/>
            </w:tcBorders>
            <w:noWrap/>
            <w:vAlign w:val="center"/>
            <w:hideMark/>
          </w:tcPr>
          <w:p w14:paraId="739BFD18"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7.69</w:t>
            </w:r>
          </w:p>
        </w:tc>
        <w:tc>
          <w:tcPr>
            <w:tcW w:w="280" w:type="pct"/>
            <w:tcBorders>
              <w:top w:val="single" w:sz="4" w:space="0" w:color="auto"/>
              <w:bottom w:val="nil"/>
              <w:right w:val="single" w:sz="4" w:space="0" w:color="auto"/>
            </w:tcBorders>
            <w:noWrap/>
            <w:vAlign w:val="center"/>
            <w:hideMark/>
          </w:tcPr>
          <w:p w14:paraId="42497BA1"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8.07</w:t>
            </w:r>
          </w:p>
        </w:tc>
        <w:tc>
          <w:tcPr>
            <w:tcW w:w="280" w:type="pct"/>
            <w:tcBorders>
              <w:top w:val="single" w:sz="4" w:space="0" w:color="auto"/>
              <w:left w:val="single" w:sz="4" w:space="0" w:color="auto"/>
              <w:bottom w:val="nil"/>
            </w:tcBorders>
            <w:noWrap/>
            <w:vAlign w:val="center"/>
            <w:hideMark/>
          </w:tcPr>
          <w:p w14:paraId="18189759"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9.48</w:t>
            </w:r>
          </w:p>
        </w:tc>
        <w:tc>
          <w:tcPr>
            <w:tcW w:w="279" w:type="pct"/>
            <w:tcBorders>
              <w:top w:val="single" w:sz="4" w:space="0" w:color="auto"/>
              <w:bottom w:val="nil"/>
            </w:tcBorders>
            <w:noWrap/>
            <w:vAlign w:val="center"/>
            <w:hideMark/>
          </w:tcPr>
          <w:p w14:paraId="0272EC3B"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7.03</w:t>
            </w:r>
          </w:p>
        </w:tc>
        <w:tc>
          <w:tcPr>
            <w:tcW w:w="280" w:type="pct"/>
            <w:tcBorders>
              <w:top w:val="single" w:sz="4" w:space="0" w:color="auto"/>
              <w:bottom w:val="nil"/>
              <w:right w:val="single" w:sz="4" w:space="0" w:color="auto"/>
            </w:tcBorders>
            <w:noWrap/>
            <w:vAlign w:val="center"/>
            <w:hideMark/>
          </w:tcPr>
          <w:p w14:paraId="0DDD3E12"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8.97</w:t>
            </w:r>
          </w:p>
        </w:tc>
        <w:tc>
          <w:tcPr>
            <w:tcW w:w="279" w:type="pct"/>
            <w:tcBorders>
              <w:top w:val="single" w:sz="4" w:space="0" w:color="auto"/>
              <w:left w:val="single" w:sz="4" w:space="0" w:color="auto"/>
              <w:bottom w:val="nil"/>
            </w:tcBorders>
            <w:noWrap/>
            <w:vAlign w:val="center"/>
            <w:hideMark/>
          </w:tcPr>
          <w:p w14:paraId="7BA2F993"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6.82</w:t>
            </w:r>
          </w:p>
        </w:tc>
        <w:tc>
          <w:tcPr>
            <w:tcW w:w="279" w:type="pct"/>
            <w:tcBorders>
              <w:top w:val="single" w:sz="4" w:space="0" w:color="auto"/>
              <w:bottom w:val="nil"/>
            </w:tcBorders>
            <w:noWrap/>
            <w:vAlign w:val="center"/>
            <w:hideMark/>
          </w:tcPr>
          <w:p w14:paraId="364D86B9"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5.95</w:t>
            </w:r>
          </w:p>
        </w:tc>
        <w:tc>
          <w:tcPr>
            <w:tcW w:w="280" w:type="pct"/>
            <w:tcBorders>
              <w:top w:val="single" w:sz="4" w:space="0" w:color="auto"/>
              <w:bottom w:val="nil"/>
            </w:tcBorders>
            <w:noWrap/>
            <w:vAlign w:val="center"/>
            <w:hideMark/>
          </w:tcPr>
          <w:p w14:paraId="573626AC"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7.65</w:t>
            </w:r>
          </w:p>
        </w:tc>
        <w:tc>
          <w:tcPr>
            <w:tcW w:w="280" w:type="pct"/>
            <w:tcBorders>
              <w:top w:val="single" w:sz="4" w:space="0" w:color="auto"/>
              <w:bottom w:val="nil"/>
            </w:tcBorders>
            <w:noWrap/>
            <w:vAlign w:val="center"/>
            <w:hideMark/>
          </w:tcPr>
          <w:p w14:paraId="5376688E"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7.27</w:t>
            </w:r>
          </w:p>
        </w:tc>
        <w:tc>
          <w:tcPr>
            <w:tcW w:w="279" w:type="pct"/>
            <w:tcBorders>
              <w:top w:val="single" w:sz="4" w:space="0" w:color="auto"/>
              <w:bottom w:val="nil"/>
            </w:tcBorders>
            <w:noWrap/>
            <w:vAlign w:val="center"/>
            <w:hideMark/>
          </w:tcPr>
          <w:p w14:paraId="0095E1C9"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7.01</w:t>
            </w:r>
          </w:p>
        </w:tc>
        <w:tc>
          <w:tcPr>
            <w:tcW w:w="279" w:type="pct"/>
            <w:tcBorders>
              <w:top w:val="single" w:sz="4" w:space="0" w:color="auto"/>
              <w:bottom w:val="nil"/>
            </w:tcBorders>
            <w:noWrap/>
            <w:vAlign w:val="center"/>
            <w:hideMark/>
          </w:tcPr>
          <w:p w14:paraId="11039977"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6.84</w:t>
            </w:r>
          </w:p>
        </w:tc>
        <w:tc>
          <w:tcPr>
            <w:tcW w:w="430" w:type="pct"/>
            <w:tcBorders>
              <w:top w:val="single" w:sz="4" w:space="0" w:color="auto"/>
              <w:bottom w:val="nil"/>
            </w:tcBorders>
            <w:noWrap/>
            <w:vAlign w:val="center"/>
            <w:hideMark/>
          </w:tcPr>
          <w:p w14:paraId="52231B9C"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7.38</w:t>
            </w:r>
          </w:p>
        </w:tc>
        <w:tc>
          <w:tcPr>
            <w:tcW w:w="323" w:type="pct"/>
            <w:tcBorders>
              <w:top w:val="single" w:sz="4" w:space="0" w:color="auto"/>
              <w:bottom w:val="nil"/>
            </w:tcBorders>
            <w:noWrap/>
            <w:vAlign w:val="center"/>
            <w:hideMark/>
          </w:tcPr>
          <w:p w14:paraId="27E7098D"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90.16</w:t>
            </w:r>
          </w:p>
        </w:tc>
      </w:tr>
      <w:tr w:rsidR="00D07B84" w:rsidRPr="00D07B84" w14:paraId="342FA15B" w14:textId="77777777" w:rsidTr="00AD4771">
        <w:trPr>
          <w:trHeight w:val="454"/>
        </w:trPr>
        <w:tc>
          <w:tcPr>
            <w:tcW w:w="161" w:type="pct"/>
            <w:vMerge/>
            <w:tcBorders>
              <w:right w:val="nil"/>
            </w:tcBorders>
          </w:tcPr>
          <w:p w14:paraId="3CDD3E8C" w14:textId="77777777" w:rsidR="00D07B84" w:rsidRPr="003563BF" w:rsidRDefault="00D07B84" w:rsidP="00835A65">
            <w:pPr>
              <w:rPr>
                <w:rFonts w:ascii="Times New Roman" w:hAnsi="Times New Roman" w:cs="Times New Roman"/>
              </w:rPr>
            </w:pPr>
          </w:p>
        </w:tc>
        <w:tc>
          <w:tcPr>
            <w:tcW w:w="731" w:type="pct"/>
            <w:tcBorders>
              <w:top w:val="nil"/>
              <w:left w:val="nil"/>
              <w:bottom w:val="nil"/>
              <w:right w:val="single" w:sz="4" w:space="0" w:color="auto"/>
            </w:tcBorders>
            <w:noWrap/>
            <w:vAlign w:val="center"/>
            <w:hideMark/>
          </w:tcPr>
          <w:p w14:paraId="1B1F80BE" w14:textId="2D80AF99" w:rsidR="00D07B84" w:rsidRPr="003563BF" w:rsidRDefault="00D07B84" w:rsidP="00835A65">
            <w:pPr>
              <w:rPr>
                <w:rFonts w:ascii="Times New Roman" w:hAnsi="Times New Roman" w:cs="Times New Roman"/>
              </w:rPr>
            </w:pPr>
            <w:r w:rsidRPr="003563BF">
              <w:rPr>
                <w:rFonts w:ascii="Times New Roman" w:hAnsi="Times New Roman" w:cs="Times New Roman"/>
              </w:rPr>
              <w:t>LRC</w:t>
            </w:r>
          </w:p>
        </w:tc>
        <w:tc>
          <w:tcPr>
            <w:tcW w:w="279" w:type="pct"/>
            <w:tcBorders>
              <w:top w:val="nil"/>
              <w:left w:val="single" w:sz="4" w:space="0" w:color="auto"/>
              <w:bottom w:val="nil"/>
            </w:tcBorders>
            <w:noWrap/>
            <w:vAlign w:val="center"/>
            <w:hideMark/>
          </w:tcPr>
          <w:p w14:paraId="229AB651"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7.48</w:t>
            </w:r>
          </w:p>
        </w:tc>
        <w:tc>
          <w:tcPr>
            <w:tcW w:w="279" w:type="pct"/>
            <w:tcBorders>
              <w:top w:val="nil"/>
              <w:bottom w:val="nil"/>
            </w:tcBorders>
            <w:noWrap/>
            <w:vAlign w:val="center"/>
            <w:hideMark/>
          </w:tcPr>
          <w:p w14:paraId="24510B3B"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9.67</w:t>
            </w:r>
          </w:p>
        </w:tc>
        <w:tc>
          <w:tcPr>
            <w:tcW w:w="280" w:type="pct"/>
            <w:tcBorders>
              <w:top w:val="nil"/>
              <w:bottom w:val="nil"/>
              <w:right w:val="single" w:sz="4" w:space="0" w:color="auto"/>
            </w:tcBorders>
            <w:noWrap/>
            <w:vAlign w:val="center"/>
            <w:hideMark/>
          </w:tcPr>
          <w:p w14:paraId="5428AD0D"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8.44</w:t>
            </w:r>
          </w:p>
        </w:tc>
        <w:tc>
          <w:tcPr>
            <w:tcW w:w="280" w:type="pct"/>
            <w:tcBorders>
              <w:top w:val="nil"/>
              <w:left w:val="single" w:sz="4" w:space="0" w:color="auto"/>
              <w:bottom w:val="nil"/>
            </w:tcBorders>
            <w:noWrap/>
            <w:vAlign w:val="center"/>
            <w:hideMark/>
          </w:tcPr>
          <w:p w14:paraId="3783A4AA"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9.14</w:t>
            </w:r>
          </w:p>
        </w:tc>
        <w:tc>
          <w:tcPr>
            <w:tcW w:w="279" w:type="pct"/>
            <w:tcBorders>
              <w:top w:val="nil"/>
              <w:bottom w:val="nil"/>
            </w:tcBorders>
            <w:noWrap/>
            <w:vAlign w:val="center"/>
            <w:hideMark/>
          </w:tcPr>
          <w:p w14:paraId="5050D889"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6.67</w:t>
            </w:r>
          </w:p>
        </w:tc>
        <w:tc>
          <w:tcPr>
            <w:tcW w:w="280" w:type="pct"/>
            <w:tcBorders>
              <w:top w:val="nil"/>
              <w:bottom w:val="nil"/>
              <w:right w:val="single" w:sz="4" w:space="0" w:color="auto"/>
            </w:tcBorders>
            <w:noWrap/>
            <w:vAlign w:val="center"/>
            <w:hideMark/>
          </w:tcPr>
          <w:p w14:paraId="488FE440"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9.28</w:t>
            </w:r>
          </w:p>
        </w:tc>
        <w:tc>
          <w:tcPr>
            <w:tcW w:w="279" w:type="pct"/>
            <w:tcBorders>
              <w:top w:val="nil"/>
              <w:left w:val="single" w:sz="4" w:space="0" w:color="auto"/>
              <w:bottom w:val="nil"/>
            </w:tcBorders>
            <w:noWrap/>
            <w:vAlign w:val="center"/>
            <w:hideMark/>
          </w:tcPr>
          <w:p w14:paraId="533434FB"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6.82</w:t>
            </w:r>
          </w:p>
        </w:tc>
        <w:tc>
          <w:tcPr>
            <w:tcW w:w="279" w:type="pct"/>
            <w:tcBorders>
              <w:top w:val="nil"/>
              <w:bottom w:val="nil"/>
            </w:tcBorders>
            <w:noWrap/>
            <w:vAlign w:val="center"/>
            <w:hideMark/>
          </w:tcPr>
          <w:p w14:paraId="14E150D6"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6.01</w:t>
            </w:r>
          </w:p>
        </w:tc>
        <w:tc>
          <w:tcPr>
            <w:tcW w:w="280" w:type="pct"/>
            <w:tcBorders>
              <w:top w:val="nil"/>
              <w:bottom w:val="nil"/>
            </w:tcBorders>
            <w:noWrap/>
            <w:vAlign w:val="center"/>
            <w:hideMark/>
          </w:tcPr>
          <w:p w14:paraId="22E6D871"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8.12</w:t>
            </w:r>
          </w:p>
        </w:tc>
        <w:tc>
          <w:tcPr>
            <w:tcW w:w="280" w:type="pct"/>
            <w:tcBorders>
              <w:top w:val="nil"/>
              <w:bottom w:val="nil"/>
            </w:tcBorders>
            <w:noWrap/>
            <w:vAlign w:val="center"/>
            <w:hideMark/>
          </w:tcPr>
          <w:p w14:paraId="0D0A3175"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7.18</w:t>
            </w:r>
          </w:p>
        </w:tc>
        <w:tc>
          <w:tcPr>
            <w:tcW w:w="279" w:type="pct"/>
            <w:tcBorders>
              <w:top w:val="nil"/>
              <w:bottom w:val="nil"/>
            </w:tcBorders>
            <w:noWrap/>
            <w:vAlign w:val="center"/>
            <w:hideMark/>
          </w:tcPr>
          <w:p w14:paraId="5B181724"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6.89</w:t>
            </w:r>
          </w:p>
        </w:tc>
        <w:tc>
          <w:tcPr>
            <w:tcW w:w="279" w:type="pct"/>
            <w:tcBorders>
              <w:top w:val="nil"/>
              <w:bottom w:val="nil"/>
            </w:tcBorders>
            <w:noWrap/>
            <w:vAlign w:val="center"/>
            <w:hideMark/>
          </w:tcPr>
          <w:p w14:paraId="463C9E6A"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6.94</w:t>
            </w:r>
          </w:p>
        </w:tc>
        <w:tc>
          <w:tcPr>
            <w:tcW w:w="430" w:type="pct"/>
            <w:tcBorders>
              <w:top w:val="nil"/>
              <w:bottom w:val="nil"/>
            </w:tcBorders>
            <w:noWrap/>
            <w:vAlign w:val="center"/>
            <w:hideMark/>
          </w:tcPr>
          <w:p w14:paraId="1E961649"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7.34</w:t>
            </w:r>
          </w:p>
        </w:tc>
        <w:tc>
          <w:tcPr>
            <w:tcW w:w="323" w:type="pct"/>
            <w:tcBorders>
              <w:top w:val="nil"/>
              <w:bottom w:val="nil"/>
            </w:tcBorders>
            <w:noWrap/>
            <w:vAlign w:val="center"/>
            <w:hideMark/>
          </w:tcPr>
          <w:p w14:paraId="7EE1B6D2"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90.33</w:t>
            </w:r>
          </w:p>
        </w:tc>
      </w:tr>
      <w:tr w:rsidR="00D07B84" w:rsidRPr="00D07B84" w14:paraId="6853B6EC" w14:textId="77777777" w:rsidTr="00AD4771">
        <w:trPr>
          <w:trHeight w:val="454"/>
        </w:trPr>
        <w:tc>
          <w:tcPr>
            <w:tcW w:w="161" w:type="pct"/>
            <w:vMerge/>
            <w:tcBorders>
              <w:bottom w:val="single" w:sz="4" w:space="0" w:color="auto"/>
              <w:right w:val="nil"/>
            </w:tcBorders>
          </w:tcPr>
          <w:p w14:paraId="5FA46858" w14:textId="77777777" w:rsidR="00D07B84" w:rsidRPr="003563BF" w:rsidRDefault="00D07B84" w:rsidP="00835A65">
            <w:pPr>
              <w:rPr>
                <w:rFonts w:ascii="Times New Roman" w:hAnsi="Times New Roman" w:cs="Times New Roman"/>
              </w:rPr>
            </w:pPr>
          </w:p>
        </w:tc>
        <w:tc>
          <w:tcPr>
            <w:tcW w:w="731" w:type="pct"/>
            <w:tcBorders>
              <w:top w:val="nil"/>
              <w:left w:val="nil"/>
              <w:bottom w:val="single" w:sz="4" w:space="0" w:color="auto"/>
              <w:right w:val="single" w:sz="4" w:space="0" w:color="auto"/>
            </w:tcBorders>
            <w:noWrap/>
            <w:vAlign w:val="center"/>
            <w:hideMark/>
          </w:tcPr>
          <w:p w14:paraId="224DFEB2" w14:textId="0EB56305" w:rsidR="00D07B84" w:rsidRPr="003563BF" w:rsidRDefault="00D07B84" w:rsidP="00835A65">
            <w:pPr>
              <w:rPr>
                <w:rFonts w:ascii="Times New Roman" w:hAnsi="Times New Roman" w:cs="Times New Roman"/>
              </w:rPr>
            </w:pPr>
            <w:r w:rsidRPr="003563BF">
              <w:rPr>
                <w:rFonts w:ascii="Times New Roman" w:hAnsi="Times New Roman" w:cs="Times New Roman"/>
              </w:rPr>
              <w:t>GNO</w:t>
            </w:r>
          </w:p>
        </w:tc>
        <w:tc>
          <w:tcPr>
            <w:tcW w:w="279" w:type="pct"/>
            <w:tcBorders>
              <w:top w:val="nil"/>
              <w:left w:val="single" w:sz="4" w:space="0" w:color="auto"/>
              <w:bottom w:val="single" w:sz="4" w:space="0" w:color="auto"/>
            </w:tcBorders>
            <w:noWrap/>
            <w:vAlign w:val="center"/>
            <w:hideMark/>
          </w:tcPr>
          <w:p w14:paraId="2530B5F4"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7.40</w:t>
            </w:r>
          </w:p>
        </w:tc>
        <w:tc>
          <w:tcPr>
            <w:tcW w:w="279" w:type="pct"/>
            <w:tcBorders>
              <w:top w:val="nil"/>
              <w:bottom w:val="single" w:sz="4" w:space="0" w:color="auto"/>
            </w:tcBorders>
            <w:noWrap/>
            <w:vAlign w:val="center"/>
            <w:hideMark/>
          </w:tcPr>
          <w:p w14:paraId="58C10976"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7.80</w:t>
            </w:r>
          </w:p>
        </w:tc>
        <w:tc>
          <w:tcPr>
            <w:tcW w:w="280" w:type="pct"/>
            <w:tcBorders>
              <w:top w:val="nil"/>
              <w:bottom w:val="single" w:sz="4" w:space="0" w:color="auto"/>
              <w:right w:val="single" w:sz="4" w:space="0" w:color="auto"/>
            </w:tcBorders>
            <w:noWrap/>
            <w:vAlign w:val="center"/>
            <w:hideMark/>
          </w:tcPr>
          <w:p w14:paraId="0094DA13"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10.64</w:t>
            </w:r>
          </w:p>
        </w:tc>
        <w:tc>
          <w:tcPr>
            <w:tcW w:w="280" w:type="pct"/>
            <w:tcBorders>
              <w:top w:val="nil"/>
              <w:left w:val="single" w:sz="4" w:space="0" w:color="auto"/>
              <w:bottom w:val="single" w:sz="4" w:space="0" w:color="auto"/>
            </w:tcBorders>
            <w:noWrap/>
            <w:vAlign w:val="center"/>
            <w:hideMark/>
          </w:tcPr>
          <w:p w14:paraId="697EB516"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9.82</w:t>
            </w:r>
          </w:p>
        </w:tc>
        <w:tc>
          <w:tcPr>
            <w:tcW w:w="279" w:type="pct"/>
            <w:tcBorders>
              <w:top w:val="nil"/>
              <w:bottom w:val="single" w:sz="4" w:space="0" w:color="auto"/>
            </w:tcBorders>
            <w:noWrap/>
            <w:vAlign w:val="center"/>
            <w:hideMark/>
          </w:tcPr>
          <w:p w14:paraId="3CF5F0F3"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6.45</w:t>
            </w:r>
          </w:p>
        </w:tc>
        <w:tc>
          <w:tcPr>
            <w:tcW w:w="280" w:type="pct"/>
            <w:tcBorders>
              <w:top w:val="nil"/>
              <w:bottom w:val="single" w:sz="4" w:space="0" w:color="auto"/>
              <w:right w:val="single" w:sz="4" w:space="0" w:color="auto"/>
            </w:tcBorders>
            <w:noWrap/>
            <w:vAlign w:val="center"/>
            <w:hideMark/>
          </w:tcPr>
          <w:p w14:paraId="4229650E"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9.70</w:t>
            </w:r>
          </w:p>
        </w:tc>
        <w:tc>
          <w:tcPr>
            <w:tcW w:w="279" w:type="pct"/>
            <w:tcBorders>
              <w:top w:val="nil"/>
              <w:left w:val="single" w:sz="4" w:space="0" w:color="auto"/>
              <w:bottom w:val="single" w:sz="4" w:space="0" w:color="auto"/>
            </w:tcBorders>
            <w:noWrap/>
            <w:vAlign w:val="center"/>
            <w:hideMark/>
          </w:tcPr>
          <w:p w14:paraId="4916AE91"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6.61</w:t>
            </w:r>
          </w:p>
        </w:tc>
        <w:tc>
          <w:tcPr>
            <w:tcW w:w="279" w:type="pct"/>
            <w:tcBorders>
              <w:top w:val="nil"/>
              <w:bottom w:val="single" w:sz="4" w:space="0" w:color="auto"/>
            </w:tcBorders>
            <w:noWrap/>
            <w:vAlign w:val="center"/>
            <w:hideMark/>
          </w:tcPr>
          <w:p w14:paraId="0633BA69"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5.85</w:t>
            </w:r>
          </w:p>
        </w:tc>
        <w:tc>
          <w:tcPr>
            <w:tcW w:w="280" w:type="pct"/>
            <w:tcBorders>
              <w:top w:val="nil"/>
              <w:bottom w:val="single" w:sz="4" w:space="0" w:color="auto"/>
            </w:tcBorders>
            <w:noWrap/>
            <w:vAlign w:val="center"/>
            <w:hideMark/>
          </w:tcPr>
          <w:p w14:paraId="0982F76F"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8.16</w:t>
            </w:r>
          </w:p>
        </w:tc>
        <w:tc>
          <w:tcPr>
            <w:tcW w:w="280" w:type="pct"/>
            <w:tcBorders>
              <w:top w:val="nil"/>
              <w:bottom w:val="single" w:sz="4" w:space="0" w:color="auto"/>
            </w:tcBorders>
            <w:noWrap/>
            <w:vAlign w:val="center"/>
            <w:hideMark/>
          </w:tcPr>
          <w:p w14:paraId="005B1407"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7.22</w:t>
            </w:r>
          </w:p>
        </w:tc>
        <w:tc>
          <w:tcPr>
            <w:tcW w:w="279" w:type="pct"/>
            <w:tcBorders>
              <w:top w:val="nil"/>
              <w:bottom w:val="single" w:sz="4" w:space="0" w:color="auto"/>
            </w:tcBorders>
            <w:noWrap/>
            <w:vAlign w:val="center"/>
            <w:hideMark/>
          </w:tcPr>
          <w:p w14:paraId="411BF495"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6.85</w:t>
            </w:r>
          </w:p>
        </w:tc>
        <w:tc>
          <w:tcPr>
            <w:tcW w:w="279" w:type="pct"/>
            <w:tcBorders>
              <w:top w:val="nil"/>
              <w:bottom w:val="single" w:sz="4" w:space="0" w:color="auto"/>
            </w:tcBorders>
            <w:noWrap/>
            <w:vAlign w:val="center"/>
            <w:hideMark/>
          </w:tcPr>
          <w:p w14:paraId="6882E021"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6.39</w:t>
            </w:r>
          </w:p>
        </w:tc>
        <w:tc>
          <w:tcPr>
            <w:tcW w:w="430" w:type="pct"/>
            <w:tcBorders>
              <w:top w:val="nil"/>
              <w:bottom w:val="single" w:sz="4" w:space="0" w:color="auto"/>
            </w:tcBorders>
            <w:noWrap/>
            <w:vAlign w:val="center"/>
            <w:hideMark/>
          </w:tcPr>
          <w:p w14:paraId="7FDD3EB5"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7.11</w:t>
            </w:r>
          </w:p>
        </w:tc>
        <w:tc>
          <w:tcPr>
            <w:tcW w:w="323" w:type="pct"/>
            <w:tcBorders>
              <w:top w:val="nil"/>
              <w:bottom w:val="single" w:sz="4" w:space="0" w:color="auto"/>
            </w:tcBorders>
            <w:noWrap/>
            <w:vAlign w:val="center"/>
            <w:hideMark/>
          </w:tcPr>
          <w:p w14:paraId="65BB9518"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89.36</w:t>
            </w:r>
          </w:p>
        </w:tc>
      </w:tr>
      <w:tr w:rsidR="00D07B84" w:rsidRPr="00D07B84" w14:paraId="1AB8E055" w14:textId="77777777" w:rsidTr="00AD4771">
        <w:trPr>
          <w:trHeight w:val="454"/>
        </w:trPr>
        <w:tc>
          <w:tcPr>
            <w:tcW w:w="161" w:type="pct"/>
            <w:vMerge w:val="restart"/>
            <w:tcBorders>
              <w:top w:val="single" w:sz="4" w:space="0" w:color="auto"/>
              <w:right w:val="nil"/>
            </w:tcBorders>
            <w:textDirection w:val="btLr"/>
          </w:tcPr>
          <w:p w14:paraId="62339F9A" w14:textId="4533D661" w:rsidR="00D07B84" w:rsidRPr="003563BF" w:rsidRDefault="00D07B84" w:rsidP="00D07B84">
            <w:pPr>
              <w:ind w:left="113" w:right="113"/>
              <w:rPr>
                <w:rFonts w:ascii="Times New Roman" w:hAnsi="Times New Roman" w:cs="Times New Roman"/>
              </w:rPr>
            </w:pPr>
            <w:r>
              <w:rPr>
                <w:rFonts w:ascii="Times New Roman" w:hAnsi="Times New Roman" w:cs="Times New Roman"/>
              </w:rPr>
              <w:t>CEX tokens</w:t>
            </w:r>
          </w:p>
        </w:tc>
        <w:tc>
          <w:tcPr>
            <w:tcW w:w="731" w:type="pct"/>
            <w:tcBorders>
              <w:top w:val="single" w:sz="4" w:space="0" w:color="auto"/>
              <w:left w:val="nil"/>
              <w:bottom w:val="nil"/>
              <w:right w:val="single" w:sz="4" w:space="0" w:color="auto"/>
            </w:tcBorders>
            <w:noWrap/>
            <w:vAlign w:val="center"/>
            <w:hideMark/>
          </w:tcPr>
          <w:p w14:paraId="6E9D6994" w14:textId="4143D448" w:rsidR="00D07B84" w:rsidRPr="003563BF" w:rsidRDefault="00D07B84" w:rsidP="00835A65">
            <w:pPr>
              <w:rPr>
                <w:rFonts w:ascii="Times New Roman" w:hAnsi="Times New Roman" w:cs="Times New Roman"/>
              </w:rPr>
            </w:pPr>
            <w:r w:rsidRPr="003563BF">
              <w:rPr>
                <w:rFonts w:ascii="Times New Roman" w:hAnsi="Times New Roman" w:cs="Times New Roman"/>
              </w:rPr>
              <w:t>BNB</w:t>
            </w:r>
          </w:p>
        </w:tc>
        <w:tc>
          <w:tcPr>
            <w:tcW w:w="279" w:type="pct"/>
            <w:tcBorders>
              <w:top w:val="single" w:sz="4" w:space="0" w:color="auto"/>
              <w:left w:val="single" w:sz="4" w:space="0" w:color="auto"/>
              <w:bottom w:val="nil"/>
            </w:tcBorders>
            <w:noWrap/>
            <w:vAlign w:val="center"/>
            <w:hideMark/>
          </w:tcPr>
          <w:p w14:paraId="27E8378C"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7.08</w:t>
            </w:r>
          </w:p>
        </w:tc>
        <w:tc>
          <w:tcPr>
            <w:tcW w:w="279" w:type="pct"/>
            <w:tcBorders>
              <w:top w:val="single" w:sz="4" w:space="0" w:color="auto"/>
              <w:bottom w:val="nil"/>
            </w:tcBorders>
            <w:noWrap/>
            <w:vAlign w:val="center"/>
            <w:hideMark/>
          </w:tcPr>
          <w:p w14:paraId="12A7B52D"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7.49</w:t>
            </w:r>
          </w:p>
        </w:tc>
        <w:tc>
          <w:tcPr>
            <w:tcW w:w="280" w:type="pct"/>
            <w:tcBorders>
              <w:top w:val="single" w:sz="4" w:space="0" w:color="auto"/>
              <w:bottom w:val="nil"/>
              <w:right w:val="single" w:sz="4" w:space="0" w:color="auto"/>
            </w:tcBorders>
            <w:noWrap/>
            <w:vAlign w:val="center"/>
            <w:hideMark/>
          </w:tcPr>
          <w:p w14:paraId="46DE457B"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8.20</w:t>
            </w:r>
          </w:p>
        </w:tc>
        <w:tc>
          <w:tcPr>
            <w:tcW w:w="280" w:type="pct"/>
            <w:tcBorders>
              <w:top w:val="single" w:sz="4" w:space="0" w:color="auto"/>
              <w:left w:val="single" w:sz="4" w:space="0" w:color="auto"/>
              <w:bottom w:val="nil"/>
            </w:tcBorders>
            <w:noWrap/>
            <w:vAlign w:val="center"/>
            <w:hideMark/>
          </w:tcPr>
          <w:p w14:paraId="581C5A1F"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13.61</w:t>
            </w:r>
          </w:p>
        </w:tc>
        <w:tc>
          <w:tcPr>
            <w:tcW w:w="279" w:type="pct"/>
            <w:tcBorders>
              <w:top w:val="single" w:sz="4" w:space="0" w:color="auto"/>
              <w:bottom w:val="nil"/>
            </w:tcBorders>
            <w:noWrap/>
            <w:vAlign w:val="center"/>
            <w:hideMark/>
          </w:tcPr>
          <w:p w14:paraId="52BA3A51"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6.73</w:t>
            </w:r>
          </w:p>
        </w:tc>
        <w:tc>
          <w:tcPr>
            <w:tcW w:w="280" w:type="pct"/>
            <w:tcBorders>
              <w:top w:val="single" w:sz="4" w:space="0" w:color="auto"/>
              <w:bottom w:val="nil"/>
              <w:right w:val="single" w:sz="4" w:space="0" w:color="auto"/>
            </w:tcBorders>
            <w:noWrap/>
            <w:vAlign w:val="center"/>
            <w:hideMark/>
          </w:tcPr>
          <w:p w14:paraId="4D5C1436"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9.66</w:t>
            </w:r>
          </w:p>
        </w:tc>
        <w:tc>
          <w:tcPr>
            <w:tcW w:w="279" w:type="pct"/>
            <w:tcBorders>
              <w:top w:val="single" w:sz="4" w:space="0" w:color="auto"/>
              <w:left w:val="single" w:sz="4" w:space="0" w:color="auto"/>
              <w:bottom w:val="nil"/>
            </w:tcBorders>
            <w:noWrap/>
            <w:vAlign w:val="center"/>
            <w:hideMark/>
          </w:tcPr>
          <w:p w14:paraId="60802CD6"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6.59</w:t>
            </w:r>
          </w:p>
        </w:tc>
        <w:tc>
          <w:tcPr>
            <w:tcW w:w="279" w:type="pct"/>
            <w:tcBorders>
              <w:top w:val="single" w:sz="4" w:space="0" w:color="auto"/>
              <w:bottom w:val="nil"/>
            </w:tcBorders>
            <w:noWrap/>
            <w:vAlign w:val="center"/>
            <w:hideMark/>
          </w:tcPr>
          <w:p w14:paraId="30450A0D"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6.10</w:t>
            </w:r>
          </w:p>
        </w:tc>
        <w:tc>
          <w:tcPr>
            <w:tcW w:w="280" w:type="pct"/>
            <w:tcBorders>
              <w:top w:val="single" w:sz="4" w:space="0" w:color="auto"/>
              <w:bottom w:val="nil"/>
            </w:tcBorders>
            <w:noWrap/>
            <w:vAlign w:val="center"/>
            <w:hideMark/>
          </w:tcPr>
          <w:p w14:paraId="639F554F"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7.82</w:t>
            </w:r>
          </w:p>
        </w:tc>
        <w:tc>
          <w:tcPr>
            <w:tcW w:w="280" w:type="pct"/>
            <w:tcBorders>
              <w:top w:val="single" w:sz="4" w:space="0" w:color="auto"/>
              <w:bottom w:val="nil"/>
            </w:tcBorders>
            <w:noWrap/>
            <w:vAlign w:val="center"/>
            <w:hideMark/>
          </w:tcPr>
          <w:p w14:paraId="7298A790"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7.15</w:t>
            </w:r>
          </w:p>
        </w:tc>
        <w:tc>
          <w:tcPr>
            <w:tcW w:w="279" w:type="pct"/>
            <w:tcBorders>
              <w:top w:val="single" w:sz="4" w:space="0" w:color="auto"/>
              <w:bottom w:val="nil"/>
            </w:tcBorders>
            <w:noWrap/>
            <w:vAlign w:val="center"/>
            <w:hideMark/>
          </w:tcPr>
          <w:p w14:paraId="656146C8"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6.74</w:t>
            </w:r>
          </w:p>
        </w:tc>
        <w:tc>
          <w:tcPr>
            <w:tcW w:w="279" w:type="pct"/>
            <w:tcBorders>
              <w:top w:val="single" w:sz="4" w:space="0" w:color="auto"/>
              <w:bottom w:val="nil"/>
            </w:tcBorders>
            <w:noWrap/>
            <w:vAlign w:val="center"/>
            <w:hideMark/>
          </w:tcPr>
          <w:p w14:paraId="5FE55014"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6.29</w:t>
            </w:r>
          </w:p>
        </w:tc>
        <w:tc>
          <w:tcPr>
            <w:tcW w:w="430" w:type="pct"/>
            <w:tcBorders>
              <w:top w:val="single" w:sz="4" w:space="0" w:color="auto"/>
              <w:bottom w:val="nil"/>
            </w:tcBorders>
            <w:noWrap/>
            <w:vAlign w:val="center"/>
            <w:hideMark/>
          </w:tcPr>
          <w:p w14:paraId="7B3DFEE8"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6.55</w:t>
            </w:r>
          </w:p>
        </w:tc>
        <w:tc>
          <w:tcPr>
            <w:tcW w:w="323" w:type="pct"/>
            <w:tcBorders>
              <w:top w:val="single" w:sz="4" w:space="0" w:color="auto"/>
              <w:bottom w:val="nil"/>
            </w:tcBorders>
            <w:noWrap/>
            <w:vAlign w:val="center"/>
            <w:hideMark/>
          </w:tcPr>
          <w:p w14:paraId="1468FCD9"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86.39</w:t>
            </w:r>
          </w:p>
        </w:tc>
      </w:tr>
      <w:tr w:rsidR="00D07B84" w:rsidRPr="00D07B84" w14:paraId="6C70F70D" w14:textId="77777777" w:rsidTr="00AD4771">
        <w:trPr>
          <w:trHeight w:val="454"/>
        </w:trPr>
        <w:tc>
          <w:tcPr>
            <w:tcW w:w="161" w:type="pct"/>
            <w:vMerge/>
            <w:tcBorders>
              <w:right w:val="nil"/>
            </w:tcBorders>
          </w:tcPr>
          <w:p w14:paraId="26DD6356" w14:textId="77777777" w:rsidR="00D07B84" w:rsidRPr="003563BF" w:rsidRDefault="00D07B84" w:rsidP="00835A65">
            <w:pPr>
              <w:rPr>
                <w:rFonts w:ascii="Times New Roman" w:hAnsi="Times New Roman" w:cs="Times New Roman"/>
              </w:rPr>
            </w:pPr>
          </w:p>
        </w:tc>
        <w:tc>
          <w:tcPr>
            <w:tcW w:w="731" w:type="pct"/>
            <w:tcBorders>
              <w:top w:val="nil"/>
              <w:left w:val="nil"/>
              <w:bottom w:val="nil"/>
              <w:right w:val="single" w:sz="4" w:space="0" w:color="auto"/>
            </w:tcBorders>
            <w:noWrap/>
            <w:vAlign w:val="center"/>
            <w:hideMark/>
          </w:tcPr>
          <w:p w14:paraId="4182EC01" w14:textId="717EC1CA" w:rsidR="00D07B84" w:rsidRPr="003563BF" w:rsidRDefault="00D07B84" w:rsidP="00835A65">
            <w:pPr>
              <w:rPr>
                <w:rFonts w:ascii="Times New Roman" w:hAnsi="Times New Roman" w:cs="Times New Roman"/>
              </w:rPr>
            </w:pPr>
            <w:r w:rsidRPr="003563BF">
              <w:rPr>
                <w:rFonts w:ascii="Times New Roman" w:hAnsi="Times New Roman" w:cs="Times New Roman"/>
              </w:rPr>
              <w:t>LEO</w:t>
            </w:r>
          </w:p>
        </w:tc>
        <w:tc>
          <w:tcPr>
            <w:tcW w:w="279" w:type="pct"/>
            <w:tcBorders>
              <w:top w:val="nil"/>
              <w:left w:val="single" w:sz="4" w:space="0" w:color="auto"/>
              <w:bottom w:val="nil"/>
            </w:tcBorders>
            <w:noWrap/>
            <w:vAlign w:val="center"/>
            <w:hideMark/>
          </w:tcPr>
          <w:p w14:paraId="56A4B502"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7.14</w:t>
            </w:r>
          </w:p>
        </w:tc>
        <w:tc>
          <w:tcPr>
            <w:tcW w:w="279" w:type="pct"/>
            <w:tcBorders>
              <w:top w:val="nil"/>
              <w:bottom w:val="nil"/>
            </w:tcBorders>
            <w:noWrap/>
            <w:vAlign w:val="center"/>
            <w:hideMark/>
          </w:tcPr>
          <w:p w14:paraId="07C0F4FB"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7.70</w:t>
            </w:r>
          </w:p>
        </w:tc>
        <w:tc>
          <w:tcPr>
            <w:tcW w:w="280" w:type="pct"/>
            <w:tcBorders>
              <w:top w:val="nil"/>
              <w:bottom w:val="nil"/>
              <w:right w:val="single" w:sz="4" w:space="0" w:color="auto"/>
            </w:tcBorders>
            <w:noWrap/>
            <w:vAlign w:val="center"/>
            <w:hideMark/>
          </w:tcPr>
          <w:p w14:paraId="10830034"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7.91</w:t>
            </w:r>
          </w:p>
        </w:tc>
        <w:tc>
          <w:tcPr>
            <w:tcW w:w="280" w:type="pct"/>
            <w:tcBorders>
              <w:top w:val="nil"/>
              <w:left w:val="single" w:sz="4" w:space="0" w:color="auto"/>
              <w:bottom w:val="nil"/>
            </w:tcBorders>
            <w:noWrap/>
            <w:vAlign w:val="center"/>
            <w:hideMark/>
          </w:tcPr>
          <w:p w14:paraId="0CAB7527"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8.14</w:t>
            </w:r>
          </w:p>
        </w:tc>
        <w:tc>
          <w:tcPr>
            <w:tcW w:w="279" w:type="pct"/>
            <w:tcBorders>
              <w:top w:val="nil"/>
              <w:bottom w:val="nil"/>
            </w:tcBorders>
            <w:noWrap/>
            <w:vAlign w:val="center"/>
            <w:hideMark/>
          </w:tcPr>
          <w:p w14:paraId="28BA1DBB"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9.89</w:t>
            </w:r>
          </w:p>
        </w:tc>
        <w:tc>
          <w:tcPr>
            <w:tcW w:w="280" w:type="pct"/>
            <w:tcBorders>
              <w:top w:val="nil"/>
              <w:bottom w:val="nil"/>
              <w:right w:val="single" w:sz="4" w:space="0" w:color="auto"/>
            </w:tcBorders>
            <w:noWrap/>
            <w:vAlign w:val="center"/>
            <w:hideMark/>
          </w:tcPr>
          <w:p w14:paraId="07134A21"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8.43</w:t>
            </w:r>
          </w:p>
        </w:tc>
        <w:tc>
          <w:tcPr>
            <w:tcW w:w="279" w:type="pct"/>
            <w:tcBorders>
              <w:top w:val="nil"/>
              <w:left w:val="single" w:sz="4" w:space="0" w:color="auto"/>
              <w:bottom w:val="nil"/>
            </w:tcBorders>
            <w:noWrap/>
            <w:vAlign w:val="center"/>
            <w:hideMark/>
          </w:tcPr>
          <w:p w14:paraId="0A0F9A80"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7.11</w:t>
            </w:r>
          </w:p>
        </w:tc>
        <w:tc>
          <w:tcPr>
            <w:tcW w:w="279" w:type="pct"/>
            <w:tcBorders>
              <w:top w:val="nil"/>
              <w:bottom w:val="nil"/>
            </w:tcBorders>
            <w:noWrap/>
            <w:vAlign w:val="center"/>
            <w:hideMark/>
          </w:tcPr>
          <w:p w14:paraId="13A6D10E"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6.20</w:t>
            </w:r>
          </w:p>
        </w:tc>
        <w:tc>
          <w:tcPr>
            <w:tcW w:w="280" w:type="pct"/>
            <w:tcBorders>
              <w:top w:val="nil"/>
              <w:bottom w:val="nil"/>
            </w:tcBorders>
            <w:noWrap/>
            <w:vAlign w:val="center"/>
            <w:hideMark/>
          </w:tcPr>
          <w:p w14:paraId="01AED48A"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7.55</w:t>
            </w:r>
          </w:p>
        </w:tc>
        <w:tc>
          <w:tcPr>
            <w:tcW w:w="280" w:type="pct"/>
            <w:tcBorders>
              <w:top w:val="nil"/>
              <w:bottom w:val="nil"/>
            </w:tcBorders>
            <w:noWrap/>
            <w:vAlign w:val="center"/>
            <w:hideMark/>
          </w:tcPr>
          <w:p w14:paraId="2B1C6C6E"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7.50</w:t>
            </w:r>
          </w:p>
        </w:tc>
        <w:tc>
          <w:tcPr>
            <w:tcW w:w="279" w:type="pct"/>
            <w:tcBorders>
              <w:top w:val="nil"/>
              <w:bottom w:val="nil"/>
            </w:tcBorders>
            <w:noWrap/>
            <w:vAlign w:val="center"/>
            <w:hideMark/>
          </w:tcPr>
          <w:p w14:paraId="7C787793"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7.14</w:t>
            </w:r>
          </w:p>
        </w:tc>
        <w:tc>
          <w:tcPr>
            <w:tcW w:w="279" w:type="pct"/>
            <w:tcBorders>
              <w:top w:val="nil"/>
              <w:bottom w:val="nil"/>
            </w:tcBorders>
            <w:noWrap/>
            <w:vAlign w:val="center"/>
            <w:hideMark/>
          </w:tcPr>
          <w:p w14:paraId="34903B6A"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7.24</w:t>
            </w:r>
          </w:p>
        </w:tc>
        <w:tc>
          <w:tcPr>
            <w:tcW w:w="430" w:type="pct"/>
            <w:tcBorders>
              <w:top w:val="nil"/>
              <w:bottom w:val="nil"/>
            </w:tcBorders>
            <w:noWrap/>
            <w:vAlign w:val="center"/>
            <w:hideMark/>
          </w:tcPr>
          <w:p w14:paraId="1C441279"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8.04</w:t>
            </w:r>
          </w:p>
        </w:tc>
        <w:tc>
          <w:tcPr>
            <w:tcW w:w="323" w:type="pct"/>
            <w:tcBorders>
              <w:top w:val="nil"/>
              <w:bottom w:val="nil"/>
            </w:tcBorders>
            <w:noWrap/>
            <w:vAlign w:val="center"/>
            <w:hideMark/>
          </w:tcPr>
          <w:p w14:paraId="7A8571F0"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90.11</w:t>
            </w:r>
          </w:p>
        </w:tc>
      </w:tr>
      <w:tr w:rsidR="00D07B84" w:rsidRPr="00D07B84" w14:paraId="663B03B9" w14:textId="77777777" w:rsidTr="00AD4771">
        <w:trPr>
          <w:trHeight w:val="454"/>
        </w:trPr>
        <w:tc>
          <w:tcPr>
            <w:tcW w:w="161" w:type="pct"/>
            <w:vMerge/>
            <w:tcBorders>
              <w:bottom w:val="single" w:sz="4" w:space="0" w:color="auto"/>
              <w:right w:val="nil"/>
            </w:tcBorders>
          </w:tcPr>
          <w:p w14:paraId="161CB56D" w14:textId="77777777" w:rsidR="00D07B84" w:rsidRPr="003563BF" w:rsidRDefault="00D07B84" w:rsidP="00835A65">
            <w:pPr>
              <w:rPr>
                <w:rFonts w:ascii="Times New Roman" w:hAnsi="Times New Roman" w:cs="Times New Roman"/>
              </w:rPr>
            </w:pPr>
          </w:p>
        </w:tc>
        <w:tc>
          <w:tcPr>
            <w:tcW w:w="731" w:type="pct"/>
            <w:tcBorders>
              <w:top w:val="nil"/>
              <w:left w:val="nil"/>
              <w:bottom w:val="single" w:sz="4" w:space="0" w:color="auto"/>
              <w:right w:val="single" w:sz="4" w:space="0" w:color="auto"/>
            </w:tcBorders>
            <w:noWrap/>
            <w:vAlign w:val="center"/>
            <w:hideMark/>
          </w:tcPr>
          <w:p w14:paraId="44C29918" w14:textId="1638A4F3" w:rsidR="00D07B84" w:rsidRPr="003563BF" w:rsidRDefault="00D07B84" w:rsidP="00835A65">
            <w:pPr>
              <w:rPr>
                <w:rFonts w:ascii="Times New Roman" w:hAnsi="Times New Roman" w:cs="Times New Roman"/>
              </w:rPr>
            </w:pPr>
            <w:r w:rsidRPr="003563BF">
              <w:rPr>
                <w:rFonts w:ascii="Times New Roman" w:hAnsi="Times New Roman" w:cs="Times New Roman"/>
              </w:rPr>
              <w:t>FTT</w:t>
            </w:r>
          </w:p>
        </w:tc>
        <w:tc>
          <w:tcPr>
            <w:tcW w:w="279" w:type="pct"/>
            <w:tcBorders>
              <w:top w:val="nil"/>
              <w:left w:val="single" w:sz="4" w:space="0" w:color="auto"/>
              <w:bottom w:val="single" w:sz="4" w:space="0" w:color="auto"/>
            </w:tcBorders>
            <w:noWrap/>
            <w:vAlign w:val="center"/>
            <w:hideMark/>
          </w:tcPr>
          <w:p w14:paraId="787812CB"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6.92</w:t>
            </w:r>
          </w:p>
        </w:tc>
        <w:tc>
          <w:tcPr>
            <w:tcW w:w="279" w:type="pct"/>
            <w:tcBorders>
              <w:top w:val="nil"/>
              <w:bottom w:val="single" w:sz="4" w:space="0" w:color="auto"/>
            </w:tcBorders>
            <w:noWrap/>
            <w:vAlign w:val="center"/>
            <w:hideMark/>
          </w:tcPr>
          <w:p w14:paraId="3175F739"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7.60</w:t>
            </w:r>
          </w:p>
        </w:tc>
        <w:tc>
          <w:tcPr>
            <w:tcW w:w="280" w:type="pct"/>
            <w:tcBorders>
              <w:top w:val="nil"/>
              <w:bottom w:val="single" w:sz="4" w:space="0" w:color="auto"/>
              <w:right w:val="single" w:sz="4" w:space="0" w:color="auto"/>
            </w:tcBorders>
            <w:noWrap/>
            <w:vAlign w:val="center"/>
            <w:hideMark/>
          </w:tcPr>
          <w:p w14:paraId="159A1AC1"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8.20</w:t>
            </w:r>
          </w:p>
        </w:tc>
        <w:tc>
          <w:tcPr>
            <w:tcW w:w="280" w:type="pct"/>
            <w:tcBorders>
              <w:top w:val="nil"/>
              <w:left w:val="single" w:sz="4" w:space="0" w:color="auto"/>
              <w:bottom w:val="single" w:sz="4" w:space="0" w:color="auto"/>
            </w:tcBorders>
            <w:noWrap/>
            <w:vAlign w:val="center"/>
            <w:hideMark/>
          </w:tcPr>
          <w:p w14:paraId="540117CF"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10.93</w:t>
            </w:r>
          </w:p>
        </w:tc>
        <w:tc>
          <w:tcPr>
            <w:tcW w:w="279" w:type="pct"/>
            <w:tcBorders>
              <w:top w:val="nil"/>
              <w:bottom w:val="single" w:sz="4" w:space="0" w:color="auto"/>
            </w:tcBorders>
            <w:noWrap/>
            <w:vAlign w:val="center"/>
            <w:hideMark/>
          </w:tcPr>
          <w:p w14:paraId="48FB34CB"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6.73</w:t>
            </w:r>
          </w:p>
        </w:tc>
        <w:tc>
          <w:tcPr>
            <w:tcW w:w="280" w:type="pct"/>
            <w:tcBorders>
              <w:top w:val="nil"/>
              <w:bottom w:val="single" w:sz="4" w:space="0" w:color="auto"/>
              <w:right w:val="single" w:sz="4" w:space="0" w:color="auto"/>
            </w:tcBorders>
            <w:noWrap/>
            <w:vAlign w:val="center"/>
            <w:hideMark/>
          </w:tcPr>
          <w:p w14:paraId="68252C5B"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11.46</w:t>
            </w:r>
          </w:p>
        </w:tc>
        <w:tc>
          <w:tcPr>
            <w:tcW w:w="279" w:type="pct"/>
            <w:tcBorders>
              <w:top w:val="nil"/>
              <w:left w:val="single" w:sz="4" w:space="0" w:color="auto"/>
              <w:bottom w:val="single" w:sz="4" w:space="0" w:color="auto"/>
            </w:tcBorders>
            <w:noWrap/>
            <w:vAlign w:val="center"/>
            <w:hideMark/>
          </w:tcPr>
          <w:p w14:paraId="75238C60"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6.61</w:t>
            </w:r>
          </w:p>
        </w:tc>
        <w:tc>
          <w:tcPr>
            <w:tcW w:w="279" w:type="pct"/>
            <w:tcBorders>
              <w:top w:val="nil"/>
              <w:bottom w:val="single" w:sz="4" w:space="0" w:color="auto"/>
            </w:tcBorders>
            <w:noWrap/>
            <w:vAlign w:val="center"/>
            <w:hideMark/>
          </w:tcPr>
          <w:p w14:paraId="6FCD3F99"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5.92</w:t>
            </w:r>
          </w:p>
        </w:tc>
        <w:tc>
          <w:tcPr>
            <w:tcW w:w="280" w:type="pct"/>
            <w:tcBorders>
              <w:top w:val="nil"/>
              <w:bottom w:val="single" w:sz="4" w:space="0" w:color="auto"/>
            </w:tcBorders>
            <w:noWrap/>
            <w:vAlign w:val="center"/>
            <w:hideMark/>
          </w:tcPr>
          <w:p w14:paraId="300DD32F"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8.19</w:t>
            </w:r>
          </w:p>
        </w:tc>
        <w:tc>
          <w:tcPr>
            <w:tcW w:w="280" w:type="pct"/>
            <w:tcBorders>
              <w:top w:val="nil"/>
              <w:bottom w:val="single" w:sz="4" w:space="0" w:color="auto"/>
            </w:tcBorders>
            <w:noWrap/>
            <w:vAlign w:val="center"/>
            <w:hideMark/>
          </w:tcPr>
          <w:p w14:paraId="1D6B7CA1"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6.97</w:t>
            </w:r>
          </w:p>
        </w:tc>
        <w:tc>
          <w:tcPr>
            <w:tcW w:w="279" w:type="pct"/>
            <w:tcBorders>
              <w:top w:val="nil"/>
              <w:bottom w:val="single" w:sz="4" w:space="0" w:color="auto"/>
            </w:tcBorders>
            <w:noWrap/>
            <w:vAlign w:val="center"/>
            <w:hideMark/>
          </w:tcPr>
          <w:p w14:paraId="3F98FC10"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6.93</w:t>
            </w:r>
          </w:p>
        </w:tc>
        <w:tc>
          <w:tcPr>
            <w:tcW w:w="279" w:type="pct"/>
            <w:tcBorders>
              <w:top w:val="nil"/>
              <w:bottom w:val="single" w:sz="4" w:space="0" w:color="auto"/>
            </w:tcBorders>
            <w:noWrap/>
            <w:vAlign w:val="center"/>
            <w:hideMark/>
          </w:tcPr>
          <w:p w14:paraId="6B0AC7E7"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6.60</w:t>
            </w:r>
          </w:p>
        </w:tc>
        <w:tc>
          <w:tcPr>
            <w:tcW w:w="430" w:type="pct"/>
            <w:tcBorders>
              <w:top w:val="nil"/>
              <w:bottom w:val="single" w:sz="4" w:space="0" w:color="auto"/>
            </w:tcBorders>
            <w:noWrap/>
            <w:vAlign w:val="center"/>
            <w:hideMark/>
          </w:tcPr>
          <w:p w14:paraId="17A3DDCF"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6.95</w:t>
            </w:r>
          </w:p>
        </w:tc>
        <w:tc>
          <w:tcPr>
            <w:tcW w:w="323" w:type="pct"/>
            <w:tcBorders>
              <w:top w:val="nil"/>
              <w:bottom w:val="single" w:sz="4" w:space="0" w:color="auto"/>
            </w:tcBorders>
            <w:noWrap/>
            <w:vAlign w:val="center"/>
            <w:hideMark/>
          </w:tcPr>
          <w:p w14:paraId="04810F77"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88.54</w:t>
            </w:r>
          </w:p>
        </w:tc>
      </w:tr>
      <w:tr w:rsidR="00D07B84" w:rsidRPr="00D07B84" w14:paraId="050A4F8C" w14:textId="77777777" w:rsidTr="00AD4771">
        <w:trPr>
          <w:trHeight w:val="454"/>
        </w:trPr>
        <w:tc>
          <w:tcPr>
            <w:tcW w:w="161" w:type="pct"/>
            <w:tcBorders>
              <w:top w:val="single" w:sz="4" w:space="0" w:color="auto"/>
              <w:right w:val="nil"/>
            </w:tcBorders>
          </w:tcPr>
          <w:p w14:paraId="6110DF0D" w14:textId="77777777" w:rsidR="00D07B84" w:rsidRPr="003563BF" w:rsidRDefault="00D07B84" w:rsidP="00835A65">
            <w:pPr>
              <w:rPr>
                <w:rFonts w:ascii="Times New Roman" w:hAnsi="Times New Roman" w:cs="Times New Roman"/>
              </w:rPr>
            </w:pPr>
          </w:p>
        </w:tc>
        <w:tc>
          <w:tcPr>
            <w:tcW w:w="731" w:type="pct"/>
            <w:tcBorders>
              <w:top w:val="single" w:sz="4" w:space="0" w:color="auto"/>
              <w:left w:val="nil"/>
              <w:right w:val="single" w:sz="4" w:space="0" w:color="auto"/>
            </w:tcBorders>
            <w:noWrap/>
            <w:vAlign w:val="center"/>
            <w:hideMark/>
          </w:tcPr>
          <w:p w14:paraId="010AB298" w14:textId="6668E472" w:rsidR="00D07B84" w:rsidRPr="003563BF" w:rsidRDefault="00D07B84" w:rsidP="00835A65">
            <w:pPr>
              <w:rPr>
                <w:rFonts w:ascii="Times New Roman" w:hAnsi="Times New Roman" w:cs="Times New Roman"/>
              </w:rPr>
            </w:pPr>
            <w:r w:rsidRPr="003563BF">
              <w:rPr>
                <w:rFonts w:ascii="Times New Roman" w:hAnsi="Times New Roman" w:cs="Times New Roman"/>
              </w:rPr>
              <w:t>Gold</w:t>
            </w:r>
          </w:p>
        </w:tc>
        <w:tc>
          <w:tcPr>
            <w:tcW w:w="279" w:type="pct"/>
            <w:tcBorders>
              <w:top w:val="single" w:sz="4" w:space="0" w:color="auto"/>
              <w:left w:val="single" w:sz="4" w:space="0" w:color="auto"/>
            </w:tcBorders>
            <w:noWrap/>
            <w:vAlign w:val="center"/>
            <w:hideMark/>
          </w:tcPr>
          <w:p w14:paraId="1272114B"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6.99</w:t>
            </w:r>
          </w:p>
        </w:tc>
        <w:tc>
          <w:tcPr>
            <w:tcW w:w="279" w:type="pct"/>
            <w:tcBorders>
              <w:top w:val="single" w:sz="4" w:space="0" w:color="auto"/>
            </w:tcBorders>
            <w:noWrap/>
            <w:vAlign w:val="center"/>
            <w:hideMark/>
          </w:tcPr>
          <w:p w14:paraId="3D0E13D5"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7.32</w:t>
            </w:r>
          </w:p>
        </w:tc>
        <w:tc>
          <w:tcPr>
            <w:tcW w:w="280" w:type="pct"/>
            <w:tcBorders>
              <w:top w:val="single" w:sz="4" w:space="0" w:color="auto"/>
              <w:right w:val="single" w:sz="4" w:space="0" w:color="auto"/>
            </w:tcBorders>
            <w:noWrap/>
            <w:vAlign w:val="center"/>
            <w:hideMark/>
          </w:tcPr>
          <w:p w14:paraId="601BB073"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7.39</w:t>
            </w:r>
          </w:p>
        </w:tc>
        <w:tc>
          <w:tcPr>
            <w:tcW w:w="280" w:type="pct"/>
            <w:tcBorders>
              <w:top w:val="single" w:sz="4" w:space="0" w:color="auto"/>
              <w:left w:val="single" w:sz="4" w:space="0" w:color="auto"/>
            </w:tcBorders>
            <w:noWrap/>
            <w:vAlign w:val="center"/>
            <w:hideMark/>
          </w:tcPr>
          <w:p w14:paraId="214D1AAC"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9.25</w:t>
            </w:r>
          </w:p>
        </w:tc>
        <w:tc>
          <w:tcPr>
            <w:tcW w:w="279" w:type="pct"/>
            <w:tcBorders>
              <w:top w:val="single" w:sz="4" w:space="0" w:color="auto"/>
            </w:tcBorders>
            <w:noWrap/>
            <w:vAlign w:val="center"/>
            <w:hideMark/>
          </w:tcPr>
          <w:p w14:paraId="26050BBB"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6.80</w:t>
            </w:r>
          </w:p>
        </w:tc>
        <w:tc>
          <w:tcPr>
            <w:tcW w:w="280" w:type="pct"/>
            <w:tcBorders>
              <w:top w:val="single" w:sz="4" w:space="0" w:color="auto"/>
              <w:right w:val="single" w:sz="4" w:space="0" w:color="auto"/>
            </w:tcBorders>
            <w:noWrap/>
            <w:vAlign w:val="center"/>
            <w:hideMark/>
          </w:tcPr>
          <w:p w14:paraId="2A9FD735"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8.61</w:t>
            </w:r>
          </w:p>
        </w:tc>
        <w:tc>
          <w:tcPr>
            <w:tcW w:w="279" w:type="pct"/>
            <w:tcBorders>
              <w:top w:val="single" w:sz="4" w:space="0" w:color="auto"/>
              <w:left w:val="single" w:sz="4" w:space="0" w:color="auto"/>
            </w:tcBorders>
            <w:noWrap/>
            <w:vAlign w:val="center"/>
            <w:hideMark/>
          </w:tcPr>
          <w:p w14:paraId="510FD0AA"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10.92</w:t>
            </w:r>
          </w:p>
        </w:tc>
        <w:tc>
          <w:tcPr>
            <w:tcW w:w="279" w:type="pct"/>
            <w:tcBorders>
              <w:top w:val="single" w:sz="4" w:space="0" w:color="auto"/>
            </w:tcBorders>
            <w:noWrap/>
            <w:vAlign w:val="center"/>
            <w:hideMark/>
          </w:tcPr>
          <w:p w14:paraId="66C4DD60"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6.19</w:t>
            </w:r>
          </w:p>
        </w:tc>
        <w:tc>
          <w:tcPr>
            <w:tcW w:w="280" w:type="pct"/>
            <w:tcBorders>
              <w:top w:val="single" w:sz="4" w:space="0" w:color="auto"/>
            </w:tcBorders>
            <w:noWrap/>
            <w:vAlign w:val="center"/>
            <w:hideMark/>
          </w:tcPr>
          <w:p w14:paraId="296DA0FD"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7.39</w:t>
            </w:r>
          </w:p>
        </w:tc>
        <w:tc>
          <w:tcPr>
            <w:tcW w:w="280" w:type="pct"/>
            <w:tcBorders>
              <w:top w:val="single" w:sz="4" w:space="0" w:color="auto"/>
            </w:tcBorders>
            <w:noWrap/>
            <w:vAlign w:val="center"/>
            <w:hideMark/>
          </w:tcPr>
          <w:p w14:paraId="6DC5E013"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7.54</w:t>
            </w:r>
          </w:p>
        </w:tc>
        <w:tc>
          <w:tcPr>
            <w:tcW w:w="279" w:type="pct"/>
            <w:tcBorders>
              <w:top w:val="single" w:sz="4" w:space="0" w:color="auto"/>
            </w:tcBorders>
            <w:noWrap/>
            <w:vAlign w:val="center"/>
            <w:hideMark/>
          </w:tcPr>
          <w:p w14:paraId="5B3234C2"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7.30</w:t>
            </w:r>
          </w:p>
        </w:tc>
        <w:tc>
          <w:tcPr>
            <w:tcW w:w="279" w:type="pct"/>
            <w:tcBorders>
              <w:top w:val="single" w:sz="4" w:space="0" w:color="auto"/>
            </w:tcBorders>
            <w:noWrap/>
            <w:vAlign w:val="center"/>
            <w:hideMark/>
          </w:tcPr>
          <w:p w14:paraId="301EDA0F"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7.62</w:t>
            </w:r>
          </w:p>
        </w:tc>
        <w:tc>
          <w:tcPr>
            <w:tcW w:w="430" w:type="pct"/>
            <w:tcBorders>
              <w:top w:val="single" w:sz="4" w:space="0" w:color="auto"/>
            </w:tcBorders>
            <w:noWrap/>
            <w:vAlign w:val="center"/>
            <w:hideMark/>
          </w:tcPr>
          <w:p w14:paraId="2AA03449"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6.65</w:t>
            </w:r>
          </w:p>
        </w:tc>
        <w:tc>
          <w:tcPr>
            <w:tcW w:w="323" w:type="pct"/>
            <w:tcBorders>
              <w:top w:val="single" w:sz="4" w:space="0" w:color="auto"/>
            </w:tcBorders>
            <w:noWrap/>
            <w:vAlign w:val="center"/>
            <w:hideMark/>
          </w:tcPr>
          <w:p w14:paraId="5F02AF42"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89.08</w:t>
            </w:r>
          </w:p>
        </w:tc>
      </w:tr>
      <w:tr w:rsidR="00D07B84" w:rsidRPr="00D07B84" w14:paraId="45664743" w14:textId="77777777" w:rsidTr="00AD4771">
        <w:trPr>
          <w:trHeight w:val="454"/>
        </w:trPr>
        <w:tc>
          <w:tcPr>
            <w:tcW w:w="161" w:type="pct"/>
            <w:tcBorders>
              <w:right w:val="nil"/>
            </w:tcBorders>
          </w:tcPr>
          <w:p w14:paraId="2EAF4D59" w14:textId="77777777" w:rsidR="00D07B84" w:rsidRPr="003563BF" w:rsidRDefault="00D07B84" w:rsidP="00835A65">
            <w:pPr>
              <w:rPr>
                <w:rFonts w:ascii="Times New Roman" w:hAnsi="Times New Roman" w:cs="Times New Roman"/>
              </w:rPr>
            </w:pPr>
          </w:p>
        </w:tc>
        <w:tc>
          <w:tcPr>
            <w:tcW w:w="731" w:type="pct"/>
            <w:tcBorders>
              <w:left w:val="nil"/>
              <w:right w:val="single" w:sz="4" w:space="0" w:color="auto"/>
            </w:tcBorders>
            <w:noWrap/>
            <w:vAlign w:val="center"/>
            <w:hideMark/>
          </w:tcPr>
          <w:p w14:paraId="779A55CB" w14:textId="5F49D64E" w:rsidR="00D07B84" w:rsidRPr="003563BF" w:rsidRDefault="00D07B84" w:rsidP="00835A65">
            <w:pPr>
              <w:rPr>
                <w:rFonts w:ascii="Times New Roman" w:hAnsi="Times New Roman" w:cs="Times New Roman"/>
              </w:rPr>
            </w:pPr>
            <w:r w:rsidRPr="003563BF">
              <w:rPr>
                <w:rFonts w:ascii="Times New Roman" w:hAnsi="Times New Roman" w:cs="Times New Roman"/>
              </w:rPr>
              <w:t>Oil</w:t>
            </w:r>
          </w:p>
        </w:tc>
        <w:tc>
          <w:tcPr>
            <w:tcW w:w="279" w:type="pct"/>
            <w:tcBorders>
              <w:left w:val="single" w:sz="4" w:space="0" w:color="auto"/>
            </w:tcBorders>
            <w:noWrap/>
            <w:vAlign w:val="center"/>
            <w:hideMark/>
          </w:tcPr>
          <w:p w14:paraId="76DA45D4"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6.79</w:t>
            </w:r>
          </w:p>
        </w:tc>
        <w:tc>
          <w:tcPr>
            <w:tcW w:w="279" w:type="pct"/>
            <w:noWrap/>
            <w:vAlign w:val="center"/>
            <w:hideMark/>
          </w:tcPr>
          <w:p w14:paraId="2EB5C43D"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7.50</w:t>
            </w:r>
          </w:p>
        </w:tc>
        <w:tc>
          <w:tcPr>
            <w:tcW w:w="280" w:type="pct"/>
            <w:tcBorders>
              <w:right w:val="single" w:sz="4" w:space="0" w:color="auto"/>
            </w:tcBorders>
            <w:noWrap/>
            <w:vAlign w:val="center"/>
            <w:hideMark/>
          </w:tcPr>
          <w:p w14:paraId="0E361322"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7.20</w:t>
            </w:r>
          </w:p>
        </w:tc>
        <w:tc>
          <w:tcPr>
            <w:tcW w:w="280" w:type="pct"/>
            <w:tcBorders>
              <w:left w:val="single" w:sz="4" w:space="0" w:color="auto"/>
            </w:tcBorders>
            <w:noWrap/>
            <w:vAlign w:val="center"/>
            <w:hideMark/>
          </w:tcPr>
          <w:p w14:paraId="4B88B0F4"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8.17</w:t>
            </w:r>
          </w:p>
        </w:tc>
        <w:tc>
          <w:tcPr>
            <w:tcW w:w="279" w:type="pct"/>
            <w:noWrap/>
            <w:vAlign w:val="center"/>
            <w:hideMark/>
          </w:tcPr>
          <w:p w14:paraId="55F963EB"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6.41</w:t>
            </w:r>
          </w:p>
        </w:tc>
        <w:tc>
          <w:tcPr>
            <w:tcW w:w="280" w:type="pct"/>
            <w:tcBorders>
              <w:right w:val="single" w:sz="4" w:space="0" w:color="auto"/>
            </w:tcBorders>
            <w:noWrap/>
            <w:vAlign w:val="center"/>
            <w:hideMark/>
          </w:tcPr>
          <w:p w14:paraId="5B7B220F"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8.45</w:t>
            </w:r>
          </w:p>
        </w:tc>
        <w:tc>
          <w:tcPr>
            <w:tcW w:w="279" w:type="pct"/>
            <w:tcBorders>
              <w:left w:val="single" w:sz="4" w:space="0" w:color="auto"/>
            </w:tcBorders>
            <w:noWrap/>
            <w:vAlign w:val="center"/>
            <w:hideMark/>
          </w:tcPr>
          <w:p w14:paraId="1DD684AD"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6.81</w:t>
            </w:r>
          </w:p>
        </w:tc>
        <w:tc>
          <w:tcPr>
            <w:tcW w:w="279" w:type="pct"/>
            <w:noWrap/>
            <w:vAlign w:val="center"/>
            <w:hideMark/>
          </w:tcPr>
          <w:p w14:paraId="49AC918D"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11.28</w:t>
            </w:r>
          </w:p>
        </w:tc>
        <w:tc>
          <w:tcPr>
            <w:tcW w:w="280" w:type="pct"/>
            <w:noWrap/>
            <w:vAlign w:val="center"/>
            <w:hideMark/>
          </w:tcPr>
          <w:p w14:paraId="7C58AA9B"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7.70</w:t>
            </w:r>
          </w:p>
        </w:tc>
        <w:tc>
          <w:tcPr>
            <w:tcW w:w="280" w:type="pct"/>
            <w:noWrap/>
            <w:vAlign w:val="center"/>
            <w:hideMark/>
          </w:tcPr>
          <w:p w14:paraId="7095FB16"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7.56</w:t>
            </w:r>
          </w:p>
        </w:tc>
        <w:tc>
          <w:tcPr>
            <w:tcW w:w="279" w:type="pct"/>
            <w:noWrap/>
            <w:vAlign w:val="center"/>
            <w:hideMark/>
          </w:tcPr>
          <w:p w14:paraId="44CE61B8"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7.73</w:t>
            </w:r>
          </w:p>
        </w:tc>
        <w:tc>
          <w:tcPr>
            <w:tcW w:w="279" w:type="pct"/>
            <w:noWrap/>
            <w:vAlign w:val="center"/>
            <w:hideMark/>
          </w:tcPr>
          <w:p w14:paraId="3C87AAE2"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7.10</w:t>
            </w:r>
          </w:p>
        </w:tc>
        <w:tc>
          <w:tcPr>
            <w:tcW w:w="430" w:type="pct"/>
            <w:noWrap/>
            <w:vAlign w:val="center"/>
            <w:hideMark/>
          </w:tcPr>
          <w:p w14:paraId="3BB36E2D"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7.30</w:t>
            </w:r>
          </w:p>
        </w:tc>
        <w:tc>
          <w:tcPr>
            <w:tcW w:w="323" w:type="pct"/>
            <w:noWrap/>
            <w:vAlign w:val="center"/>
            <w:hideMark/>
          </w:tcPr>
          <w:p w14:paraId="6D969886"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88.72</w:t>
            </w:r>
          </w:p>
        </w:tc>
      </w:tr>
      <w:tr w:rsidR="00D07B84" w:rsidRPr="00D07B84" w14:paraId="1EAF41BD" w14:textId="77777777" w:rsidTr="00AD4771">
        <w:trPr>
          <w:trHeight w:val="454"/>
        </w:trPr>
        <w:tc>
          <w:tcPr>
            <w:tcW w:w="161" w:type="pct"/>
            <w:tcBorders>
              <w:right w:val="nil"/>
            </w:tcBorders>
          </w:tcPr>
          <w:p w14:paraId="594AFBA9" w14:textId="77777777" w:rsidR="00D07B84" w:rsidRPr="003563BF" w:rsidRDefault="00D07B84" w:rsidP="00835A65">
            <w:pPr>
              <w:rPr>
                <w:rFonts w:ascii="Times New Roman" w:hAnsi="Times New Roman" w:cs="Times New Roman"/>
              </w:rPr>
            </w:pPr>
          </w:p>
        </w:tc>
        <w:tc>
          <w:tcPr>
            <w:tcW w:w="731" w:type="pct"/>
            <w:tcBorders>
              <w:left w:val="nil"/>
              <w:right w:val="single" w:sz="4" w:space="0" w:color="auto"/>
            </w:tcBorders>
            <w:noWrap/>
            <w:vAlign w:val="center"/>
            <w:hideMark/>
          </w:tcPr>
          <w:p w14:paraId="7FC8B578" w14:textId="16370F19" w:rsidR="00D07B84" w:rsidRPr="003563BF" w:rsidRDefault="00D07B84" w:rsidP="00835A65">
            <w:pPr>
              <w:rPr>
                <w:rFonts w:ascii="Times New Roman" w:hAnsi="Times New Roman" w:cs="Times New Roman"/>
              </w:rPr>
            </w:pPr>
            <w:r w:rsidRPr="003563BF">
              <w:rPr>
                <w:rFonts w:ascii="Times New Roman" w:hAnsi="Times New Roman" w:cs="Times New Roman"/>
              </w:rPr>
              <w:t>BTC</w:t>
            </w:r>
          </w:p>
        </w:tc>
        <w:tc>
          <w:tcPr>
            <w:tcW w:w="279" w:type="pct"/>
            <w:tcBorders>
              <w:left w:val="single" w:sz="4" w:space="0" w:color="auto"/>
            </w:tcBorders>
            <w:noWrap/>
            <w:vAlign w:val="center"/>
            <w:hideMark/>
          </w:tcPr>
          <w:p w14:paraId="51E6BE85"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7.05</w:t>
            </w:r>
          </w:p>
        </w:tc>
        <w:tc>
          <w:tcPr>
            <w:tcW w:w="279" w:type="pct"/>
            <w:noWrap/>
            <w:vAlign w:val="center"/>
            <w:hideMark/>
          </w:tcPr>
          <w:p w14:paraId="1C27CCF6"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7.85</w:t>
            </w:r>
          </w:p>
        </w:tc>
        <w:tc>
          <w:tcPr>
            <w:tcW w:w="280" w:type="pct"/>
            <w:tcBorders>
              <w:right w:val="single" w:sz="4" w:space="0" w:color="auto"/>
            </w:tcBorders>
            <w:noWrap/>
            <w:vAlign w:val="center"/>
            <w:hideMark/>
          </w:tcPr>
          <w:p w14:paraId="3DEEA846"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7.80</w:t>
            </w:r>
          </w:p>
        </w:tc>
        <w:tc>
          <w:tcPr>
            <w:tcW w:w="280" w:type="pct"/>
            <w:tcBorders>
              <w:left w:val="single" w:sz="4" w:space="0" w:color="auto"/>
            </w:tcBorders>
            <w:noWrap/>
            <w:vAlign w:val="center"/>
            <w:hideMark/>
          </w:tcPr>
          <w:p w14:paraId="07BA5409"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9.77</w:t>
            </w:r>
          </w:p>
        </w:tc>
        <w:tc>
          <w:tcPr>
            <w:tcW w:w="279" w:type="pct"/>
            <w:noWrap/>
            <w:vAlign w:val="center"/>
            <w:hideMark/>
          </w:tcPr>
          <w:p w14:paraId="12367F24"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6.75</w:t>
            </w:r>
          </w:p>
        </w:tc>
        <w:tc>
          <w:tcPr>
            <w:tcW w:w="280" w:type="pct"/>
            <w:tcBorders>
              <w:right w:val="single" w:sz="4" w:space="0" w:color="auto"/>
            </w:tcBorders>
            <w:noWrap/>
            <w:vAlign w:val="center"/>
            <w:hideMark/>
          </w:tcPr>
          <w:p w14:paraId="4FB83F73"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9.49</w:t>
            </w:r>
          </w:p>
        </w:tc>
        <w:tc>
          <w:tcPr>
            <w:tcW w:w="279" w:type="pct"/>
            <w:tcBorders>
              <w:left w:val="single" w:sz="4" w:space="0" w:color="auto"/>
            </w:tcBorders>
            <w:noWrap/>
            <w:vAlign w:val="center"/>
            <w:hideMark/>
          </w:tcPr>
          <w:p w14:paraId="6A670188"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6.85</w:t>
            </w:r>
          </w:p>
        </w:tc>
        <w:tc>
          <w:tcPr>
            <w:tcW w:w="279" w:type="pct"/>
            <w:noWrap/>
            <w:vAlign w:val="center"/>
            <w:hideMark/>
          </w:tcPr>
          <w:p w14:paraId="0CB2A7AF"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5.93</w:t>
            </w:r>
          </w:p>
        </w:tc>
        <w:tc>
          <w:tcPr>
            <w:tcW w:w="280" w:type="pct"/>
            <w:noWrap/>
            <w:vAlign w:val="center"/>
            <w:hideMark/>
          </w:tcPr>
          <w:p w14:paraId="3CD79FEB"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9.98</w:t>
            </w:r>
          </w:p>
        </w:tc>
        <w:tc>
          <w:tcPr>
            <w:tcW w:w="280" w:type="pct"/>
            <w:noWrap/>
            <w:vAlign w:val="center"/>
            <w:hideMark/>
          </w:tcPr>
          <w:p w14:paraId="371ECED1"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7.22</w:t>
            </w:r>
          </w:p>
        </w:tc>
        <w:tc>
          <w:tcPr>
            <w:tcW w:w="279" w:type="pct"/>
            <w:noWrap/>
            <w:vAlign w:val="center"/>
            <w:hideMark/>
          </w:tcPr>
          <w:p w14:paraId="33F0F69A"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7.17</w:t>
            </w:r>
          </w:p>
        </w:tc>
        <w:tc>
          <w:tcPr>
            <w:tcW w:w="279" w:type="pct"/>
            <w:noWrap/>
            <w:vAlign w:val="center"/>
            <w:hideMark/>
          </w:tcPr>
          <w:p w14:paraId="3E314125"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7.05</w:t>
            </w:r>
          </w:p>
        </w:tc>
        <w:tc>
          <w:tcPr>
            <w:tcW w:w="430" w:type="pct"/>
            <w:noWrap/>
            <w:vAlign w:val="center"/>
            <w:hideMark/>
          </w:tcPr>
          <w:p w14:paraId="029D020F"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7.09</w:t>
            </w:r>
          </w:p>
        </w:tc>
        <w:tc>
          <w:tcPr>
            <w:tcW w:w="323" w:type="pct"/>
            <w:noWrap/>
            <w:vAlign w:val="center"/>
            <w:hideMark/>
          </w:tcPr>
          <w:p w14:paraId="5C64B637"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90.02</w:t>
            </w:r>
          </w:p>
        </w:tc>
      </w:tr>
      <w:tr w:rsidR="00D07B84" w:rsidRPr="00D07B84" w14:paraId="4360B0B0" w14:textId="77777777" w:rsidTr="00AD4771">
        <w:trPr>
          <w:trHeight w:val="454"/>
        </w:trPr>
        <w:tc>
          <w:tcPr>
            <w:tcW w:w="161" w:type="pct"/>
            <w:tcBorders>
              <w:right w:val="nil"/>
            </w:tcBorders>
          </w:tcPr>
          <w:p w14:paraId="60F262E5" w14:textId="77777777" w:rsidR="00D07B84" w:rsidRPr="003563BF" w:rsidRDefault="00D07B84" w:rsidP="00835A65">
            <w:pPr>
              <w:rPr>
                <w:rFonts w:ascii="Times New Roman" w:hAnsi="Times New Roman" w:cs="Times New Roman"/>
              </w:rPr>
            </w:pPr>
          </w:p>
        </w:tc>
        <w:tc>
          <w:tcPr>
            <w:tcW w:w="731" w:type="pct"/>
            <w:tcBorders>
              <w:left w:val="nil"/>
              <w:right w:val="single" w:sz="4" w:space="0" w:color="auto"/>
            </w:tcBorders>
            <w:noWrap/>
            <w:vAlign w:val="center"/>
            <w:hideMark/>
          </w:tcPr>
          <w:p w14:paraId="4479AD67" w14:textId="2CA56A79" w:rsidR="00D07B84" w:rsidRPr="003563BF" w:rsidRDefault="00D07B84" w:rsidP="00835A65">
            <w:pPr>
              <w:rPr>
                <w:rFonts w:ascii="Times New Roman" w:hAnsi="Times New Roman" w:cs="Times New Roman"/>
              </w:rPr>
            </w:pPr>
            <w:r w:rsidRPr="003563BF">
              <w:rPr>
                <w:rFonts w:ascii="Times New Roman" w:hAnsi="Times New Roman" w:cs="Times New Roman"/>
              </w:rPr>
              <w:t>REIT</w:t>
            </w:r>
          </w:p>
        </w:tc>
        <w:tc>
          <w:tcPr>
            <w:tcW w:w="279" w:type="pct"/>
            <w:tcBorders>
              <w:left w:val="single" w:sz="4" w:space="0" w:color="auto"/>
            </w:tcBorders>
            <w:noWrap/>
            <w:vAlign w:val="center"/>
            <w:hideMark/>
          </w:tcPr>
          <w:p w14:paraId="0AFE15AC"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6.74</w:t>
            </w:r>
          </w:p>
        </w:tc>
        <w:tc>
          <w:tcPr>
            <w:tcW w:w="279" w:type="pct"/>
            <w:noWrap/>
            <w:vAlign w:val="center"/>
            <w:hideMark/>
          </w:tcPr>
          <w:p w14:paraId="50922560"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7.17</w:t>
            </w:r>
          </w:p>
        </w:tc>
        <w:tc>
          <w:tcPr>
            <w:tcW w:w="280" w:type="pct"/>
            <w:tcBorders>
              <w:right w:val="single" w:sz="4" w:space="0" w:color="auto"/>
            </w:tcBorders>
            <w:noWrap/>
            <w:vAlign w:val="center"/>
            <w:hideMark/>
          </w:tcPr>
          <w:p w14:paraId="11B0AF11"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7.29</w:t>
            </w:r>
          </w:p>
        </w:tc>
        <w:tc>
          <w:tcPr>
            <w:tcW w:w="280" w:type="pct"/>
            <w:tcBorders>
              <w:left w:val="single" w:sz="4" w:space="0" w:color="auto"/>
            </w:tcBorders>
            <w:noWrap/>
            <w:vAlign w:val="center"/>
            <w:hideMark/>
          </w:tcPr>
          <w:p w14:paraId="4238D4D3"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9.63</w:t>
            </w:r>
          </w:p>
        </w:tc>
        <w:tc>
          <w:tcPr>
            <w:tcW w:w="279" w:type="pct"/>
            <w:noWrap/>
            <w:vAlign w:val="center"/>
            <w:hideMark/>
          </w:tcPr>
          <w:p w14:paraId="19497E98"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6.75</w:t>
            </w:r>
          </w:p>
        </w:tc>
        <w:tc>
          <w:tcPr>
            <w:tcW w:w="280" w:type="pct"/>
            <w:tcBorders>
              <w:right w:val="single" w:sz="4" w:space="0" w:color="auto"/>
            </w:tcBorders>
            <w:noWrap/>
            <w:vAlign w:val="center"/>
            <w:hideMark/>
          </w:tcPr>
          <w:p w14:paraId="338A3BD3"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8.79</w:t>
            </w:r>
          </w:p>
        </w:tc>
        <w:tc>
          <w:tcPr>
            <w:tcW w:w="279" w:type="pct"/>
            <w:tcBorders>
              <w:left w:val="single" w:sz="4" w:space="0" w:color="auto"/>
            </w:tcBorders>
            <w:noWrap/>
            <w:vAlign w:val="center"/>
            <w:hideMark/>
          </w:tcPr>
          <w:p w14:paraId="5925E6BE"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6.97</w:t>
            </w:r>
          </w:p>
        </w:tc>
        <w:tc>
          <w:tcPr>
            <w:tcW w:w="279" w:type="pct"/>
            <w:noWrap/>
            <w:vAlign w:val="center"/>
            <w:hideMark/>
          </w:tcPr>
          <w:p w14:paraId="1E11DFBE"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6.29</w:t>
            </w:r>
          </w:p>
        </w:tc>
        <w:tc>
          <w:tcPr>
            <w:tcW w:w="280" w:type="pct"/>
            <w:noWrap/>
            <w:vAlign w:val="center"/>
            <w:hideMark/>
          </w:tcPr>
          <w:p w14:paraId="2EC131E6"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7.22</w:t>
            </w:r>
          </w:p>
        </w:tc>
        <w:tc>
          <w:tcPr>
            <w:tcW w:w="280" w:type="pct"/>
            <w:noWrap/>
            <w:vAlign w:val="center"/>
            <w:hideMark/>
          </w:tcPr>
          <w:p w14:paraId="44A40F09"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10.48</w:t>
            </w:r>
          </w:p>
        </w:tc>
        <w:tc>
          <w:tcPr>
            <w:tcW w:w="279" w:type="pct"/>
            <w:noWrap/>
            <w:vAlign w:val="center"/>
            <w:hideMark/>
          </w:tcPr>
          <w:p w14:paraId="64E194E0"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8.43</w:t>
            </w:r>
          </w:p>
        </w:tc>
        <w:tc>
          <w:tcPr>
            <w:tcW w:w="279" w:type="pct"/>
            <w:noWrap/>
            <w:vAlign w:val="center"/>
            <w:hideMark/>
          </w:tcPr>
          <w:p w14:paraId="3D192F97"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7.21</w:t>
            </w:r>
          </w:p>
        </w:tc>
        <w:tc>
          <w:tcPr>
            <w:tcW w:w="430" w:type="pct"/>
            <w:noWrap/>
            <w:vAlign w:val="center"/>
            <w:hideMark/>
          </w:tcPr>
          <w:p w14:paraId="0A438202"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7.05</w:t>
            </w:r>
          </w:p>
        </w:tc>
        <w:tc>
          <w:tcPr>
            <w:tcW w:w="323" w:type="pct"/>
            <w:noWrap/>
            <w:vAlign w:val="center"/>
            <w:hideMark/>
          </w:tcPr>
          <w:p w14:paraId="5ADF4B82"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89.52</w:t>
            </w:r>
          </w:p>
        </w:tc>
      </w:tr>
      <w:tr w:rsidR="00D07B84" w:rsidRPr="00D07B84" w14:paraId="42997FA2" w14:textId="77777777" w:rsidTr="00AD4771">
        <w:trPr>
          <w:trHeight w:val="454"/>
        </w:trPr>
        <w:tc>
          <w:tcPr>
            <w:tcW w:w="161" w:type="pct"/>
            <w:tcBorders>
              <w:right w:val="nil"/>
            </w:tcBorders>
          </w:tcPr>
          <w:p w14:paraId="2D8E6F4D" w14:textId="77777777" w:rsidR="00D07B84" w:rsidRPr="003563BF" w:rsidRDefault="00D07B84" w:rsidP="00835A65">
            <w:pPr>
              <w:rPr>
                <w:rFonts w:ascii="Times New Roman" w:hAnsi="Times New Roman" w:cs="Times New Roman"/>
              </w:rPr>
            </w:pPr>
          </w:p>
        </w:tc>
        <w:tc>
          <w:tcPr>
            <w:tcW w:w="731" w:type="pct"/>
            <w:tcBorders>
              <w:left w:val="nil"/>
              <w:right w:val="single" w:sz="4" w:space="0" w:color="auto"/>
            </w:tcBorders>
            <w:noWrap/>
            <w:vAlign w:val="center"/>
            <w:hideMark/>
          </w:tcPr>
          <w:p w14:paraId="6F673071" w14:textId="4DC8DB35" w:rsidR="00D07B84" w:rsidRPr="003563BF" w:rsidRDefault="00D07B84" w:rsidP="00835A65">
            <w:pPr>
              <w:rPr>
                <w:rFonts w:ascii="Times New Roman" w:hAnsi="Times New Roman" w:cs="Times New Roman"/>
              </w:rPr>
            </w:pPr>
            <w:r w:rsidRPr="003563BF">
              <w:rPr>
                <w:rFonts w:ascii="Times New Roman" w:hAnsi="Times New Roman" w:cs="Times New Roman"/>
              </w:rPr>
              <w:t>Equity</w:t>
            </w:r>
          </w:p>
        </w:tc>
        <w:tc>
          <w:tcPr>
            <w:tcW w:w="279" w:type="pct"/>
            <w:tcBorders>
              <w:left w:val="single" w:sz="4" w:space="0" w:color="auto"/>
            </w:tcBorders>
            <w:noWrap/>
            <w:vAlign w:val="center"/>
            <w:hideMark/>
          </w:tcPr>
          <w:p w14:paraId="64BA5D74"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6.79</w:t>
            </w:r>
          </w:p>
        </w:tc>
        <w:tc>
          <w:tcPr>
            <w:tcW w:w="279" w:type="pct"/>
            <w:noWrap/>
            <w:vAlign w:val="center"/>
            <w:hideMark/>
          </w:tcPr>
          <w:p w14:paraId="5CA01576"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7.33</w:t>
            </w:r>
          </w:p>
        </w:tc>
        <w:tc>
          <w:tcPr>
            <w:tcW w:w="280" w:type="pct"/>
            <w:tcBorders>
              <w:right w:val="single" w:sz="4" w:space="0" w:color="auto"/>
            </w:tcBorders>
            <w:noWrap/>
            <w:vAlign w:val="center"/>
            <w:hideMark/>
          </w:tcPr>
          <w:p w14:paraId="04644668"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7.71</w:t>
            </w:r>
          </w:p>
        </w:tc>
        <w:tc>
          <w:tcPr>
            <w:tcW w:w="280" w:type="pct"/>
            <w:tcBorders>
              <w:left w:val="single" w:sz="4" w:space="0" w:color="auto"/>
            </w:tcBorders>
            <w:noWrap/>
            <w:vAlign w:val="center"/>
            <w:hideMark/>
          </w:tcPr>
          <w:p w14:paraId="15EDC4E6"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9.88</w:t>
            </w:r>
          </w:p>
        </w:tc>
        <w:tc>
          <w:tcPr>
            <w:tcW w:w="279" w:type="pct"/>
            <w:noWrap/>
            <w:vAlign w:val="center"/>
            <w:hideMark/>
          </w:tcPr>
          <w:p w14:paraId="5DA7591C"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6.34</w:t>
            </w:r>
          </w:p>
        </w:tc>
        <w:tc>
          <w:tcPr>
            <w:tcW w:w="280" w:type="pct"/>
            <w:tcBorders>
              <w:right w:val="single" w:sz="4" w:space="0" w:color="auto"/>
            </w:tcBorders>
            <w:noWrap/>
            <w:vAlign w:val="center"/>
            <w:hideMark/>
          </w:tcPr>
          <w:p w14:paraId="781271CB"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8.98</w:t>
            </w:r>
          </w:p>
        </w:tc>
        <w:tc>
          <w:tcPr>
            <w:tcW w:w="279" w:type="pct"/>
            <w:tcBorders>
              <w:left w:val="single" w:sz="4" w:space="0" w:color="auto"/>
            </w:tcBorders>
            <w:noWrap/>
            <w:vAlign w:val="center"/>
            <w:hideMark/>
          </w:tcPr>
          <w:p w14:paraId="76A464CA"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6.70</w:t>
            </w:r>
          </w:p>
        </w:tc>
        <w:tc>
          <w:tcPr>
            <w:tcW w:w="279" w:type="pct"/>
            <w:noWrap/>
            <w:vAlign w:val="center"/>
            <w:hideMark/>
          </w:tcPr>
          <w:p w14:paraId="1BBB96E4"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6.40</w:t>
            </w:r>
          </w:p>
        </w:tc>
        <w:tc>
          <w:tcPr>
            <w:tcW w:w="280" w:type="pct"/>
            <w:noWrap/>
            <w:vAlign w:val="center"/>
            <w:hideMark/>
          </w:tcPr>
          <w:p w14:paraId="069865E6"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7.41</w:t>
            </w:r>
          </w:p>
        </w:tc>
        <w:tc>
          <w:tcPr>
            <w:tcW w:w="280" w:type="pct"/>
            <w:noWrap/>
            <w:vAlign w:val="center"/>
            <w:hideMark/>
          </w:tcPr>
          <w:p w14:paraId="1F89DD75"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8.66</w:t>
            </w:r>
          </w:p>
        </w:tc>
        <w:tc>
          <w:tcPr>
            <w:tcW w:w="279" w:type="pct"/>
            <w:noWrap/>
            <w:vAlign w:val="center"/>
            <w:hideMark/>
          </w:tcPr>
          <w:p w14:paraId="07018E20"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10.04</w:t>
            </w:r>
          </w:p>
        </w:tc>
        <w:tc>
          <w:tcPr>
            <w:tcW w:w="279" w:type="pct"/>
            <w:noWrap/>
            <w:vAlign w:val="center"/>
            <w:hideMark/>
          </w:tcPr>
          <w:p w14:paraId="61B61313"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6.89</w:t>
            </w:r>
          </w:p>
        </w:tc>
        <w:tc>
          <w:tcPr>
            <w:tcW w:w="430" w:type="pct"/>
            <w:noWrap/>
            <w:vAlign w:val="center"/>
            <w:hideMark/>
          </w:tcPr>
          <w:p w14:paraId="2106BB9C"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6.87</w:t>
            </w:r>
          </w:p>
        </w:tc>
        <w:tc>
          <w:tcPr>
            <w:tcW w:w="323" w:type="pct"/>
            <w:noWrap/>
            <w:vAlign w:val="center"/>
            <w:hideMark/>
          </w:tcPr>
          <w:p w14:paraId="1A58253E"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89.96</w:t>
            </w:r>
          </w:p>
        </w:tc>
      </w:tr>
      <w:tr w:rsidR="00D07B84" w:rsidRPr="00D07B84" w14:paraId="45D87F65" w14:textId="77777777" w:rsidTr="00AD4771">
        <w:trPr>
          <w:trHeight w:val="454"/>
        </w:trPr>
        <w:tc>
          <w:tcPr>
            <w:tcW w:w="161" w:type="pct"/>
            <w:tcBorders>
              <w:right w:val="nil"/>
            </w:tcBorders>
          </w:tcPr>
          <w:p w14:paraId="4ADC10C6" w14:textId="77777777" w:rsidR="00D07B84" w:rsidRPr="003563BF" w:rsidRDefault="00D07B84" w:rsidP="00835A65">
            <w:pPr>
              <w:rPr>
                <w:rFonts w:ascii="Times New Roman" w:hAnsi="Times New Roman" w:cs="Times New Roman"/>
              </w:rPr>
            </w:pPr>
          </w:p>
        </w:tc>
        <w:tc>
          <w:tcPr>
            <w:tcW w:w="731" w:type="pct"/>
            <w:tcBorders>
              <w:left w:val="nil"/>
              <w:right w:val="single" w:sz="4" w:space="0" w:color="auto"/>
            </w:tcBorders>
            <w:noWrap/>
            <w:vAlign w:val="center"/>
            <w:hideMark/>
          </w:tcPr>
          <w:p w14:paraId="15C247F7" w14:textId="4C5097CA" w:rsidR="00D07B84" w:rsidRPr="003563BF" w:rsidRDefault="00D07B84" w:rsidP="00835A65">
            <w:pPr>
              <w:rPr>
                <w:rFonts w:ascii="Times New Roman" w:hAnsi="Times New Roman" w:cs="Times New Roman"/>
              </w:rPr>
            </w:pPr>
            <w:r w:rsidRPr="003563BF">
              <w:rPr>
                <w:rFonts w:ascii="Times New Roman" w:hAnsi="Times New Roman" w:cs="Times New Roman"/>
              </w:rPr>
              <w:t>Bond</w:t>
            </w:r>
          </w:p>
        </w:tc>
        <w:tc>
          <w:tcPr>
            <w:tcW w:w="279" w:type="pct"/>
            <w:tcBorders>
              <w:left w:val="single" w:sz="4" w:space="0" w:color="auto"/>
            </w:tcBorders>
            <w:noWrap/>
            <w:vAlign w:val="center"/>
            <w:hideMark/>
          </w:tcPr>
          <w:p w14:paraId="594F879A"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7.07</w:t>
            </w:r>
          </w:p>
        </w:tc>
        <w:tc>
          <w:tcPr>
            <w:tcW w:w="279" w:type="pct"/>
            <w:noWrap/>
            <w:vAlign w:val="center"/>
            <w:hideMark/>
          </w:tcPr>
          <w:p w14:paraId="5B11F39D"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7.31</w:t>
            </w:r>
          </w:p>
        </w:tc>
        <w:tc>
          <w:tcPr>
            <w:tcW w:w="280" w:type="pct"/>
            <w:tcBorders>
              <w:right w:val="single" w:sz="4" w:space="0" w:color="auto"/>
            </w:tcBorders>
            <w:noWrap/>
            <w:vAlign w:val="center"/>
            <w:hideMark/>
          </w:tcPr>
          <w:p w14:paraId="5ABBB19D"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7.55</w:t>
            </w:r>
          </w:p>
        </w:tc>
        <w:tc>
          <w:tcPr>
            <w:tcW w:w="280" w:type="pct"/>
            <w:tcBorders>
              <w:left w:val="single" w:sz="4" w:space="0" w:color="auto"/>
            </w:tcBorders>
            <w:noWrap/>
            <w:vAlign w:val="center"/>
            <w:hideMark/>
          </w:tcPr>
          <w:p w14:paraId="6D99BD3B"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8.21</w:t>
            </w:r>
          </w:p>
        </w:tc>
        <w:tc>
          <w:tcPr>
            <w:tcW w:w="279" w:type="pct"/>
            <w:noWrap/>
            <w:vAlign w:val="center"/>
            <w:hideMark/>
          </w:tcPr>
          <w:p w14:paraId="3DFD8189"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6.64</w:t>
            </w:r>
          </w:p>
        </w:tc>
        <w:tc>
          <w:tcPr>
            <w:tcW w:w="280" w:type="pct"/>
            <w:tcBorders>
              <w:right w:val="single" w:sz="4" w:space="0" w:color="auto"/>
            </w:tcBorders>
            <w:noWrap/>
            <w:vAlign w:val="center"/>
            <w:hideMark/>
          </w:tcPr>
          <w:p w14:paraId="415F3D69"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8.09</w:t>
            </w:r>
          </w:p>
        </w:tc>
        <w:tc>
          <w:tcPr>
            <w:tcW w:w="279" w:type="pct"/>
            <w:tcBorders>
              <w:left w:val="single" w:sz="4" w:space="0" w:color="auto"/>
            </w:tcBorders>
            <w:noWrap/>
            <w:vAlign w:val="center"/>
            <w:hideMark/>
          </w:tcPr>
          <w:p w14:paraId="7DC3BA69"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7.99</w:t>
            </w:r>
          </w:p>
        </w:tc>
        <w:tc>
          <w:tcPr>
            <w:tcW w:w="279" w:type="pct"/>
            <w:noWrap/>
            <w:vAlign w:val="center"/>
            <w:hideMark/>
          </w:tcPr>
          <w:p w14:paraId="58D3431B"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6.46</w:t>
            </w:r>
          </w:p>
        </w:tc>
        <w:tc>
          <w:tcPr>
            <w:tcW w:w="280" w:type="pct"/>
            <w:noWrap/>
            <w:vAlign w:val="center"/>
            <w:hideMark/>
          </w:tcPr>
          <w:p w14:paraId="3BC2517A"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7.60</w:t>
            </w:r>
          </w:p>
        </w:tc>
        <w:tc>
          <w:tcPr>
            <w:tcW w:w="280" w:type="pct"/>
            <w:noWrap/>
            <w:vAlign w:val="center"/>
            <w:hideMark/>
          </w:tcPr>
          <w:p w14:paraId="28BC9A07"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7.80</w:t>
            </w:r>
          </w:p>
        </w:tc>
        <w:tc>
          <w:tcPr>
            <w:tcW w:w="279" w:type="pct"/>
            <w:noWrap/>
            <w:vAlign w:val="center"/>
            <w:hideMark/>
          </w:tcPr>
          <w:p w14:paraId="666DB6D0"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7.25</w:t>
            </w:r>
          </w:p>
        </w:tc>
        <w:tc>
          <w:tcPr>
            <w:tcW w:w="279" w:type="pct"/>
            <w:noWrap/>
            <w:vAlign w:val="center"/>
            <w:hideMark/>
          </w:tcPr>
          <w:p w14:paraId="1A0B3337"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11.05</w:t>
            </w:r>
          </w:p>
        </w:tc>
        <w:tc>
          <w:tcPr>
            <w:tcW w:w="430" w:type="pct"/>
            <w:noWrap/>
            <w:vAlign w:val="center"/>
            <w:hideMark/>
          </w:tcPr>
          <w:p w14:paraId="3AB87CCD"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6.99</w:t>
            </w:r>
          </w:p>
        </w:tc>
        <w:tc>
          <w:tcPr>
            <w:tcW w:w="323" w:type="pct"/>
            <w:noWrap/>
            <w:vAlign w:val="center"/>
            <w:hideMark/>
          </w:tcPr>
          <w:p w14:paraId="5298AAAD"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88.95</w:t>
            </w:r>
          </w:p>
        </w:tc>
      </w:tr>
      <w:tr w:rsidR="00D07B84" w:rsidRPr="00D07B84" w14:paraId="3C8BA587" w14:textId="77777777" w:rsidTr="00AD4771">
        <w:trPr>
          <w:trHeight w:val="454"/>
        </w:trPr>
        <w:tc>
          <w:tcPr>
            <w:tcW w:w="161" w:type="pct"/>
            <w:tcBorders>
              <w:right w:val="nil"/>
            </w:tcBorders>
          </w:tcPr>
          <w:p w14:paraId="7A9999B7" w14:textId="77777777" w:rsidR="00D07B84" w:rsidRPr="003563BF" w:rsidRDefault="00D07B84" w:rsidP="00835A65">
            <w:pPr>
              <w:rPr>
                <w:rFonts w:ascii="Times New Roman" w:hAnsi="Times New Roman" w:cs="Times New Roman"/>
              </w:rPr>
            </w:pPr>
          </w:p>
        </w:tc>
        <w:tc>
          <w:tcPr>
            <w:tcW w:w="731" w:type="pct"/>
            <w:tcBorders>
              <w:left w:val="nil"/>
              <w:right w:val="single" w:sz="4" w:space="0" w:color="auto"/>
            </w:tcBorders>
            <w:noWrap/>
            <w:vAlign w:val="center"/>
            <w:hideMark/>
          </w:tcPr>
          <w:p w14:paraId="1D9C29A6" w14:textId="777C6773" w:rsidR="00D07B84" w:rsidRPr="003563BF" w:rsidRDefault="00D07B84" w:rsidP="00835A65">
            <w:pPr>
              <w:rPr>
                <w:rFonts w:ascii="Times New Roman" w:hAnsi="Times New Roman" w:cs="Times New Roman"/>
              </w:rPr>
            </w:pPr>
            <w:proofErr w:type="spellStart"/>
            <w:r w:rsidRPr="003563BF">
              <w:rPr>
                <w:rFonts w:ascii="Times New Roman" w:hAnsi="Times New Roman" w:cs="Times New Roman"/>
              </w:rPr>
              <w:t>USD.Index</w:t>
            </w:r>
            <w:proofErr w:type="spellEnd"/>
          </w:p>
        </w:tc>
        <w:tc>
          <w:tcPr>
            <w:tcW w:w="279" w:type="pct"/>
            <w:tcBorders>
              <w:left w:val="single" w:sz="4" w:space="0" w:color="auto"/>
            </w:tcBorders>
            <w:noWrap/>
            <w:vAlign w:val="center"/>
            <w:hideMark/>
          </w:tcPr>
          <w:p w14:paraId="0AF6849F"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7.14</w:t>
            </w:r>
          </w:p>
        </w:tc>
        <w:tc>
          <w:tcPr>
            <w:tcW w:w="279" w:type="pct"/>
            <w:noWrap/>
            <w:vAlign w:val="center"/>
            <w:hideMark/>
          </w:tcPr>
          <w:p w14:paraId="2E4A8DE5"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7.46</w:t>
            </w:r>
          </w:p>
        </w:tc>
        <w:tc>
          <w:tcPr>
            <w:tcW w:w="280" w:type="pct"/>
            <w:tcBorders>
              <w:right w:val="single" w:sz="4" w:space="0" w:color="auto"/>
            </w:tcBorders>
            <w:noWrap/>
            <w:vAlign w:val="center"/>
            <w:hideMark/>
          </w:tcPr>
          <w:p w14:paraId="7D3264A0"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7.71</w:t>
            </w:r>
          </w:p>
        </w:tc>
        <w:tc>
          <w:tcPr>
            <w:tcW w:w="280" w:type="pct"/>
            <w:tcBorders>
              <w:left w:val="single" w:sz="4" w:space="0" w:color="auto"/>
            </w:tcBorders>
            <w:noWrap/>
            <w:vAlign w:val="center"/>
            <w:hideMark/>
          </w:tcPr>
          <w:p w14:paraId="114B578C"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8.19</w:t>
            </w:r>
          </w:p>
        </w:tc>
        <w:tc>
          <w:tcPr>
            <w:tcW w:w="279" w:type="pct"/>
            <w:noWrap/>
            <w:vAlign w:val="center"/>
            <w:hideMark/>
          </w:tcPr>
          <w:p w14:paraId="126A4E6F"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7.22</w:t>
            </w:r>
          </w:p>
        </w:tc>
        <w:tc>
          <w:tcPr>
            <w:tcW w:w="280" w:type="pct"/>
            <w:tcBorders>
              <w:right w:val="single" w:sz="4" w:space="0" w:color="auto"/>
            </w:tcBorders>
            <w:noWrap/>
            <w:vAlign w:val="center"/>
            <w:hideMark/>
          </w:tcPr>
          <w:p w14:paraId="134FB11F"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8.28</w:t>
            </w:r>
          </w:p>
        </w:tc>
        <w:tc>
          <w:tcPr>
            <w:tcW w:w="279" w:type="pct"/>
            <w:tcBorders>
              <w:left w:val="single" w:sz="4" w:space="0" w:color="auto"/>
            </w:tcBorders>
            <w:noWrap/>
            <w:vAlign w:val="center"/>
            <w:hideMark/>
          </w:tcPr>
          <w:p w14:paraId="734ABFF6"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6.97</w:t>
            </w:r>
          </w:p>
        </w:tc>
        <w:tc>
          <w:tcPr>
            <w:tcW w:w="279" w:type="pct"/>
            <w:noWrap/>
            <w:vAlign w:val="center"/>
            <w:hideMark/>
          </w:tcPr>
          <w:p w14:paraId="15B32812"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6.15</w:t>
            </w:r>
          </w:p>
        </w:tc>
        <w:tc>
          <w:tcPr>
            <w:tcW w:w="280" w:type="pct"/>
            <w:noWrap/>
            <w:vAlign w:val="center"/>
            <w:hideMark/>
          </w:tcPr>
          <w:p w14:paraId="1514FD01"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7.68</w:t>
            </w:r>
          </w:p>
        </w:tc>
        <w:tc>
          <w:tcPr>
            <w:tcW w:w="280" w:type="pct"/>
            <w:noWrap/>
            <w:vAlign w:val="center"/>
            <w:hideMark/>
          </w:tcPr>
          <w:p w14:paraId="613AC742"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7.44</w:t>
            </w:r>
          </w:p>
        </w:tc>
        <w:tc>
          <w:tcPr>
            <w:tcW w:w="279" w:type="pct"/>
            <w:noWrap/>
            <w:vAlign w:val="center"/>
            <w:hideMark/>
          </w:tcPr>
          <w:p w14:paraId="26FB1C26"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7.46</w:t>
            </w:r>
          </w:p>
        </w:tc>
        <w:tc>
          <w:tcPr>
            <w:tcW w:w="279" w:type="pct"/>
            <w:noWrap/>
            <w:vAlign w:val="center"/>
            <w:hideMark/>
          </w:tcPr>
          <w:p w14:paraId="0A73AA3C"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7.50</w:t>
            </w:r>
          </w:p>
        </w:tc>
        <w:tc>
          <w:tcPr>
            <w:tcW w:w="430" w:type="pct"/>
            <w:noWrap/>
            <w:vAlign w:val="center"/>
            <w:hideMark/>
          </w:tcPr>
          <w:p w14:paraId="12567DC4"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10.80</w:t>
            </w:r>
          </w:p>
        </w:tc>
        <w:tc>
          <w:tcPr>
            <w:tcW w:w="323" w:type="pct"/>
            <w:noWrap/>
            <w:vAlign w:val="center"/>
            <w:hideMark/>
          </w:tcPr>
          <w:p w14:paraId="1B238400"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89.20</w:t>
            </w:r>
          </w:p>
        </w:tc>
      </w:tr>
      <w:tr w:rsidR="00D07B84" w:rsidRPr="00D07B84" w14:paraId="6B06E5C2" w14:textId="77777777" w:rsidTr="00AD4771">
        <w:trPr>
          <w:trHeight w:val="454"/>
        </w:trPr>
        <w:tc>
          <w:tcPr>
            <w:tcW w:w="161" w:type="pct"/>
            <w:tcBorders>
              <w:right w:val="nil"/>
            </w:tcBorders>
          </w:tcPr>
          <w:p w14:paraId="465B801E" w14:textId="77777777" w:rsidR="00D07B84" w:rsidRPr="003563BF" w:rsidRDefault="00D07B84" w:rsidP="00835A65">
            <w:pPr>
              <w:rPr>
                <w:rFonts w:ascii="Times New Roman" w:hAnsi="Times New Roman" w:cs="Times New Roman"/>
              </w:rPr>
            </w:pPr>
          </w:p>
        </w:tc>
        <w:tc>
          <w:tcPr>
            <w:tcW w:w="731" w:type="pct"/>
            <w:tcBorders>
              <w:left w:val="nil"/>
              <w:right w:val="single" w:sz="4" w:space="0" w:color="auto"/>
            </w:tcBorders>
            <w:noWrap/>
            <w:vAlign w:val="center"/>
            <w:hideMark/>
          </w:tcPr>
          <w:p w14:paraId="545A085B" w14:textId="319E3BB1" w:rsidR="00D07B84" w:rsidRPr="003563BF" w:rsidRDefault="00AD4771" w:rsidP="00835A65">
            <w:pPr>
              <w:rPr>
                <w:rFonts w:ascii="Times New Roman" w:hAnsi="Times New Roman" w:cs="Times New Roman"/>
              </w:rPr>
            </w:pPr>
            <w:bookmarkStart w:id="39" w:name="_Hlk121834234"/>
            <w:r>
              <w:rPr>
                <w:rFonts w:ascii="Times New Roman" w:hAnsi="Times New Roman" w:cs="Times New Roman"/>
              </w:rPr>
              <w:t>To Others</w:t>
            </w:r>
          </w:p>
        </w:tc>
        <w:tc>
          <w:tcPr>
            <w:tcW w:w="279" w:type="pct"/>
            <w:tcBorders>
              <w:left w:val="single" w:sz="4" w:space="0" w:color="auto"/>
            </w:tcBorders>
            <w:noWrap/>
            <w:vAlign w:val="center"/>
            <w:hideMark/>
          </w:tcPr>
          <w:p w14:paraId="1CFF5C82"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84.58</w:t>
            </w:r>
          </w:p>
        </w:tc>
        <w:tc>
          <w:tcPr>
            <w:tcW w:w="279" w:type="pct"/>
            <w:noWrap/>
            <w:vAlign w:val="center"/>
            <w:hideMark/>
          </w:tcPr>
          <w:p w14:paraId="0B8CABB7"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90.22</w:t>
            </w:r>
          </w:p>
        </w:tc>
        <w:tc>
          <w:tcPr>
            <w:tcW w:w="280" w:type="pct"/>
            <w:tcBorders>
              <w:right w:val="single" w:sz="4" w:space="0" w:color="auto"/>
            </w:tcBorders>
            <w:noWrap/>
            <w:vAlign w:val="center"/>
            <w:hideMark/>
          </w:tcPr>
          <w:p w14:paraId="2EA43FB5"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93.46</w:t>
            </w:r>
          </w:p>
        </w:tc>
        <w:tc>
          <w:tcPr>
            <w:tcW w:w="280" w:type="pct"/>
            <w:tcBorders>
              <w:left w:val="single" w:sz="4" w:space="0" w:color="auto"/>
            </w:tcBorders>
            <w:noWrap/>
            <w:vAlign w:val="center"/>
            <w:hideMark/>
          </w:tcPr>
          <w:p w14:paraId="6E2CCD61"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110.60</w:t>
            </w:r>
          </w:p>
        </w:tc>
        <w:tc>
          <w:tcPr>
            <w:tcW w:w="279" w:type="pct"/>
            <w:noWrap/>
            <w:vAlign w:val="center"/>
            <w:hideMark/>
          </w:tcPr>
          <w:p w14:paraId="47CFFF25"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80.52</w:t>
            </w:r>
          </w:p>
        </w:tc>
        <w:tc>
          <w:tcPr>
            <w:tcW w:w="280" w:type="pct"/>
            <w:tcBorders>
              <w:right w:val="single" w:sz="4" w:space="0" w:color="auto"/>
            </w:tcBorders>
            <w:noWrap/>
            <w:vAlign w:val="center"/>
            <w:hideMark/>
          </w:tcPr>
          <w:p w14:paraId="117C007E"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106.74</w:t>
            </w:r>
          </w:p>
        </w:tc>
        <w:tc>
          <w:tcPr>
            <w:tcW w:w="279" w:type="pct"/>
            <w:tcBorders>
              <w:left w:val="single" w:sz="4" w:space="0" w:color="auto"/>
            </w:tcBorders>
            <w:noWrap/>
            <w:vAlign w:val="center"/>
            <w:hideMark/>
          </w:tcPr>
          <w:p w14:paraId="5D2B9147"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82.85</w:t>
            </w:r>
          </w:p>
        </w:tc>
        <w:tc>
          <w:tcPr>
            <w:tcW w:w="279" w:type="pct"/>
            <w:noWrap/>
            <w:vAlign w:val="center"/>
            <w:hideMark/>
          </w:tcPr>
          <w:p w14:paraId="6B7130C6"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73.46</w:t>
            </w:r>
          </w:p>
        </w:tc>
        <w:tc>
          <w:tcPr>
            <w:tcW w:w="280" w:type="pct"/>
            <w:noWrap/>
            <w:vAlign w:val="center"/>
            <w:hideMark/>
          </w:tcPr>
          <w:p w14:paraId="70690FEB"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92.49</w:t>
            </w:r>
          </w:p>
        </w:tc>
        <w:tc>
          <w:tcPr>
            <w:tcW w:w="280" w:type="pct"/>
            <w:noWrap/>
            <w:vAlign w:val="center"/>
            <w:hideMark/>
          </w:tcPr>
          <w:p w14:paraId="09948B1B"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89.53</w:t>
            </w:r>
          </w:p>
        </w:tc>
        <w:tc>
          <w:tcPr>
            <w:tcW w:w="279" w:type="pct"/>
            <w:noWrap/>
            <w:vAlign w:val="center"/>
            <w:hideMark/>
          </w:tcPr>
          <w:p w14:paraId="22A95178"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86.90</w:t>
            </w:r>
          </w:p>
        </w:tc>
        <w:tc>
          <w:tcPr>
            <w:tcW w:w="279" w:type="pct"/>
            <w:noWrap/>
            <w:vAlign w:val="center"/>
            <w:hideMark/>
          </w:tcPr>
          <w:p w14:paraId="54A72715"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83.69</w:t>
            </w:r>
          </w:p>
        </w:tc>
        <w:tc>
          <w:tcPr>
            <w:tcW w:w="430" w:type="pct"/>
            <w:noWrap/>
            <w:vAlign w:val="center"/>
            <w:hideMark/>
          </w:tcPr>
          <w:p w14:paraId="2B933D34"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85.30</w:t>
            </w:r>
          </w:p>
        </w:tc>
        <w:tc>
          <w:tcPr>
            <w:tcW w:w="323" w:type="pct"/>
            <w:noWrap/>
            <w:vAlign w:val="center"/>
            <w:hideMark/>
          </w:tcPr>
          <w:p w14:paraId="4A9FAEEF"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1160.34</w:t>
            </w:r>
          </w:p>
        </w:tc>
      </w:tr>
      <w:tr w:rsidR="00D07B84" w:rsidRPr="00D07B84" w14:paraId="63704832" w14:textId="77777777" w:rsidTr="00AD4771">
        <w:trPr>
          <w:trHeight w:val="454"/>
        </w:trPr>
        <w:tc>
          <w:tcPr>
            <w:tcW w:w="161" w:type="pct"/>
            <w:tcBorders>
              <w:right w:val="nil"/>
            </w:tcBorders>
          </w:tcPr>
          <w:p w14:paraId="4E81A078" w14:textId="77777777" w:rsidR="00D07B84" w:rsidRPr="003563BF" w:rsidRDefault="00D07B84" w:rsidP="00835A65">
            <w:pPr>
              <w:rPr>
                <w:rFonts w:ascii="Times New Roman" w:hAnsi="Times New Roman" w:cs="Times New Roman"/>
              </w:rPr>
            </w:pPr>
          </w:p>
        </w:tc>
        <w:bookmarkEnd w:id="39"/>
        <w:tc>
          <w:tcPr>
            <w:tcW w:w="731" w:type="pct"/>
            <w:tcBorders>
              <w:left w:val="nil"/>
              <w:right w:val="single" w:sz="4" w:space="0" w:color="auto"/>
            </w:tcBorders>
            <w:noWrap/>
            <w:vAlign w:val="center"/>
            <w:hideMark/>
          </w:tcPr>
          <w:p w14:paraId="02A922A4" w14:textId="3F4ED657" w:rsidR="00D07B84" w:rsidRPr="003563BF" w:rsidRDefault="00D07B84" w:rsidP="00835A65">
            <w:pPr>
              <w:rPr>
                <w:rFonts w:ascii="Times New Roman" w:hAnsi="Times New Roman" w:cs="Times New Roman"/>
              </w:rPr>
            </w:pPr>
            <w:proofErr w:type="spellStart"/>
            <w:r w:rsidRPr="003563BF">
              <w:rPr>
                <w:rFonts w:ascii="Times New Roman" w:hAnsi="Times New Roman" w:cs="Times New Roman"/>
              </w:rPr>
              <w:t>Inc.Own</w:t>
            </w:r>
            <w:proofErr w:type="spellEnd"/>
          </w:p>
        </w:tc>
        <w:tc>
          <w:tcPr>
            <w:tcW w:w="279" w:type="pct"/>
            <w:tcBorders>
              <w:left w:val="single" w:sz="4" w:space="0" w:color="auto"/>
            </w:tcBorders>
            <w:noWrap/>
            <w:vAlign w:val="center"/>
            <w:hideMark/>
          </w:tcPr>
          <w:p w14:paraId="2DA29511"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94.41</w:t>
            </w:r>
          </w:p>
        </w:tc>
        <w:tc>
          <w:tcPr>
            <w:tcW w:w="279" w:type="pct"/>
            <w:noWrap/>
            <w:vAlign w:val="center"/>
            <w:hideMark/>
          </w:tcPr>
          <w:p w14:paraId="513D7C74"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99.88</w:t>
            </w:r>
          </w:p>
        </w:tc>
        <w:tc>
          <w:tcPr>
            <w:tcW w:w="280" w:type="pct"/>
            <w:tcBorders>
              <w:right w:val="single" w:sz="4" w:space="0" w:color="auto"/>
            </w:tcBorders>
            <w:noWrap/>
            <w:vAlign w:val="center"/>
            <w:hideMark/>
          </w:tcPr>
          <w:p w14:paraId="3EDC3F5D"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104.09</w:t>
            </w:r>
          </w:p>
        </w:tc>
        <w:tc>
          <w:tcPr>
            <w:tcW w:w="280" w:type="pct"/>
            <w:tcBorders>
              <w:left w:val="single" w:sz="4" w:space="0" w:color="auto"/>
            </w:tcBorders>
            <w:noWrap/>
            <w:vAlign w:val="center"/>
            <w:hideMark/>
          </w:tcPr>
          <w:p w14:paraId="2277A8BB"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124.21</w:t>
            </w:r>
          </w:p>
        </w:tc>
        <w:tc>
          <w:tcPr>
            <w:tcW w:w="279" w:type="pct"/>
            <w:noWrap/>
            <w:vAlign w:val="center"/>
            <w:hideMark/>
          </w:tcPr>
          <w:p w14:paraId="6390CE85"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90.41</w:t>
            </w:r>
          </w:p>
        </w:tc>
        <w:tc>
          <w:tcPr>
            <w:tcW w:w="280" w:type="pct"/>
            <w:tcBorders>
              <w:right w:val="single" w:sz="4" w:space="0" w:color="auto"/>
            </w:tcBorders>
            <w:noWrap/>
            <w:vAlign w:val="center"/>
            <w:hideMark/>
          </w:tcPr>
          <w:p w14:paraId="454FB42F"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118.20</w:t>
            </w:r>
          </w:p>
        </w:tc>
        <w:tc>
          <w:tcPr>
            <w:tcW w:w="279" w:type="pct"/>
            <w:tcBorders>
              <w:left w:val="single" w:sz="4" w:space="0" w:color="auto"/>
            </w:tcBorders>
            <w:noWrap/>
            <w:vAlign w:val="center"/>
            <w:hideMark/>
          </w:tcPr>
          <w:p w14:paraId="1DC0502F"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93.78</w:t>
            </w:r>
          </w:p>
        </w:tc>
        <w:tc>
          <w:tcPr>
            <w:tcW w:w="279" w:type="pct"/>
            <w:noWrap/>
            <w:vAlign w:val="center"/>
            <w:hideMark/>
          </w:tcPr>
          <w:p w14:paraId="75D0DE22"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84.74</w:t>
            </w:r>
          </w:p>
        </w:tc>
        <w:tc>
          <w:tcPr>
            <w:tcW w:w="280" w:type="pct"/>
            <w:noWrap/>
            <w:vAlign w:val="center"/>
            <w:hideMark/>
          </w:tcPr>
          <w:p w14:paraId="68E6ADFE"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102.47</w:t>
            </w:r>
          </w:p>
        </w:tc>
        <w:tc>
          <w:tcPr>
            <w:tcW w:w="280" w:type="pct"/>
            <w:noWrap/>
            <w:vAlign w:val="center"/>
            <w:hideMark/>
          </w:tcPr>
          <w:p w14:paraId="74ADDBFC"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100.01</w:t>
            </w:r>
          </w:p>
        </w:tc>
        <w:tc>
          <w:tcPr>
            <w:tcW w:w="279" w:type="pct"/>
            <w:noWrap/>
            <w:vAlign w:val="center"/>
            <w:hideMark/>
          </w:tcPr>
          <w:p w14:paraId="4CDD5645"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96.95</w:t>
            </w:r>
          </w:p>
        </w:tc>
        <w:tc>
          <w:tcPr>
            <w:tcW w:w="279" w:type="pct"/>
            <w:noWrap/>
            <w:vAlign w:val="center"/>
            <w:hideMark/>
          </w:tcPr>
          <w:p w14:paraId="62437B7E"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94.74</w:t>
            </w:r>
          </w:p>
        </w:tc>
        <w:tc>
          <w:tcPr>
            <w:tcW w:w="430" w:type="pct"/>
            <w:noWrap/>
            <w:vAlign w:val="center"/>
            <w:hideMark/>
          </w:tcPr>
          <w:p w14:paraId="51E5763A"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96.10</w:t>
            </w:r>
          </w:p>
        </w:tc>
        <w:tc>
          <w:tcPr>
            <w:tcW w:w="323" w:type="pct"/>
            <w:noWrap/>
            <w:vAlign w:val="center"/>
            <w:hideMark/>
          </w:tcPr>
          <w:p w14:paraId="6AF566A9"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TCI</w:t>
            </w:r>
          </w:p>
        </w:tc>
      </w:tr>
      <w:tr w:rsidR="00D07B84" w:rsidRPr="00D07B84" w14:paraId="757DC781" w14:textId="77777777" w:rsidTr="00AD4771">
        <w:trPr>
          <w:trHeight w:val="454"/>
        </w:trPr>
        <w:tc>
          <w:tcPr>
            <w:tcW w:w="161" w:type="pct"/>
            <w:tcBorders>
              <w:right w:val="nil"/>
            </w:tcBorders>
          </w:tcPr>
          <w:p w14:paraId="424818CE" w14:textId="77777777" w:rsidR="00D07B84" w:rsidRPr="003563BF" w:rsidRDefault="00D07B84" w:rsidP="00835A65">
            <w:pPr>
              <w:rPr>
                <w:rFonts w:ascii="Times New Roman" w:hAnsi="Times New Roman" w:cs="Times New Roman"/>
              </w:rPr>
            </w:pPr>
          </w:p>
        </w:tc>
        <w:tc>
          <w:tcPr>
            <w:tcW w:w="731" w:type="pct"/>
            <w:tcBorders>
              <w:left w:val="nil"/>
              <w:bottom w:val="single" w:sz="4" w:space="0" w:color="auto"/>
              <w:right w:val="single" w:sz="4" w:space="0" w:color="auto"/>
            </w:tcBorders>
            <w:noWrap/>
            <w:vAlign w:val="center"/>
            <w:hideMark/>
          </w:tcPr>
          <w:p w14:paraId="658E8818" w14:textId="7ACF0CDA" w:rsidR="00D07B84" w:rsidRPr="003563BF" w:rsidRDefault="00D97C9B" w:rsidP="00835A65">
            <w:pPr>
              <w:rPr>
                <w:rFonts w:ascii="Times New Roman" w:hAnsi="Times New Roman" w:cs="Times New Roman"/>
              </w:rPr>
            </w:pPr>
            <w:r>
              <w:rPr>
                <w:rFonts w:ascii="Times New Roman" w:hAnsi="Times New Roman" w:cs="Times New Roman"/>
              </w:rPr>
              <w:t>Net</w:t>
            </w:r>
          </w:p>
        </w:tc>
        <w:tc>
          <w:tcPr>
            <w:tcW w:w="279" w:type="pct"/>
            <w:tcBorders>
              <w:left w:val="single" w:sz="4" w:space="0" w:color="auto"/>
              <w:bottom w:val="single" w:sz="4" w:space="0" w:color="auto"/>
            </w:tcBorders>
            <w:noWrap/>
            <w:vAlign w:val="center"/>
            <w:hideMark/>
          </w:tcPr>
          <w:p w14:paraId="2807EA12"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-5.59</w:t>
            </w:r>
          </w:p>
        </w:tc>
        <w:tc>
          <w:tcPr>
            <w:tcW w:w="279" w:type="pct"/>
            <w:tcBorders>
              <w:bottom w:val="single" w:sz="4" w:space="0" w:color="auto"/>
            </w:tcBorders>
            <w:noWrap/>
            <w:vAlign w:val="center"/>
            <w:hideMark/>
          </w:tcPr>
          <w:p w14:paraId="52AB76DA"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-0.12</w:t>
            </w:r>
          </w:p>
        </w:tc>
        <w:tc>
          <w:tcPr>
            <w:tcW w:w="280" w:type="pct"/>
            <w:tcBorders>
              <w:bottom w:val="single" w:sz="4" w:space="0" w:color="auto"/>
              <w:right w:val="single" w:sz="4" w:space="0" w:color="auto"/>
            </w:tcBorders>
            <w:noWrap/>
            <w:vAlign w:val="center"/>
            <w:hideMark/>
          </w:tcPr>
          <w:p w14:paraId="16FB5985" w14:textId="77777777" w:rsidR="00D07B84" w:rsidRPr="00AD4771" w:rsidRDefault="00D07B84" w:rsidP="00835A65">
            <w:pPr>
              <w:rPr>
                <w:rFonts w:ascii="Times New Roman" w:hAnsi="Times New Roman" w:cs="Times New Roman"/>
                <w:b/>
                <w:sz w:val="20"/>
              </w:rPr>
            </w:pPr>
            <w:r w:rsidRPr="00AD4771">
              <w:rPr>
                <w:rFonts w:ascii="Times New Roman" w:hAnsi="Times New Roman" w:cs="Times New Roman"/>
                <w:b/>
                <w:sz w:val="20"/>
              </w:rPr>
              <w:t>4.09</w:t>
            </w:r>
          </w:p>
        </w:tc>
        <w:tc>
          <w:tcPr>
            <w:tcW w:w="280" w:type="pct"/>
            <w:tcBorders>
              <w:left w:val="single" w:sz="4" w:space="0" w:color="auto"/>
              <w:bottom w:val="single" w:sz="4" w:space="0" w:color="auto"/>
            </w:tcBorders>
            <w:noWrap/>
            <w:vAlign w:val="center"/>
            <w:hideMark/>
          </w:tcPr>
          <w:p w14:paraId="43A6125E" w14:textId="77777777" w:rsidR="00D07B84" w:rsidRPr="00AD4771" w:rsidRDefault="00D07B84" w:rsidP="00835A65">
            <w:pPr>
              <w:rPr>
                <w:rFonts w:ascii="Times New Roman" w:hAnsi="Times New Roman" w:cs="Times New Roman"/>
                <w:b/>
                <w:sz w:val="20"/>
              </w:rPr>
            </w:pPr>
            <w:r w:rsidRPr="00AD4771">
              <w:rPr>
                <w:rFonts w:ascii="Times New Roman" w:hAnsi="Times New Roman" w:cs="Times New Roman"/>
                <w:b/>
                <w:sz w:val="20"/>
              </w:rPr>
              <w:t>24.21</w:t>
            </w:r>
          </w:p>
        </w:tc>
        <w:tc>
          <w:tcPr>
            <w:tcW w:w="279" w:type="pct"/>
            <w:tcBorders>
              <w:bottom w:val="single" w:sz="4" w:space="0" w:color="auto"/>
            </w:tcBorders>
            <w:noWrap/>
            <w:vAlign w:val="center"/>
            <w:hideMark/>
          </w:tcPr>
          <w:p w14:paraId="551B6BD3"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-9.59</w:t>
            </w:r>
          </w:p>
        </w:tc>
        <w:tc>
          <w:tcPr>
            <w:tcW w:w="280" w:type="pct"/>
            <w:tcBorders>
              <w:bottom w:val="single" w:sz="4" w:space="0" w:color="auto"/>
              <w:right w:val="single" w:sz="4" w:space="0" w:color="auto"/>
            </w:tcBorders>
            <w:noWrap/>
            <w:vAlign w:val="center"/>
            <w:hideMark/>
          </w:tcPr>
          <w:p w14:paraId="18046907" w14:textId="77777777" w:rsidR="00D07B84" w:rsidRPr="00AD4771" w:rsidRDefault="00D07B84" w:rsidP="00835A65">
            <w:pPr>
              <w:rPr>
                <w:rFonts w:ascii="Times New Roman" w:hAnsi="Times New Roman" w:cs="Times New Roman"/>
                <w:b/>
                <w:sz w:val="20"/>
              </w:rPr>
            </w:pPr>
            <w:r w:rsidRPr="00AD4771">
              <w:rPr>
                <w:rFonts w:ascii="Times New Roman" w:hAnsi="Times New Roman" w:cs="Times New Roman"/>
                <w:b/>
                <w:sz w:val="20"/>
              </w:rPr>
              <w:t>18.20</w:t>
            </w:r>
          </w:p>
        </w:tc>
        <w:tc>
          <w:tcPr>
            <w:tcW w:w="279" w:type="pct"/>
            <w:tcBorders>
              <w:left w:val="single" w:sz="4" w:space="0" w:color="auto"/>
            </w:tcBorders>
            <w:noWrap/>
            <w:vAlign w:val="center"/>
            <w:hideMark/>
          </w:tcPr>
          <w:p w14:paraId="7C3DF02E"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-6.22</w:t>
            </w:r>
          </w:p>
        </w:tc>
        <w:tc>
          <w:tcPr>
            <w:tcW w:w="279" w:type="pct"/>
            <w:noWrap/>
            <w:vAlign w:val="center"/>
            <w:hideMark/>
          </w:tcPr>
          <w:p w14:paraId="6F340F37"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-15.26</w:t>
            </w:r>
          </w:p>
        </w:tc>
        <w:tc>
          <w:tcPr>
            <w:tcW w:w="280" w:type="pct"/>
            <w:noWrap/>
            <w:vAlign w:val="center"/>
            <w:hideMark/>
          </w:tcPr>
          <w:p w14:paraId="3B38B095"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2.47</w:t>
            </w:r>
          </w:p>
        </w:tc>
        <w:tc>
          <w:tcPr>
            <w:tcW w:w="280" w:type="pct"/>
            <w:noWrap/>
            <w:vAlign w:val="center"/>
            <w:hideMark/>
          </w:tcPr>
          <w:p w14:paraId="08DB2ADC"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0.01</w:t>
            </w:r>
          </w:p>
        </w:tc>
        <w:tc>
          <w:tcPr>
            <w:tcW w:w="279" w:type="pct"/>
            <w:noWrap/>
            <w:vAlign w:val="center"/>
            <w:hideMark/>
          </w:tcPr>
          <w:p w14:paraId="5B07EE85"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-3.05</w:t>
            </w:r>
          </w:p>
        </w:tc>
        <w:tc>
          <w:tcPr>
            <w:tcW w:w="279" w:type="pct"/>
            <w:noWrap/>
            <w:vAlign w:val="center"/>
            <w:hideMark/>
          </w:tcPr>
          <w:p w14:paraId="5A5651C9"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-5.26</w:t>
            </w:r>
          </w:p>
        </w:tc>
        <w:tc>
          <w:tcPr>
            <w:tcW w:w="430" w:type="pct"/>
            <w:noWrap/>
            <w:vAlign w:val="center"/>
            <w:hideMark/>
          </w:tcPr>
          <w:p w14:paraId="3C8C7452" w14:textId="77777777"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-3.90</w:t>
            </w:r>
          </w:p>
        </w:tc>
        <w:tc>
          <w:tcPr>
            <w:tcW w:w="323" w:type="pct"/>
            <w:noWrap/>
            <w:vAlign w:val="center"/>
            <w:hideMark/>
          </w:tcPr>
          <w:p w14:paraId="735741A2" w14:textId="4C66D4E2" w:rsidR="00D07B84" w:rsidRPr="00D07B84" w:rsidRDefault="00D07B84" w:rsidP="00835A65">
            <w:pPr>
              <w:rPr>
                <w:rFonts w:ascii="Times New Roman" w:hAnsi="Times New Roman" w:cs="Times New Roman"/>
                <w:sz w:val="20"/>
              </w:rPr>
            </w:pPr>
            <w:r w:rsidRPr="00D07B84">
              <w:rPr>
                <w:rFonts w:ascii="Times New Roman" w:hAnsi="Times New Roman" w:cs="Times New Roman"/>
                <w:sz w:val="20"/>
              </w:rPr>
              <w:t>89.26</w:t>
            </w:r>
          </w:p>
        </w:tc>
      </w:tr>
    </w:tbl>
    <w:p w14:paraId="755B902E" w14:textId="586E059C" w:rsidR="00835A65" w:rsidRPr="0065228D" w:rsidRDefault="00835A65" w:rsidP="00835A65">
      <w:pPr>
        <w:jc w:val="both"/>
        <w:rPr>
          <w:rFonts w:ascii="Times New Roman" w:hAnsi="Times New Roman" w:cs="Times New Roman"/>
          <w:sz w:val="18"/>
          <w:szCs w:val="18"/>
        </w:rPr>
      </w:pPr>
      <w:r w:rsidRPr="0065228D">
        <w:rPr>
          <w:rFonts w:ascii="Times New Roman" w:hAnsi="Times New Roman" w:cs="Times New Roman"/>
          <w:sz w:val="18"/>
          <w:szCs w:val="18"/>
        </w:rPr>
        <w:t>Notes: DEX- Decentralized Exchange, CEX- Centralized Exchange, RUNE-</w:t>
      </w:r>
      <w:r w:rsidR="009C39DF">
        <w:rPr>
          <w:rFonts w:ascii="Times New Roman" w:hAnsi="Times New Roman" w:cs="Times New Roman"/>
          <w:sz w:val="18"/>
          <w:szCs w:val="18"/>
        </w:rPr>
        <w:t xml:space="preserve"> </w:t>
      </w:r>
      <w:proofErr w:type="spellStart"/>
      <w:r w:rsidRPr="0065228D">
        <w:rPr>
          <w:rFonts w:ascii="Times New Roman" w:hAnsi="Times New Roman" w:cs="Times New Roman"/>
          <w:sz w:val="18"/>
          <w:szCs w:val="18"/>
        </w:rPr>
        <w:t>THORChain</w:t>
      </w:r>
      <w:proofErr w:type="spellEnd"/>
      <w:r w:rsidRPr="0065228D">
        <w:rPr>
          <w:rFonts w:ascii="Times New Roman" w:hAnsi="Times New Roman" w:cs="Times New Roman"/>
          <w:sz w:val="18"/>
          <w:szCs w:val="18"/>
        </w:rPr>
        <w:t>, LRC-</w:t>
      </w:r>
      <w:r w:rsidR="009C39DF">
        <w:rPr>
          <w:rFonts w:ascii="Times New Roman" w:hAnsi="Times New Roman" w:cs="Times New Roman"/>
          <w:sz w:val="18"/>
          <w:szCs w:val="18"/>
        </w:rPr>
        <w:t xml:space="preserve"> </w:t>
      </w:r>
      <w:proofErr w:type="spellStart"/>
      <w:r w:rsidRPr="0065228D">
        <w:rPr>
          <w:rFonts w:ascii="Times New Roman" w:hAnsi="Times New Roman" w:cs="Times New Roman"/>
          <w:sz w:val="18"/>
          <w:szCs w:val="18"/>
        </w:rPr>
        <w:t>Loopring</w:t>
      </w:r>
      <w:proofErr w:type="spellEnd"/>
      <w:r w:rsidRPr="0065228D">
        <w:rPr>
          <w:rFonts w:ascii="Times New Roman" w:hAnsi="Times New Roman" w:cs="Times New Roman"/>
          <w:sz w:val="18"/>
          <w:szCs w:val="18"/>
        </w:rPr>
        <w:t>, GNO-</w:t>
      </w:r>
      <w:r w:rsidR="009C39DF">
        <w:rPr>
          <w:rFonts w:ascii="Times New Roman" w:hAnsi="Times New Roman" w:cs="Times New Roman"/>
          <w:sz w:val="18"/>
          <w:szCs w:val="18"/>
        </w:rPr>
        <w:t xml:space="preserve"> </w:t>
      </w:r>
      <w:r w:rsidRPr="0065228D">
        <w:rPr>
          <w:rFonts w:ascii="Times New Roman" w:hAnsi="Times New Roman" w:cs="Times New Roman"/>
          <w:sz w:val="18"/>
          <w:szCs w:val="18"/>
        </w:rPr>
        <w:t>Gnosis, BNB-</w:t>
      </w:r>
      <w:r w:rsidR="009C39DF">
        <w:rPr>
          <w:rFonts w:ascii="Times New Roman" w:hAnsi="Times New Roman" w:cs="Times New Roman"/>
          <w:sz w:val="18"/>
          <w:szCs w:val="18"/>
        </w:rPr>
        <w:t xml:space="preserve"> </w:t>
      </w:r>
      <w:proofErr w:type="spellStart"/>
      <w:r w:rsidRPr="0065228D">
        <w:rPr>
          <w:rFonts w:ascii="Times New Roman" w:hAnsi="Times New Roman" w:cs="Times New Roman"/>
          <w:sz w:val="18"/>
          <w:szCs w:val="18"/>
        </w:rPr>
        <w:t>Binance</w:t>
      </w:r>
      <w:proofErr w:type="spellEnd"/>
      <w:r w:rsidRPr="0065228D">
        <w:rPr>
          <w:rFonts w:ascii="Times New Roman" w:hAnsi="Times New Roman" w:cs="Times New Roman"/>
          <w:sz w:val="18"/>
          <w:szCs w:val="18"/>
        </w:rPr>
        <w:t xml:space="preserve"> Coin, LEO-</w:t>
      </w:r>
      <w:r w:rsidR="009C39DF">
        <w:rPr>
          <w:rFonts w:ascii="Times New Roman" w:hAnsi="Times New Roman" w:cs="Times New Roman"/>
          <w:sz w:val="18"/>
          <w:szCs w:val="18"/>
        </w:rPr>
        <w:t xml:space="preserve"> </w:t>
      </w:r>
      <w:r w:rsidRPr="0065228D">
        <w:rPr>
          <w:rFonts w:ascii="Times New Roman" w:hAnsi="Times New Roman" w:cs="Times New Roman"/>
          <w:sz w:val="18"/>
          <w:szCs w:val="18"/>
        </w:rPr>
        <w:t>UNUS SED LEO, FTT-</w:t>
      </w:r>
      <w:r w:rsidR="009C39DF">
        <w:rPr>
          <w:rFonts w:ascii="Times New Roman" w:hAnsi="Times New Roman" w:cs="Times New Roman"/>
          <w:sz w:val="18"/>
          <w:szCs w:val="18"/>
        </w:rPr>
        <w:t xml:space="preserve"> </w:t>
      </w:r>
      <w:r w:rsidRPr="0065228D">
        <w:rPr>
          <w:rFonts w:ascii="Times New Roman" w:hAnsi="Times New Roman" w:cs="Times New Roman"/>
          <w:sz w:val="18"/>
          <w:szCs w:val="18"/>
        </w:rPr>
        <w:t>FTX Token, BTC-</w:t>
      </w:r>
      <w:r w:rsidR="009C39DF">
        <w:rPr>
          <w:rFonts w:ascii="Times New Roman" w:hAnsi="Times New Roman" w:cs="Times New Roman"/>
          <w:sz w:val="18"/>
          <w:szCs w:val="18"/>
        </w:rPr>
        <w:t xml:space="preserve"> </w:t>
      </w:r>
      <w:r w:rsidRPr="0065228D">
        <w:rPr>
          <w:rFonts w:ascii="Times New Roman" w:hAnsi="Times New Roman" w:cs="Times New Roman"/>
          <w:sz w:val="18"/>
          <w:szCs w:val="18"/>
        </w:rPr>
        <w:t>Bitcoin.</w:t>
      </w:r>
    </w:p>
    <w:p w14:paraId="54B71957" w14:textId="5218B980" w:rsidR="00835A65" w:rsidRPr="0065228D" w:rsidRDefault="00835A65" w:rsidP="00835A65">
      <w:pPr>
        <w:rPr>
          <w:rFonts w:ascii="Times New Roman" w:hAnsi="Times New Roman" w:cs="Times New Roman"/>
        </w:rPr>
      </w:pPr>
      <w:r w:rsidRPr="0065228D">
        <w:rPr>
          <w:rFonts w:ascii="Times New Roman" w:hAnsi="Times New Roman" w:cs="Times New Roman"/>
          <w:noProof/>
          <w:lang w:val="en-GB" w:eastAsia="en-GB"/>
        </w:rPr>
        <w:lastRenderedPageBreak/>
        <w:drawing>
          <wp:inline distT="0" distB="0" distL="0" distR="0" wp14:anchorId="19ABCFA1" wp14:editId="6F491A4C">
            <wp:extent cx="7185660" cy="3200400"/>
            <wp:effectExtent l="0" t="0" r="15240" b="0"/>
            <wp:docPr id="1" name="Chart 1">
              <a:extLst xmlns:a="http://schemas.openxmlformats.org/drawingml/2006/main">
                <a:ext uri="{FF2B5EF4-FFF2-40B4-BE49-F238E27FC236}">
                  <a16:creationId xmlns:a16="http://schemas.microsoft.com/office/drawing/2014/main" id="{1F2982E0-495E-3BE6-DE57-E64D2B763C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F53F65A" w14:textId="77777777" w:rsidR="00835A65" w:rsidRPr="0065228D" w:rsidRDefault="00835A65" w:rsidP="00835A65">
      <w:pPr>
        <w:rPr>
          <w:rFonts w:ascii="Times New Roman" w:hAnsi="Times New Roman" w:cs="Times New Roman"/>
          <w:sz w:val="24"/>
          <w:szCs w:val="24"/>
        </w:rPr>
      </w:pPr>
      <w:r w:rsidRPr="0065228D">
        <w:rPr>
          <w:rFonts w:ascii="Times New Roman" w:hAnsi="Times New Roman" w:cs="Times New Roman"/>
          <w:b/>
          <w:bCs/>
          <w:sz w:val="24"/>
          <w:szCs w:val="24"/>
        </w:rPr>
        <w:t>Figure 3.</w:t>
      </w:r>
      <w:r w:rsidRPr="0065228D">
        <w:rPr>
          <w:rFonts w:ascii="Times New Roman" w:hAnsi="Times New Roman" w:cs="Times New Roman"/>
          <w:sz w:val="24"/>
          <w:szCs w:val="24"/>
        </w:rPr>
        <w:t xml:space="preserve"> Total connectedness over various quantiles</w:t>
      </w:r>
    </w:p>
    <w:p w14:paraId="231E82B6" w14:textId="77777777" w:rsidR="00835A65" w:rsidRPr="0065228D" w:rsidRDefault="00835A65" w:rsidP="00835A65">
      <w:pPr>
        <w:rPr>
          <w:rFonts w:ascii="Times New Roman" w:hAnsi="Times New Roman" w:cs="Times New Roman"/>
          <w:sz w:val="24"/>
          <w:szCs w:val="24"/>
        </w:rPr>
      </w:pPr>
    </w:p>
    <w:p w14:paraId="64893371" w14:textId="77777777" w:rsidR="00835A65" w:rsidRPr="0065228D" w:rsidRDefault="00835A65" w:rsidP="00835A65">
      <w:pPr>
        <w:rPr>
          <w:rFonts w:ascii="Times New Roman" w:hAnsi="Times New Roman" w:cs="Times New Roman"/>
        </w:rPr>
      </w:pPr>
    </w:p>
    <w:p w14:paraId="7E876025" w14:textId="77777777" w:rsidR="00835A65" w:rsidRPr="0065228D" w:rsidRDefault="00835A65" w:rsidP="00835A65">
      <w:pPr>
        <w:rPr>
          <w:rFonts w:ascii="Times New Roman" w:hAnsi="Times New Roman" w:cs="Times New Roman"/>
        </w:rPr>
      </w:pPr>
    </w:p>
    <w:p w14:paraId="2A807370" w14:textId="77777777" w:rsidR="00835A65" w:rsidRPr="0065228D" w:rsidRDefault="00835A65" w:rsidP="00835A65">
      <w:pPr>
        <w:rPr>
          <w:rFonts w:ascii="Times New Roman" w:hAnsi="Times New Roman" w:cs="Times New Roman"/>
        </w:rPr>
      </w:pPr>
    </w:p>
    <w:p w14:paraId="1CD95D3E" w14:textId="77777777" w:rsidR="00835A65" w:rsidRPr="0065228D" w:rsidRDefault="00835A65" w:rsidP="00835A65">
      <w:pPr>
        <w:rPr>
          <w:rFonts w:ascii="Times New Roman" w:hAnsi="Times New Roman" w:cs="Times New Roman"/>
        </w:rPr>
      </w:pPr>
    </w:p>
    <w:p w14:paraId="59DAC6EC" w14:textId="77777777" w:rsidR="00835A65" w:rsidRPr="0065228D" w:rsidRDefault="00835A65" w:rsidP="00835A65">
      <w:pPr>
        <w:rPr>
          <w:rFonts w:ascii="Times New Roman" w:hAnsi="Times New Roman" w:cs="Times New Roman"/>
        </w:rPr>
      </w:pPr>
    </w:p>
    <w:p w14:paraId="390E3CCD" w14:textId="77777777" w:rsidR="00835A65" w:rsidRPr="0065228D" w:rsidRDefault="00835A65" w:rsidP="00835A65">
      <w:pPr>
        <w:rPr>
          <w:rFonts w:ascii="Times New Roman" w:hAnsi="Times New Roman" w:cs="Times New Roman"/>
        </w:rPr>
      </w:pPr>
    </w:p>
    <w:p w14:paraId="723F61FB" w14:textId="77777777" w:rsidR="00835A65" w:rsidRPr="0065228D" w:rsidRDefault="00835A65" w:rsidP="00835A65">
      <w:pPr>
        <w:rPr>
          <w:rFonts w:ascii="Times New Roman" w:hAnsi="Times New Roman" w:cs="Times New Roman"/>
        </w:rPr>
      </w:pPr>
    </w:p>
    <w:p w14:paraId="049ECE67" w14:textId="7A871E3A" w:rsidR="00835A65" w:rsidRPr="0065228D" w:rsidRDefault="00835A65" w:rsidP="00835A65">
      <w:pPr>
        <w:rPr>
          <w:rFonts w:ascii="Times New Roman" w:hAnsi="Times New Roman" w:cs="Times New Roman"/>
        </w:rPr>
      </w:pPr>
      <w:r w:rsidRPr="0065228D">
        <w:rPr>
          <w:rFonts w:ascii="Times New Roman" w:hAnsi="Times New Roman" w:cs="Times New Roman"/>
        </w:rPr>
        <w:lastRenderedPageBreak/>
        <w:t xml:space="preserve">Panel A. Pairwise connectedness at </w:t>
      </w:r>
      <w:r w:rsidR="00B82199">
        <w:rPr>
          <w:rFonts w:ascii="Times New Roman" w:hAnsi="Times New Roman" w:cs="Times New Roman"/>
        </w:rPr>
        <w:t xml:space="preserve">the </w:t>
      </w:r>
      <w:r w:rsidRPr="0065228D">
        <w:rPr>
          <w:rFonts w:ascii="Times New Roman" w:hAnsi="Times New Roman" w:cs="Times New Roman"/>
        </w:rPr>
        <w:t xml:space="preserve">mean                                                           Panel B. Pairwise connectedness at </w:t>
      </w:r>
      <w:r w:rsidR="00B82199">
        <w:rPr>
          <w:rFonts w:ascii="Times New Roman" w:hAnsi="Times New Roman" w:cs="Times New Roman"/>
        </w:rPr>
        <w:t xml:space="preserve">the </w:t>
      </w:r>
      <w:r w:rsidRPr="0065228D">
        <w:rPr>
          <w:rFonts w:ascii="Times New Roman" w:hAnsi="Times New Roman" w:cs="Times New Roman"/>
        </w:rPr>
        <w:t xml:space="preserve">median </w:t>
      </w:r>
    </w:p>
    <w:p w14:paraId="5B60EE67" w14:textId="77777777" w:rsidR="00835A65" w:rsidRPr="0065228D" w:rsidRDefault="00835A65" w:rsidP="00835A65">
      <w:pPr>
        <w:rPr>
          <w:rFonts w:ascii="Times New Roman" w:hAnsi="Times New Roman" w:cs="Times New Roman"/>
        </w:rPr>
      </w:pPr>
      <w:r w:rsidRPr="0065228D">
        <w:rPr>
          <w:rFonts w:ascii="Times New Roman" w:hAnsi="Times New Roman" w:cs="Times New Roman"/>
          <w:noProof/>
          <w:lang w:val="en-GB" w:eastAsia="en-GB"/>
        </w:rPr>
        <w:drawing>
          <wp:inline distT="0" distB="0" distL="0" distR="0" wp14:anchorId="6282B90A" wp14:editId="4C018FF8">
            <wp:extent cx="2621280" cy="2331720"/>
            <wp:effectExtent l="0" t="0" r="7620" b="0"/>
            <wp:docPr id="2" name="Picture 1" descr="Plot object">
              <a:extLst xmlns:a="http://schemas.openxmlformats.org/drawingml/2006/main">
                <a:ext uri="{FF2B5EF4-FFF2-40B4-BE49-F238E27FC236}">
                  <a16:creationId xmlns:a16="http://schemas.microsoft.com/office/drawing/2014/main" id="{B19C8F1C-FCF3-5D32-E86C-942D28AF60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lot object">
                      <a:extLst>
                        <a:ext uri="{FF2B5EF4-FFF2-40B4-BE49-F238E27FC236}">
                          <a16:creationId xmlns:a16="http://schemas.microsoft.com/office/drawing/2014/main" id="{B19C8F1C-FCF3-5D32-E86C-942D28AF6072}"/>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30435" t="1929" r="30206" b="3091"/>
                    <a:stretch/>
                  </pic:blipFill>
                  <pic:spPr bwMode="auto">
                    <a:xfrm>
                      <a:off x="0" y="0"/>
                      <a:ext cx="2621280" cy="2331720"/>
                    </a:xfrm>
                    <a:prstGeom prst="rect">
                      <a:avLst/>
                    </a:prstGeom>
                    <a:noFill/>
                  </pic:spPr>
                </pic:pic>
              </a:graphicData>
            </a:graphic>
          </wp:inline>
        </w:drawing>
      </w:r>
      <w:r w:rsidRPr="0065228D">
        <w:rPr>
          <w:rFonts w:ascii="Times New Roman" w:hAnsi="Times New Roman" w:cs="Times New Roman"/>
        </w:rPr>
        <w:t xml:space="preserve">                                                  </w:t>
      </w:r>
      <w:r w:rsidRPr="0065228D">
        <w:rPr>
          <w:rFonts w:ascii="Times New Roman" w:hAnsi="Times New Roman" w:cs="Times New Roman"/>
          <w:noProof/>
          <w:lang w:val="en-GB" w:eastAsia="en-GB"/>
        </w:rPr>
        <w:drawing>
          <wp:inline distT="0" distB="0" distL="0" distR="0" wp14:anchorId="72FD070A" wp14:editId="700404B0">
            <wp:extent cx="2773680" cy="2263140"/>
            <wp:effectExtent l="0" t="0" r="7620" b="3810"/>
            <wp:docPr id="3" name="Picture 2" descr="Plot object">
              <a:extLst xmlns:a="http://schemas.openxmlformats.org/drawingml/2006/main">
                <a:ext uri="{FF2B5EF4-FFF2-40B4-BE49-F238E27FC236}">
                  <a16:creationId xmlns:a16="http://schemas.microsoft.com/office/drawing/2014/main" id="{870EA66F-5AD1-8DB1-D9BE-CFABDAB90D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lot object">
                      <a:extLst>
                        <a:ext uri="{FF2B5EF4-FFF2-40B4-BE49-F238E27FC236}">
                          <a16:creationId xmlns:a16="http://schemas.microsoft.com/office/drawing/2014/main" id="{870EA66F-5AD1-8DB1-D9BE-CFABDAB90D61}"/>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30487" t="2029" r="29859" b="2318"/>
                    <a:stretch/>
                  </pic:blipFill>
                  <pic:spPr bwMode="auto">
                    <a:xfrm>
                      <a:off x="0" y="0"/>
                      <a:ext cx="2773681" cy="2263141"/>
                    </a:xfrm>
                    <a:prstGeom prst="rect">
                      <a:avLst/>
                    </a:prstGeom>
                    <a:noFill/>
                  </pic:spPr>
                </pic:pic>
              </a:graphicData>
            </a:graphic>
          </wp:inline>
        </w:drawing>
      </w:r>
      <w:r w:rsidRPr="0065228D">
        <w:rPr>
          <w:rFonts w:ascii="Times New Roman" w:hAnsi="Times New Roman" w:cs="Times New Roman"/>
        </w:rPr>
        <w:t xml:space="preserve">            </w:t>
      </w:r>
    </w:p>
    <w:p w14:paraId="30A6CCF8" w14:textId="77777777" w:rsidR="00835A65" w:rsidRPr="0065228D" w:rsidRDefault="00835A65" w:rsidP="00835A65">
      <w:pPr>
        <w:rPr>
          <w:rFonts w:ascii="Times New Roman" w:hAnsi="Times New Roman" w:cs="Times New Roman"/>
        </w:rPr>
      </w:pPr>
    </w:p>
    <w:p w14:paraId="0A1220FC" w14:textId="59A1FA33" w:rsidR="00835A65" w:rsidRPr="0065228D" w:rsidRDefault="00835A65" w:rsidP="00835A65">
      <w:pPr>
        <w:rPr>
          <w:rFonts w:ascii="Times New Roman" w:hAnsi="Times New Roman" w:cs="Times New Roman"/>
        </w:rPr>
      </w:pPr>
      <w:r w:rsidRPr="0065228D">
        <w:rPr>
          <w:rFonts w:ascii="Times New Roman" w:hAnsi="Times New Roman" w:cs="Times New Roman"/>
        </w:rPr>
        <w:t xml:space="preserve">Panel C. Pairwise connectedness at </w:t>
      </w:r>
      <w:r w:rsidR="00B82199">
        <w:rPr>
          <w:rFonts w:ascii="Times New Roman" w:hAnsi="Times New Roman" w:cs="Times New Roman"/>
        </w:rPr>
        <w:t xml:space="preserve">the </w:t>
      </w:r>
      <w:r w:rsidRPr="0065228D">
        <w:rPr>
          <w:rFonts w:ascii="Times New Roman" w:hAnsi="Times New Roman" w:cs="Times New Roman"/>
        </w:rPr>
        <w:t xml:space="preserve">extreme lower quantile                                     Panel D. Connectedness at </w:t>
      </w:r>
      <w:r w:rsidR="00B82199">
        <w:rPr>
          <w:rFonts w:ascii="Times New Roman" w:hAnsi="Times New Roman" w:cs="Times New Roman"/>
        </w:rPr>
        <w:t xml:space="preserve">the </w:t>
      </w:r>
      <w:r w:rsidRPr="0065228D">
        <w:rPr>
          <w:rFonts w:ascii="Times New Roman" w:hAnsi="Times New Roman" w:cs="Times New Roman"/>
        </w:rPr>
        <w:t>extreme upper quantile</w:t>
      </w:r>
    </w:p>
    <w:p w14:paraId="748823AF" w14:textId="43B0C28D" w:rsidR="00835A65" w:rsidRPr="0065228D" w:rsidRDefault="00835A65" w:rsidP="00835A65">
      <w:pPr>
        <w:rPr>
          <w:rFonts w:ascii="Times New Roman" w:hAnsi="Times New Roman" w:cs="Times New Roman"/>
        </w:rPr>
      </w:pPr>
      <w:r w:rsidRPr="0065228D">
        <w:rPr>
          <w:rFonts w:ascii="Times New Roman" w:hAnsi="Times New Roman" w:cs="Times New Roman"/>
          <w:noProof/>
          <w:lang w:val="en-GB" w:eastAsia="en-GB"/>
        </w:rPr>
        <w:drawing>
          <wp:inline distT="0" distB="0" distL="0" distR="0" wp14:anchorId="6534D017" wp14:editId="362001CF">
            <wp:extent cx="2941320" cy="2026920"/>
            <wp:effectExtent l="0" t="0" r="0" b="0"/>
            <wp:docPr id="4" name="Picture 3" descr="Plot object">
              <a:extLst xmlns:a="http://schemas.openxmlformats.org/drawingml/2006/main">
                <a:ext uri="{FF2B5EF4-FFF2-40B4-BE49-F238E27FC236}">
                  <a16:creationId xmlns:a16="http://schemas.microsoft.com/office/drawing/2014/main" id="{6EFDC2B9-D933-4C47-BE08-ADA1FB3B79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Plot object">
                      <a:extLst>
                        <a:ext uri="{FF2B5EF4-FFF2-40B4-BE49-F238E27FC236}">
                          <a16:creationId xmlns:a16="http://schemas.microsoft.com/office/drawing/2014/main" id="{6EFDC2B9-D933-4C47-BE08-ADA1FB3B7952}"/>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30782" t="3179" r="29926" b="2313"/>
                    <a:stretch/>
                  </pic:blipFill>
                  <pic:spPr bwMode="auto">
                    <a:xfrm>
                      <a:off x="0" y="0"/>
                      <a:ext cx="2941320" cy="2026920"/>
                    </a:xfrm>
                    <a:prstGeom prst="rect">
                      <a:avLst/>
                    </a:prstGeom>
                    <a:noFill/>
                  </pic:spPr>
                </pic:pic>
              </a:graphicData>
            </a:graphic>
          </wp:inline>
        </w:drawing>
      </w:r>
      <w:r w:rsidRPr="0065228D">
        <w:rPr>
          <w:rFonts w:ascii="Times New Roman" w:hAnsi="Times New Roman" w:cs="Times New Roman"/>
        </w:rPr>
        <w:t xml:space="preserve">                                              </w:t>
      </w:r>
      <w:r w:rsidRPr="0065228D">
        <w:rPr>
          <w:rFonts w:ascii="Times New Roman" w:hAnsi="Times New Roman" w:cs="Times New Roman"/>
          <w:noProof/>
          <w:lang w:val="en-GB" w:eastAsia="en-GB"/>
        </w:rPr>
        <w:drawing>
          <wp:inline distT="0" distB="0" distL="0" distR="0" wp14:anchorId="04F23AEB" wp14:editId="5BCAFF3E">
            <wp:extent cx="2651760" cy="2034540"/>
            <wp:effectExtent l="0" t="0" r="0" b="3810"/>
            <wp:docPr id="5" name="Picture 4" descr="Plot object">
              <a:extLst xmlns:a="http://schemas.openxmlformats.org/drawingml/2006/main">
                <a:ext uri="{FF2B5EF4-FFF2-40B4-BE49-F238E27FC236}">
                  <a16:creationId xmlns:a16="http://schemas.microsoft.com/office/drawing/2014/main" id="{2229F624-6500-68C5-40A1-65540DE9A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lot object">
                      <a:extLst>
                        <a:ext uri="{FF2B5EF4-FFF2-40B4-BE49-F238E27FC236}">
                          <a16:creationId xmlns:a16="http://schemas.microsoft.com/office/drawing/2014/main" id="{2229F624-6500-68C5-40A1-65540DE9A892}"/>
                        </a:ext>
                      </a:extLs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30413" t="1637" r="30038" b="2152"/>
                    <a:stretch/>
                  </pic:blipFill>
                  <pic:spPr bwMode="auto">
                    <a:xfrm>
                      <a:off x="0" y="0"/>
                      <a:ext cx="2651760" cy="2034540"/>
                    </a:xfrm>
                    <a:prstGeom prst="rect">
                      <a:avLst/>
                    </a:prstGeom>
                    <a:noFill/>
                  </pic:spPr>
                </pic:pic>
              </a:graphicData>
            </a:graphic>
          </wp:inline>
        </w:drawing>
      </w:r>
    </w:p>
    <w:p w14:paraId="25CDDCFF" w14:textId="77777777" w:rsidR="00835A65" w:rsidRPr="0065228D" w:rsidRDefault="00835A65" w:rsidP="00835A65">
      <w:pPr>
        <w:rPr>
          <w:rFonts w:ascii="Times New Roman" w:hAnsi="Times New Roman" w:cs="Times New Roman"/>
        </w:rPr>
      </w:pPr>
    </w:p>
    <w:p w14:paraId="65A3F62E" w14:textId="77777777" w:rsidR="00835A65" w:rsidRPr="0065228D" w:rsidRDefault="00835A65" w:rsidP="00835A65">
      <w:pPr>
        <w:rPr>
          <w:rFonts w:ascii="Times New Roman" w:hAnsi="Times New Roman" w:cs="Times New Roman"/>
          <w:b/>
          <w:bCs/>
          <w:sz w:val="24"/>
          <w:szCs w:val="24"/>
        </w:rPr>
      </w:pPr>
      <w:r w:rsidRPr="0065228D">
        <w:rPr>
          <w:rFonts w:ascii="Times New Roman" w:hAnsi="Times New Roman" w:cs="Times New Roman"/>
          <w:b/>
          <w:bCs/>
          <w:sz w:val="24"/>
          <w:szCs w:val="24"/>
        </w:rPr>
        <w:t xml:space="preserve">Figure 4. </w:t>
      </w:r>
      <w:r w:rsidRPr="0065228D">
        <w:rPr>
          <w:rFonts w:ascii="Times New Roman" w:hAnsi="Times New Roman" w:cs="Times New Roman"/>
          <w:sz w:val="24"/>
          <w:szCs w:val="24"/>
        </w:rPr>
        <w:t>Static Pairwise connectedness</w:t>
      </w:r>
      <w:r w:rsidRPr="0065228D">
        <w:rPr>
          <w:rFonts w:ascii="Times New Roman" w:hAnsi="Times New Roman" w:cs="Times New Roman"/>
          <w:b/>
          <w:bCs/>
          <w:sz w:val="24"/>
          <w:szCs w:val="24"/>
        </w:rPr>
        <w:t xml:space="preserve"> </w:t>
      </w:r>
    </w:p>
    <w:p w14:paraId="5E2830DB"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object w:dxaOrig="8893" w:dyaOrig="7117" w14:anchorId="6514E2A7">
          <v:shape id="_x0000_i1027" type="#_x0000_t75" style="width:446.5pt;height:352.5pt" o:ole="">
            <v:imagedata r:id="rId18" o:title=""/>
          </v:shape>
          <o:OLEObject Type="Embed" ProgID="EViews.Workfile.2" ShapeID="_x0000_i1027" DrawAspect="Content" ObjectID="_1756816813" r:id="rId19"/>
        </w:object>
      </w:r>
    </w:p>
    <w:p w14:paraId="46E71BD9" w14:textId="77777777" w:rsidR="00835A65" w:rsidRPr="0065228D" w:rsidRDefault="00835A65" w:rsidP="00835A65">
      <w:pPr>
        <w:rPr>
          <w:rFonts w:ascii="Times New Roman" w:hAnsi="Times New Roman" w:cs="Times New Roman"/>
        </w:rPr>
      </w:pPr>
    </w:p>
    <w:p w14:paraId="2B2428F4" w14:textId="2DD51D14" w:rsidR="00835A65" w:rsidRPr="0065228D" w:rsidRDefault="00835A65" w:rsidP="00835A65">
      <w:pPr>
        <w:rPr>
          <w:rFonts w:ascii="Times New Roman" w:hAnsi="Times New Roman" w:cs="Times New Roman"/>
          <w:sz w:val="24"/>
          <w:szCs w:val="24"/>
        </w:rPr>
      </w:pPr>
      <w:bookmarkStart w:id="40" w:name="_Hlk121661291"/>
      <w:r w:rsidRPr="0065228D">
        <w:rPr>
          <w:rFonts w:ascii="Times New Roman" w:hAnsi="Times New Roman" w:cs="Times New Roman"/>
          <w:b/>
          <w:bCs/>
          <w:sz w:val="24"/>
          <w:szCs w:val="24"/>
        </w:rPr>
        <w:t>Figure 5.</w:t>
      </w:r>
      <w:bookmarkEnd w:id="40"/>
      <w:r w:rsidRPr="0065228D">
        <w:rPr>
          <w:rFonts w:ascii="Times New Roman" w:hAnsi="Times New Roman" w:cs="Times New Roman"/>
          <w:b/>
          <w:bCs/>
          <w:sz w:val="24"/>
          <w:szCs w:val="24"/>
        </w:rPr>
        <w:t xml:space="preserve"> </w:t>
      </w:r>
      <w:r w:rsidRPr="0065228D">
        <w:rPr>
          <w:rFonts w:ascii="Times New Roman" w:hAnsi="Times New Roman" w:cs="Times New Roman"/>
          <w:sz w:val="24"/>
          <w:szCs w:val="24"/>
        </w:rPr>
        <w:t>Time</w:t>
      </w:r>
      <w:r w:rsidR="002A1602">
        <w:rPr>
          <w:rFonts w:ascii="Times New Roman" w:hAnsi="Times New Roman" w:cs="Times New Roman"/>
          <w:sz w:val="24"/>
          <w:szCs w:val="24"/>
        </w:rPr>
        <w:t>-</w:t>
      </w:r>
      <w:r w:rsidRPr="0065228D">
        <w:rPr>
          <w:rFonts w:ascii="Times New Roman" w:hAnsi="Times New Roman" w:cs="Times New Roman"/>
          <w:sz w:val="24"/>
          <w:szCs w:val="24"/>
        </w:rPr>
        <w:t>varying TCI</w:t>
      </w:r>
    </w:p>
    <w:p w14:paraId="2543D94E" w14:textId="77777777" w:rsidR="00835A65" w:rsidRPr="0065228D" w:rsidRDefault="00835A65" w:rsidP="00835A65">
      <w:pPr>
        <w:rPr>
          <w:rFonts w:ascii="Times New Roman" w:hAnsi="Times New Roman" w:cs="Times New Roman"/>
        </w:rPr>
      </w:pPr>
    </w:p>
    <w:p w14:paraId="36F455CF" w14:textId="77777777" w:rsidR="00835A65" w:rsidRPr="0065228D" w:rsidRDefault="00835A65" w:rsidP="00835A65">
      <w:pPr>
        <w:rPr>
          <w:rFonts w:ascii="Times New Roman" w:hAnsi="Times New Roman" w:cs="Times New Roman"/>
        </w:rPr>
      </w:pPr>
    </w:p>
    <w:p w14:paraId="568CC32F"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object w:dxaOrig="10164" w:dyaOrig="8257" w14:anchorId="6D481089">
          <v:shape id="_x0000_i1028" type="#_x0000_t75" style="width:633.5pt;height:403.5pt" o:ole="">
            <v:imagedata r:id="rId20" o:title=""/>
          </v:shape>
          <o:OLEObject Type="Embed" ProgID="EViews.Workfile.2" ShapeID="_x0000_i1028" DrawAspect="Content" ObjectID="_1756816814" r:id="rId21"/>
        </w:object>
      </w:r>
    </w:p>
    <w:p w14:paraId="7128CBDF" w14:textId="1FD9A47D" w:rsidR="00835A65" w:rsidRPr="0065228D" w:rsidRDefault="00835A65" w:rsidP="00835A65">
      <w:pPr>
        <w:rPr>
          <w:rFonts w:ascii="Times New Roman" w:hAnsi="Times New Roman" w:cs="Times New Roman"/>
          <w:sz w:val="24"/>
          <w:szCs w:val="24"/>
        </w:rPr>
      </w:pPr>
      <w:bookmarkStart w:id="41" w:name="_Hlk121661311"/>
      <w:r w:rsidRPr="0065228D">
        <w:rPr>
          <w:rFonts w:ascii="Times New Roman" w:hAnsi="Times New Roman" w:cs="Times New Roman"/>
          <w:b/>
          <w:bCs/>
          <w:sz w:val="24"/>
          <w:szCs w:val="24"/>
        </w:rPr>
        <w:t>Figure</w:t>
      </w:r>
      <w:bookmarkEnd w:id="41"/>
      <w:r w:rsidRPr="0065228D">
        <w:rPr>
          <w:rFonts w:ascii="Times New Roman" w:hAnsi="Times New Roman" w:cs="Times New Roman"/>
          <w:b/>
          <w:bCs/>
          <w:sz w:val="24"/>
          <w:szCs w:val="24"/>
        </w:rPr>
        <w:t xml:space="preserve"> 6.</w:t>
      </w:r>
      <w:r w:rsidRPr="0065228D">
        <w:rPr>
          <w:rFonts w:ascii="Times New Roman" w:hAnsi="Times New Roman" w:cs="Times New Roman"/>
          <w:sz w:val="24"/>
          <w:szCs w:val="24"/>
        </w:rPr>
        <w:t xml:space="preserve"> Time-varying net directional spillovers </w:t>
      </w:r>
      <w:bookmarkStart w:id="42" w:name="_Hlk97133811"/>
      <w:r w:rsidRPr="0065228D">
        <w:rPr>
          <w:rFonts w:ascii="Times New Roman" w:hAnsi="Times New Roman" w:cs="Times New Roman"/>
          <w:sz w:val="24"/>
          <w:szCs w:val="24"/>
        </w:rPr>
        <w:t xml:space="preserve">at </w:t>
      </w:r>
      <w:r w:rsidR="00B82199">
        <w:rPr>
          <w:rFonts w:ascii="Times New Roman" w:hAnsi="Times New Roman" w:cs="Times New Roman"/>
          <w:sz w:val="24"/>
          <w:szCs w:val="24"/>
        </w:rPr>
        <w:t xml:space="preserve">the </w:t>
      </w:r>
      <w:r w:rsidRPr="0065228D">
        <w:rPr>
          <w:rFonts w:ascii="Times New Roman" w:hAnsi="Times New Roman" w:cs="Times New Roman"/>
          <w:sz w:val="24"/>
          <w:szCs w:val="24"/>
        </w:rPr>
        <w:t xml:space="preserve">mean using </w:t>
      </w:r>
      <w:r w:rsidR="002A1602">
        <w:rPr>
          <w:rFonts w:ascii="Times New Roman" w:hAnsi="Times New Roman" w:cs="Times New Roman"/>
          <w:sz w:val="24"/>
          <w:szCs w:val="24"/>
        </w:rPr>
        <w:t xml:space="preserve">the </w:t>
      </w:r>
      <w:r w:rsidR="007B0E4A" w:rsidRPr="00CB6025">
        <w:rPr>
          <w:rFonts w:ascii="Times New Roman" w:hAnsi="Times New Roman" w:cs="Times New Roman"/>
          <w:sz w:val="24"/>
          <w:szCs w:val="24"/>
        </w:rPr>
        <w:t xml:space="preserve">Diebold and </w:t>
      </w:r>
      <w:r w:rsidR="00531153" w:rsidRPr="00CB6025">
        <w:rPr>
          <w:rFonts w:ascii="Times New Roman" w:hAnsi="Times New Roman" w:cs="Times New Roman"/>
          <w:sz w:val="24"/>
          <w:szCs w:val="24"/>
        </w:rPr>
        <w:t xml:space="preserve">Yilmaz </w:t>
      </w:r>
      <w:r w:rsidR="00531153" w:rsidRPr="007B0E4A">
        <w:rPr>
          <w:rFonts w:ascii="Times New Roman" w:hAnsi="Times New Roman" w:cs="Times New Roman"/>
          <w:sz w:val="24"/>
          <w:szCs w:val="24"/>
        </w:rPr>
        <w:t>(</w:t>
      </w:r>
      <w:r w:rsidRPr="007B0E4A">
        <w:rPr>
          <w:rFonts w:ascii="Times New Roman" w:hAnsi="Times New Roman" w:cs="Times New Roman"/>
          <w:sz w:val="24"/>
          <w:szCs w:val="24"/>
        </w:rPr>
        <w:t xml:space="preserve">2012) </w:t>
      </w:r>
      <w:proofErr w:type="gramStart"/>
      <w:r w:rsidRPr="0065228D">
        <w:rPr>
          <w:rFonts w:ascii="Times New Roman" w:hAnsi="Times New Roman" w:cs="Times New Roman"/>
          <w:sz w:val="24"/>
          <w:szCs w:val="24"/>
        </w:rPr>
        <w:t>approach</w:t>
      </w:r>
      <w:bookmarkEnd w:id="42"/>
      <w:proofErr w:type="gramEnd"/>
    </w:p>
    <w:p w14:paraId="45221622" w14:textId="369A648E" w:rsidR="00835A65" w:rsidRPr="0065228D" w:rsidRDefault="00835A65" w:rsidP="00835A65">
      <w:pPr>
        <w:rPr>
          <w:rFonts w:ascii="Times New Roman" w:hAnsi="Times New Roman" w:cs="Times New Roman"/>
        </w:rPr>
      </w:pPr>
    </w:p>
    <w:p w14:paraId="47B7F463"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object w:dxaOrig="10164" w:dyaOrig="8257" w14:anchorId="00AF38E1">
          <v:shape id="_x0000_i1029" type="#_x0000_t75" style="width:640.5pt;height:410.5pt" o:ole="">
            <v:imagedata r:id="rId22" o:title=""/>
          </v:shape>
          <o:OLEObject Type="Embed" ProgID="EViews.Workfile.2" ShapeID="_x0000_i1029" DrawAspect="Content" ObjectID="_1756816815" r:id="rId23"/>
        </w:object>
      </w:r>
    </w:p>
    <w:p w14:paraId="7727523A" w14:textId="77777777" w:rsidR="00835A65" w:rsidRPr="0065228D" w:rsidRDefault="00835A65" w:rsidP="00835A65">
      <w:pPr>
        <w:rPr>
          <w:rFonts w:ascii="Times New Roman" w:hAnsi="Times New Roman" w:cs="Times New Roman"/>
        </w:rPr>
      </w:pPr>
    </w:p>
    <w:p w14:paraId="3A8A7A39" w14:textId="39AC1A89" w:rsidR="00835A65" w:rsidRPr="0065228D" w:rsidRDefault="00835A65" w:rsidP="00835A65">
      <w:pPr>
        <w:rPr>
          <w:rFonts w:ascii="Times New Roman" w:hAnsi="Times New Roman" w:cs="Times New Roman"/>
          <w:sz w:val="24"/>
          <w:szCs w:val="24"/>
        </w:rPr>
      </w:pPr>
      <w:r w:rsidRPr="0065228D">
        <w:rPr>
          <w:rFonts w:ascii="Times New Roman" w:hAnsi="Times New Roman" w:cs="Times New Roman"/>
          <w:b/>
          <w:bCs/>
          <w:sz w:val="24"/>
          <w:szCs w:val="24"/>
        </w:rPr>
        <w:t>Figure 7.</w:t>
      </w:r>
      <w:r w:rsidRPr="0065228D">
        <w:rPr>
          <w:rFonts w:ascii="Times New Roman" w:hAnsi="Times New Roman" w:cs="Times New Roman"/>
          <w:sz w:val="24"/>
          <w:szCs w:val="24"/>
        </w:rPr>
        <w:t xml:space="preserve"> Time-varying net directional spillovers at </w:t>
      </w:r>
      <w:r w:rsidR="007B0E4A">
        <w:rPr>
          <w:rFonts w:ascii="Times New Roman" w:hAnsi="Times New Roman" w:cs="Times New Roman"/>
          <w:sz w:val="24"/>
          <w:szCs w:val="24"/>
        </w:rPr>
        <w:t xml:space="preserve">the </w:t>
      </w:r>
      <w:r w:rsidRPr="0065228D">
        <w:rPr>
          <w:rFonts w:ascii="Times New Roman" w:hAnsi="Times New Roman" w:cs="Times New Roman"/>
          <w:sz w:val="24"/>
          <w:szCs w:val="24"/>
        </w:rPr>
        <w:t>median (Q=0.50)</w:t>
      </w:r>
    </w:p>
    <w:p w14:paraId="6D7FBFFC"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object w:dxaOrig="10188" w:dyaOrig="8101" w14:anchorId="5D25D2CC">
          <v:shape id="_x0000_i1030" type="#_x0000_t75" style="width:626pt;height:402.5pt" o:ole="">
            <v:imagedata r:id="rId24" o:title=""/>
          </v:shape>
          <o:OLEObject Type="Embed" ProgID="EViews.Workfile.2" ShapeID="_x0000_i1030" DrawAspect="Content" ObjectID="_1756816816" r:id="rId25"/>
        </w:object>
      </w:r>
    </w:p>
    <w:p w14:paraId="58F51A3C" w14:textId="77777777" w:rsidR="00835A65" w:rsidRPr="0065228D" w:rsidRDefault="00835A65" w:rsidP="00835A65">
      <w:pPr>
        <w:rPr>
          <w:rFonts w:ascii="Times New Roman" w:hAnsi="Times New Roman" w:cs="Times New Roman"/>
        </w:rPr>
      </w:pPr>
    </w:p>
    <w:p w14:paraId="4DFC5B05" w14:textId="46DE1FD7" w:rsidR="00835A65" w:rsidRPr="0065228D" w:rsidRDefault="00835A65" w:rsidP="00835A65">
      <w:pPr>
        <w:rPr>
          <w:rFonts w:ascii="Times New Roman" w:eastAsia="Calibri" w:hAnsi="Times New Roman" w:cs="Times New Roman"/>
          <w:sz w:val="24"/>
          <w:szCs w:val="24"/>
        </w:rPr>
      </w:pPr>
      <w:r w:rsidRPr="0065228D">
        <w:rPr>
          <w:rFonts w:ascii="Times New Roman" w:hAnsi="Times New Roman" w:cs="Times New Roman"/>
          <w:b/>
          <w:bCs/>
          <w:sz w:val="24"/>
          <w:szCs w:val="24"/>
        </w:rPr>
        <w:t>Figure 8.</w:t>
      </w:r>
      <w:r w:rsidRPr="0065228D">
        <w:rPr>
          <w:rFonts w:ascii="Times New Roman" w:hAnsi="Times New Roman" w:cs="Times New Roman"/>
          <w:sz w:val="24"/>
          <w:szCs w:val="24"/>
        </w:rPr>
        <w:t xml:space="preserve"> </w:t>
      </w:r>
      <w:r w:rsidRPr="0065228D">
        <w:rPr>
          <w:rFonts w:ascii="Times New Roman" w:eastAsia="Calibri" w:hAnsi="Times New Roman" w:cs="Times New Roman"/>
          <w:sz w:val="24"/>
          <w:szCs w:val="24"/>
        </w:rPr>
        <w:t xml:space="preserve">Time-varying net directional spillovers at </w:t>
      </w:r>
      <w:bookmarkStart w:id="43" w:name="_Hlk97133917"/>
      <w:r w:rsidR="007B0E4A">
        <w:rPr>
          <w:rFonts w:ascii="Times New Roman" w:eastAsia="Calibri" w:hAnsi="Times New Roman" w:cs="Times New Roman"/>
          <w:sz w:val="24"/>
          <w:szCs w:val="24"/>
        </w:rPr>
        <w:t xml:space="preserve">the </w:t>
      </w:r>
      <w:r w:rsidRPr="0065228D">
        <w:rPr>
          <w:rFonts w:ascii="Times New Roman" w:eastAsia="Calibri" w:hAnsi="Times New Roman" w:cs="Times New Roman"/>
          <w:sz w:val="24"/>
          <w:szCs w:val="24"/>
        </w:rPr>
        <w:t>extreme lower quantile (Q=0.05)</w:t>
      </w:r>
      <w:bookmarkEnd w:id="43"/>
    </w:p>
    <w:p w14:paraId="653CA5E2" w14:textId="77777777" w:rsidR="00835A65" w:rsidRPr="0065228D" w:rsidRDefault="00835A65" w:rsidP="00835A65">
      <w:pPr>
        <w:rPr>
          <w:rFonts w:ascii="Times New Roman" w:hAnsi="Times New Roman" w:cs="Times New Roman"/>
        </w:rPr>
      </w:pPr>
      <w:r w:rsidRPr="0065228D">
        <w:rPr>
          <w:rFonts w:ascii="Times New Roman" w:hAnsi="Times New Roman" w:cs="Times New Roman"/>
        </w:rPr>
        <w:object w:dxaOrig="10141" w:dyaOrig="6553" w14:anchorId="0F14CBC2">
          <v:shape id="_x0000_i1031" type="#_x0000_t75" style="width:618.5pt;height:381.5pt" o:ole="">
            <v:imagedata r:id="rId26" o:title=""/>
          </v:shape>
          <o:OLEObject Type="Embed" ProgID="EViews.Workfile.2" ShapeID="_x0000_i1031" DrawAspect="Content" ObjectID="_1756816817" r:id="rId27"/>
        </w:object>
      </w:r>
    </w:p>
    <w:p w14:paraId="62B4AB7D" w14:textId="77777777" w:rsidR="00835A65" w:rsidRPr="0065228D" w:rsidRDefault="00835A65" w:rsidP="00835A65">
      <w:pPr>
        <w:rPr>
          <w:rFonts w:ascii="Times New Roman" w:hAnsi="Times New Roman" w:cs="Times New Roman"/>
        </w:rPr>
      </w:pPr>
    </w:p>
    <w:p w14:paraId="4823B2D3" w14:textId="640692F2" w:rsidR="00835A65" w:rsidRPr="0065228D" w:rsidRDefault="00835A65" w:rsidP="00835A65">
      <w:pPr>
        <w:rPr>
          <w:rFonts w:ascii="Times New Roman" w:eastAsia="Calibri" w:hAnsi="Times New Roman" w:cs="Times New Roman"/>
          <w:sz w:val="24"/>
          <w:szCs w:val="24"/>
        </w:rPr>
      </w:pPr>
      <w:r w:rsidRPr="0065228D">
        <w:rPr>
          <w:rFonts w:ascii="Times New Roman" w:hAnsi="Times New Roman" w:cs="Times New Roman"/>
          <w:b/>
          <w:bCs/>
          <w:sz w:val="24"/>
          <w:szCs w:val="24"/>
        </w:rPr>
        <w:t>Figure 9.</w:t>
      </w:r>
      <w:r w:rsidRPr="0065228D">
        <w:rPr>
          <w:rFonts w:ascii="Times New Roman" w:hAnsi="Times New Roman" w:cs="Times New Roman"/>
          <w:sz w:val="24"/>
          <w:szCs w:val="24"/>
        </w:rPr>
        <w:t xml:space="preserve"> </w:t>
      </w:r>
      <w:r w:rsidRPr="0065228D">
        <w:rPr>
          <w:rFonts w:ascii="Times New Roman" w:eastAsia="Calibri" w:hAnsi="Times New Roman" w:cs="Times New Roman"/>
          <w:sz w:val="24"/>
          <w:szCs w:val="24"/>
        </w:rPr>
        <w:t xml:space="preserve">Time-varying net directional spillovers at </w:t>
      </w:r>
      <w:r w:rsidR="007B0E4A">
        <w:rPr>
          <w:rFonts w:ascii="Times New Roman" w:eastAsia="Calibri" w:hAnsi="Times New Roman" w:cs="Times New Roman"/>
          <w:sz w:val="24"/>
          <w:szCs w:val="24"/>
        </w:rPr>
        <w:t xml:space="preserve">the </w:t>
      </w:r>
      <w:r w:rsidRPr="0065228D">
        <w:rPr>
          <w:rFonts w:ascii="Times New Roman" w:eastAsia="Calibri" w:hAnsi="Times New Roman" w:cs="Times New Roman"/>
          <w:sz w:val="24"/>
          <w:szCs w:val="24"/>
        </w:rPr>
        <w:t>extreme upper quantile (Q=0.95)</w:t>
      </w:r>
    </w:p>
    <w:p w14:paraId="1C902F62" w14:textId="77777777" w:rsidR="00835A65" w:rsidRPr="0065228D" w:rsidRDefault="00835A65" w:rsidP="00835A65">
      <w:pPr>
        <w:rPr>
          <w:rFonts w:ascii="Times New Roman" w:eastAsia="Calibri" w:hAnsi="Times New Roman" w:cs="Times New Roman"/>
          <w:sz w:val="24"/>
          <w:szCs w:val="24"/>
        </w:rPr>
      </w:pPr>
    </w:p>
    <w:p w14:paraId="62767733" w14:textId="77777777" w:rsidR="00835A65" w:rsidRPr="0065228D" w:rsidRDefault="00835A65" w:rsidP="00835A65">
      <w:pPr>
        <w:rPr>
          <w:rFonts w:ascii="Times New Roman" w:eastAsia="Calibri" w:hAnsi="Times New Roman" w:cs="Times New Roman"/>
          <w:sz w:val="24"/>
          <w:szCs w:val="24"/>
        </w:rPr>
      </w:pPr>
    </w:p>
    <w:p w14:paraId="75C7CCFF" w14:textId="77777777" w:rsidR="00835A65" w:rsidRPr="0065228D" w:rsidRDefault="00835A65" w:rsidP="00835A65">
      <w:pPr>
        <w:rPr>
          <w:rFonts w:ascii="Times New Roman" w:eastAsia="Calibri" w:hAnsi="Times New Roman" w:cs="Times New Roman"/>
          <w:sz w:val="24"/>
          <w:szCs w:val="24"/>
        </w:rPr>
      </w:pPr>
    </w:p>
    <w:p w14:paraId="0D103AF1" w14:textId="77777777" w:rsidR="00835A65" w:rsidRPr="0065228D" w:rsidRDefault="00835A65" w:rsidP="00835A65">
      <w:pPr>
        <w:rPr>
          <w:rFonts w:ascii="Times New Roman" w:eastAsia="Calibri" w:hAnsi="Times New Roman" w:cs="Times New Roman"/>
          <w:sz w:val="24"/>
          <w:szCs w:val="24"/>
        </w:rPr>
      </w:pPr>
    </w:p>
    <w:p w14:paraId="42B1DD08" w14:textId="77777777" w:rsidR="00835A65" w:rsidRPr="0065228D" w:rsidRDefault="00835A65" w:rsidP="00835A65">
      <w:pPr>
        <w:rPr>
          <w:rFonts w:ascii="Times New Roman" w:eastAsia="Calibri" w:hAnsi="Times New Roman" w:cs="Times New Roman"/>
          <w:sz w:val="24"/>
          <w:szCs w:val="24"/>
        </w:rPr>
      </w:pPr>
      <w:r w:rsidRPr="0065228D">
        <w:rPr>
          <w:rFonts w:ascii="Times New Roman" w:hAnsi="Times New Roman" w:cs="Times New Roman"/>
        </w:rPr>
        <w:object w:dxaOrig="8629" w:dyaOrig="5161" w14:anchorId="2BD982C8">
          <v:shape id="_x0000_i1032" type="#_x0000_t75" style="width:6in;height:259.5pt" o:ole="">
            <v:imagedata r:id="rId28" o:title=""/>
          </v:shape>
          <o:OLEObject Type="Embed" ProgID="EViews.Workfile.2" ShapeID="_x0000_i1032" DrawAspect="Content" ObjectID="_1756816818" r:id="rId29"/>
        </w:object>
      </w:r>
    </w:p>
    <w:p w14:paraId="3C795F90" w14:textId="77777777" w:rsidR="00835A65" w:rsidRPr="0065228D" w:rsidRDefault="00835A65" w:rsidP="00835A65">
      <w:pPr>
        <w:rPr>
          <w:rFonts w:ascii="Times New Roman" w:hAnsi="Times New Roman" w:cs="Times New Roman"/>
        </w:rPr>
      </w:pPr>
    </w:p>
    <w:p w14:paraId="1753E11F" w14:textId="77777777" w:rsidR="00835A65" w:rsidRPr="0065228D" w:rsidRDefault="00835A65" w:rsidP="00835A65">
      <w:pPr>
        <w:rPr>
          <w:rFonts w:ascii="Times New Roman" w:hAnsi="Times New Roman" w:cs="Times New Roman"/>
          <w:sz w:val="24"/>
          <w:szCs w:val="24"/>
        </w:rPr>
      </w:pPr>
      <w:r w:rsidRPr="0065228D">
        <w:rPr>
          <w:rFonts w:ascii="Times New Roman" w:hAnsi="Times New Roman" w:cs="Times New Roman"/>
          <w:b/>
          <w:bCs/>
          <w:sz w:val="24"/>
          <w:szCs w:val="24"/>
        </w:rPr>
        <w:t>Figure 10.</w:t>
      </w:r>
      <w:r w:rsidRPr="0065228D">
        <w:rPr>
          <w:rFonts w:ascii="Times New Roman" w:hAnsi="Times New Roman" w:cs="Times New Roman"/>
          <w:sz w:val="24"/>
          <w:szCs w:val="24"/>
        </w:rPr>
        <w:t xml:space="preserve"> Relative tail dependence (</w:t>
      </w:r>
      <m:oMath>
        <m:sSub>
          <m:sSubPr>
            <m:ctrlPr>
              <w:rPr>
                <w:rFonts w:ascii="Cambria Math" w:hAnsi="Cambria Math" w:cs="Times New Roman"/>
                <w:i/>
                <w:sz w:val="24"/>
                <w:szCs w:val="24"/>
              </w:rPr>
            </m:ctrlPr>
          </m:sSubPr>
          <m:e>
            <m:r>
              <w:rPr>
                <w:rFonts w:ascii="Cambria Math" w:hAnsi="Cambria Math" w:cs="Times New Roman"/>
                <w:sz w:val="24"/>
                <w:szCs w:val="24"/>
              </w:rPr>
              <m:t>TCI</m:t>
            </m:r>
          </m:e>
          <m:sub>
            <m:r>
              <w:rPr>
                <w:rFonts w:ascii="Cambria Math" w:hAnsi="Cambria Math" w:cs="Times New Roman"/>
                <w:sz w:val="24"/>
                <w:szCs w:val="24"/>
              </w:rPr>
              <m:t>Q=0.95</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TCI</m:t>
            </m:r>
          </m:e>
          <m:sub>
            <m:r>
              <w:rPr>
                <w:rFonts w:ascii="Cambria Math" w:hAnsi="Cambria Math" w:cs="Times New Roman"/>
                <w:sz w:val="24"/>
                <w:szCs w:val="24"/>
              </w:rPr>
              <m:t>Q=0.05</m:t>
            </m:r>
          </m:sub>
        </m:sSub>
      </m:oMath>
      <w:r w:rsidRPr="0065228D">
        <w:rPr>
          <w:rFonts w:ascii="Times New Roman" w:eastAsiaTheme="minorEastAsia" w:hAnsi="Times New Roman" w:cs="Times New Roman"/>
          <w:sz w:val="24"/>
          <w:szCs w:val="24"/>
        </w:rPr>
        <w:t>)</w:t>
      </w:r>
    </w:p>
    <w:p w14:paraId="07F01285" w14:textId="77777777" w:rsidR="00835A65" w:rsidRPr="0065228D" w:rsidRDefault="00835A65" w:rsidP="00835A65">
      <w:pPr>
        <w:rPr>
          <w:rFonts w:ascii="Times New Roman" w:hAnsi="Times New Roman" w:cs="Times New Roman"/>
        </w:rPr>
      </w:pPr>
    </w:p>
    <w:p w14:paraId="20032AE5" w14:textId="77777777" w:rsidR="00835A65" w:rsidRPr="0065228D" w:rsidRDefault="00835A65" w:rsidP="00835A65">
      <w:pPr>
        <w:rPr>
          <w:rFonts w:ascii="Times New Roman" w:hAnsi="Times New Roman" w:cs="Times New Roman"/>
        </w:rPr>
      </w:pPr>
    </w:p>
    <w:p w14:paraId="34915DF9" w14:textId="77777777" w:rsidR="00835A65" w:rsidRPr="0065228D" w:rsidRDefault="00835A65" w:rsidP="00835A65">
      <w:pPr>
        <w:rPr>
          <w:rFonts w:ascii="Times New Roman" w:hAnsi="Times New Roman" w:cs="Times New Roman"/>
        </w:rPr>
      </w:pPr>
    </w:p>
    <w:p w14:paraId="47CED793" w14:textId="77777777" w:rsidR="00835A65" w:rsidRPr="0065228D" w:rsidRDefault="00835A65" w:rsidP="00835A65">
      <w:pPr>
        <w:rPr>
          <w:rFonts w:ascii="Times New Roman" w:hAnsi="Times New Roman" w:cs="Times New Roman"/>
        </w:rPr>
      </w:pPr>
    </w:p>
    <w:p w14:paraId="6530EC21" w14:textId="383BAFF3" w:rsidR="00835A65" w:rsidRPr="0065228D" w:rsidRDefault="00835A65" w:rsidP="00835A65">
      <w:pPr>
        <w:rPr>
          <w:rFonts w:ascii="Times New Roman" w:hAnsi="Times New Roman" w:cs="Times New Roman"/>
          <w:sz w:val="24"/>
          <w:szCs w:val="24"/>
        </w:rPr>
      </w:pPr>
      <w:r w:rsidRPr="0065228D">
        <w:rPr>
          <w:rFonts w:ascii="Times New Roman" w:hAnsi="Times New Roman" w:cs="Times New Roman"/>
          <w:b/>
          <w:bCs/>
          <w:sz w:val="24"/>
          <w:szCs w:val="24"/>
        </w:rPr>
        <w:lastRenderedPageBreak/>
        <w:t>Table 7.</w:t>
      </w:r>
      <w:r w:rsidRPr="0065228D">
        <w:rPr>
          <w:rFonts w:ascii="Times New Roman" w:hAnsi="Times New Roman" w:cs="Times New Roman"/>
          <w:sz w:val="24"/>
          <w:szCs w:val="24"/>
        </w:rPr>
        <w:t xml:space="preserve"> Portfolio design and hedging effectiveness for the </w:t>
      </w:r>
      <w:r w:rsidR="008A2304" w:rsidRPr="0065228D">
        <w:rPr>
          <w:rFonts w:ascii="Times New Roman" w:hAnsi="Times New Roman" w:cs="Times New Roman"/>
          <w:sz w:val="24"/>
          <w:szCs w:val="24"/>
        </w:rPr>
        <w:t>combinations</w:t>
      </w:r>
      <w:r w:rsidRPr="0065228D">
        <w:rPr>
          <w:rFonts w:ascii="Times New Roman" w:hAnsi="Times New Roman" w:cs="Times New Roman"/>
          <w:sz w:val="24"/>
          <w:szCs w:val="24"/>
        </w:rPr>
        <w:t xml:space="preserve"> of </w:t>
      </w:r>
      <w:proofErr w:type="gramStart"/>
      <w:r w:rsidRPr="0065228D">
        <w:rPr>
          <w:rFonts w:ascii="Times New Roman" w:hAnsi="Times New Roman" w:cs="Times New Roman"/>
          <w:sz w:val="24"/>
          <w:szCs w:val="24"/>
        </w:rPr>
        <w:t>other</w:t>
      </w:r>
      <w:proofErr w:type="gramEnd"/>
      <w:r w:rsidRPr="0065228D">
        <w:rPr>
          <w:rFonts w:ascii="Times New Roman" w:hAnsi="Times New Roman" w:cs="Times New Roman"/>
          <w:sz w:val="24"/>
          <w:szCs w:val="24"/>
        </w:rPr>
        <w:t xml:space="preserve"> asse</w:t>
      </w:r>
      <w:r w:rsidR="006B43E8">
        <w:rPr>
          <w:rFonts w:ascii="Times New Roman" w:hAnsi="Times New Roman" w:cs="Times New Roman"/>
          <w:sz w:val="24"/>
          <w:szCs w:val="24"/>
        </w:rPr>
        <w:t>t</w:t>
      </w:r>
      <w:r w:rsidR="007B0E4A">
        <w:rPr>
          <w:rFonts w:ascii="Times New Roman" w:hAnsi="Times New Roman" w:cs="Times New Roman"/>
          <w:sz w:val="24"/>
          <w:szCs w:val="24"/>
        </w:rPr>
        <w:t>–</w:t>
      </w:r>
      <w:r w:rsidRPr="0065228D">
        <w:rPr>
          <w:rFonts w:ascii="Times New Roman" w:hAnsi="Times New Roman" w:cs="Times New Roman"/>
          <w:sz w:val="24"/>
          <w:szCs w:val="24"/>
        </w:rPr>
        <w:t>DEX and other asset</w:t>
      </w:r>
      <w:r w:rsidR="007B0E4A">
        <w:rPr>
          <w:rFonts w:ascii="Times New Roman" w:hAnsi="Times New Roman" w:cs="Times New Roman"/>
          <w:sz w:val="24"/>
          <w:szCs w:val="24"/>
        </w:rPr>
        <w:t>–</w:t>
      </w:r>
      <w:r w:rsidRPr="0065228D">
        <w:rPr>
          <w:rFonts w:ascii="Times New Roman" w:hAnsi="Times New Roman" w:cs="Times New Roman"/>
          <w:sz w:val="24"/>
          <w:szCs w:val="24"/>
        </w:rPr>
        <w:t>CEX</w:t>
      </w:r>
    </w:p>
    <w:tbl>
      <w:tblPr>
        <w:tblStyle w:val="TableGrid"/>
        <w:tblW w:w="1391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6"/>
        <w:gridCol w:w="1516"/>
        <w:gridCol w:w="1439"/>
        <w:gridCol w:w="2023"/>
        <w:gridCol w:w="240"/>
        <w:gridCol w:w="1795"/>
        <w:gridCol w:w="1515"/>
        <w:gridCol w:w="1439"/>
        <w:gridCol w:w="2024"/>
      </w:tblGrid>
      <w:tr w:rsidR="003563BF" w:rsidRPr="003563BF" w14:paraId="4ED7474D" w14:textId="77777777" w:rsidTr="00E063A1">
        <w:trPr>
          <w:trHeight w:val="252"/>
        </w:trPr>
        <w:tc>
          <w:tcPr>
            <w:tcW w:w="1926" w:type="dxa"/>
            <w:tcBorders>
              <w:top w:val="single" w:sz="4" w:space="0" w:color="auto"/>
              <w:bottom w:val="single" w:sz="4" w:space="0" w:color="auto"/>
            </w:tcBorders>
            <w:noWrap/>
            <w:hideMark/>
          </w:tcPr>
          <w:p w14:paraId="20DFA401" w14:textId="77777777" w:rsidR="00835A65" w:rsidRPr="003563BF" w:rsidRDefault="00835A65" w:rsidP="00835A65">
            <w:pPr>
              <w:rPr>
                <w:rFonts w:ascii="Times New Roman" w:hAnsi="Times New Roman" w:cs="Times New Roman"/>
              </w:rPr>
            </w:pPr>
          </w:p>
        </w:tc>
        <w:tc>
          <w:tcPr>
            <w:tcW w:w="1516" w:type="dxa"/>
            <w:tcBorders>
              <w:top w:val="single" w:sz="4" w:space="0" w:color="auto"/>
              <w:bottom w:val="single" w:sz="4" w:space="0" w:color="auto"/>
            </w:tcBorders>
            <w:noWrap/>
            <w:hideMark/>
          </w:tcPr>
          <w:p w14:paraId="3EA37110" w14:textId="77777777" w:rsidR="00835A65" w:rsidRPr="003563BF" w:rsidRDefault="00835A65" w:rsidP="00835A65">
            <w:pPr>
              <w:rPr>
                <w:rFonts w:ascii="Times New Roman" w:hAnsi="Times New Roman" w:cs="Times New Roman"/>
                <w:b/>
                <w:bCs/>
              </w:rPr>
            </w:pPr>
            <w:r w:rsidRPr="003563BF">
              <w:rPr>
                <w:rFonts w:ascii="Times New Roman" w:hAnsi="Times New Roman" w:cs="Times New Roman"/>
                <w:b/>
                <w:bCs/>
              </w:rPr>
              <w:t>Optimal weight (</w:t>
            </w:r>
            <m:oMath>
              <m:sSubSup>
                <m:sSubSupPr>
                  <m:ctrlPr>
                    <w:rPr>
                      <w:rFonts w:ascii="Cambria Math" w:hAnsi="Cambria Math" w:cs="Times New Roman"/>
                      <w:b/>
                      <w:bCs/>
                      <w:i/>
                    </w:rPr>
                  </m:ctrlPr>
                </m:sSubSupPr>
                <m:e>
                  <m:r>
                    <m:rPr>
                      <m:sty m:val="bi"/>
                    </m:rPr>
                    <w:rPr>
                      <w:rFonts w:ascii="Cambria Math" w:hAnsi="Cambria Math" w:cs="Times New Roman"/>
                    </w:rPr>
                    <m:t>w</m:t>
                  </m:r>
                </m:e>
                <m:sub>
                  <m:r>
                    <m:rPr>
                      <m:sty m:val="bi"/>
                    </m:rPr>
                    <w:rPr>
                      <w:rFonts w:ascii="Cambria Math" w:hAnsi="Cambria Math" w:cs="Times New Roman"/>
                    </w:rPr>
                    <m:t>t</m:t>
                  </m:r>
                </m:sub>
                <m:sup>
                  <m:r>
                    <m:rPr>
                      <m:sty m:val="bi"/>
                    </m:rPr>
                    <w:rPr>
                      <w:rFonts w:ascii="Cambria Math" w:hAnsi="Cambria Math" w:cs="Times New Roman"/>
                    </w:rPr>
                    <m:t>OD</m:t>
                  </m:r>
                </m:sup>
              </m:sSubSup>
              <m:r>
                <m:rPr>
                  <m:sty m:val="bi"/>
                </m:rPr>
                <w:rPr>
                  <w:rFonts w:ascii="Cambria Math" w:hAnsi="Cambria Math" w:cs="Times New Roman"/>
                </w:rPr>
                <m:t>)</m:t>
              </m:r>
            </m:oMath>
          </w:p>
        </w:tc>
        <w:tc>
          <w:tcPr>
            <w:tcW w:w="1439" w:type="dxa"/>
            <w:tcBorders>
              <w:top w:val="single" w:sz="4" w:space="0" w:color="auto"/>
              <w:bottom w:val="single" w:sz="4" w:space="0" w:color="auto"/>
            </w:tcBorders>
            <w:noWrap/>
            <w:hideMark/>
          </w:tcPr>
          <w:p w14:paraId="1F353D38" w14:textId="77777777" w:rsidR="00835A65" w:rsidRPr="003563BF" w:rsidRDefault="00835A65" w:rsidP="00835A65">
            <w:pPr>
              <w:rPr>
                <w:rFonts w:ascii="Times New Roman" w:hAnsi="Times New Roman" w:cs="Times New Roman"/>
                <w:b/>
                <w:bCs/>
              </w:rPr>
            </w:pPr>
            <w:r w:rsidRPr="003563BF">
              <w:rPr>
                <w:rFonts w:ascii="Times New Roman" w:hAnsi="Times New Roman" w:cs="Times New Roman"/>
                <w:b/>
                <w:bCs/>
              </w:rPr>
              <w:t>Hedge ratio</w:t>
            </w:r>
            <m:oMath>
              <m:r>
                <m:rPr>
                  <m:sty m:val="bi"/>
                </m:rPr>
                <w:rPr>
                  <w:rFonts w:ascii="Cambria Math" w:hAnsi="Cambria Math" w:cs="Times New Roman"/>
                </w:rPr>
                <m:t>(</m:t>
              </m:r>
              <m:sSubSup>
                <m:sSubSupPr>
                  <m:ctrlPr>
                    <w:rPr>
                      <w:rFonts w:ascii="Cambria Math" w:hAnsi="Cambria Math" w:cs="Times New Roman"/>
                      <w:b/>
                      <w:bCs/>
                      <w:i/>
                    </w:rPr>
                  </m:ctrlPr>
                </m:sSubSupPr>
                <m:e>
                  <m:r>
                    <m:rPr>
                      <m:sty m:val="bi"/>
                    </m:rPr>
                    <w:rPr>
                      <w:rFonts w:ascii="Cambria Math" w:hAnsi="Cambria Math" w:cs="Times New Roman"/>
                    </w:rPr>
                    <m:t>β</m:t>
                  </m:r>
                </m:e>
                <m:sub>
                  <m:r>
                    <m:rPr>
                      <m:sty m:val="bi"/>
                    </m:rPr>
                    <w:rPr>
                      <w:rFonts w:ascii="Cambria Math" w:hAnsi="Cambria Math" w:cs="Times New Roman"/>
                    </w:rPr>
                    <m:t>t</m:t>
                  </m:r>
                </m:sub>
                <m:sup>
                  <m:r>
                    <m:rPr>
                      <m:sty m:val="bi"/>
                    </m:rPr>
                    <w:rPr>
                      <w:rFonts w:ascii="Cambria Math" w:hAnsi="Cambria Math" w:cs="Times New Roman"/>
                    </w:rPr>
                    <m:t>OD</m:t>
                  </m:r>
                </m:sup>
              </m:sSubSup>
              <m:r>
                <m:rPr>
                  <m:sty m:val="bi"/>
                </m:rPr>
                <w:rPr>
                  <w:rFonts w:ascii="Cambria Math" w:hAnsi="Cambria Math" w:cs="Times New Roman"/>
                </w:rPr>
                <m:t>)</m:t>
              </m:r>
            </m:oMath>
          </w:p>
        </w:tc>
        <w:tc>
          <w:tcPr>
            <w:tcW w:w="2022" w:type="dxa"/>
            <w:tcBorders>
              <w:top w:val="single" w:sz="4" w:space="0" w:color="auto"/>
              <w:bottom w:val="single" w:sz="4" w:space="0" w:color="auto"/>
            </w:tcBorders>
            <w:noWrap/>
            <w:hideMark/>
          </w:tcPr>
          <w:p w14:paraId="587A4EFB" w14:textId="77777777" w:rsidR="00835A65" w:rsidRPr="003563BF" w:rsidRDefault="00835A65" w:rsidP="00835A65">
            <w:pPr>
              <w:rPr>
                <w:rFonts w:ascii="Times New Roman" w:hAnsi="Times New Roman" w:cs="Times New Roman"/>
                <w:b/>
                <w:bCs/>
              </w:rPr>
            </w:pPr>
            <w:bookmarkStart w:id="44" w:name="_Hlk122262202"/>
            <w:r w:rsidRPr="003563BF">
              <w:rPr>
                <w:rFonts w:ascii="Times New Roman" w:hAnsi="Times New Roman" w:cs="Times New Roman"/>
                <w:b/>
                <w:bCs/>
              </w:rPr>
              <w:t xml:space="preserve">Hedging effectiveness </w:t>
            </w:r>
            <w:bookmarkEnd w:id="44"/>
            <w:r w:rsidRPr="003563BF">
              <w:rPr>
                <w:rFonts w:ascii="Times New Roman" w:hAnsi="Times New Roman" w:cs="Times New Roman"/>
                <w:b/>
                <w:bCs/>
              </w:rPr>
              <w:t>(HE)</w:t>
            </w:r>
          </w:p>
        </w:tc>
        <w:tc>
          <w:tcPr>
            <w:tcW w:w="240" w:type="dxa"/>
            <w:tcBorders>
              <w:top w:val="single" w:sz="4" w:space="0" w:color="auto"/>
              <w:bottom w:val="nil"/>
            </w:tcBorders>
            <w:noWrap/>
            <w:hideMark/>
          </w:tcPr>
          <w:p w14:paraId="6734D184" w14:textId="77777777" w:rsidR="00835A65" w:rsidRPr="003563BF" w:rsidRDefault="00835A65" w:rsidP="00835A65">
            <w:pPr>
              <w:rPr>
                <w:rFonts w:ascii="Times New Roman" w:hAnsi="Times New Roman" w:cs="Times New Roman"/>
                <w:b/>
                <w:bCs/>
              </w:rPr>
            </w:pPr>
          </w:p>
        </w:tc>
        <w:tc>
          <w:tcPr>
            <w:tcW w:w="1795" w:type="dxa"/>
            <w:tcBorders>
              <w:top w:val="single" w:sz="4" w:space="0" w:color="auto"/>
              <w:bottom w:val="single" w:sz="4" w:space="0" w:color="auto"/>
            </w:tcBorders>
            <w:noWrap/>
            <w:hideMark/>
          </w:tcPr>
          <w:p w14:paraId="7056A917" w14:textId="77777777" w:rsidR="00835A65" w:rsidRPr="003563BF" w:rsidRDefault="00835A65" w:rsidP="00835A65">
            <w:pPr>
              <w:rPr>
                <w:rFonts w:ascii="Times New Roman" w:hAnsi="Times New Roman" w:cs="Times New Roman"/>
                <w:b/>
                <w:bCs/>
              </w:rPr>
            </w:pPr>
          </w:p>
        </w:tc>
        <w:tc>
          <w:tcPr>
            <w:tcW w:w="1515" w:type="dxa"/>
            <w:tcBorders>
              <w:top w:val="single" w:sz="4" w:space="0" w:color="auto"/>
              <w:bottom w:val="single" w:sz="4" w:space="0" w:color="auto"/>
            </w:tcBorders>
            <w:noWrap/>
            <w:hideMark/>
          </w:tcPr>
          <w:p w14:paraId="47A1C606" w14:textId="77777777" w:rsidR="00835A65" w:rsidRPr="003563BF" w:rsidRDefault="00835A65" w:rsidP="00835A65">
            <w:pPr>
              <w:rPr>
                <w:rFonts w:ascii="Times New Roman" w:hAnsi="Times New Roman" w:cs="Times New Roman"/>
                <w:b/>
                <w:bCs/>
              </w:rPr>
            </w:pPr>
            <w:r w:rsidRPr="003563BF">
              <w:rPr>
                <w:rFonts w:ascii="Times New Roman" w:hAnsi="Times New Roman" w:cs="Times New Roman"/>
                <w:b/>
                <w:bCs/>
              </w:rPr>
              <w:t xml:space="preserve">Optimal weight </w:t>
            </w:r>
            <m:oMath>
              <m:sSubSup>
                <m:sSubSupPr>
                  <m:ctrlPr>
                    <w:rPr>
                      <w:rFonts w:ascii="Cambria Math" w:hAnsi="Cambria Math" w:cs="Times New Roman"/>
                      <w:b/>
                      <w:bCs/>
                      <w:i/>
                    </w:rPr>
                  </m:ctrlPr>
                </m:sSubSupPr>
                <m:e>
                  <m:r>
                    <m:rPr>
                      <m:sty m:val="bi"/>
                    </m:rPr>
                    <w:rPr>
                      <w:rFonts w:ascii="Cambria Math" w:hAnsi="Cambria Math" w:cs="Times New Roman"/>
                    </w:rPr>
                    <m:t>w</m:t>
                  </m:r>
                </m:e>
                <m:sub>
                  <m:r>
                    <m:rPr>
                      <m:sty m:val="bi"/>
                    </m:rPr>
                    <w:rPr>
                      <w:rFonts w:ascii="Cambria Math" w:hAnsi="Cambria Math" w:cs="Times New Roman"/>
                    </w:rPr>
                    <m:t>t</m:t>
                  </m:r>
                </m:sub>
                <m:sup>
                  <m:r>
                    <m:rPr>
                      <m:sty m:val="bi"/>
                    </m:rPr>
                    <w:rPr>
                      <w:rFonts w:ascii="Cambria Math" w:hAnsi="Cambria Math" w:cs="Times New Roman"/>
                    </w:rPr>
                    <m:t>OC</m:t>
                  </m:r>
                </m:sup>
              </m:sSubSup>
            </m:oMath>
          </w:p>
        </w:tc>
        <w:tc>
          <w:tcPr>
            <w:tcW w:w="1439" w:type="dxa"/>
            <w:tcBorders>
              <w:top w:val="single" w:sz="4" w:space="0" w:color="auto"/>
              <w:bottom w:val="single" w:sz="4" w:space="0" w:color="auto"/>
            </w:tcBorders>
            <w:noWrap/>
            <w:hideMark/>
          </w:tcPr>
          <w:p w14:paraId="2436B8F6" w14:textId="77777777" w:rsidR="00835A65" w:rsidRPr="003563BF" w:rsidRDefault="00835A65" w:rsidP="00835A65">
            <w:pPr>
              <w:rPr>
                <w:rFonts w:ascii="Times New Roman" w:hAnsi="Times New Roman" w:cs="Times New Roman"/>
                <w:b/>
                <w:bCs/>
              </w:rPr>
            </w:pPr>
            <w:r w:rsidRPr="003563BF">
              <w:rPr>
                <w:rFonts w:ascii="Times New Roman" w:hAnsi="Times New Roman" w:cs="Times New Roman"/>
                <w:b/>
                <w:bCs/>
              </w:rPr>
              <w:t>Hedge</w:t>
            </w:r>
          </w:p>
          <w:p w14:paraId="6262749B" w14:textId="77777777" w:rsidR="00835A65" w:rsidRPr="003563BF" w:rsidRDefault="00835A65" w:rsidP="00835A65">
            <w:pPr>
              <w:rPr>
                <w:rFonts w:ascii="Times New Roman" w:hAnsi="Times New Roman" w:cs="Times New Roman"/>
                <w:b/>
                <w:bCs/>
              </w:rPr>
            </w:pPr>
            <w:r w:rsidRPr="003563BF">
              <w:rPr>
                <w:rFonts w:ascii="Times New Roman" w:hAnsi="Times New Roman" w:cs="Times New Roman"/>
                <w:b/>
                <w:bCs/>
              </w:rPr>
              <w:t xml:space="preserve">ratio </w:t>
            </w:r>
            <m:oMath>
              <m:r>
                <m:rPr>
                  <m:sty m:val="bi"/>
                </m:rPr>
                <w:rPr>
                  <w:rFonts w:ascii="Cambria Math" w:hAnsi="Cambria Math" w:cs="Times New Roman"/>
                </w:rPr>
                <m:t>(</m:t>
              </m:r>
              <m:sSubSup>
                <m:sSubSupPr>
                  <m:ctrlPr>
                    <w:rPr>
                      <w:rFonts w:ascii="Cambria Math" w:hAnsi="Cambria Math" w:cs="Times New Roman"/>
                      <w:b/>
                      <w:bCs/>
                      <w:i/>
                    </w:rPr>
                  </m:ctrlPr>
                </m:sSubSupPr>
                <m:e>
                  <m:r>
                    <m:rPr>
                      <m:sty m:val="bi"/>
                    </m:rPr>
                    <w:rPr>
                      <w:rFonts w:ascii="Cambria Math" w:hAnsi="Cambria Math" w:cs="Times New Roman"/>
                    </w:rPr>
                    <m:t>β</m:t>
                  </m:r>
                </m:e>
                <m:sub>
                  <m:r>
                    <m:rPr>
                      <m:sty m:val="bi"/>
                    </m:rPr>
                    <w:rPr>
                      <w:rFonts w:ascii="Cambria Math" w:hAnsi="Cambria Math" w:cs="Times New Roman"/>
                    </w:rPr>
                    <m:t>t</m:t>
                  </m:r>
                </m:sub>
                <m:sup>
                  <m:r>
                    <m:rPr>
                      <m:sty m:val="bi"/>
                    </m:rPr>
                    <w:rPr>
                      <w:rFonts w:ascii="Cambria Math" w:hAnsi="Cambria Math" w:cs="Times New Roman"/>
                    </w:rPr>
                    <m:t>OC</m:t>
                  </m:r>
                </m:sup>
              </m:sSubSup>
              <m:r>
                <m:rPr>
                  <m:sty m:val="bi"/>
                </m:rPr>
                <w:rPr>
                  <w:rFonts w:ascii="Cambria Math" w:hAnsi="Cambria Math" w:cs="Times New Roman"/>
                </w:rPr>
                <m:t>)</m:t>
              </m:r>
            </m:oMath>
          </w:p>
        </w:tc>
        <w:tc>
          <w:tcPr>
            <w:tcW w:w="2022" w:type="dxa"/>
            <w:tcBorders>
              <w:top w:val="single" w:sz="4" w:space="0" w:color="auto"/>
              <w:bottom w:val="single" w:sz="4" w:space="0" w:color="auto"/>
            </w:tcBorders>
            <w:noWrap/>
            <w:hideMark/>
          </w:tcPr>
          <w:p w14:paraId="762043D5" w14:textId="77777777" w:rsidR="00835A65" w:rsidRPr="003563BF" w:rsidRDefault="00835A65" w:rsidP="00835A65">
            <w:pPr>
              <w:rPr>
                <w:rFonts w:ascii="Times New Roman" w:hAnsi="Times New Roman" w:cs="Times New Roman"/>
                <w:b/>
                <w:bCs/>
              </w:rPr>
            </w:pPr>
            <w:r w:rsidRPr="003563BF">
              <w:rPr>
                <w:rFonts w:ascii="Times New Roman" w:hAnsi="Times New Roman" w:cs="Times New Roman"/>
                <w:b/>
                <w:bCs/>
              </w:rPr>
              <w:t>Hedging effectiveness (HE)</w:t>
            </w:r>
          </w:p>
        </w:tc>
      </w:tr>
      <w:tr w:rsidR="003563BF" w:rsidRPr="003563BF" w14:paraId="57293DFE" w14:textId="77777777" w:rsidTr="00E063A1">
        <w:trPr>
          <w:trHeight w:val="252"/>
        </w:trPr>
        <w:tc>
          <w:tcPr>
            <w:tcW w:w="6904" w:type="dxa"/>
            <w:gridSpan w:val="4"/>
            <w:tcBorders>
              <w:top w:val="single" w:sz="4" w:space="0" w:color="auto"/>
            </w:tcBorders>
            <w:noWrap/>
          </w:tcPr>
          <w:p w14:paraId="33D737CE" w14:textId="77777777" w:rsidR="00835A65" w:rsidRPr="003563BF" w:rsidRDefault="00835A65" w:rsidP="00835A65">
            <w:pPr>
              <w:rPr>
                <w:rFonts w:ascii="Times New Roman" w:hAnsi="Times New Roman" w:cs="Times New Roman"/>
              </w:rPr>
            </w:pPr>
          </w:p>
        </w:tc>
        <w:tc>
          <w:tcPr>
            <w:tcW w:w="240" w:type="dxa"/>
            <w:tcBorders>
              <w:top w:val="nil"/>
            </w:tcBorders>
            <w:noWrap/>
          </w:tcPr>
          <w:p w14:paraId="6284A3B7" w14:textId="77777777" w:rsidR="00835A65" w:rsidRPr="003563BF" w:rsidRDefault="00835A65" w:rsidP="00835A65">
            <w:pPr>
              <w:rPr>
                <w:rFonts w:ascii="Times New Roman" w:hAnsi="Times New Roman" w:cs="Times New Roman"/>
              </w:rPr>
            </w:pPr>
          </w:p>
        </w:tc>
        <w:tc>
          <w:tcPr>
            <w:tcW w:w="6773" w:type="dxa"/>
            <w:gridSpan w:val="4"/>
            <w:tcBorders>
              <w:top w:val="single" w:sz="4" w:space="0" w:color="auto"/>
            </w:tcBorders>
            <w:noWrap/>
          </w:tcPr>
          <w:p w14:paraId="15898112" w14:textId="77777777" w:rsidR="00835A65" w:rsidRPr="003563BF" w:rsidRDefault="00835A65" w:rsidP="00835A65">
            <w:pPr>
              <w:rPr>
                <w:rFonts w:ascii="Times New Roman" w:hAnsi="Times New Roman" w:cs="Times New Roman"/>
              </w:rPr>
            </w:pPr>
          </w:p>
        </w:tc>
      </w:tr>
      <w:tr w:rsidR="003563BF" w:rsidRPr="003563BF" w14:paraId="69624350" w14:textId="77777777" w:rsidTr="00E063A1">
        <w:trPr>
          <w:trHeight w:val="252"/>
        </w:trPr>
        <w:tc>
          <w:tcPr>
            <w:tcW w:w="6904" w:type="dxa"/>
            <w:gridSpan w:val="4"/>
            <w:noWrap/>
          </w:tcPr>
          <w:p w14:paraId="643C2ACA" w14:textId="05EEBF3D" w:rsidR="00835A65" w:rsidRPr="003563BF" w:rsidRDefault="00835A65" w:rsidP="00835A65">
            <w:pPr>
              <w:rPr>
                <w:rFonts w:ascii="Times New Roman" w:hAnsi="Times New Roman" w:cs="Times New Roman"/>
                <w:b/>
                <w:bCs/>
              </w:rPr>
            </w:pPr>
            <w:r w:rsidRPr="003563BF">
              <w:rPr>
                <w:rFonts w:ascii="Times New Roman" w:hAnsi="Times New Roman" w:cs="Times New Roman"/>
                <w:b/>
                <w:bCs/>
              </w:rPr>
              <w:t xml:space="preserve">Panel A. </w:t>
            </w:r>
            <w:proofErr w:type="gramStart"/>
            <w:r w:rsidRPr="003563BF">
              <w:rPr>
                <w:rFonts w:ascii="Times New Roman" w:hAnsi="Times New Roman" w:cs="Times New Roman"/>
              </w:rPr>
              <w:t>Other</w:t>
            </w:r>
            <w:proofErr w:type="gramEnd"/>
            <w:r w:rsidRPr="003563BF">
              <w:rPr>
                <w:rFonts w:ascii="Times New Roman" w:hAnsi="Times New Roman" w:cs="Times New Roman"/>
              </w:rPr>
              <w:t xml:space="preserve"> asset</w:t>
            </w:r>
            <w:r w:rsidR="006B43E8">
              <w:rPr>
                <w:rFonts w:ascii="Times New Roman" w:hAnsi="Times New Roman" w:cs="Times New Roman"/>
              </w:rPr>
              <w:t>–</w:t>
            </w:r>
            <w:r w:rsidRPr="003563BF">
              <w:rPr>
                <w:rFonts w:ascii="Times New Roman" w:hAnsi="Times New Roman" w:cs="Times New Roman"/>
              </w:rPr>
              <w:t>RUNE</w:t>
            </w:r>
            <w:r w:rsidRPr="003563BF">
              <w:rPr>
                <w:rFonts w:ascii="Times New Roman" w:hAnsi="Times New Roman" w:cs="Times New Roman"/>
                <w:b/>
                <w:bCs/>
              </w:rPr>
              <w:t xml:space="preserve"> </w:t>
            </w:r>
          </w:p>
        </w:tc>
        <w:tc>
          <w:tcPr>
            <w:tcW w:w="240" w:type="dxa"/>
            <w:noWrap/>
          </w:tcPr>
          <w:p w14:paraId="73426856" w14:textId="77777777" w:rsidR="00835A65" w:rsidRPr="003563BF" w:rsidRDefault="00835A65" w:rsidP="00835A65">
            <w:pPr>
              <w:rPr>
                <w:rFonts w:ascii="Times New Roman" w:hAnsi="Times New Roman" w:cs="Times New Roman"/>
              </w:rPr>
            </w:pPr>
          </w:p>
        </w:tc>
        <w:tc>
          <w:tcPr>
            <w:tcW w:w="6773" w:type="dxa"/>
            <w:gridSpan w:val="4"/>
            <w:noWrap/>
          </w:tcPr>
          <w:p w14:paraId="55A9AD18" w14:textId="216B9677" w:rsidR="00835A65" w:rsidRPr="003563BF" w:rsidRDefault="00835A65" w:rsidP="00835A65">
            <w:pPr>
              <w:rPr>
                <w:rFonts w:ascii="Times New Roman" w:hAnsi="Times New Roman" w:cs="Times New Roman"/>
                <w:b/>
                <w:bCs/>
              </w:rPr>
            </w:pPr>
            <w:r w:rsidRPr="003563BF">
              <w:rPr>
                <w:rFonts w:ascii="Times New Roman" w:hAnsi="Times New Roman" w:cs="Times New Roman"/>
                <w:b/>
                <w:bCs/>
              </w:rPr>
              <w:t xml:space="preserve">Panel D. </w:t>
            </w:r>
            <w:proofErr w:type="gramStart"/>
            <w:r w:rsidRPr="003563BF">
              <w:rPr>
                <w:rFonts w:ascii="Times New Roman" w:hAnsi="Times New Roman" w:cs="Times New Roman"/>
              </w:rPr>
              <w:t>Other</w:t>
            </w:r>
            <w:proofErr w:type="gramEnd"/>
            <w:r w:rsidRPr="003563BF">
              <w:rPr>
                <w:rFonts w:ascii="Times New Roman" w:hAnsi="Times New Roman" w:cs="Times New Roman"/>
              </w:rPr>
              <w:t xml:space="preserve"> asset</w:t>
            </w:r>
            <w:r w:rsidR="00233DAE">
              <w:rPr>
                <w:rFonts w:ascii="Times New Roman" w:hAnsi="Times New Roman" w:cs="Times New Roman"/>
              </w:rPr>
              <w:t>–</w:t>
            </w:r>
            <w:r w:rsidRPr="003563BF">
              <w:rPr>
                <w:rFonts w:ascii="Times New Roman" w:hAnsi="Times New Roman" w:cs="Times New Roman"/>
              </w:rPr>
              <w:t>BNB</w:t>
            </w:r>
          </w:p>
        </w:tc>
      </w:tr>
      <w:tr w:rsidR="003563BF" w:rsidRPr="003563BF" w14:paraId="74EAE2A0" w14:textId="77777777" w:rsidTr="00E063A1">
        <w:trPr>
          <w:trHeight w:val="252"/>
        </w:trPr>
        <w:tc>
          <w:tcPr>
            <w:tcW w:w="1926" w:type="dxa"/>
            <w:noWrap/>
            <w:hideMark/>
          </w:tcPr>
          <w:p w14:paraId="79BD4CD8" w14:textId="77777777" w:rsidR="00835A65" w:rsidRPr="003563BF" w:rsidRDefault="00835A65" w:rsidP="00835A65">
            <w:pPr>
              <w:rPr>
                <w:rFonts w:ascii="Times New Roman" w:hAnsi="Times New Roman" w:cs="Times New Roman"/>
              </w:rPr>
            </w:pPr>
            <w:bookmarkStart w:id="45" w:name="_Hlk122260365"/>
            <w:bookmarkStart w:id="46" w:name="_Hlk122162121"/>
            <w:r w:rsidRPr="003563BF">
              <w:rPr>
                <w:rFonts w:ascii="Times New Roman" w:hAnsi="Times New Roman" w:cs="Times New Roman"/>
              </w:rPr>
              <w:t>Gold/RUNE</w:t>
            </w:r>
            <w:bookmarkEnd w:id="45"/>
          </w:p>
        </w:tc>
        <w:tc>
          <w:tcPr>
            <w:tcW w:w="1516" w:type="dxa"/>
            <w:noWrap/>
            <w:hideMark/>
          </w:tcPr>
          <w:p w14:paraId="6E39F32D"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1.00</w:t>
            </w:r>
          </w:p>
        </w:tc>
        <w:tc>
          <w:tcPr>
            <w:tcW w:w="1439" w:type="dxa"/>
            <w:noWrap/>
            <w:hideMark/>
          </w:tcPr>
          <w:p w14:paraId="4032F72A"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0.01</w:t>
            </w:r>
          </w:p>
        </w:tc>
        <w:tc>
          <w:tcPr>
            <w:tcW w:w="2022" w:type="dxa"/>
            <w:noWrap/>
            <w:hideMark/>
          </w:tcPr>
          <w:p w14:paraId="7E40DCCC"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0.00</w:t>
            </w:r>
          </w:p>
        </w:tc>
        <w:tc>
          <w:tcPr>
            <w:tcW w:w="240" w:type="dxa"/>
            <w:noWrap/>
            <w:hideMark/>
          </w:tcPr>
          <w:p w14:paraId="19637672" w14:textId="77777777" w:rsidR="00835A65" w:rsidRPr="003563BF" w:rsidRDefault="00835A65" w:rsidP="00835A65">
            <w:pPr>
              <w:rPr>
                <w:rFonts w:ascii="Times New Roman" w:hAnsi="Times New Roman" w:cs="Times New Roman"/>
              </w:rPr>
            </w:pPr>
          </w:p>
        </w:tc>
        <w:tc>
          <w:tcPr>
            <w:tcW w:w="1795" w:type="dxa"/>
            <w:noWrap/>
            <w:hideMark/>
          </w:tcPr>
          <w:p w14:paraId="17C3C277" w14:textId="77777777" w:rsidR="00835A65" w:rsidRPr="003563BF" w:rsidRDefault="00835A65" w:rsidP="00835A65">
            <w:pPr>
              <w:rPr>
                <w:rFonts w:ascii="Times New Roman" w:hAnsi="Times New Roman" w:cs="Times New Roman"/>
              </w:rPr>
            </w:pPr>
            <w:bookmarkStart w:id="47" w:name="_Hlk122263368"/>
            <w:r w:rsidRPr="003563BF">
              <w:rPr>
                <w:rFonts w:ascii="Times New Roman" w:hAnsi="Times New Roman" w:cs="Times New Roman"/>
              </w:rPr>
              <w:t>Gold/BNB</w:t>
            </w:r>
            <w:bookmarkEnd w:id="47"/>
          </w:p>
        </w:tc>
        <w:tc>
          <w:tcPr>
            <w:tcW w:w="1515" w:type="dxa"/>
            <w:noWrap/>
            <w:hideMark/>
          </w:tcPr>
          <w:p w14:paraId="4C081AE8"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0.98</w:t>
            </w:r>
          </w:p>
        </w:tc>
        <w:tc>
          <w:tcPr>
            <w:tcW w:w="1439" w:type="dxa"/>
            <w:noWrap/>
            <w:hideMark/>
          </w:tcPr>
          <w:p w14:paraId="6DFD21A7"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0.02</w:t>
            </w:r>
          </w:p>
        </w:tc>
        <w:tc>
          <w:tcPr>
            <w:tcW w:w="2022" w:type="dxa"/>
            <w:noWrap/>
            <w:hideMark/>
          </w:tcPr>
          <w:p w14:paraId="2300E8AC"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0.01</w:t>
            </w:r>
          </w:p>
        </w:tc>
      </w:tr>
      <w:tr w:rsidR="003563BF" w:rsidRPr="003563BF" w14:paraId="70F74173" w14:textId="77777777" w:rsidTr="00E063A1">
        <w:trPr>
          <w:trHeight w:val="252"/>
        </w:trPr>
        <w:tc>
          <w:tcPr>
            <w:tcW w:w="1926" w:type="dxa"/>
            <w:noWrap/>
            <w:hideMark/>
          </w:tcPr>
          <w:p w14:paraId="720513A6" w14:textId="2CB5EC32" w:rsidR="00835A65" w:rsidRPr="003563BF" w:rsidRDefault="00037A5A" w:rsidP="00835A65">
            <w:pPr>
              <w:rPr>
                <w:rFonts w:ascii="Times New Roman" w:hAnsi="Times New Roman" w:cs="Times New Roman"/>
              </w:rPr>
            </w:pPr>
            <w:bookmarkStart w:id="48" w:name="_Hlk122262675"/>
            <w:r w:rsidRPr="003563BF">
              <w:rPr>
                <w:rFonts w:ascii="Times New Roman" w:hAnsi="Times New Roman" w:cs="Times New Roman"/>
              </w:rPr>
              <w:t>Oil</w:t>
            </w:r>
            <w:r w:rsidR="00835A65" w:rsidRPr="003563BF">
              <w:rPr>
                <w:rFonts w:ascii="Times New Roman" w:hAnsi="Times New Roman" w:cs="Times New Roman"/>
              </w:rPr>
              <w:t>/RUNE</w:t>
            </w:r>
            <w:bookmarkEnd w:id="48"/>
          </w:p>
        </w:tc>
        <w:tc>
          <w:tcPr>
            <w:tcW w:w="1516" w:type="dxa"/>
            <w:noWrap/>
            <w:hideMark/>
          </w:tcPr>
          <w:p w14:paraId="47CFCD80"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0.86</w:t>
            </w:r>
          </w:p>
        </w:tc>
        <w:tc>
          <w:tcPr>
            <w:tcW w:w="1439" w:type="dxa"/>
            <w:noWrap/>
            <w:hideMark/>
          </w:tcPr>
          <w:p w14:paraId="0A0B8DA2"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0.06</w:t>
            </w:r>
          </w:p>
        </w:tc>
        <w:tc>
          <w:tcPr>
            <w:tcW w:w="2022" w:type="dxa"/>
            <w:noWrap/>
            <w:hideMark/>
          </w:tcPr>
          <w:p w14:paraId="78452311"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0.78</w:t>
            </w:r>
          </w:p>
        </w:tc>
        <w:tc>
          <w:tcPr>
            <w:tcW w:w="240" w:type="dxa"/>
            <w:noWrap/>
            <w:hideMark/>
          </w:tcPr>
          <w:p w14:paraId="0F5F2B41" w14:textId="77777777" w:rsidR="00835A65" w:rsidRPr="003563BF" w:rsidRDefault="00835A65" w:rsidP="00835A65">
            <w:pPr>
              <w:rPr>
                <w:rFonts w:ascii="Times New Roman" w:hAnsi="Times New Roman" w:cs="Times New Roman"/>
              </w:rPr>
            </w:pPr>
          </w:p>
        </w:tc>
        <w:tc>
          <w:tcPr>
            <w:tcW w:w="1795" w:type="dxa"/>
            <w:noWrap/>
            <w:hideMark/>
          </w:tcPr>
          <w:p w14:paraId="510B1BA1" w14:textId="70C1E801" w:rsidR="00835A65" w:rsidRPr="003563BF" w:rsidRDefault="00037A5A" w:rsidP="00835A65">
            <w:pPr>
              <w:rPr>
                <w:rFonts w:ascii="Times New Roman" w:hAnsi="Times New Roman" w:cs="Times New Roman"/>
              </w:rPr>
            </w:pPr>
            <w:r w:rsidRPr="003563BF">
              <w:rPr>
                <w:rFonts w:ascii="Times New Roman" w:hAnsi="Times New Roman" w:cs="Times New Roman"/>
              </w:rPr>
              <w:t>Oil</w:t>
            </w:r>
            <w:r w:rsidR="00835A65" w:rsidRPr="003563BF">
              <w:rPr>
                <w:rFonts w:ascii="Times New Roman" w:hAnsi="Times New Roman" w:cs="Times New Roman"/>
              </w:rPr>
              <w:t>/BNB</w:t>
            </w:r>
          </w:p>
        </w:tc>
        <w:tc>
          <w:tcPr>
            <w:tcW w:w="1515" w:type="dxa"/>
            <w:noWrap/>
            <w:hideMark/>
          </w:tcPr>
          <w:p w14:paraId="322FC01D"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0.72</w:t>
            </w:r>
          </w:p>
        </w:tc>
        <w:tc>
          <w:tcPr>
            <w:tcW w:w="1439" w:type="dxa"/>
            <w:noWrap/>
            <w:hideMark/>
          </w:tcPr>
          <w:p w14:paraId="6CE9DD18"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0.13</w:t>
            </w:r>
          </w:p>
        </w:tc>
        <w:tc>
          <w:tcPr>
            <w:tcW w:w="2022" w:type="dxa"/>
            <w:noWrap/>
            <w:hideMark/>
          </w:tcPr>
          <w:p w14:paraId="62D3C346"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0.92</w:t>
            </w:r>
          </w:p>
        </w:tc>
      </w:tr>
      <w:tr w:rsidR="003563BF" w:rsidRPr="003563BF" w14:paraId="02FB914F" w14:textId="77777777" w:rsidTr="00E063A1">
        <w:trPr>
          <w:trHeight w:val="252"/>
        </w:trPr>
        <w:tc>
          <w:tcPr>
            <w:tcW w:w="1926" w:type="dxa"/>
            <w:noWrap/>
            <w:hideMark/>
          </w:tcPr>
          <w:p w14:paraId="5896BDA1"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BTC/RUNE</w:t>
            </w:r>
          </w:p>
        </w:tc>
        <w:tc>
          <w:tcPr>
            <w:tcW w:w="1516" w:type="dxa"/>
            <w:noWrap/>
            <w:hideMark/>
          </w:tcPr>
          <w:p w14:paraId="29F5B636"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0.98</w:t>
            </w:r>
          </w:p>
        </w:tc>
        <w:tc>
          <w:tcPr>
            <w:tcW w:w="1439" w:type="dxa"/>
            <w:noWrap/>
            <w:hideMark/>
          </w:tcPr>
          <w:p w14:paraId="525BFE99"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0.17</w:t>
            </w:r>
          </w:p>
        </w:tc>
        <w:tc>
          <w:tcPr>
            <w:tcW w:w="2022" w:type="dxa"/>
            <w:noWrap/>
            <w:hideMark/>
          </w:tcPr>
          <w:p w14:paraId="2E430A47"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-0.04</w:t>
            </w:r>
          </w:p>
        </w:tc>
        <w:tc>
          <w:tcPr>
            <w:tcW w:w="240" w:type="dxa"/>
            <w:noWrap/>
            <w:hideMark/>
          </w:tcPr>
          <w:p w14:paraId="5CEDFF56" w14:textId="77777777" w:rsidR="00835A65" w:rsidRPr="003563BF" w:rsidRDefault="00835A65" w:rsidP="00835A65">
            <w:pPr>
              <w:rPr>
                <w:rFonts w:ascii="Times New Roman" w:hAnsi="Times New Roman" w:cs="Times New Roman"/>
              </w:rPr>
            </w:pPr>
          </w:p>
        </w:tc>
        <w:tc>
          <w:tcPr>
            <w:tcW w:w="1795" w:type="dxa"/>
            <w:noWrap/>
            <w:hideMark/>
          </w:tcPr>
          <w:p w14:paraId="31697344"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BTC/BNB</w:t>
            </w:r>
          </w:p>
        </w:tc>
        <w:tc>
          <w:tcPr>
            <w:tcW w:w="1515" w:type="dxa"/>
            <w:noWrap/>
            <w:hideMark/>
          </w:tcPr>
          <w:p w14:paraId="3577B632"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0.76</w:t>
            </w:r>
          </w:p>
        </w:tc>
        <w:tc>
          <w:tcPr>
            <w:tcW w:w="1439" w:type="dxa"/>
            <w:noWrap/>
            <w:hideMark/>
          </w:tcPr>
          <w:p w14:paraId="4C95625F"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0.56</w:t>
            </w:r>
          </w:p>
        </w:tc>
        <w:tc>
          <w:tcPr>
            <w:tcW w:w="2022" w:type="dxa"/>
            <w:noWrap/>
            <w:hideMark/>
          </w:tcPr>
          <w:p w14:paraId="19EBB7EC"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0.02</w:t>
            </w:r>
          </w:p>
        </w:tc>
      </w:tr>
      <w:tr w:rsidR="003563BF" w:rsidRPr="003563BF" w14:paraId="3BDD551F" w14:textId="77777777" w:rsidTr="00E063A1">
        <w:trPr>
          <w:trHeight w:val="252"/>
        </w:trPr>
        <w:tc>
          <w:tcPr>
            <w:tcW w:w="1926" w:type="dxa"/>
            <w:noWrap/>
            <w:hideMark/>
          </w:tcPr>
          <w:p w14:paraId="08023C80"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REIT/RUNE</w:t>
            </w:r>
          </w:p>
        </w:tc>
        <w:tc>
          <w:tcPr>
            <w:tcW w:w="1516" w:type="dxa"/>
            <w:noWrap/>
            <w:hideMark/>
          </w:tcPr>
          <w:p w14:paraId="58D7A1D7"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0.99</w:t>
            </w:r>
          </w:p>
        </w:tc>
        <w:tc>
          <w:tcPr>
            <w:tcW w:w="1439" w:type="dxa"/>
            <w:noWrap/>
            <w:hideMark/>
          </w:tcPr>
          <w:p w14:paraId="63688D6F"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0.02</w:t>
            </w:r>
          </w:p>
        </w:tc>
        <w:tc>
          <w:tcPr>
            <w:tcW w:w="2022" w:type="dxa"/>
            <w:noWrap/>
            <w:hideMark/>
          </w:tcPr>
          <w:p w14:paraId="3D06D229"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-0.05</w:t>
            </w:r>
          </w:p>
        </w:tc>
        <w:tc>
          <w:tcPr>
            <w:tcW w:w="240" w:type="dxa"/>
            <w:noWrap/>
            <w:hideMark/>
          </w:tcPr>
          <w:p w14:paraId="49B94BE1" w14:textId="77777777" w:rsidR="00835A65" w:rsidRPr="003563BF" w:rsidRDefault="00835A65" w:rsidP="00835A65">
            <w:pPr>
              <w:rPr>
                <w:rFonts w:ascii="Times New Roman" w:hAnsi="Times New Roman" w:cs="Times New Roman"/>
              </w:rPr>
            </w:pPr>
          </w:p>
        </w:tc>
        <w:tc>
          <w:tcPr>
            <w:tcW w:w="1795" w:type="dxa"/>
            <w:noWrap/>
            <w:hideMark/>
          </w:tcPr>
          <w:p w14:paraId="64A0E089"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REIT/BNB</w:t>
            </w:r>
          </w:p>
        </w:tc>
        <w:tc>
          <w:tcPr>
            <w:tcW w:w="1515" w:type="dxa"/>
            <w:noWrap/>
            <w:hideMark/>
          </w:tcPr>
          <w:p w14:paraId="0AD2D3E5"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0.97</w:t>
            </w:r>
          </w:p>
        </w:tc>
        <w:tc>
          <w:tcPr>
            <w:tcW w:w="1439" w:type="dxa"/>
            <w:noWrap/>
            <w:hideMark/>
          </w:tcPr>
          <w:p w14:paraId="5517AFCA"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0.06</w:t>
            </w:r>
          </w:p>
        </w:tc>
        <w:tc>
          <w:tcPr>
            <w:tcW w:w="2022" w:type="dxa"/>
            <w:noWrap/>
            <w:hideMark/>
          </w:tcPr>
          <w:p w14:paraId="08BFA9AF"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-0.02</w:t>
            </w:r>
          </w:p>
        </w:tc>
      </w:tr>
      <w:tr w:rsidR="003563BF" w:rsidRPr="003563BF" w14:paraId="4FD62AD3" w14:textId="77777777" w:rsidTr="00E063A1">
        <w:trPr>
          <w:trHeight w:val="252"/>
        </w:trPr>
        <w:tc>
          <w:tcPr>
            <w:tcW w:w="1926" w:type="dxa"/>
            <w:noWrap/>
            <w:hideMark/>
          </w:tcPr>
          <w:p w14:paraId="35176918"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Equity/RUNE</w:t>
            </w:r>
          </w:p>
        </w:tc>
        <w:tc>
          <w:tcPr>
            <w:tcW w:w="1516" w:type="dxa"/>
            <w:noWrap/>
            <w:hideMark/>
          </w:tcPr>
          <w:p w14:paraId="5E278799"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1.00</w:t>
            </w:r>
          </w:p>
        </w:tc>
        <w:tc>
          <w:tcPr>
            <w:tcW w:w="1439" w:type="dxa"/>
            <w:noWrap/>
            <w:hideMark/>
          </w:tcPr>
          <w:p w14:paraId="2D89D62B"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0.02</w:t>
            </w:r>
          </w:p>
        </w:tc>
        <w:tc>
          <w:tcPr>
            <w:tcW w:w="2022" w:type="dxa"/>
            <w:noWrap/>
            <w:hideMark/>
          </w:tcPr>
          <w:p w14:paraId="1BEA0471"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0.00</w:t>
            </w:r>
          </w:p>
        </w:tc>
        <w:tc>
          <w:tcPr>
            <w:tcW w:w="240" w:type="dxa"/>
            <w:noWrap/>
            <w:hideMark/>
          </w:tcPr>
          <w:p w14:paraId="7BB92E33" w14:textId="77777777" w:rsidR="00835A65" w:rsidRPr="003563BF" w:rsidRDefault="00835A65" w:rsidP="00835A65">
            <w:pPr>
              <w:rPr>
                <w:rFonts w:ascii="Times New Roman" w:hAnsi="Times New Roman" w:cs="Times New Roman"/>
              </w:rPr>
            </w:pPr>
          </w:p>
        </w:tc>
        <w:tc>
          <w:tcPr>
            <w:tcW w:w="1795" w:type="dxa"/>
            <w:noWrap/>
            <w:hideMark/>
          </w:tcPr>
          <w:p w14:paraId="0A2E61DA"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Equity/BNB</w:t>
            </w:r>
          </w:p>
        </w:tc>
        <w:tc>
          <w:tcPr>
            <w:tcW w:w="1515" w:type="dxa"/>
            <w:noWrap/>
            <w:hideMark/>
          </w:tcPr>
          <w:p w14:paraId="306C9D78"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0.99</w:t>
            </w:r>
          </w:p>
        </w:tc>
        <w:tc>
          <w:tcPr>
            <w:tcW w:w="1439" w:type="dxa"/>
            <w:noWrap/>
            <w:hideMark/>
          </w:tcPr>
          <w:p w14:paraId="51E1E40D"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0.05</w:t>
            </w:r>
          </w:p>
        </w:tc>
        <w:tc>
          <w:tcPr>
            <w:tcW w:w="2022" w:type="dxa"/>
            <w:noWrap/>
            <w:hideMark/>
          </w:tcPr>
          <w:p w14:paraId="61F6B04B"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-0.05</w:t>
            </w:r>
          </w:p>
        </w:tc>
      </w:tr>
      <w:tr w:rsidR="003563BF" w:rsidRPr="003563BF" w14:paraId="3DE2ECCA" w14:textId="77777777" w:rsidTr="00E063A1">
        <w:trPr>
          <w:trHeight w:val="252"/>
        </w:trPr>
        <w:tc>
          <w:tcPr>
            <w:tcW w:w="1926" w:type="dxa"/>
            <w:noWrap/>
            <w:hideMark/>
          </w:tcPr>
          <w:p w14:paraId="6635CAF9" w14:textId="77777777" w:rsidR="00835A65" w:rsidRPr="003563BF" w:rsidRDefault="00835A65" w:rsidP="00835A65">
            <w:pPr>
              <w:rPr>
                <w:rFonts w:ascii="Times New Roman" w:hAnsi="Times New Roman" w:cs="Times New Roman"/>
              </w:rPr>
            </w:pPr>
            <w:bookmarkStart w:id="49" w:name="_Hlk122263634"/>
            <w:r w:rsidRPr="003563BF">
              <w:rPr>
                <w:rFonts w:ascii="Times New Roman" w:hAnsi="Times New Roman" w:cs="Times New Roman"/>
              </w:rPr>
              <w:t>Bond/RUNE</w:t>
            </w:r>
            <w:bookmarkEnd w:id="49"/>
          </w:p>
        </w:tc>
        <w:tc>
          <w:tcPr>
            <w:tcW w:w="1516" w:type="dxa"/>
            <w:noWrap/>
            <w:hideMark/>
          </w:tcPr>
          <w:p w14:paraId="38B8A8FF"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0.99</w:t>
            </w:r>
          </w:p>
        </w:tc>
        <w:tc>
          <w:tcPr>
            <w:tcW w:w="1439" w:type="dxa"/>
            <w:noWrap/>
            <w:hideMark/>
          </w:tcPr>
          <w:p w14:paraId="1F37FFC0"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0.00</w:t>
            </w:r>
          </w:p>
        </w:tc>
        <w:tc>
          <w:tcPr>
            <w:tcW w:w="2022" w:type="dxa"/>
            <w:noWrap/>
            <w:hideMark/>
          </w:tcPr>
          <w:p w14:paraId="425B3CAB"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0.05</w:t>
            </w:r>
          </w:p>
        </w:tc>
        <w:tc>
          <w:tcPr>
            <w:tcW w:w="240" w:type="dxa"/>
            <w:noWrap/>
            <w:hideMark/>
          </w:tcPr>
          <w:p w14:paraId="413356BF" w14:textId="77777777" w:rsidR="00835A65" w:rsidRPr="003563BF" w:rsidRDefault="00835A65" w:rsidP="00835A65">
            <w:pPr>
              <w:rPr>
                <w:rFonts w:ascii="Times New Roman" w:hAnsi="Times New Roman" w:cs="Times New Roman"/>
              </w:rPr>
            </w:pPr>
          </w:p>
        </w:tc>
        <w:tc>
          <w:tcPr>
            <w:tcW w:w="1795" w:type="dxa"/>
            <w:noWrap/>
            <w:hideMark/>
          </w:tcPr>
          <w:p w14:paraId="6993A311" w14:textId="77777777" w:rsidR="00835A65" w:rsidRPr="003563BF" w:rsidRDefault="00835A65" w:rsidP="00835A65">
            <w:pPr>
              <w:rPr>
                <w:rFonts w:ascii="Times New Roman" w:hAnsi="Times New Roman" w:cs="Times New Roman"/>
              </w:rPr>
            </w:pPr>
            <w:bookmarkStart w:id="50" w:name="_Hlk122260605"/>
            <w:r w:rsidRPr="003563BF">
              <w:rPr>
                <w:rFonts w:ascii="Times New Roman" w:hAnsi="Times New Roman" w:cs="Times New Roman"/>
              </w:rPr>
              <w:t>Bond/BNB</w:t>
            </w:r>
            <w:bookmarkEnd w:id="50"/>
          </w:p>
        </w:tc>
        <w:tc>
          <w:tcPr>
            <w:tcW w:w="1515" w:type="dxa"/>
            <w:noWrap/>
            <w:hideMark/>
          </w:tcPr>
          <w:p w14:paraId="5FE3C087"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1.00</w:t>
            </w:r>
          </w:p>
        </w:tc>
        <w:tc>
          <w:tcPr>
            <w:tcW w:w="1439" w:type="dxa"/>
            <w:noWrap/>
            <w:hideMark/>
          </w:tcPr>
          <w:p w14:paraId="3F5DF6D3"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0.01</w:t>
            </w:r>
          </w:p>
        </w:tc>
        <w:tc>
          <w:tcPr>
            <w:tcW w:w="2022" w:type="dxa"/>
            <w:noWrap/>
            <w:hideMark/>
          </w:tcPr>
          <w:p w14:paraId="12D2D931"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0.00</w:t>
            </w:r>
          </w:p>
        </w:tc>
      </w:tr>
      <w:tr w:rsidR="003563BF" w:rsidRPr="003563BF" w14:paraId="058226E1" w14:textId="77777777" w:rsidTr="00E063A1">
        <w:trPr>
          <w:trHeight w:val="252"/>
        </w:trPr>
        <w:tc>
          <w:tcPr>
            <w:tcW w:w="1926" w:type="dxa"/>
            <w:noWrap/>
            <w:hideMark/>
          </w:tcPr>
          <w:p w14:paraId="45A2DFDE" w14:textId="77777777" w:rsidR="00835A65" w:rsidRPr="003563BF" w:rsidRDefault="00835A65" w:rsidP="00835A65">
            <w:pPr>
              <w:rPr>
                <w:rFonts w:ascii="Times New Roman" w:hAnsi="Times New Roman" w:cs="Times New Roman"/>
              </w:rPr>
            </w:pPr>
            <w:bookmarkStart w:id="51" w:name="_Hlk122263442"/>
            <w:proofErr w:type="spellStart"/>
            <w:r w:rsidRPr="003563BF">
              <w:rPr>
                <w:rFonts w:ascii="Times New Roman" w:hAnsi="Times New Roman" w:cs="Times New Roman"/>
              </w:rPr>
              <w:t>USD.Index</w:t>
            </w:r>
            <w:proofErr w:type="spellEnd"/>
            <w:r w:rsidRPr="003563BF">
              <w:rPr>
                <w:rFonts w:ascii="Times New Roman" w:hAnsi="Times New Roman" w:cs="Times New Roman"/>
              </w:rPr>
              <w:t>/RUNE</w:t>
            </w:r>
          </w:p>
        </w:tc>
        <w:tc>
          <w:tcPr>
            <w:tcW w:w="1516" w:type="dxa"/>
            <w:noWrap/>
            <w:hideMark/>
          </w:tcPr>
          <w:p w14:paraId="1473235D"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1.00</w:t>
            </w:r>
          </w:p>
        </w:tc>
        <w:tc>
          <w:tcPr>
            <w:tcW w:w="1439" w:type="dxa"/>
            <w:noWrap/>
            <w:hideMark/>
          </w:tcPr>
          <w:p w14:paraId="202066DA"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0.00</w:t>
            </w:r>
          </w:p>
        </w:tc>
        <w:tc>
          <w:tcPr>
            <w:tcW w:w="2022" w:type="dxa"/>
            <w:noWrap/>
            <w:hideMark/>
          </w:tcPr>
          <w:p w14:paraId="1616784A"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0.00</w:t>
            </w:r>
          </w:p>
        </w:tc>
        <w:tc>
          <w:tcPr>
            <w:tcW w:w="240" w:type="dxa"/>
            <w:noWrap/>
            <w:hideMark/>
          </w:tcPr>
          <w:p w14:paraId="7711601C" w14:textId="77777777" w:rsidR="00835A65" w:rsidRPr="003563BF" w:rsidRDefault="00835A65" w:rsidP="00835A65">
            <w:pPr>
              <w:rPr>
                <w:rFonts w:ascii="Times New Roman" w:hAnsi="Times New Roman" w:cs="Times New Roman"/>
              </w:rPr>
            </w:pPr>
          </w:p>
        </w:tc>
        <w:tc>
          <w:tcPr>
            <w:tcW w:w="1795" w:type="dxa"/>
            <w:noWrap/>
            <w:hideMark/>
          </w:tcPr>
          <w:p w14:paraId="70A0F8F9" w14:textId="77777777" w:rsidR="00835A65" w:rsidRPr="003563BF" w:rsidRDefault="00835A65" w:rsidP="00835A65">
            <w:pPr>
              <w:rPr>
                <w:rFonts w:ascii="Times New Roman" w:hAnsi="Times New Roman" w:cs="Times New Roman"/>
              </w:rPr>
            </w:pPr>
            <w:proofErr w:type="spellStart"/>
            <w:r w:rsidRPr="003563BF">
              <w:rPr>
                <w:rFonts w:ascii="Times New Roman" w:hAnsi="Times New Roman" w:cs="Times New Roman"/>
              </w:rPr>
              <w:t>USD.Index</w:t>
            </w:r>
            <w:proofErr w:type="spellEnd"/>
            <w:r w:rsidRPr="003563BF">
              <w:rPr>
                <w:rFonts w:ascii="Times New Roman" w:hAnsi="Times New Roman" w:cs="Times New Roman"/>
              </w:rPr>
              <w:t>/BNB</w:t>
            </w:r>
          </w:p>
        </w:tc>
        <w:tc>
          <w:tcPr>
            <w:tcW w:w="1515" w:type="dxa"/>
            <w:noWrap/>
            <w:hideMark/>
          </w:tcPr>
          <w:p w14:paraId="6A7C4A63"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0.99</w:t>
            </w:r>
          </w:p>
        </w:tc>
        <w:tc>
          <w:tcPr>
            <w:tcW w:w="1439" w:type="dxa"/>
            <w:noWrap/>
            <w:hideMark/>
          </w:tcPr>
          <w:p w14:paraId="3D3EA164"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-0.01</w:t>
            </w:r>
          </w:p>
        </w:tc>
        <w:tc>
          <w:tcPr>
            <w:tcW w:w="2022" w:type="dxa"/>
            <w:noWrap/>
            <w:hideMark/>
          </w:tcPr>
          <w:p w14:paraId="26C2429C"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0.02</w:t>
            </w:r>
          </w:p>
        </w:tc>
      </w:tr>
      <w:tr w:rsidR="003563BF" w:rsidRPr="003563BF" w14:paraId="7639935F" w14:textId="77777777" w:rsidTr="00E063A1">
        <w:trPr>
          <w:trHeight w:val="252"/>
        </w:trPr>
        <w:tc>
          <w:tcPr>
            <w:tcW w:w="1926" w:type="dxa"/>
            <w:noWrap/>
            <w:hideMark/>
          </w:tcPr>
          <w:p w14:paraId="6D1A2ECC" w14:textId="77777777" w:rsidR="00835A65" w:rsidRPr="003563BF" w:rsidRDefault="00835A65" w:rsidP="00835A65">
            <w:pPr>
              <w:rPr>
                <w:rFonts w:ascii="Times New Roman" w:hAnsi="Times New Roman" w:cs="Times New Roman"/>
              </w:rPr>
            </w:pPr>
          </w:p>
        </w:tc>
        <w:tc>
          <w:tcPr>
            <w:tcW w:w="1516" w:type="dxa"/>
            <w:noWrap/>
            <w:hideMark/>
          </w:tcPr>
          <w:p w14:paraId="208236A1" w14:textId="77777777" w:rsidR="00835A65" w:rsidRPr="003563BF" w:rsidRDefault="00835A65" w:rsidP="00835A65">
            <w:pPr>
              <w:rPr>
                <w:rFonts w:ascii="Times New Roman" w:hAnsi="Times New Roman" w:cs="Times New Roman"/>
              </w:rPr>
            </w:pPr>
          </w:p>
        </w:tc>
        <w:tc>
          <w:tcPr>
            <w:tcW w:w="1439" w:type="dxa"/>
            <w:noWrap/>
            <w:hideMark/>
          </w:tcPr>
          <w:p w14:paraId="3E769555" w14:textId="77777777" w:rsidR="00835A65" w:rsidRPr="003563BF" w:rsidRDefault="00835A65" w:rsidP="00835A65">
            <w:pPr>
              <w:rPr>
                <w:rFonts w:ascii="Times New Roman" w:hAnsi="Times New Roman" w:cs="Times New Roman"/>
              </w:rPr>
            </w:pPr>
          </w:p>
        </w:tc>
        <w:tc>
          <w:tcPr>
            <w:tcW w:w="2022" w:type="dxa"/>
            <w:noWrap/>
            <w:hideMark/>
          </w:tcPr>
          <w:p w14:paraId="664BA55C" w14:textId="77777777" w:rsidR="00835A65" w:rsidRPr="003563BF" w:rsidRDefault="00835A65" w:rsidP="00835A65">
            <w:pPr>
              <w:rPr>
                <w:rFonts w:ascii="Times New Roman" w:hAnsi="Times New Roman" w:cs="Times New Roman"/>
              </w:rPr>
            </w:pPr>
          </w:p>
        </w:tc>
        <w:tc>
          <w:tcPr>
            <w:tcW w:w="240" w:type="dxa"/>
            <w:noWrap/>
            <w:hideMark/>
          </w:tcPr>
          <w:p w14:paraId="7F139F32" w14:textId="77777777" w:rsidR="00835A65" w:rsidRPr="003563BF" w:rsidRDefault="00835A65" w:rsidP="00835A65">
            <w:pPr>
              <w:rPr>
                <w:rFonts w:ascii="Times New Roman" w:hAnsi="Times New Roman" w:cs="Times New Roman"/>
              </w:rPr>
            </w:pPr>
          </w:p>
        </w:tc>
        <w:tc>
          <w:tcPr>
            <w:tcW w:w="1795" w:type="dxa"/>
            <w:noWrap/>
            <w:hideMark/>
          </w:tcPr>
          <w:p w14:paraId="2ECF4D22" w14:textId="77777777" w:rsidR="00835A65" w:rsidRPr="003563BF" w:rsidRDefault="00835A65" w:rsidP="00835A65">
            <w:pPr>
              <w:rPr>
                <w:rFonts w:ascii="Times New Roman" w:hAnsi="Times New Roman" w:cs="Times New Roman"/>
              </w:rPr>
            </w:pPr>
          </w:p>
        </w:tc>
        <w:tc>
          <w:tcPr>
            <w:tcW w:w="1515" w:type="dxa"/>
            <w:noWrap/>
            <w:hideMark/>
          </w:tcPr>
          <w:p w14:paraId="61CED084" w14:textId="77777777" w:rsidR="00835A65" w:rsidRPr="003563BF" w:rsidRDefault="00835A65" w:rsidP="00835A65">
            <w:pPr>
              <w:rPr>
                <w:rFonts w:ascii="Times New Roman" w:hAnsi="Times New Roman" w:cs="Times New Roman"/>
              </w:rPr>
            </w:pPr>
          </w:p>
        </w:tc>
        <w:tc>
          <w:tcPr>
            <w:tcW w:w="1439" w:type="dxa"/>
            <w:noWrap/>
            <w:hideMark/>
          </w:tcPr>
          <w:p w14:paraId="56223683" w14:textId="77777777" w:rsidR="00835A65" w:rsidRPr="003563BF" w:rsidRDefault="00835A65" w:rsidP="00835A65">
            <w:pPr>
              <w:rPr>
                <w:rFonts w:ascii="Times New Roman" w:hAnsi="Times New Roman" w:cs="Times New Roman"/>
              </w:rPr>
            </w:pPr>
          </w:p>
        </w:tc>
        <w:tc>
          <w:tcPr>
            <w:tcW w:w="2022" w:type="dxa"/>
            <w:noWrap/>
            <w:hideMark/>
          </w:tcPr>
          <w:p w14:paraId="79922244" w14:textId="77777777" w:rsidR="00835A65" w:rsidRPr="003563BF" w:rsidRDefault="00835A65" w:rsidP="00835A65">
            <w:pPr>
              <w:rPr>
                <w:rFonts w:ascii="Times New Roman" w:hAnsi="Times New Roman" w:cs="Times New Roman"/>
              </w:rPr>
            </w:pPr>
          </w:p>
        </w:tc>
      </w:tr>
      <w:bookmarkEnd w:id="46"/>
      <w:bookmarkEnd w:id="51"/>
      <w:tr w:rsidR="003563BF" w:rsidRPr="003563BF" w14:paraId="387788D8" w14:textId="77777777" w:rsidTr="00E063A1">
        <w:trPr>
          <w:trHeight w:val="252"/>
        </w:trPr>
        <w:tc>
          <w:tcPr>
            <w:tcW w:w="6904" w:type="dxa"/>
            <w:gridSpan w:val="4"/>
            <w:noWrap/>
          </w:tcPr>
          <w:p w14:paraId="19D78958" w14:textId="5407BFEC" w:rsidR="00835A65" w:rsidRPr="003563BF" w:rsidRDefault="00835A65" w:rsidP="00835A65">
            <w:pPr>
              <w:rPr>
                <w:rFonts w:ascii="Times New Roman" w:hAnsi="Times New Roman" w:cs="Times New Roman"/>
                <w:b/>
                <w:bCs/>
              </w:rPr>
            </w:pPr>
            <w:r w:rsidRPr="003563BF">
              <w:rPr>
                <w:rFonts w:ascii="Times New Roman" w:hAnsi="Times New Roman" w:cs="Times New Roman"/>
                <w:b/>
                <w:bCs/>
              </w:rPr>
              <w:t xml:space="preserve">Panel B. </w:t>
            </w:r>
            <w:proofErr w:type="gramStart"/>
            <w:r w:rsidRPr="003563BF">
              <w:rPr>
                <w:rFonts w:ascii="Times New Roman" w:hAnsi="Times New Roman" w:cs="Times New Roman"/>
              </w:rPr>
              <w:t>Other</w:t>
            </w:r>
            <w:proofErr w:type="gramEnd"/>
            <w:r w:rsidRPr="003563BF">
              <w:rPr>
                <w:rFonts w:ascii="Times New Roman" w:hAnsi="Times New Roman" w:cs="Times New Roman"/>
              </w:rPr>
              <w:t xml:space="preserve"> asset</w:t>
            </w:r>
            <w:r w:rsidR="00233DAE">
              <w:rPr>
                <w:rFonts w:ascii="Times New Roman" w:hAnsi="Times New Roman" w:cs="Times New Roman"/>
              </w:rPr>
              <w:t>–</w:t>
            </w:r>
            <w:r w:rsidRPr="003563BF">
              <w:rPr>
                <w:rFonts w:ascii="Times New Roman" w:hAnsi="Times New Roman" w:cs="Times New Roman"/>
              </w:rPr>
              <w:t>LRC</w:t>
            </w:r>
          </w:p>
        </w:tc>
        <w:tc>
          <w:tcPr>
            <w:tcW w:w="240" w:type="dxa"/>
            <w:noWrap/>
          </w:tcPr>
          <w:p w14:paraId="7CBCA2BF" w14:textId="77777777" w:rsidR="00835A65" w:rsidRPr="003563BF" w:rsidRDefault="00835A65" w:rsidP="00835A65">
            <w:pPr>
              <w:rPr>
                <w:rFonts w:ascii="Times New Roman" w:hAnsi="Times New Roman" w:cs="Times New Roman"/>
              </w:rPr>
            </w:pPr>
          </w:p>
        </w:tc>
        <w:tc>
          <w:tcPr>
            <w:tcW w:w="6773" w:type="dxa"/>
            <w:gridSpan w:val="4"/>
            <w:noWrap/>
          </w:tcPr>
          <w:p w14:paraId="6BBC78EA" w14:textId="29E145A3" w:rsidR="00835A65" w:rsidRPr="003563BF" w:rsidRDefault="00835A65" w:rsidP="00835A65">
            <w:pPr>
              <w:rPr>
                <w:rFonts w:ascii="Times New Roman" w:hAnsi="Times New Roman" w:cs="Times New Roman"/>
                <w:b/>
                <w:bCs/>
              </w:rPr>
            </w:pPr>
            <w:r w:rsidRPr="003563BF">
              <w:rPr>
                <w:rFonts w:ascii="Times New Roman" w:hAnsi="Times New Roman" w:cs="Times New Roman"/>
                <w:b/>
                <w:bCs/>
              </w:rPr>
              <w:t xml:space="preserve">Panel E. </w:t>
            </w:r>
            <w:proofErr w:type="gramStart"/>
            <w:r w:rsidRPr="003563BF">
              <w:rPr>
                <w:rFonts w:ascii="Times New Roman" w:hAnsi="Times New Roman" w:cs="Times New Roman"/>
              </w:rPr>
              <w:t>Other</w:t>
            </w:r>
            <w:proofErr w:type="gramEnd"/>
            <w:r w:rsidRPr="003563BF">
              <w:rPr>
                <w:rFonts w:ascii="Times New Roman" w:hAnsi="Times New Roman" w:cs="Times New Roman"/>
              </w:rPr>
              <w:t xml:space="preserve"> asset</w:t>
            </w:r>
            <w:r w:rsidR="00233DAE">
              <w:rPr>
                <w:rFonts w:ascii="Times New Roman" w:hAnsi="Times New Roman" w:cs="Times New Roman"/>
              </w:rPr>
              <w:t>–</w:t>
            </w:r>
            <w:r w:rsidRPr="003563BF">
              <w:rPr>
                <w:rFonts w:ascii="Times New Roman" w:hAnsi="Times New Roman" w:cs="Times New Roman"/>
              </w:rPr>
              <w:t>LEO</w:t>
            </w:r>
          </w:p>
        </w:tc>
      </w:tr>
      <w:tr w:rsidR="003563BF" w:rsidRPr="003563BF" w14:paraId="18E4D7A5" w14:textId="77777777" w:rsidTr="00E063A1">
        <w:trPr>
          <w:trHeight w:val="252"/>
        </w:trPr>
        <w:tc>
          <w:tcPr>
            <w:tcW w:w="1926" w:type="dxa"/>
            <w:noWrap/>
            <w:hideMark/>
          </w:tcPr>
          <w:p w14:paraId="5CC9863B" w14:textId="77777777" w:rsidR="00835A65" w:rsidRPr="003563BF" w:rsidRDefault="00835A65" w:rsidP="00835A65">
            <w:pPr>
              <w:rPr>
                <w:rFonts w:ascii="Times New Roman" w:hAnsi="Times New Roman" w:cs="Times New Roman"/>
              </w:rPr>
            </w:pPr>
            <w:bookmarkStart w:id="52" w:name="_Hlk122260393"/>
            <w:bookmarkStart w:id="53" w:name="_Hlk122162266"/>
            <w:r w:rsidRPr="003563BF">
              <w:rPr>
                <w:rFonts w:ascii="Times New Roman" w:hAnsi="Times New Roman" w:cs="Times New Roman"/>
              </w:rPr>
              <w:t>Gold/LRC</w:t>
            </w:r>
            <w:bookmarkEnd w:id="52"/>
          </w:p>
        </w:tc>
        <w:tc>
          <w:tcPr>
            <w:tcW w:w="1516" w:type="dxa"/>
            <w:noWrap/>
            <w:hideMark/>
          </w:tcPr>
          <w:p w14:paraId="3A2F7561"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1.00</w:t>
            </w:r>
          </w:p>
        </w:tc>
        <w:tc>
          <w:tcPr>
            <w:tcW w:w="1439" w:type="dxa"/>
            <w:noWrap/>
            <w:hideMark/>
          </w:tcPr>
          <w:p w14:paraId="49B6CBF3"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0.01</w:t>
            </w:r>
          </w:p>
        </w:tc>
        <w:tc>
          <w:tcPr>
            <w:tcW w:w="2022" w:type="dxa"/>
            <w:noWrap/>
            <w:hideMark/>
          </w:tcPr>
          <w:p w14:paraId="04BB0E96"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0.00</w:t>
            </w:r>
          </w:p>
        </w:tc>
        <w:tc>
          <w:tcPr>
            <w:tcW w:w="240" w:type="dxa"/>
            <w:noWrap/>
            <w:hideMark/>
          </w:tcPr>
          <w:p w14:paraId="172B33C9" w14:textId="77777777" w:rsidR="00835A65" w:rsidRPr="003563BF" w:rsidRDefault="00835A65" w:rsidP="00835A65">
            <w:pPr>
              <w:rPr>
                <w:rFonts w:ascii="Times New Roman" w:hAnsi="Times New Roman" w:cs="Times New Roman"/>
              </w:rPr>
            </w:pPr>
          </w:p>
        </w:tc>
        <w:tc>
          <w:tcPr>
            <w:tcW w:w="1795" w:type="dxa"/>
            <w:noWrap/>
            <w:hideMark/>
          </w:tcPr>
          <w:p w14:paraId="6F6E6EB3"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Gold/LEO</w:t>
            </w:r>
          </w:p>
        </w:tc>
        <w:tc>
          <w:tcPr>
            <w:tcW w:w="1515" w:type="dxa"/>
            <w:noWrap/>
            <w:hideMark/>
          </w:tcPr>
          <w:p w14:paraId="7A99AA35"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0.86</w:t>
            </w:r>
          </w:p>
        </w:tc>
        <w:tc>
          <w:tcPr>
            <w:tcW w:w="1439" w:type="dxa"/>
            <w:noWrap/>
            <w:hideMark/>
          </w:tcPr>
          <w:p w14:paraId="7423A3B8"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0.00</w:t>
            </w:r>
          </w:p>
        </w:tc>
        <w:tc>
          <w:tcPr>
            <w:tcW w:w="2022" w:type="dxa"/>
            <w:noWrap/>
            <w:hideMark/>
          </w:tcPr>
          <w:p w14:paraId="164CBC69"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0.20</w:t>
            </w:r>
          </w:p>
        </w:tc>
      </w:tr>
      <w:tr w:rsidR="003563BF" w:rsidRPr="003563BF" w14:paraId="4387F790" w14:textId="77777777" w:rsidTr="00E063A1">
        <w:trPr>
          <w:trHeight w:val="252"/>
        </w:trPr>
        <w:tc>
          <w:tcPr>
            <w:tcW w:w="1926" w:type="dxa"/>
            <w:noWrap/>
            <w:hideMark/>
          </w:tcPr>
          <w:p w14:paraId="1E31A411" w14:textId="3752E808" w:rsidR="00835A65" w:rsidRPr="003563BF" w:rsidRDefault="00037A5A" w:rsidP="00835A65">
            <w:pPr>
              <w:rPr>
                <w:rFonts w:ascii="Times New Roman" w:hAnsi="Times New Roman" w:cs="Times New Roman"/>
              </w:rPr>
            </w:pPr>
            <w:bookmarkStart w:id="54" w:name="_Hlk122262705"/>
            <w:r w:rsidRPr="003563BF">
              <w:rPr>
                <w:rFonts w:ascii="Times New Roman" w:hAnsi="Times New Roman" w:cs="Times New Roman"/>
              </w:rPr>
              <w:t>Oil</w:t>
            </w:r>
            <w:r w:rsidR="00835A65" w:rsidRPr="003563BF">
              <w:rPr>
                <w:rFonts w:ascii="Times New Roman" w:hAnsi="Times New Roman" w:cs="Times New Roman"/>
              </w:rPr>
              <w:t>/LRC</w:t>
            </w:r>
            <w:bookmarkEnd w:id="54"/>
          </w:p>
        </w:tc>
        <w:tc>
          <w:tcPr>
            <w:tcW w:w="1516" w:type="dxa"/>
            <w:noWrap/>
            <w:hideMark/>
          </w:tcPr>
          <w:p w14:paraId="716FF2D2"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0.85</w:t>
            </w:r>
          </w:p>
        </w:tc>
        <w:tc>
          <w:tcPr>
            <w:tcW w:w="1439" w:type="dxa"/>
            <w:noWrap/>
            <w:hideMark/>
          </w:tcPr>
          <w:p w14:paraId="6EC3498A"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0.06</w:t>
            </w:r>
          </w:p>
        </w:tc>
        <w:tc>
          <w:tcPr>
            <w:tcW w:w="2022" w:type="dxa"/>
            <w:noWrap/>
            <w:hideMark/>
          </w:tcPr>
          <w:p w14:paraId="54E918A9"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0.76</w:t>
            </w:r>
          </w:p>
        </w:tc>
        <w:tc>
          <w:tcPr>
            <w:tcW w:w="240" w:type="dxa"/>
            <w:noWrap/>
            <w:hideMark/>
          </w:tcPr>
          <w:p w14:paraId="0D63EA08" w14:textId="77777777" w:rsidR="00835A65" w:rsidRPr="003563BF" w:rsidRDefault="00835A65" w:rsidP="00835A65">
            <w:pPr>
              <w:rPr>
                <w:rFonts w:ascii="Times New Roman" w:hAnsi="Times New Roman" w:cs="Times New Roman"/>
              </w:rPr>
            </w:pPr>
          </w:p>
        </w:tc>
        <w:tc>
          <w:tcPr>
            <w:tcW w:w="1795" w:type="dxa"/>
            <w:noWrap/>
            <w:hideMark/>
          </w:tcPr>
          <w:p w14:paraId="4D15F831" w14:textId="41694C2A" w:rsidR="00835A65" w:rsidRPr="003563BF" w:rsidRDefault="00037A5A" w:rsidP="00835A65">
            <w:pPr>
              <w:rPr>
                <w:rFonts w:ascii="Times New Roman" w:hAnsi="Times New Roman" w:cs="Times New Roman"/>
              </w:rPr>
            </w:pPr>
            <w:r w:rsidRPr="003563BF">
              <w:rPr>
                <w:rFonts w:ascii="Times New Roman" w:hAnsi="Times New Roman" w:cs="Times New Roman"/>
              </w:rPr>
              <w:t>Oil</w:t>
            </w:r>
            <w:r w:rsidR="00835A65" w:rsidRPr="003563BF">
              <w:rPr>
                <w:rFonts w:ascii="Times New Roman" w:hAnsi="Times New Roman" w:cs="Times New Roman"/>
              </w:rPr>
              <w:t>/LEO</w:t>
            </w:r>
          </w:p>
        </w:tc>
        <w:tc>
          <w:tcPr>
            <w:tcW w:w="1515" w:type="dxa"/>
            <w:noWrap/>
            <w:hideMark/>
          </w:tcPr>
          <w:p w14:paraId="5EDF4DFC"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0.48</w:t>
            </w:r>
          </w:p>
        </w:tc>
        <w:tc>
          <w:tcPr>
            <w:tcW w:w="1439" w:type="dxa"/>
            <w:noWrap/>
            <w:hideMark/>
          </w:tcPr>
          <w:p w14:paraId="37BFA2C0"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-0.04</w:t>
            </w:r>
          </w:p>
        </w:tc>
        <w:tc>
          <w:tcPr>
            <w:tcW w:w="2022" w:type="dxa"/>
            <w:noWrap/>
            <w:hideMark/>
          </w:tcPr>
          <w:p w14:paraId="4DD3704C"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0.98</w:t>
            </w:r>
          </w:p>
        </w:tc>
      </w:tr>
      <w:tr w:rsidR="003563BF" w:rsidRPr="003563BF" w14:paraId="7323C7D5" w14:textId="77777777" w:rsidTr="00E063A1">
        <w:trPr>
          <w:trHeight w:val="252"/>
        </w:trPr>
        <w:tc>
          <w:tcPr>
            <w:tcW w:w="1926" w:type="dxa"/>
            <w:noWrap/>
            <w:hideMark/>
          </w:tcPr>
          <w:p w14:paraId="523134FD" w14:textId="77777777" w:rsidR="00835A65" w:rsidRPr="003563BF" w:rsidRDefault="00835A65" w:rsidP="00835A65">
            <w:pPr>
              <w:rPr>
                <w:rFonts w:ascii="Times New Roman" w:hAnsi="Times New Roman" w:cs="Times New Roman"/>
              </w:rPr>
            </w:pPr>
            <w:bookmarkStart w:id="55" w:name="_Hlk122164972"/>
            <w:r w:rsidRPr="003563BF">
              <w:rPr>
                <w:rFonts w:ascii="Times New Roman" w:hAnsi="Times New Roman" w:cs="Times New Roman"/>
              </w:rPr>
              <w:t>BTC/LRC</w:t>
            </w:r>
          </w:p>
        </w:tc>
        <w:tc>
          <w:tcPr>
            <w:tcW w:w="1516" w:type="dxa"/>
            <w:noWrap/>
            <w:hideMark/>
          </w:tcPr>
          <w:p w14:paraId="44CABA68"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0.98</w:t>
            </w:r>
          </w:p>
        </w:tc>
        <w:tc>
          <w:tcPr>
            <w:tcW w:w="1439" w:type="dxa"/>
            <w:noWrap/>
            <w:hideMark/>
          </w:tcPr>
          <w:p w14:paraId="305E0239"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0.21</w:t>
            </w:r>
          </w:p>
        </w:tc>
        <w:tc>
          <w:tcPr>
            <w:tcW w:w="2022" w:type="dxa"/>
            <w:noWrap/>
            <w:hideMark/>
          </w:tcPr>
          <w:p w14:paraId="21880167"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0.00</w:t>
            </w:r>
          </w:p>
        </w:tc>
        <w:tc>
          <w:tcPr>
            <w:tcW w:w="240" w:type="dxa"/>
            <w:noWrap/>
            <w:hideMark/>
          </w:tcPr>
          <w:p w14:paraId="79AA84D6" w14:textId="77777777" w:rsidR="00835A65" w:rsidRPr="003563BF" w:rsidRDefault="00835A65" w:rsidP="00835A65">
            <w:pPr>
              <w:rPr>
                <w:rFonts w:ascii="Times New Roman" w:hAnsi="Times New Roman" w:cs="Times New Roman"/>
              </w:rPr>
            </w:pPr>
          </w:p>
        </w:tc>
        <w:tc>
          <w:tcPr>
            <w:tcW w:w="1795" w:type="dxa"/>
            <w:noWrap/>
            <w:hideMark/>
          </w:tcPr>
          <w:p w14:paraId="1DB6FD55"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BTC/LEO</w:t>
            </w:r>
          </w:p>
        </w:tc>
        <w:tc>
          <w:tcPr>
            <w:tcW w:w="1515" w:type="dxa"/>
            <w:noWrap/>
            <w:hideMark/>
          </w:tcPr>
          <w:p w14:paraId="10215576"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0.31</w:t>
            </w:r>
          </w:p>
        </w:tc>
        <w:tc>
          <w:tcPr>
            <w:tcW w:w="1439" w:type="dxa"/>
            <w:noWrap/>
            <w:hideMark/>
          </w:tcPr>
          <w:p w14:paraId="69D85074"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0.26</w:t>
            </w:r>
          </w:p>
        </w:tc>
        <w:tc>
          <w:tcPr>
            <w:tcW w:w="2022" w:type="dxa"/>
            <w:noWrap/>
            <w:hideMark/>
          </w:tcPr>
          <w:p w14:paraId="2A936203"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0.61</w:t>
            </w:r>
          </w:p>
        </w:tc>
      </w:tr>
      <w:tr w:rsidR="003563BF" w:rsidRPr="003563BF" w14:paraId="6C2A0902" w14:textId="77777777" w:rsidTr="00E063A1">
        <w:trPr>
          <w:trHeight w:val="252"/>
        </w:trPr>
        <w:tc>
          <w:tcPr>
            <w:tcW w:w="1926" w:type="dxa"/>
            <w:noWrap/>
            <w:hideMark/>
          </w:tcPr>
          <w:p w14:paraId="3EB61FCE" w14:textId="77777777" w:rsidR="00835A65" w:rsidRPr="003563BF" w:rsidRDefault="00835A65" w:rsidP="00835A65">
            <w:pPr>
              <w:rPr>
                <w:rFonts w:ascii="Times New Roman" w:hAnsi="Times New Roman" w:cs="Times New Roman"/>
              </w:rPr>
            </w:pPr>
            <w:bookmarkStart w:id="56" w:name="_Hlk122260655"/>
            <w:bookmarkEnd w:id="55"/>
            <w:r w:rsidRPr="003563BF">
              <w:rPr>
                <w:rFonts w:ascii="Times New Roman" w:hAnsi="Times New Roman" w:cs="Times New Roman"/>
              </w:rPr>
              <w:t>REIT/LRC</w:t>
            </w:r>
          </w:p>
        </w:tc>
        <w:tc>
          <w:tcPr>
            <w:tcW w:w="1516" w:type="dxa"/>
            <w:noWrap/>
            <w:hideMark/>
          </w:tcPr>
          <w:p w14:paraId="6BEEEB30"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0.99</w:t>
            </w:r>
          </w:p>
        </w:tc>
        <w:tc>
          <w:tcPr>
            <w:tcW w:w="1439" w:type="dxa"/>
            <w:noWrap/>
            <w:hideMark/>
          </w:tcPr>
          <w:p w14:paraId="47C189F9"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0.02</w:t>
            </w:r>
          </w:p>
        </w:tc>
        <w:tc>
          <w:tcPr>
            <w:tcW w:w="2022" w:type="dxa"/>
            <w:noWrap/>
            <w:hideMark/>
          </w:tcPr>
          <w:p w14:paraId="66D6E0E8"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0.00</w:t>
            </w:r>
          </w:p>
        </w:tc>
        <w:tc>
          <w:tcPr>
            <w:tcW w:w="240" w:type="dxa"/>
            <w:noWrap/>
            <w:hideMark/>
          </w:tcPr>
          <w:p w14:paraId="5C7F211C" w14:textId="77777777" w:rsidR="00835A65" w:rsidRPr="003563BF" w:rsidRDefault="00835A65" w:rsidP="00835A65">
            <w:pPr>
              <w:rPr>
                <w:rFonts w:ascii="Times New Roman" w:hAnsi="Times New Roman" w:cs="Times New Roman"/>
              </w:rPr>
            </w:pPr>
          </w:p>
        </w:tc>
        <w:tc>
          <w:tcPr>
            <w:tcW w:w="1795" w:type="dxa"/>
            <w:noWrap/>
            <w:hideMark/>
          </w:tcPr>
          <w:p w14:paraId="1426208B"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REIT/LEO</w:t>
            </w:r>
          </w:p>
        </w:tc>
        <w:tc>
          <w:tcPr>
            <w:tcW w:w="1515" w:type="dxa"/>
            <w:noWrap/>
            <w:hideMark/>
          </w:tcPr>
          <w:p w14:paraId="15BB2128"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0.80</w:t>
            </w:r>
          </w:p>
        </w:tc>
        <w:tc>
          <w:tcPr>
            <w:tcW w:w="1439" w:type="dxa"/>
            <w:noWrap/>
            <w:hideMark/>
          </w:tcPr>
          <w:p w14:paraId="46F3B8E6"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0.01</w:t>
            </w:r>
          </w:p>
        </w:tc>
        <w:tc>
          <w:tcPr>
            <w:tcW w:w="2022" w:type="dxa"/>
            <w:noWrap/>
            <w:hideMark/>
          </w:tcPr>
          <w:p w14:paraId="0F092055"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0.61</w:t>
            </w:r>
          </w:p>
        </w:tc>
      </w:tr>
      <w:tr w:rsidR="003563BF" w:rsidRPr="003563BF" w14:paraId="68CA4E8F" w14:textId="77777777" w:rsidTr="00E063A1">
        <w:trPr>
          <w:trHeight w:val="252"/>
        </w:trPr>
        <w:tc>
          <w:tcPr>
            <w:tcW w:w="1926" w:type="dxa"/>
            <w:noWrap/>
            <w:hideMark/>
          </w:tcPr>
          <w:p w14:paraId="23A89168"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Equity/LRC</w:t>
            </w:r>
          </w:p>
        </w:tc>
        <w:tc>
          <w:tcPr>
            <w:tcW w:w="1516" w:type="dxa"/>
            <w:noWrap/>
            <w:hideMark/>
          </w:tcPr>
          <w:p w14:paraId="14DF0A0B"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1.00</w:t>
            </w:r>
          </w:p>
        </w:tc>
        <w:tc>
          <w:tcPr>
            <w:tcW w:w="1439" w:type="dxa"/>
            <w:noWrap/>
            <w:hideMark/>
          </w:tcPr>
          <w:p w14:paraId="4B90F182"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0.02</w:t>
            </w:r>
          </w:p>
        </w:tc>
        <w:tc>
          <w:tcPr>
            <w:tcW w:w="2022" w:type="dxa"/>
            <w:noWrap/>
            <w:hideMark/>
          </w:tcPr>
          <w:p w14:paraId="128DD3D5"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0.00</w:t>
            </w:r>
          </w:p>
        </w:tc>
        <w:tc>
          <w:tcPr>
            <w:tcW w:w="240" w:type="dxa"/>
            <w:noWrap/>
            <w:hideMark/>
          </w:tcPr>
          <w:p w14:paraId="6604506B" w14:textId="77777777" w:rsidR="00835A65" w:rsidRPr="003563BF" w:rsidRDefault="00835A65" w:rsidP="00835A65">
            <w:pPr>
              <w:rPr>
                <w:rFonts w:ascii="Times New Roman" w:hAnsi="Times New Roman" w:cs="Times New Roman"/>
              </w:rPr>
            </w:pPr>
          </w:p>
        </w:tc>
        <w:tc>
          <w:tcPr>
            <w:tcW w:w="1795" w:type="dxa"/>
            <w:noWrap/>
            <w:hideMark/>
          </w:tcPr>
          <w:p w14:paraId="4E8E01FF"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Equity/LEO</w:t>
            </w:r>
          </w:p>
        </w:tc>
        <w:tc>
          <w:tcPr>
            <w:tcW w:w="1515" w:type="dxa"/>
            <w:noWrap/>
            <w:hideMark/>
          </w:tcPr>
          <w:p w14:paraId="38EF6768"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0.87</w:t>
            </w:r>
          </w:p>
        </w:tc>
        <w:tc>
          <w:tcPr>
            <w:tcW w:w="1439" w:type="dxa"/>
            <w:noWrap/>
            <w:hideMark/>
          </w:tcPr>
          <w:p w14:paraId="535EDD77"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0.01</w:t>
            </w:r>
          </w:p>
        </w:tc>
        <w:tc>
          <w:tcPr>
            <w:tcW w:w="2022" w:type="dxa"/>
            <w:noWrap/>
            <w:hideMark/>
          </w:tcPr>
          <w:p w14:paraId="79631284"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0.45</w:t>
            </w:r>
          </w:p>
        </w:tc>
      </w:tr>
      <w:bookmarkEnd w:id="56"/>
      <w:tr w:rsidR="003563BF" w:rsidRPr="003563BF" w14:paraId="1436E8CC" w14:textId="77777777" w:rsidTr="00E063A1">
        <w:trPr>
          <w:trHeight w:val="252"/>
        </w:trPr>
        <w:tc>
          <w:tcPr>
            <w:tcW w:w="1926" w:type="dxa"/>
            <w:noWrap/>
            <w:hideMark/>
          </w:tcPr>
          <w:p w14:paraId="3434A07D"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Bond/LRC</w:t>
            </w:r>
          </w:p>
        </w:tc>
        <w:tc>
          <w:tcPr>
            <w:tcW w:w="1516" w:type="dxa"/>
            <w:noWrap/>
            <w:hideMark/>
          </w:tcPr>
          <w:p w14:paraId="61FD9B66"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1.00</w:t>
            </w:r>
          </w:p>
        </w:tc>
        <w:tc>
          <w:tcPr>
            <w:tcW w:w="1439" w:type="dxa"/>
            <w:noWrap/>
            <w:hideMark/>
          </w:tcPr>
          <w:p w14:paraId="593F768A"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0.00</w:t>
            </w:r>
          </w:p>
        </w:tc>
        <w:tc>
          <w:tcPr>
            <w:tcW w:w="2022" w:type="dxa"/>
            <w:noWrap/>
            <w:hideMark/>
          </w:tcPr>
          <w:p w14:paraId="72B367D8"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0.00</w:t>
            </w:r>
          </w:p>
        </w:tc>
        <w:tc>
          <w:tcPr>
            <w:tcW w:w="240" w:type="dxa"/>
            <w:noWrap/>
            <w:hideMark/>
          </w:tcPr>
          <w:p w14:paraId="67A3AFE5" w14:textId="77777777" w:rsidR="00835A65" w:rsidRPr="003563BF" w:rsidRDefault="00835A65" w:rsidP="00835A65">
            <w:pPr>
              <w:rPr>
                <w:rFonts w:ascii="Times New Roman" w:hAnsi="Times New Roman" w:cs="Times New Roman"/>
              </w:rPr>
            </w:pPr>
          </w:p>
        </w:tc>
        <w:tc>
          <w:tcPr>
            <w:tcW w:w="1795" w:type="dxa"/>
            <w:noWrap/>
            <w:hideMark/>
          </w:tcPr>
          <w:p w14:paraId="0D9FC9B9"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Bond/LEO</w:t>
            </w:r>
          </w:p>
        </w:tc>
        <w:tc>
          <w:tcPr>
            <w:tcW w:w="1515" w:type="dxa"/>
            <w:noWrap/>
            <w:hideMark/>
          </w:tcPr>
          <w:p w14:paraId="460A7667"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0.96</w:t>
            </w:r>
          </w:p>
        </w:tc>
        <w:tc>
          <w:tcPr>
            <w:tcW w:w="1439" w:type="dxa"/>
            <w:noWrap/>
            <w:hideMark/>
          </w:tcPr>
          <w:p w14:paraId="1A6D301A"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-0.01</w:t>
            </w:r>
          </w:p>
        </w:tc>
        <w:tc>
          <w:tcPr>
            <w:tcW w:w="2022" w:type="dxa"/>
            <w:noWrap/>
            <w:hideMark/>
          </w:tcPr>
          <w:p w14:paraId="69DB1163"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0.42</w:t>
            </w:r>
          </w:p>
        </w:tc>
      </w:tr>
      <w:tr w:rsidR="003563BF" w:rsidRPr="003563BF" w14:paraId="37467F69" w14:textId="77777777" w:rsidTr="00E063A1">
        <w:trPr>
          <w:trHeight w:val="252"/>
        </w:trPr>
        <w:tc>
          <w:tcPr>
            <w:tcW w:w="1926" w:type="dxa"/>
            <w:noWrap/>
            <w:hideMark/>
          </w:tcPr>
          <w:p w14:paraId="198D87D1" w14:textId="77777777" w:rsidR="00835A65" w:rsidRPr="003563BF" w:rsidRDefault="00835A65" w:rsidP="00835A65">
            <w:pPr>
              <w:rPr>
                <w:rFonts w:ascii="Times New Roman" w:hAnsi="Times New Roman" w:cs="Times New Roman"/>
              </w:rPr>
            </w:pPr>
            <w:bookmarkStart w:id="57" w:name="_Hlk122262815"/>
            <w:proofErr w:type="spellStart"/>
            <w:r w:rsidRPr="003563BF">
              <w:rPr>
                <w:rFonts w:ascii="Times New Roman" w:hAnsi="Times New Roman" w:cs="Times New Roman"/>
              </w:rPr>
              <w:t>USD.Index</w:t>
            </w:r>
            <w:proofErr w:type="spellEnd"/>
            <w:r w:rsidRPr="003563BF">
              <w:rPr>
                <w:rFonts w:ascii="Times New Roman" w:hAnsi="Times New Roman" w:cs="Times New Roman"/>
              </w:rPr>
              <w:t>/LRC</w:t>
            </w:r>
          </w:p>
        </w:tc>
        <w:tc>
          <w:tcPr>
            <w:tcW w:w="1516" w:type="dxa"/>
            <w:noWrap/>
            <w:hideMark/>
          </w:tcPr>
          <w:p w14:paraId="65A02F1F"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0.99</w:t>
            </w:r>
          </w:p>
        </w:tc>
        <w:tc>
          <w:tcPr>
            <w:tcW w:w="1439" w:type="dxa"/>
            <w:noWrap/>
            <w:hideMark/>
          </w:tcPr>
          <w:p w14:paraId="4D3C9C11"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0.00</w:t>
            </w:r>
          </w:p>
        </w:tc>
        <w:tc>
          <w:tcPr>
            <w:tcW w:w="2022" w:type="dxa"/>
            <w:noWrap/>
            <w:hideMark/>
          </w:tcPr>
          <w:p w14:paraId="293C0FEB"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0.01</w:t>
            </w:r>
          </w:p>
        </w:tc>
        <w:tc>
          <w:tcPr>
            <w:tcW w:w="240" w:type="dxa"/>
            <w:noWrap/>
            <w:hideMark/>
          </w:tcPr>
          <w:p w14:paraId="003B78C0" w14:textId="77777777" w:rsidR="00835A65" w:rsidRPr="003563BF" w:rsidRDefault="00835A65" w:rsidP="00835A65">
            <w:pPr>
              <w:rPr>
                <w:rFonts w:ascii="Times New Roman" w:hAnsi="Times New Roman" w:cs="Times New Roman"/>
              </w:rPr>
            </w:pPr>
          </w:p>
        </w:tc>
        <w:tc>
          <w:tcPr>
            <w:tcW w:w="1795" w:type="dxa"/>
            <w:noWrap/>
            <w:hideMark/>
          </w:tcPr>
          <w:p w14:paraId="04941114" w14:textId="77777777" w:rsidR="00835A65" w:rsidRPr="003563BF" w:rsidRDefault="00835A65" w:rsidP="00835A65">
            <w:pPr>
              <w:rPr>
                <w:rFonts w:ascii="Times New Roman" w:hAnsi="Times New Roman" w:cs="Times New Roman"/>
              </w:rPr>
            </w:pPr>
            <w:bookmarkStart w:id="58" w:name="_Hlk122263480"/>
            <w:proofErr w:type="spellStart"/>
            <w:r w:rsidRPr="003563BF">
              <w:rPr>
                <w:rFonts w:ascii="Times New Roman" w:hAnsi="Times New Roman" w:cs="Times New Roman"/>
              </w:rPr>
              <w:t>USD.Index</w:t>
            </w:r>
            <w:proofErr w:type="spellEnd"/>
            <w:r w:rsidRPr="003563BF">
              <w:rPr>
                <w:rFonts w:ascii="Times New Roman" w:hAnsi="Times New Roman" w:cs="Times New Roman"/>
              </w:rPr>
              <w:t>/LEO</w:t>
            </w:r>
            <w:bookmarkEnd w:id="58"/>
          </w:p>
        </w:tc>
        <w:tc>
          <w:tcPr>
            <w:tcW w:w="1515" w:type="dxa"/>
            <w:noWrap/>
            <w:hideMark/>
          </w:tcPr>
          <w:p w14:paraId="3F5FF001"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0.98</w:t>
            </w:r>
          </w:p>
        </w:tc>
        <w:tc>
          <w:tcPr>
            <w:tcW w:w="1439" w:type="dxa"/>
            <w:noWrap/>
            <w:hideMark/>
          </w:tcPr>
          <w:p w14:paraId="5E872001"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0.00</w:t>
            </w:r>
          </w:p>
        </w:tc>
        <w:tc>
          <w:tcPr>
            <w:tcW w:w="2022" w:type="dxa"/>
            <w:noWrap/>
            <w:hideMark/>
          </w:tcPr>
          <w:p w14:paraId="00E39E8F"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0.04</w:t>
            </w:r>
          </w:p>
        </w:tc>
      </w:tr>
      <w:tr w:rsidR="003563BF" w:rsidRPr="003563BF" w14:paraId="7BE470F3" w14:textId="77777777" w:rsidTr="00E063A1">
        <w:trPr>
          <w:trHeight w:val="252"/>
        </w:trPr>
        <w:tc>
          <w:tcPr>
            <w:tcW w:w="1926" w:type="dxa"/>
            <w:noWrap/>
            <w:hideMark/>
          </w:tcPr>
          <w:p w14:paraId="2692A01C" w14:textId="77777777" w:rsidR="00835A65" w:rsidRPr="003563BF" w:rsidRDefault="00835A65" w:rsidP="00835A65">
            <w:pPr>
              <w:rPr>
                <w:rFonts w:ascii="Times New Roman" w:hAnsi="Times New Roman" w:cs="Times New Roman"/>
              </w:rPr>
            </w:pPr>
          </w:p>
        </w:tc>
        <w:tc>
          <w:tcPr>
            <w:tcW w:w="1516" w:type="dxa"/>
            <w:noWrap/>
            <w:hideMark/>
          </w:tcPr>
          <w:p w14:paraId="6215239E" w14:textId="77777777" w:rsidR="00835A65" w:rsidRPr="003563BF" w:rsidRDefault="00835A65" w:rsidP="00835A65">
            <w:pPr>
              <w:rPr>
                <w:rFonts w:ascii="Times New Roman" w:hAnsi="Times New Roman" w:cs="Times New Roman"/>
              </w:rPr>
            </w:pPr>
          </w:p>
        </w:tc>
        <w:tc>
          <w:tcPr>
            <w:tcW w:w="1439" w:type="dxa"/>
            <w:noWrap/>
            <w:hideMark/>
          </w:tcPr>
          <w:p w14:paraId="60044F3F" w14:textId="77777777" w:rsidR="00835A65" w:rsidRPr="003563BF" w:rsidRDefault="00835A65" w:rsidP="00835A65">
            <w:pPr>
              <w:rPr>
                <w:rFonts w:ascii="Times New Roman" w:hAnsi="Times New Roman" w:cs="Times New Roman"/>
              </w:rPr>
            </w:pPr>
          </w:p>
        </w:tc>
        <w:tc>
          <w:tcPr>
            <w:tcW w:w="2022" w:type="dxa"/>
            <w:noWrap/>
            <w:hideMark/>
          </w:tcPr>
          <w:p w14:paraId="2060FE7A" w14:textId="77777777" w:rsidR="00835A65" w:rsidRPr="003563BF" w:rsidRDefault="00835A65" w:rsidP="00835A65">
            <w:pPr>
              <w:rPr>
                <w:rFonts w:ascii="Times New Roman" w:hAnsi="Times New Roman" w:cs="Times New Roman"/>
              </w:rPr>
            </w:pPr>
          </w:p>
        </w:tc>
        <w:tc>
          <w:tcPr>
            <w:tcW w:w="240" w:type="dxa"/>
            <w:noWrap/>
            <w:hideMark/>
          </w:tcPr>
          <w:p w14:paraId="440F58F3" w14:textId="77777777" w:rsidR="00835A65" w:rsidRPr="003563BF" w:rsidRDefault="00835A65" w:rsidP="00835A65">
            <w:pPr>
              <w:rPr>
                <w:rFonts w:ascii="Times New Roman" w:hAnsi="Times New Roman" w:cs="Times New Roman"/>
              </w:rPr>
            </w:pPr>
          </w:p>
        </w:tc>
        <w:tc>
          <w:tcPr>
            <w:tcW w:w="1795" w:type="dxa"/>
            <w:noWrap/>
            <w:hideMark/>
          </w:tcPr>
          <w:p w14:paraId="1BD438D2" w14:textId="77777777" w:rsidR="00835A65" w:rsidRPr="003563BF" w:rsidRDefault="00835A65" w:rsidP="00835A65">
            <w:pPr>
              <w:rPr>
                <w:rFonts w:ascii="Times New Roman" w:hAnsi="Times New Roman" w:cs="Times New Roman"/>
              </w:rPr>
            </w:pPr>
          </w:p>
        </w:tc>
        <w:tc>
          <w:tcPr>
            <w:tcW w:w="1515" w:type="dxa"/>
            <w:noWrap/>
            <w:hideMark/>
          </w:tcPr>
          <w:p w14:paraId="3794A243" w14:textId="77777777" w:rsidR="00835A65" w:rsidRPr="003563BF" w:rsidRDefault="00835A65" w:rsidP="00835A65">
            <w:pPr>
              <w:rPr>
                <w:rFonts w:ascii="Times New Roman" w:hAnsi="Times New Roman" w:cs="Times New Roman"/>
              </w:rPr>
            </w:pPr>
          </w:p>
        </w:tc>
        <w:tc>
          <w:tcPr>
            <w:tcW w:w="1439" w:type="dxa"/>
            <w:noWrap/>
            <w:hideMark/>
          </w:tcPr>
          <w:p w14:paraId="5C21B33D" w14:textId="77777777" w:rsidR="00835A65" w:rsidRPr="003563BF" w:rsidRDefault="00835A65" w:rsidP="00835A65">
            <w:pPr>
              <w:rPr>
                <w:rFonts w:ascii="Times New Roman" w:hAnsi="Times New Roman" w:cs="Times New Roman"/>
              </w:rPr>
            </w:pPr>
          </w:p>
        </w:tc>
        <w:tc>
          <w:tcPr>
            <w:tcW w:w="2022" w:type="dxa"/>
            <w:noWrap/>
            <w:hideMark/>
          </w:tcPr>
          <w:p w14:paraId="13E60F44" w14:textId="77777777" w:rsidR="00835A65" w:rsidRPr="003563BF" w:rsidRDefault="00835A65" w:rsidP="00835A65">
            <w:pPr>
              <w:rPr>
                <w:rFonts w:ascii="Times New Roman" w:hAnsi="Times New Roman" w:cs="Times New Roman"/>
              </w:rPr>
            </w:pPr>
          </w:p>
        </w:tc>
      </w:tr>
      <w:bookmarkEnd w:id="53"/>
      <w:bookmarkEnd w:id="57"/>
      <w:tr w:rsidR="003563BF" w:rsidRPr="003563BF" w14:paraId="364137F8" w14:textId="77777777" w:rsidTr="00E063A1">
        <w:trPr>
          <w:trHeight w:val="252"/>
        </w:trPr>
        <w:tc>
          <w:tcPr>
            <w:tcW w:w="6904" w:type="dxa"/>
            <w:gridSpan w:val="4"/>
            <w:noWrap/>
          </w:tcPr>
          <w:p w14:paraId="05CE24E6" w14:textId="0D62560F" w:rsidR="00835A65" w:rsidRPr="003563BF" w:rsidRDefault="00835A65" w:rsidP="00835A65">
            <w:pPr>
              <w:rPr>
                <w:rFonts w:ascii="Times New Roman" w:hAnsi="Times New Roman" w:cs="Times New Roman"/>
                <w:b/>
                <w:bCs/>
              </w:rPr>
            </w:pPr>
            <w:r w:rsidRPr="003563BF">
              <w:rPr>
                <w:rFonts w:ascii="Times New Roman" w:hAnsi="Times New Roman" w:cs="Times New Roman"/>
                <w:b/>
                <w:bCs/>
              </w:rPr>
              <w:t xml:space="preserve">Panel C. </w:t>
            </w:r>
            <w:proofErr w:type="gramStart"/>
            <w:r w:rsidRPr="003563BF">
              <w:rPr>
                <w:rFonts w:ascii="Times New Roman" w:hAnsi="Times New Roman" w:cs="Times New Roman"/>
              </w:rPr>
              <w:t>Other</w:t>
            </w:r>
            <w:proofErr w:type="gramEnd"/>
            <w:r w:rsidRPr="003563BF">
              <w:rPr>
                <w:rFonts w:ascii="Times New Roman" w:hAnsi="Times New Roman" w:cs="Times New Roman"/>
              </w:rPr>
              <w:t xml:space="preserve"> asset</w:t>
            </w:r>
            <w:r w:rsidR="00233DAE">
              <w:rPr>
                <w:rFonts w:ascii="Times New Roman" w:hAnsi="Times New Roman" w:cs="Times New Roman"/>
              </w:rPr>
              <w:t>–</w:t>
            </w:r>
            <w:r w:rsidRPr="003563BF">
              <w:rPr>
                <w:rFonts w:ascii="Times New Roman" w:hAnsi="Times New Roman" w:cs="Times New Roman"/>
              </w:rPr>
              <w:t>GNO</w:t>
            </w:r>
          </w:p>
        </w:tc>
        <w:tc>
          <w:tcPr>
            <w:tcW w:w="240" w:type="dxa"/>
            <w:noWrap/>
          </w:tcPr>
          <w:p w14:paraId="506A4087" w14:textId="77777777" w:rsidR="00835A65" w:rsidRPr="003563BF" w:rsidRDefault="00835A65" w:rsidP="00835A65">
            <w:pPr>
              <w:rPr>
                <w:rFonts w:ascii="Times New Roman" w:hAnsi="Times New Roman" w:cs="Times New Roman"/>
              </w:rPr>
            </w:pPr>
          </w:p>
        </w:tc>
        <w:tc>
          <w:tcPr>
            <w:tcW w:w="6773" w:type="dxa"/>
            <w:gridSpan w:val="4"/>
            <w:noWrap/>
          </w:tcPr>
          <w:p w14:paraId="173A64FF" w14:textId="7E4A30F5" w:rsidR="00835A65" w:rsidRPr="003563BF" w:rsidRDefault="00835A65" w:rsidP="00835A65">
            <w:pPr>
              <w:rPr>
                <w:rFonts w:ascii="Times New Roman" w:hAnsi="Times New Roman" w:cs="Times New Roman"/>
                <w:b/>
                <w:bCs/>
              </w:rPr>
            </w:pPr>
            <w:r w:rsidRPr="003563BF">
              <w:rPr>
                <w:rFonts w:ascii="Times New Roman" w:hAnsi="Times New Roman" w:cs="Times New Roman"/>
                <w:b/>
                <w:bCs/>
              </w:rPr>
              <w:t xml:space="preserve">Panel F. </w:t>
            </w:r>
            <w:proofErr w:type="gramStart"/>
            <w:r w:rsidRPr="003563BF">
              <w:rPr>
                <w:rFonts w:ascii="Times New Roman" w:hAnsi="Times New Roman" w:cs="Times New Roman"/>
              </w:rPr>
              <w:t>Other</w:t>
            </w:r>
            <w:proofErr w:type="gramEnd"/>
            <w:r w:rsidRPr="003563BF">
              <w:rPr>
                <w:rFonts w:ascii="Times New Roman" w:hAnsi="Times New Roman" w:cs="Times New Roman"/>
              </w:rPr>
              <w:t xml:space="preserve"> asset</w:t>
            </w:r>
            <w:r w:rsidR="00233DAE">
              <w:rPr>
                <w:rFonts w:ascii="Times New Roman" w:hAnsi="Times New Roman" w:cs="Times New Roman"/>
              </w:rPr>
              <w:t>–</w:t>
            </w:r>
            <w:r w:rsidRPr="003563BF">
              <w:rPr>
                <w:rFonts w:ascii="Times New Roman" w:hAnsi="Times New Roman" w:cs="Times New Roman"/>
              </w:rPr>
              <w:t>FTT</w:t>
            </w:r>
          </w:p>
        </w:tc>
      </w:tr>
      <w:tr w:rsidR="003563BF" w:rsidRPr="003563BF" w14:paraId="5276E00A" w14:textId="77777777" w:rsidTr="00E063A1">
        <w:trPr>
          <w:trHeight w:val="252"/>
        </w:trPr>
        <w:tc>
          <w:tcPr>
            <w:tcW w:w="1926" w:type="dxa"/>
            <w:noWrap/>
            <w:hideMark/>
          </w:tcPr>
          <w:p w14:paraId="7F0CFACF"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Gold/GNO</w:t>
            </w:r>
          </w:p>
        </w:tc>
        <w:tc>
          <w:tcPr>
            <w:tcW w:w="1516" w:type="dxa"/>
            <w:noWrap/>
            <w:hideMark/>
          </w:tcPr>
          <w:p w14:paraId="2FFECF9C"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0.98</w:t>
            </w:r>
          </w:p>
        </w:tc>
        <w:tc>
          <w:tcPr>
            <w:tcW w:w="1439" w:type="dxa"/>
            <w:noWrap/>
            <w:hideMark/>
          </w:tcPr>
          <w:p w14:paraId="5D6F699D"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0.01</w:t>
            </w:r>
          </w:p>
        </w:tc>
        <w:tc>
          <w:tcPr>
            <w:tcW w:w="2022" w:type="dxa"/>
            <w:noWrap/>
            <w:hideMark/>
          </w:tcPr>
          <w:p w14:paraId="163392FD"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0.01</w:t>
            </w:r>
          </w:p>
        </w:tc>
        <w:tc>
          <w:tcPr>
            <w:tcW w:w="240" w:type="dxa"/>
            <w:noWrap/>
            <w:hideMark/>
          </w:tcPr>
          <w:p w14:paraId="539ABD6A" w14:textId="77777777" w:rsidR="00835A65" w:rsidRPr="003563BF" w:rsidRDefault="00835A65" w:rsidP="00835A65">
            <w:pPr>
              <w:rPr>
                <w:rFonts w:ascii="Times New Roman" w:hAnsi="Times New Roman" w:cs="Times New Roman"/>
              </w:rPr>
            </w:pPr>
          </w:p>
        </w:tc>
        <w:tc>
          <w:tcPr>
            <w:tcW w:w="1795" w:type="dxa"/>
            <w:noWrap/>
            <w:hideMark/>
          </w:tcPr>
          <w:p w14:paraId="72616C9D"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Gold/FTT</w:t>
            </w:r>
          </w:p>
        </w:tc>
        <w:tc>
          <w:tcPr>
            <w:tcW w:w="1515" w:type="dxa"/>
            <w:noWrap/>
            <w:hideMark/>
          </w:tcPr>
          <w:p w14:paraId="1E90AC76"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0.98</w:t>
            </w:r>
          </w:p>
        </w:tc>
        <w:tc>
          <w:tcPr>
            <w:tcW w:w="1439" w:type="dxa"/>
            <w:noWrap/>
            <w:hideMark/>
          </w:tcPr>
          <w:p w14:paraId="2F34F439"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0.02</w:t>
            </w:r>
          </w:p>
        </w:tc>
        <w:tc>
          <w:tcPr>
            <w:tcW w:w="2022" w:type="dxa"/>
            <w:noWrap/>
            <w:hideMark/>
          </w:tcPr>
          <w:p w14:paraId="1D8A01E1"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0.00</w:t>
            </w:r>
          </w:p>
        </w:tc>
      </w:tr>
      <w:tr w:rsidR="003563BF" w:rsidRPr="003563BF" w14:paraId="0984DB26" w14:textId="77777777" w:rsidTr="00E063A1">
        <w:trPr>
          <w:trHeight w:val="252"/>
        </w:trPr>
        <w:tc>
          <w:tcPr>
            <w:tcW w:w="1926" w:type="dxa"/>
            <w:noWrap/>
            <w:hideMark/>
          </w:tcPr>
          <w:p w14:paraId="357DCE87" w14:textId="34989EFC" w:rsidR="00835A65" w:rsidRPr="003563BF" w:rsidRDefault="00037A5A" w:rsidP="00835A65">
            <w:pPr>
              <w:rPr>
                <w:rFonts w:ascii="Times New Roman" w:hAnsi="Times New Roman" w:cs="Times New Roman"/>
              </w:rPr>
            </w:pPr>
            <w:bookmarkStart w:id="59" w:name="_Hlk122262748"/>
            <w:r w:rsidRPr="003563BF">
              <w:rPr>
                <w:rFonts w:ascii="Times New Roman" w:hAnsi="Times New Roman" w:cs="Times New Roman"/>
              </w:rPr>
              <w:t>Oil</w:t>
            </w:r>
            <w:r w:rsidR="00835A65" w:rsidRPr="003563BF">
              <w:rPr>
                <w:rFonts w:ascii="Times New Roman" w:hAnsi="Times New Roman" w:cs="Times New Roman"/>
              </w:rPr>
              <w:t>/GNO</w:t>
            </w:r>
            <w:bookmarkEnd w:id="59"/>
          </w:p>
        </w:tc>
        <w:tc>
          <w:tcPr>
            <w:tcW w:w="1516" w:type="dxa"/>
            <w:noWrap/>
            <w:hideMark/>
          </w:tcPr>
          <w:p w14:paraId="3668E44A"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0.75</w:t>
            </w:r>
          </w:p>
        </w:tc>
        <w:tc>
          <w:tcPr>
            <w:tcW w:w="1439" w:type="dxa"/>
            <w:noWrap/>
            <w:hideMark/>
          </w:tcPr>
          <w:p w14:paraId="710ABD27"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-0.04</w:t>
            </w:r>
          </w:p>
        </w:tc>
        <w:tc>
          <w:tcPr>
            <w:tcW w:w="2022" w:type="dxa"/>
            <w:noWrap/>
            <w:hideMark/>
          </w:tcPr>
          <w:p w14:paraId="44076BF1"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0.89</w:t>
            </w:r>
          </w:p>
        </w:tc>
        <w:tc>
          <w:tcPr>
            <w:tcW w:w="240" w:type="dxa"/>
            <w:noWrap/>
            <w:hideMark/>
          </w:tcPr>
          <w:p w14:paraId="6BC4D03E" w14:textId="77777777" w:rsidR="00835A65" w:rsidRPr="003563BF" w:rsidRDefault="00835A65" w:rsidP="00835A65">
            <w:pPr>
              <w:rPr>
                <w:rFonts w:ascii="Times New Roman" w:hAnsi="Times New Roman" w:cs="Times New Roman"/>
              </w:rPr>
            </w:pPr>
          </w:p>
        </w:tc>
        <w:tc>
          <w:tcPr>
            <w:tcW w:w="1795" w:type="dxa"/>
            <w:noWrap/>
            <w:hideMark/>
          </w:tcPr>
          <w:p w14:paraId="7875D69A" w14:textId="691A9271" w:rsidR="00835A65" w:rsidRPr="003563BF" w:rsidRDefault="00037A5A" w:rsidP="00835A65">
            <w:pPr>
              <w:rPr>
                <w:rFonts w:ascii="Times New Roman" w:hAnsi="Times New Roman" w:cs="Times New Roman"/>
              </w:rPr>
            </w:pPr>
            <w:r w:rsidRPr="003563BF">
              <w:rPr>
                <w:rFonts w:ascii="Times New Roman" w:hAnsi="Times New Roman" w:cs="Times New Roman"/>
              </w:rPr>
              <w:t>Oil</w:t>
            </w:r>
            <w:r w:rsidR="00835A65" w:rsidRPr="003563BF">
              <w:rPr>
                <w:rFonts w:ascii="Times New Roman" w:hAnsi="Times New Roman" w:cs="Times New Roman"/>
              </w:rPr>
              <w:t>/FTT</w:t>
            </w:r>
          </w:p>
        </w:tc>
        <w:tc>
          <w:tcPr>
            <w:tcW w:w="1515" w:type="dxa"/>
            <w:noWrap/>
            <w:hideMark/>
          </w:tcPr>
          <w:p w14:paraId="5BB6CA5B"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0.70</w:t>
            </w:r>
          </w:p>
        </w:tc>
        <w:tc>
          <w:tcPr>
            <w:tcW w:w="1439" w:type="dxa"/>
            <w:noWrap/>
            <w:hideMark/>
          </w:tcPr>
          <w:p w14:paraId="0E7DDB01"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0.12</w:t>
            </w:r>
          </w:p>
        </w:tc>
        <w:tc>
          <w:tcPr>
            <w:tcW w:w="2022" w:type="dxa"/>
            <w:noWrap/>
            <w:hideMark/>
          </w:tcPr>
          <w:p w14:paraId="0D4775F4"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0.94</w:t>
            </w:r>
          </w:p>
        </w:tc>
      </w:tr>
      <w:tr w:rsidR="003563BF" w:rsidRPr="003563BF" w14:paraId="4F482626" w14:textId="77777777" w:rsidTr="00E063A1">
        <w:trPr>
          <w:trHeight w:val="252"/>
        </w:trPr>
        <w:tc>
          <w:tcPr>
            <w:tcW w:w="1926" w:type="dxa"/>
            <w:noWrap/>
            <w:hideMark/>
          </w:tcPr>
          <w:p w14:paraId="48D7FB8C"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BTC/GNO</w:t>
            </w:r>
          </w:p>
        </w:tc>
        <w:tc>
          <w:tcPr>
            <w:tcW w:w="1516" w:type="dxa"/>
            <w:noWrap/>
            <w:hideMark/>
          </w:tcPr>
          <w:p w14:paraId="20DA1349"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0.84</w:t>
            </w:r>
          </w:p>
        </w:tc>
        <w:tc>
          <w:tcPr>
            <w:tcW w:w="1439" w:type="dxa"/>
            <w:noWrap/>
            <w:hideMark/>
          </w:tcPr>
          <w:p w14:paraId="6922A0CC"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0.42</w:t>
            </w:r>
          </w:p>
        </w:tc>
        <w:tc>
          <w:tcPr>
            <w:tcW w:w="2022" w:type="dxa"/>
            <w:noWrap/>
            <w:hideMark/>
          </w:tcPr>
          <w:p w14:paraId="707FA4AC"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0.05</w:t>
            </w:r>
          </w:p>
        </w:tc>
        <w:tc>
          <w:tcPr>
            <w:tcW w:w="240" w:type="dxa"/>
            <w:noWrap/>
            <w:hideMark/>
          </w:tcPr>
          <w:p w14:paraId="6BDD5045" w14:textId="77777777" w:rsidR="00835A65" w:rsidRPr="003563BF" w:rsidRDefault="00835A65" w:rsidP="00835A65">
            <w:pPr>
              <w:rPr>
                <w:rFonts w:ascii="Times New Roman" w:hAnsi="Times New Roman" w:cs="Times New Roman"/>
              </w:rPr>
            </w:pPr>
          </w:p>
        </w:tc>
        <w:tc>
          <w:tcPr>
            <w:tcW w:w="1795" w:type="dxa"/>
            <w:noWrap/>
            <w:hideMark/>
          </w:tcPr>
          <w:p w14:paraId="245D5596"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BTC/FTT</w:t>
            </w:r>
          </w:p>
        </w:tc>
        <w:tc>
          <w:tcPr>
            <w:tcW w:w="1515" w:type="dxa"/>
            <w:noWrap/>
            <w:hideMark/>
          </w:tcPr>
          <w:p w14:paraId="2BA93256"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0.73</w:t>
            </w:r>
          </w:p>
        </w:tc>
        <w:tc>
          <w:tcPr>
            <w:tcW w:w="1439" w:type="dxa"/>
            <w:noWrap/>
            <w:hideMark/>
          </w:tcPr>
          <w:p w14:paraId="14FCD4BA"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0.57</w:t>
            </w:r>
          </w:p>
        </w:tc>
        <w:tc>
          <w:tcPr>
            <w:tcW w:w="2022" w:type="dxa"/>
            <w:noWrap/>
            <w:hideMark/>
          </w:tcPr>
          <w:p w14:paraId="4279A1FC"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0.04</w:t>
            </w:r>
          </w:p>
        </w:tc>
      </w:tr>
      <w:tr w:rsidR="003563BF" w:rsidRPr="003563BF" w14:paraId="4C87AC68" w14:textId="77777777" w:rsidTr="00E063A1">
        <w:trPr>
          <w:trHeight w:val="252"/>
        </w:trPr>
        <w:tc>
          <w:tcPr>
            <w:tcW w:w="1926" w:type="dxa"/>
            <w:noWrap/>
            <w:hideMark/>
          </w:tcPr>
          <w:p w14:paraId="1DEC6556"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REIT/GNO</w:t>
            </w:r>
          </w:p>
        </w:tc>
        <w:tc>
          <w:tcPr>
            <w:tcW w:w="1516" w:type="dxa"/>
            <w:noWrap/>
            <w:hideMark/>
          </w:tcPr>
          <w:p w14:paraId="10F84C71"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0.97</w:t>
            </w:r>
          </w:p>
        </w:tc>
        <w:tc>
          <w:tcPr>
            <w:tcW w:w="1439" w:type="dxa"/>
            <w:noWrap/>
            <w:hideMark/>
          </w:tcPr>
          <w:p w14:paraId="2099475F"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0.04</w:t>
            </w:r>
          </w:p>
        </w:tc>
        <w:tc>
          <w:tcPr>
            <w:tcW w:w="2022" w:type="dxa"/>
            <w:noWrap/>
            <w:hideMark/>
          </w:tcPr>
          <w:p w14:paraId="3353C375"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0.05</w:t>
            </w:r>
          </w:p>
        </w:tc>
        <w:tc>
          <w:tcPr>
            <w:tcW w:w="240" w:type="dxa"/>
            <w:noWrap/>
            <w:hideMark/>
          </w:tcPr>
          <w:p w14:paraId="2F7E1EF8" w14:textId="77777777" w:rsidR="00835A65" w:rsidRPr="003563BF" w:rsidRDefault="00835A65" w:rsidP="00835A65">
            <w:pPr>
              <w:rPr>
                <w:rFonts w:ascii="Times New Roman" w:hAnsi="Times New Roman" w:cs="Times New Roman"/>
              </w:rPr>
            </w:pPr>
          </w:p>
        </w:tc>
        <w:tc>
          <w:tcPr>
            <w:tcW w:w="1795" w:type="dxa"/>
            <w:noWrap/>
            <w:hideMark/>
          </w:tcPr>
          <w:p w14:paraId="1476E42B"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REIT/FTT</w:t>
            </w:r>
          </w:p>
        </w:tc>
        <w:tc>
          <w:tcPr>
            <w:tcW w:w="1515" w:type="dxa"/>
            <w:noWrap/>
            <w:hideMark/>
          </w:tcPr>
          <w:p w14:paraId="301BF175"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0.95</w:t>
            </w:r>
          </w:p>
        </w:tc>
        <w:tc>
          <w:tcPr>
            <w:tcW w:w="1439" w:type="dxa"/>
            <w:noWrap/>
            <w:hideMark/>
          </w:tcPr>
          <w:p w14:paraId="3B0AD2F2"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0.04</w:t>
            </w:r>
          </w:p>
        </w:tc>
        <w:tc>
          <w:tcPr>
            <w:tcW w:w="2022" w:type="dxa"/>
            <w:noWrap/>
            <w:hideMark/>
          </w:tcPr>
          <w:p w14:paraId="294B65A8"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0.18</w:t>
            </w:r>
          </w:p>
        </w:tc>
      </w:tr>
      <w:tr w:rsidR="003563BF" w:rsidRPr="003563BF" w14:paraId="3B8E3070" w14:textId="77777777" w:rsidTr="00E063A1">
        <w:trPr>
          <w:trHeight w:val="252"/>
        </w:trPr>
        <w:tc>
          <w:tcPr>
            <w:tcW w:w="1926" w:type="dxa"/>
            <w:noWrap/>
            <w:hideMark/>
          </w:tcPr>
          <w:p w14:paraId="0BEDEB79" w14:textId="77777777" w:rsidR="00835A65" w:rsidRPr="003563BF" w:rsidRDefault="00835A65" w:rsidP="00835A65">
            <w:pPr>
              <w:rPr>
                <w:rFonts w:ascii="Times New Roman" w:hAnsi="Times New Roman" w:cs="Times New Roman"/>
              </w:rPr>
            </w:pPr>
            <w:bookmarkStart w:id="60" w:name="_Hlk122164456"/>
            <w:r w:rsidRPr="003563BF">
              <w:rPr>
                <w:rFonts w:ascii="Times New Roman" w:hAnsi="Times New Roman" w:cs="Times New Roman"/>
              </w:rPr>
              <w:t>Equity/GNO</w:t>
            </w:r>
          </w:p>
        </w:tc>
        <w:tc>
          <w:tcPr>
            <w:tcW w:w="1516" w:type="dxa"/>
            <w:noWrap/>
            <w:hideMark/>
          </w:tcPr>
          <w:p w14:paraId="416F44B1"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0.99</w:t>
            </w:r>
          </w:p>
        </w:tc>
        <w:tc>
          <w:tcPr>
            <w:tcW w:w="1439" w:type="dxa"/>
            <w:noWrap/>
            <w:hideMark/>
          </w:tcPr>
          <w:p w14:paraId="64AB1BEE"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0.04</w:t>
            </w:r>
          </w:p>
        </w:tc>
        <w:tc>
          <w:tcPr>
            <w:tcW w:w="2022" w:type="dxa"/>
            <w:noWrap/>
            <w:hideMark/>
          </w:tcPr>
          <w:p w14:paraId="135B6D4E"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-0.02</w:t>
            </w:r>
          </w:p>
        </w:tc>
        <w:tc>
          <w:tcPr>
            <w:tcW w:w="240" w:type="dxa"/>
            <w:noWrap/>
            <w:hideMark/>
          </w:tcPr>
          <w:p w14:paraId="357CF5C5" w14:textId="77777777" w:rsidR="00835A65" w:rsidRPr="003563BF" w:rsidRDefault="00835A65" w:rsidP="00835A65">
            <w:pPr>
              <w:rPr>
                <w:rFonts w:ascii="Times New Roman" w:hAnsi="Times New Roman" w:cs="Times New Roman"/>
              </w:rPr>
            </w:pPr>
          </w:p>
        </w:tc>
        <w:tc>
          <w:tcPr>
            <w:tcW w:w="1795" w:type="dxa"/>
            <w:noWrap/>
            <w:hideMark/>
          </w:tcPr>
          <w:p w14:paraId="15ED5565"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Equity/FTT</w:t>
            </w:r>
          </w:p>
        </w:tc>
        <w:tc>
          <w:tcPr>
            <w:tcW w:w="1515" w:type="dxa"/>
            <w:noWrap/>
            <w:hideMark/>
          </w:tcPr>
          <w:p w14:paraId="4CF1BA77"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0.99</w:t>
            </w:r>
          </w:p>
        </w:tc>
        <w:tc>
          <w:tcPr>
            <w:tcW w:w="1439" w:type="dxa"/>
            <w:noWrap/>
            <w:hideMark/>
          </w:tcPr>
          <w:p w14:paraId="708B389A"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0.05</w:t>
            </w:r>
          </w:p>
        </w:tc>
        <w:tc>
          <w:tcPr>
            <w:tcW w:w="2022" w:type="dxa"/>
            <w:noWrap/>
            <w:hideMark/>
          </w:tcPr>
          <w:p w14:paraId="28074FD4"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0.02</w:t>
            </w:r>
          </w:p>
        </w:tc>
      </w:tr>
      <w:tr w:rsidR="003563BF" w:rsidRPr="003563BF" w14:paraId="3D48ADEC" w14:textId="77777777" w:rsidTr="00E063A1">
        <w:trPr>
          <w:trHeight w:val="252"/>
        </w:trPr>
        <w:tc>
          <w:tcPr>
            <w:tcW w:w="1926" w:type="dxa"/>
            <w:noWrap/>
            <w:hideMark/>
          </w:tcPr>
          <w:p w14:paraId="58E509E9" w14:textId="77777777" w:rsidR="00835A65" w:rsidRPr="003563BF" w:rsidRDefault="00835A65" w:rsidP="00835A65">
            <w:pPr>
              <w:rPr>
                <w:rFonts w:ascii="Times New Roman" w:hAnsi="Times New Roman" w:cs="Times New Roman"/>
              </w:rPr>
            </w:pPr>
            <w:bookmarkStart w:id="61" w:name="_Hlk122260437"/>
            <w:bookmarkStart w:id="62" w:name="_Hlk122260691"/>
            <w:bookmarkEnd w:id="60"/>
            <w:r w:rsidRPr="003563BF">
              <w:rPr>
                <w:rFonts w:ascii="Times New Roman" w:hAnsi="Times New Roman" w:cs="Times New Roman"/>
              </w:rPr>
              <w:t>Bond/GNO</w:t>
            </w:r>
            <w:bookmarkEnd w:id="61"/>
          </w:p>
        </w:tc>
        <w:tc>
          <w:tcPr>
            <w:tcW w:w="1516" w:type="dxa"/>
            <w:noWrap/>
            <w:hideMark/>
          </w:tcPr>
          <w:p w14:paraId="65BA0596"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0.99</w:t>
            </w:r>
          </w:p>
        </w:tc>
        <w:tc>
          <w:tcPr>
            <w:tcW w:w="1439" w:type="dxa"/>
            <w:noWrap/>
            <w:hideMark/>
          </w:tcPr>
          <w:p w14:paraId="2C753272"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0.01</w:t>
            </w:r>
          </w:p>
        </w:tc>
        <w:tc>
          <w:tcPr>
            <w:tcW w:w="2022" w:type="dxa"/>
            <w:noWrap/>
            <w:hideMark/>
          </w:tcPr>
          <w:p w14:paraId="271D08EC"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0.14</w:t>
            </w:r>
          </w:p>
        </w:tc>
        <w:tc>
          <w:tcPr>
            <w:tcW w:w="240" w:type="dxa"/>
            <w:noWrap/>
            <w:hideMark/>
          </w:tcPr>
          <w:p w14:paraId="1FEC007B" w14:textId="77777777" w:rsidR="00835A65" w:rsidRPr="003563BF" w:rsidRDefault="00835A65" w:rsidP="00835A65">
            <w:pPr>
              <w:rPr>
                <w:rFonts w:ascii="Times New Roman" w:hAnsi="Times New Roman" w:cs="Times New Roman"/>
              </w:rPr>
            </w:pPr>
          </w:p>
        </w:tc>
        <w:tc>
          <w:tcPr>
            <w:tcW w:w="1795" w:type="dxa"/>
            <w:noWrap/>
            <w:hideMark/>
          </w:tcPr>
          <w:p w14:paraId="3BDB31BF"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Bond/FTT</w:t>
            </w:r>
          </w:p>
        </w:tc>
        <w:tc>
          <w:tcPr>
            <w:tcW w:w="1515" w:type="dxa"/>
            <w:noWrap/>
            <w:hideMark/>
          </w:tcPr>
          <w:p w14:paraId="631035AA"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0.99</w:t>
            </w:r>
          </w:p>
        </w:tc>
        <w:tc>
          <w:tcPr>
            <w:tcW w:w="1439" w:type="dxa"/>
            <w:noWrap/>
            <w:hideMark/>
          </w:tcPr>
          <w:p w14:paraId="7FE7AD52"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0.01</w:t>
            </w:r>
          </w:p>
        </w:tc>
        <w:tc>
          <w:tcPr>
            <w:tcW w:w="2022" w:type="dxa"/>
            <w:noWrap/>
            <w:hideMark/>
          </w:tcPr>
          <w:p w14:paraId="75F11893"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0.14</w:t>
            </w:r>
          </w:p>
        </w:tc>
      </w:tr>
      <w:tr w:rsidR="003563BF" w:rsidRPr="003563BF" w14:paraId="6262C47F" w14:textId="77777777" w:rsidTr="00E063A1">
        <w:trPr>
          <w:trHeight w:val="252"/>
        </w:trPr>
        <w:tc>
          <w:tcPr>
            <w:tcW w:w="1926" w:type="dxa"/>
            <w:noWrap/>
            <w:hideMark/>
          </w:tcPr>
          <w:p w14:paraId="28450D94" w14:textId="14F49827" w:rsidR="00835A65" w:rsidRPr="003563BF" w:rsidRDefault="00835A65" w:rsidP="00835A65">
            <w:pPr>
              <w:rPr>
                <w:rFonts w:ascii="Times New Roman" w:hAnsi="Times New Roman" w:cs="Times New Roman"/>
              </w:rPr>
            </w:pPr>
            <w:bookmarkStart w:id="63" w:name="_Hlk122262916"/>
            <w:bookmarkEnd w:id="62"/>
            <w:proofErr w:type="spellStart"/>
            <w:r w:rsidRPr="003563BF">
              <w:rPr>
                <w:rFonts w:ascii="Times New Roman" w:hAnsi="Times New Roman" w:cs="Times New Roman"/>
              </w:rPr>
              <w:t>USD.Index</w:t>
            </w:r>
            <w:proofErr w:type="spellEnd"/>
            <w:r w:rsidRPr="003563BF">
              <w:rPr>
                <w:rFonts w:ascii="Times New Roman" w:hAnsi="Times New Roman" w:cs="Times New Roman"/>
              </w:rPr>
              <w:t>/GNO</w:t>
            </w:r>
            <w:bookmarkEnd w:id="63"/>
          </w:p>
        </w:tc>
        <w:tc>
          <w:tcPr>
            <w:tcW w:w="1516" w:type="dxa"/>
            <w:noWrap/>
            <w:hideMark/>
          </w:tcPr>
          <w:p w14:paraId="7C26AE3E"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0.99</w:t>
            </w:r>
          </w:p>
        </w:tc>
        <w:tc>
          <w:tcPr>
            <w:tcW w:w="1439" w:type="dxa"/>
            <w:noWrap/>
            <w:hideMark/>
          </w:tcPr>
          <w:p w14:paraId="72F78BAA"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0.00</w:t>
            </w:r>
          </w:p>
        </w:tc>
        <w:tc>
          <w:tcPr>
            <w:tcW w:w="2022" w:type="dxa"/>
            <w:noWrap/>
            <w:hideMark/>
          </w:tcPr>
          <w:p w14:paraId="1DB5DE70"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0.01</w:t>
            </w:r>
          </w:p>
        </w:tc>
        <w:tc>
          <w:tcPr>
            <w:tcW w:w="240" w:type="dxa"/>
            <w:noWrap/>
            <w:hideMark/>
          </w:tcPr>
          <w:p w14:paraId="652334E5" w14:textId="77777777" w:rsidR="00835A65" w:rsidRPr="003563BF" w:rsidRDefault="00835A65" w:rsidP="00835A65">
            <w:pPr>
              <w:rPr>
                <w:rFonts w:ascii="Times New Roman" w:hAnsi="Times New Roman" w:cs="Times New Roman"/>
              </w:rPr>
            </w:pPr>
          </w:p>
        </w:tc>
        <w:tc>
          <w:tcPr>
            <w:tcW w:w="1795" w:type="dxa"/>
            <w:noWrap/>
            <w:hideMark/>
          </w:tcPr>
          <w:p w14:paraId="12B1169A" w14:textId="2BE2E596" w:rsidR="00835A65" w:rsidRPr="003563BF" w:rsidRDefault="00835A65" w:rsidP="00835A65">
            <w:pPr>
              <w:rPr>
                <w:rFonts w:ascii="Times New Roman" w:hAnsi="Times New Roman" w:cs="Times New Roman"/>
              </w:rPr>
            </w:pPr>
            <w:bookmarkStart w:id="64" w:name="_Hlk122263515"/>
            <w:proofErr w:type="spellStart"/>
            <w:r w:rsidRPr="003563BF">
              <w:rPr>
                <w:rFonts w:ascii="Times New Roman" w:hAnsi="Times New Roman" w:cs="Times New Roman"/>
              </w:rPr>
              <w:t>USD.Index</w:t>
            </w:r>
            <w:proofErr w:type="spellEnd"/>
            <w:r w:rsidRPr="003563BF">
              <w:rPr>
                <w:rFonts w:ascii="Times New Roman" w:hAnsi="Times New Roman" w:cs="Times New Roman"/>
              </w:rPr>
              <w:t>/FTT</w:t>
            </w:r>
            <w:bookmarkEnd w:id="64"/>
          </w:p>
        </w:tc>
        <w:tc>
          <w:tcPr>
            <w:tcW w:w="1515" w:type="dxa"/>
            <w:noWrap/>
            <w:hideMark/>
          </w:tcPr>
          <w:p w14:paraId="2EBCCA84"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0.99</w:t>
            </w:r>
          </w:p>
        </w:tc>
        <w:tc>
          <w:tcPr>
            <w:tcW w:w="1439" w:type="dxa"/>
            <w:noWrap/>
            <w:hideMark/>
          </w:tcPr>
          <w:p w14:paraId="1BB2091D"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-0.01</w:t>
            </w:r>
          </w:p>
        </w:tc>
        <w:tc>
          <w:tcPr>
            <w:tcW w:w="2022" w:type="dxa"/>
            <w:noWrap/>
            <w:hideMark/>
          </w:tcPr>
          <w:p w14:paraId="18146B3D" w14:textId="77777777" w:rsidR="00835A65" w:rsidRPr="003563BF" w:rsidRDefault="00835A65" w:rsidP="00835A65">
            <w:pPr>
              <w:rPr>
                <w:rFonts w:ascii="Times New Roman" w:hAnsi="Times New Roman" w:cs="Times New Roman"/>
              </w:rPr>
            </w:pPr>
            <w:r w:rsidRPr="003563BF">
              <w:rPr>
                <w:rFonts w:ascii="Times New Roman" w:hAnsi="Times New Roman" w:cs="Times New Roman"/>
              </w:rPr>
              <w:t>0.03</w:t>
            </w:r>
          </w:p>
        </w:tc>
      </w:tr>
    </w:tbl>
    <w:p w14:paraId="165FEBE3" w14:textId="7F4527CD" w:rsidR="006E700E" w:rsidRDefault="00835A65" w:rsidP="00E61298">
      <w:pPr>
        <w:spacing w:after="0" w:line="240" w:lineRule="auto"/>
        <w:jc w:val="both"/>
        <w:rPr>
          <w:rFonts w:ascii="Times New Roman" w:eastAsia="Times New Roman" w:hAnsi="Times New Roman" w:cs="Times New Roman"/>
          <w:sz w:val="18"/>
          <w:szCs w:val="18"/>
        </w:rPr>
      </w:pPr>
      <w:r w:rsidRPr="0065228D">
        <w:rPr>
          <w:rFonts w:ascii="Times New Roman" w:hAnsi="Times New Roman" w:cs="Times New Roman"/>
          <w:sz w:val="18"/>
          <w:szCs w:val="18"/>
        </w:rPr>
        <w:t>Notes: DEX- Decentralized Exchange, CEX- Centralized Exchange, RUNE-</w:t>
      </w:r>
      <w:r w:rsidR="00DB564B">
        <w:rPr>
          <w:rFonts w:ascii="Times New Roman" w:hAnsi="Times New Roman" w:cs="Times New Roman"/>
          <w:sz w:val="18"/>
          <w:szCs w:val="18"/>
        </w:rPr>
        <w:t xml:space="preserve"> </w:t>
      </w:r>
      <w:proofErr w:type="spellStart"/>
      <w:r w:rsidRPr="0065228D">
        <w:rPr>
          <w:rFonts w:ascii="Times New Roman" w:hAnsi="Times New Roman" w:cs="Times New Roman"/>
          <w:sz w:val="18"/>
          <w:szCs w:val="18"/>
        </w:rPr>
        <w:t>THORChain</w:t>
      </w:r>
      <w:proofErr w:type="spellEnd"/>
      <w:r w:rsidRPr="0065228D">
        <w:rPr>
          <w:rFonts w:ascii="Times New Roman" w:hAnsi="Times New Roman" w:cs="Times New Roman"/>
          <w:sz w:val="18"/>
          <w:szCs w:val="18"/>
        </w:rPr>
        <w:t>, LRC-</w:t>
      </w:r>
      <w:r w:rsidR="00DB564B">
        <w:rPr>
          <w:rFonts w:ascii="Times New Roman" w:hAnsi="Times New Roman" w:cs="Times New Roman"/>
          <w:sz w:val="18"/>
          <w:szCs w:val="18"/>
        </w:rPr>
        <w:t xml:space="preserve"> </w:t>
      </w:r>
      <w:proofErr w:type="spellStart"/>
      <w:r w:rsidRPr="0065228D">
        <w:rPr>
          <w:rFonts w:ascii="Times New Roman" w:hAnsi="Times New Roman" w:cs="Times New Roman"/>
          <w:sz w:val="18"/>
          <w:szCs w:val="18"/>
        </w:rPr>
        <w:t>Loopring</w:t>
      </w:r>
      <w:proofErr w:type="spellEnd"/>
      <w:r w:rsidRPr="0065228D">
        <w:rPr>
          <w:rFonts w:ascii="Times New Roman" w:hAnsi="Times New Roman" w:cs="Times New Roman"/>
          <w:sz w:val="18"/>
          <w:szCs w:val="18"/>
        </w:rPr>
        <w:t>, GNO-</w:t>
      </w:r>
      <w:r w:rsidR="00DB564B">
        <w:rPr>
          <w:rFonts w:ascii="Times New Roman" w:hAnsi="Times New Roman" w:cs="Times New Roman"/>
          <w:sz w:val="18"/>
          <w:szCs w:val="18"/>
        </w:rPr>
        <w:t xml:space="preserve"> </w:t>
      </w:r>
      <w:r w:rsidRPr="0065228D">
        <w:rPr>
          <w:rFonts w:ascii="Times New Roman" w:hAnsi="Times New Roman" w:cs="Times New Roman"/>
          <w:sz w:val="18"/>
          <w:szCs w:val="18"/>
        </w:rPr>
        <w:t>Gnosis, BNB-</w:t>
      </w:r>
      <w:r w:rsidR="00DB564B">
        <w:rPr>
          <w:rFonts w:ascii="Times New Roman" w:hAnsi="Times New Roman" w:cs="Times New Roman"/>
          <w:sz w:val="18"/>
          <w:szCs w:val="18"/>
        </w:rPr>
        <w:t xml:space="preserve"> </w:t>
      </w:r>
      <w:proofErr w:type="spellStart"/>
      <w:r w:rsidRPr="0065228D">
        <w:rPr>
          <w:rFonts w:ascii="Times New Roman" w:hAnsi="Times New Roman" w:cs="Times New Roman"/>
          <w:sz w:val="18"/>
          <w:szCs w:val="18"/>
        </w:rPr>
        <w:t>Binance</w:t>
      </w:r>
      <w:proofErr w:type="spellEnd"/>
      <w:r w:rsidRPr="0065228D">
        <w:rPr>
          <w:rFonts w:ascii="Times New Roman" w:hAnsi="Times New Roman" w:cs="Times New Roman"/>
          <w:sz w:val="18"/>
          <w:szCs w:val="18"/>
        </w:rPr>
        <w:t xml:space="preserve"> Coin, LEO-</w:t>
      </w:r>
      <w:r w:rsidR="00DB564B">
        <w:rPr>
          <w:rFonts w:ascii="Times New Roman" w:hAnsi="Times New Roman" w:cs="Times New Roman"/>
          <w:sz w:val="18"/>
          <w:szCs w:val="18"/>
        </w:rPr>
        <w:t xml:space="preserve"> </w:t>
      </w:r>
      <w:r w:rsidRPr="0065228D">
        <w:rPr>
          <w:rFonts w:ascii="Times New Roman" w:hAnsi="Times New Roman" w:cs="Times New Roman"/>
          <w:sz w:val="18"/>
          <w:szCs w:val="18"/>
        </w:rPr>
        <w:t>UNUS SED LEO, FTT-</w:t>
      </w:r>
      <w:r w:rsidR="00DB564B">
        <w:rPr>
          <w:rFonts w:ascii="Times New Roman" w:hAnsi="Times New Roman" w:cs="Times New Roman"/>
          <w:sz w:val="18"/>
          <w:szCs w:val="18"/>
        </w:rPr>
        <w:t xml:space="preserve"> </w:t>
      </w:r>
      <w:r w:rsidRPr="0065228D">
        <w:rPr>
          <w:rFonts w:ascii="Times New Roman" w:hAnsi="Times New Roman" w:cs="Times New Roman"/>
          <w:sz w:val="18"/>
          <w:szCs w:val="18"/>
        </w:rPr>
        <w:t>FTX Token, BTC-</w:t>
      </w:r>
      <w:r w:rsidR="00DB564B">
        <w:rPr>
          <w:rFonts w:ascii="Times New Roman" w:hAnsi="Times New Roman" w:cs="Times New Roman"/>
          <w:sz w:val="18"/>
          <w:szCs w:val="18"/>
        </w:rPr>
        <w:t xml:space="preserve"> </w:t>
      </w:r>
      <w:r w:rsidRPr="0065228D">
        <w:rPr>
          <w:rFonts w:ascii="Times New Roman" w:hAnsi="Times New Roman" w:cs="Times New Roman"/>
          <w:sz w:val="18"/>
          <w:szCs w:val="18"/>
        </w:rPr>
        <w:t xml:space="preserve">Bitcoin. </w:t>
      </w:r>
      <m:oMath>
        <m:sSubSup>
          <m:sSubSupPr>
            <m:ctrlPr>
              <w:rPr>
                <w:rFonts w:ascii="Cambria Math" w:hAnsi="Cambria Math" w:cs="Times New Roman"/>
                <w:i/>
                <w:sz w:val="18"/>
                <w:szCs w:val="18"/>
              </w:rPr>
            </m:ctrlPr>
          </m:sSubSupPr>
          <m:e>
            <m:r>
              <w:rPr>
                <w:rFonts w:ascii="Cambria Math" w:hAnsi="Cambria Math" w:cs="Times New Roman"/>
                <w:sz w:val="18"/>
                <w:szCs w:val="18"/>
              </w:rPr>
              <m:t>w</m:t>
            </m:r>
          </m:e>
          <m:sub>
            <m:r>
              <w:rPr>
                <w:rFonts w:ascii="Cambria Math" w:hAnsi="Cambria Math" w:cs="Times New Roman"/>
                <w:sz w:val="18"/>
                <w:szCs w:val="18"/>
              </w:rPr>
              <m:t>t</m:t>
            </m:r>
          </m:sub>
          <m:sup>
            <m:r>
              <w:rPr>
                <w:rFonts w:ascii="Cambria Math" w:hAnsi="Cambria Math" w:cs="Times New Roman"/>
                <w:sz w:val="18"/>
                <w:szCs w:val="18"/>
              </w:rPr>
              <m:t>OD</m:t>
            </m:r>
          </m:sup>
        </m:sSubSup>
      </m:oMath>
      <w:r w:rsidRPr="0065228D">
        <w:rPr>
          <w:rFonts w:ascii="Times New Roman" w:eastAsiaTheme="minorEastAsia" w:hAnsi="Times New Roman" w:cs="Times New Roman"/>
          <w:sz w:val="18"/>
          <w:szCs w:val="18"/>
        </w:rPr>
        <w:t xml:space="preserve"> </w:t>
      </w:r>
      <w:r w:rsidRPr="0065228D">
        <w:rPr>
          <w:rFonts w:ascii="Times New Roman" w:eastAsia="Times New Roman" w:hAnsi="Times New Roman" w:cs="Times New Roman"/>
          <w:sz w:val="18"/>
          <w:szCs w:val="18"/>
        </w:rPr>
        <w:t xml:space="preserve">is the weight of </w:t>
      </w:r>
      <m:oMath>
        <m:r>
          <w:rPr>
            <w:rFonts w:ascii="Cambria Math" w:eastAsia="Times New Roman" w:hAnsi="Cambria Math" w:cs="Times New Roman"/>
            <w:sz w:val="18"/>
            <w:szCs w:val="18"/>
          </w:rPr>
          <m:t>O</m:t>
        </m:r>
      </m:oMath>
      <w:r w:rsidRPr="0065228D">
        <w:rPr>
          <w:rFonts w:ascii="Times New Roman" w:eastAsia="Times New Roman" w:hAnsi="Times New Roman" w:cs="Times New Roman"/>
          <w:sz w:val="18"/>
          <w:szCs w:val="18"/>
        </w:rPr>
        <w:t xml:space="preserve"> (other asset) in a one-dollar portfolio of O (other asset) and D (DEX token) at time t, whereas 1</w:t>
      </w:r>
      <w:r w:rsidRPr="0065228D">
        <w:rPr>
          <w:rFonts w:ascii="Times New Roman" w:eastAsia="Times New Roman" w:hAnsi="Times New Roman" w:cs="Times New Roman"/>
          <w:sz w:val="18"/>
          <w:szCs w:val="18"/>
          <w:lang w:val="en-GB"/>
        </w:rPr>
        <w:t>-</w:t>
      </w:r>
      <m:oMath>
        <m:sSubSup>
          <m:sSubSupPr>
            <m:ctrlPr>
              <w:rPr>
                <w:rFonts w:ascii="Cambria Math" w:hAnsi="Cambria Math" w:cs="Times New Roman"/>
                <w:i/>
                <w:sz w:val="18"/>
                <w:szCs w:val="18"/>
              </w:rPr>
            </m:ctrlPr>
          </m:sSubSupPr>
          <m:e>
            <m:r>
              <w:rPr>
                <w:rFonts w:ascii="Cambria Math" w:hAnsi="Cambria Math" w:cs="Times New Roman"/>
                <w:sz w:val="18"/>
                <w:szCs w:val="18"/>
              </w:rPr>
              <m:t>w</m:t>
            </m:r>
          </m:e>
          <m:sub>
            <m:r>
              <w:rPr>
                <w:rFonts w:ascii="Cambria Math" w:hAnsi="Cambria Math" w:cs="Times New Roman"/>
                <w:sz w:val="18"/>
                <w:szCs w:val="18"/>
              </w:rPr>
              <m:t>t</m:t>
            </m:r>
          </m:sub>
          <m:sup>
            <m:r>
              <w:rPr>
                <w:rFonts w:ascii="Cambria Math" w:hAnsi="Cambria Math" w:cs="Times New Roman"/>
                <w:sz w:val="18"/>
                <w:szCs w:val="18"/>
              </w:rPr>
              <m:t>OD</m:t>
            </m:r>
          </m:sup>
        </m:sSubSup>
      </m:oMath>
      <w:r w:rsidRPr="0065228D">
        <w:rPr>
          <w:rFonts w:ascii="Times New Roman" w:eastAsia="Times New Roman" w:hAnsi="Times New Roman" w:cs="Times New Roman"/>
          <w:sz w:val="18"/>
          <w:szCs w:val="18"/>
          <w:lang w:val="en-GB"/>
        </w:rPr>
        <w:t xml:space="preserve"> is the weight of </w:t>
      </w:r>
      <m:oMath>
        <m:r>
          <w:rPr>
            <w:rFonts w:ascii="Cambria Math" w:eastAsia="Calibri" w:hAnsi="Cambria Math" w:cs="Times New Roman"/>
            <w:sz w:val="18"/>
            <w:szCs w:val="18"/>
            <w:lang w:val="en-GB"/>
          </w:rPr>
          <m:t>D</m:t>
        </m:r>
      </m:oMath>
      <w:r w:rsidRPr="0065228D">
        <w:rPr>
          <w:rFonts w:ascii="Times New Roman" w:eastAsia="Times New Roman" w:hAnsi="Times New Roman" w:cs="Times New Roman"/>
          <w:sz w:val="18"/>
          <w:szCs w:val="18"/>
          <w:lang w:val="en-GB"/>
        </w:rPr>
        <w:t xml:space="preserve"> (DEX token) in a one-dollar portfolio of </w:t>
      </w:r>
      <w:r w:rsidRPr="0065228D">
        <w:rPr>
          <w:rFonts w:ascii="Times New Roman" w:eastAsia="Times New Roman" w:hAnsi="Times New Roman" w:cs="Times New Roman"/>
          <w:sz w:val="18"/>
          <w:szCs w:val="18"/>
        </w:rPr>
        <w:t>O (other asset) and D (DEX token) at time t</w:t>
      </w:r>
      <w:r w:rsidRPr="0065228D">
        <w:rPr>
          <w:rFonts w:ascii="Times New Roman" w:eastAsia="Times New Roman" w:hAnsi="Times New Roman" w:cs="Times New Roman"/>
          <w:sz w:val="18"/>
          <w:szCs w:val="18"/>
          <w:lang w:val="en-GB"/>
        </w:rPr>
        <w:t>.</w:t>
      </w:r>
      <w:r w:rsidRPr="0065228D">
        <w:rPr>
          <w:rFonts w:ascii="Times New Roman" w:hAnsi="Times New Roman" w:cs="Times New Roman"/>
          <w:sz w:val="18"/>
          <w:szCs w:val="18"/>
        </w:rPr>
        <w:t xml:space="preserve"> </w:t>
      </w:r>
      <m:oMath>
        <m:sSubSup>
          <m:sSubSupPr>
            <m:ctrlPr>
              <w:rPr>
                <w:rFonts w:ascii="Cambria Math" w:hAnsi="Cambria Math" w:cs="Times New Roman"/>
                <w:i/>
                <w:sz w:val="18"/>
                <w:szCs w:val="18"/>
              </w:rPr>
            </m:ctrlPr>
          </m:sSubSupPr>
          <m:e>
            <m:r>
              <w:rPr>
                <w:rFonts w:ascii="Cambria Math" w:hAnsi="Cambria Math" w:cs="Times New Roman"/>
                <w:sz w:val="18"/>
                <w:szCs w:val="18"/>
              </w:rPr>
              <m:t>w</m:t>
            </m:r>
          </m:e>
          <m:sub>
            <m:r>
              <w:rPr>
                <w:rFonts w:ascii="Cambria Math" w:hAnsi="Cambria Math" w:cs="Times New Roman"/>
                <w:sz w:val="18"/>
                <w:szCs w:val="18"/>
              </w:rPr>
              <m:t>t</m:t>
            </m:r>
          </m:sub>
          <m:sup>
            <m:r>
              <w:rPr>
                <w:rFonts w:ascii="Cambria Math" w:hAnsi="Cambria Math" w:cs="Times New Roman"/>
                <w:sz w:val="18"/>
                <w:szCs w:val="18"/>
              </w:rPr>
              <m:t>OC</m:t>
            </m:r>
          </m:sup>
        </m:sSubSup>
      </m:oMath>
      <w:r w:rsidRPr="0065228D">
        <w:rPr>
          <w:rFonts w:ascii="Times New Roman" w:eastAsiaTheme="minorEastAsia" w:hAnsi="Times New Roman" w:cs="Times New Roman"/>
          <w:sz w:val="18"/>
          <w:szCs w:val="18"/>
        </w:rPr>
        <w:t xml:space="preserve"> </w:t>
      </w:r>
      <w:r w:rsidRPr="0065228D">
        <w:rPr>
          <w:rFonts w:ascii="Times New Roman" w:eastAsia="Times New Roman" w:hAnsi="Times New Roman" w:cs="Times New Roman"/>
          <w:sz w:val="18"/>
          <w:szCs w:val="18"/>
        </w:rPr>
        <w:t xml:space="preserve">is the weight of </w:t>
      </w:r>
      <m:oMath>
        <m:r>
          <w:rPr>
            <w:rFonts w:ascii="Cambria Math" w:eastAsia="Times New Roman" w:hAnsi="Cambria Math" w:cs="Times New Roman"/>
            <w:sz w:val="18"/>
            <w:szCs w:val="18"/>
          </w:rPr>
          <m:t>O</m:t>
        </m:r>
      </m:oMath>
      <w:r w:rsidRPr="0065228D">
        <w:rPr>
          <w:rFonts w:ascii="Times New Roman" w:eastAsia="Times New Roman" w:hAnsi="Times New Roman" w:cs="Times New Roman"/>
          <w:sz w:val="18"/>
          <w:szCs w:val="18"/>
        </w:rPr>
        <w:t xml:space="preserve"> (other asset) in a one-dollar portfolio of O (other asset) and C (CEX token) at time t, whereas 1</w:t>
      </w:r>
      <w:r w:rsidRPr="0065228D">
        <w:rPr>
          <w:rFonts w:ascii="Times New Roman" w:eastAsia="Times New Roman" w:hAnsi="Times New Roman" w:cs="Times New Roman"/>
          <w:sz w:val="18"/>
          <w:szCs w:val="18"/>
          <w:lang w:val="en-GB"/>
        </w:rPr>
        <w:t>-</w:t>
      </w:r>
      <m:oMath>
        <m:sSubSup>
          <m:sSubSupPr>
            <m:ctrlPr>
              <w:rPr>
                <w:rFonts w:ascii="Cambria Math" w:hAnsi="Cambria Math" w:cs="Times New Roman"/>
                <w:i/>
                <w:sz w:val="18"/>
                <w:szCs w:val="18"/>
              </w:rPr>
            </m:ctrlPr>
          </m:sSubSupPr>
          <m:e>
            <m:r>
              <w:rPr>
                <w:rFonts w:ascii="Cambria Math" w:hAnsi="Cambria Math" w:cs="Times New Roman"/>
                <w:sz w:val="18"/>
                <w:szCs w:val="18"/>
              </w:rPr>
              <m:t>w</m:t>
            </m:r>
          </m:e>
          <m:sub>
            <m:r>
              <w:rPr>
                <w:rFonts w:ascii="Cambria Math" w:hAnsi="Cambria Math" w:cs="Times New Roman"/>
                <w:sz w:val="18"/>
                <w:szCs w:val="18"/>
              </w:rPr>
              <m:t>t</m:t>
            </m:r>
          </m:sub>
          <m:sup>
            <m:r>
              <w:rPr>
                <w:rFonts w:ascii="Cambria Math" w:hAnsi="Cambria Math" w:cs="Times New Roman"/>
                <w:sz w:val="18"/>
                <w:szCs w:val="18"/>
              </w:rPr>
              <m:t>OC</m:t>
            </m:r>
          </m:sup>
        </m:sSubSup>
      </m:oMath>
      <w:r w:rsidRPr="0065228D">
        <w:rPr>
          <w:rFonts w:ascii="Times New Roman" w:eastAsia="Times New Roman" w:hAnsi="Times New Roman" w:cs="Times New Roman"/>
          <w:sz w:val="18"/>
          <w:szCs w:val="18"/>
          <w:lang w:val="en-GB"/>
        </w:rPr>
        <w:t xml:space="preserve"> is the weight of </w:t>
      </w:r>
      <m:oMath>
        <m:r>
          <w:rPr>
            <w:rFonts w:ascii="Cambria Math" w:eastAsia="Calibri" w:hAnsi="Cambria Math" w:cs="Times New Roman"/>
            <w:sz w:val="18"/>
            <w:szCs w:val="18"/>
            <w:lang w:val="en-GB"/>
          </w:rPr>
          <m:t>C</m:t>
        </m:r>
      </m:oMath>
      <w:r w:rsidRPr="0065228D">
        <w:rPr>
          <w:rFonts w:ascii="Times New Roman" w:eastAsia="Times New Roman" w:hAnsi="Times New Roman" w:cs="Times New Roman"/>
          <w:sz w:val="18"/>
          <w:szCs w:val="18"/>
          <w:lang w:val="en-GB"/>
        </w:rPr>
        <w:t xml:space="preserve"> (CEX token) in a one-dollar portfolio of </w:t>
      </w:r>
      <w:r w:rsidRPr="0065228D">
        <w:rPr>
          <w:rFonts w:ascii="Times New Roman" w:eastAsia="Times New Roman" w:hAnsi="Times New Roman" w:cs="Times New Roman"/>
          <w:sz w:val="18"/>
          <w:szCs w:val="18"/>
        </w:rPr>
        <w:t>O (other asset) and C (CEX token) at time t</w:t>
      </w:r>
      <w:r w:rsidRPr="0065228D">
        <w:rPr>
          <w:rFonts w:ascii="Times New Roman" w:eastAsia="Times New Roman" w:hAnsi="Times New Roman" w:cs="Times New Roman"/>
          <w:sz w:val="18"/>
          <w:szCs w:val="18"/>
          <w:lang w:val="en-GB"/>
        </w:rPr>
        <w:t xml:space="preserve">. </w:t>
      </w:r>
      <m:oMath>
        <m:sSubSup>
          <m:sSubSupPr>
            <m:ctrlPr>
              <w:rPr>
                <w:rFonts w:ascii="Cambria Math" w:hAnsi="Cambria Math" w:cs="Times New Roman"/>
                <w:i/>
                <w:sz w:val="18"/>
                <w:szCs w:val="18"/>
              </w:rPr>
            </m:ctrlPr>
          </m:sSubSupPr>
          <m:e>
            <m:r>
              <w:rPr>
                <w:rFonts w:ascii="Cambria Math" w:eastAsiaTheme="minorEastAsia" w:hAnsi="Cambria Math" w:cs="Times New Roman"/>
                <w:sz w:val="18"/>
                <w:szCs w:val="18"/>
              </w:rPr>
              <m:t>β</m:t>
            </m:r>
          </m:e>
          <m:sub>
            <m:r>
              <w:rPr>
                <w:rFonts w:ascii="Cambria Math" w:hAnsi="Cambria Math" w:cs="Times New Roman"/>
                <w:sz w:val="18"/>
                <w:szCs w:val="18"/>
              </w:rPr>
              <m:t>t</m:t>
            </m:r>
          </m:sub>
          <m:sup>
            <m:r>
              <w:rPr>
                <w:rFonts w:ascii="Cambria Math" w:hAnsi="Cambria Math" w:cs="Times New Roman"/>
                <w:sz w:val="18"/>
                <w:szCs w:val="18"/>
              </w:rPr>
              <m:t>OD</m:t>
            </m:r>
          </m:sup>
        </m:sSubSup>
      </m:oMath>
      <w:r w:rsidRPr="0065228D">
        <w:rPr>
          <w:rFonts w:ascii="Times New Roman" w:eastAsia="Times New Roman" w:hAnsi="Times New Roman" w:cs="Times New Roman"/>
          <w:sz w:val="18"/>
          <w:szCs w:val="18"/>
          <w:lang w:val="en-GB"/>
        </w:rPr>
        <w:t xml:space="preserve"> </w:t>
      </w:r>
      <w:r w:rsidRPr="0065228D">
        <w:rPr>
          <w:rFonts w:ascii="Times New Roman" w:eastAsiaTheme="minorEastAsia" w:hAnsi="Times New Roman" w:cs="Times New Roman"/>
          <w:sz w:val="18"/>
          <w:szCs w:val="18"/>
        </w:rPr>
        <w:t xml:space="preserve">represents the hedge ratio, which shows that a short position in the </w:t>
      </w:r>
      <m:oMath>
        <m:r>
          <w:rPr>
            <w:rFonts w:ascii="Cambria Math" w:eastAsiaTheme="minorEastAsia" w:hAnsi="Cambria Math" w:cs="Times New Roman"/>
            <w:sz w:val="18"/>
            <w:szCs w:val="18"/>
          </w:rPr>
          <m:t>D</m:t>
        </m:r>
      </m:oMath>
      <w:r w:rsidRPr="0065228D">
        <w:rPr>
          <w:rFonts w:ascii="Times New Roman" w:eastAsiaTheme="minorEastAsia" w:hAnsi="Times New Roman" w:cs="Times New Roman"/>
          <w:sz w:val="18"/>
          <w:szCs w:val="18"/>
        </w:rPr>
        <w:t xml:space="preserve"> (DEX token) asset can hedge a long position in the </w:t>
      </w:r>
      <m:oMath>
        <m:r>
          <w:rPr>
            <w:rFonts w:ascii="Cambria Math" w:eastAsiaTheme="minorEastAsia" w:hAnsi="Cambria Math" w:cs="Times New Roman"/>
            <w:sz w:val="18"/>
            <w:szCs w:val="18"/>
          </w:rPr>
          <m:t>O</m:t>
        </m:r>
      </m:oMath>
      <w:r w:rsidRPr="0065228D">
        <w:rPr>
          <w:rFonts w:ascii="Times New Roman" w:eastAsiaTheme="minorEastAsia" w:hAnsi="Times New Roman" w:cs="Times New Roman"/>
          <w:sz w:val="18"/>
          <w:szCs w:val="18"/>
        </w:rPr>
        <w:t xml:space="preserve"> (other asset) asset. </w:t>
      </w:r>
      <m:oMath>
        <m:sSubSup>
          <m:sSubSupPr>
            <m:ctrlPr>
              <w:rPr>
                <w:rFonts w:ascii="Cambria Math" w:hAnsi="Cambria Math" w:cs="Times New Roman"/>
                <w:i/>
                <w:sz w:val="18"/>
                <w:szCs w:val="18"/>
              </w:rPr>
            </m:ctrlPr>
          </m:sSubSupPr>
          <m:e>
            <m:r>
              <w:rPr>
                <w:rFonts w:ascii="Cambria Math" w:eastAsiaTheme="minorEastAsia" w:hAnsi="Cambria Math" w:cs="Times New Roman"/>
                <w:sz w:val="18"/>
                <w:szCs w:val="18"/>
              </w:rPr>
              <m:t>β</m:t>
            </m:r>
          </m:e>
          <m:sub>
            <m:r>
              <w:rPr>
                <w:rFonts w:ascii="Cambria Math" w:hAnsi="Cambria Math" w:cs="Times New Roman"/>
                <w:sz w:val="18"/>
                <w:szCs w:val="18"/>
              </w:rPr>
              <m:t>t</m:t>
            </m:r>
          </m:sub>
          <m:sup>
            <m:r>
              <w:rPr>
                <w:rFonts w:ascii="Cambria Math" w:hAnsi="Cambria Math" w:cs="Times New Roman"/>
                <w:sz w:val="18"/>
                <w:szCs w:val="18"/>
              </w:rPr>
              <m:t>OC</m:t>
            </m:r>
          </m:sup>
        </m:sSubSup>
      </m:oMath>
      <w:r w:rsidRPr="0065228D">
        <w:rPr>
          <w:rFonts w:ascii="Times New Roman" w:eastAsia="Times New Roman" w:hAnsi="Times New Roman" w:cs="Times New Roman"/>
          <w:sz w:val="18"/>
          <w:szCs w:val="18"/>
          <w:lang w:val="en-GB"/>
        </w:rPr>
        <w:t xml:space="preserve"> </w:t>
      </w:r>
      <w:r w:rsidRPr="0065228D">
        <w:rPr>
          <w:rFonts w:ascii="Times New Roman" w:eastAsiaTheme="minorEastAsia" w:hAnsi="Times New Roman" w:cs="Times New Roman"/>
          <w:sz w:val="18"/>
          <w:szCs w:val="18"/>
        </w:rPr>
        <w:t xml:space="preserve">represents the hedge ratio, which shows that a short position in the </w:t>
      </w:r>
      <m:oMath>
        <m:r>
          <w:rPr>
            <w:rFonts w:ascii="Cambria Math" w:eastAsiaTheme="minorEastAsia" w:hAnsi="Cambria Math" w:cs="Times New Roman"/>
            <w:sz w:val="18"/>
            <w:szCs w:val="18"/>
          </w:rPr>
          <m:t>C</m:t>
        </m:r>
      </m:oMath>
      <w:r w:rsidRPr="0065228D">
        <w:rPr>
          <w:rFonts w:ascii="Times New Roman" w:eastAsiaTheme="minorEastAsia" w:hAnsi="Times New Roman" w:cs="Times New Roman"/>
          <w:sz w:val="18"/>
          <w:szCs w:val="18"/>
        </w:rPr>
        <w:t xml:space="preserve"> (CEX token) asset can hedge a long position in the </w:t>
      </w:r>
      <m:oMath>
        <m:r>
          <w:rPr>
            <w:rFonts w:ascii="Cambria Math" w:eastAsiaTheme="minorEastAsia" w:hAnsi="Cambria Math" w:cs="Times New Roman"/>
            <w:sz w:val="18"/>
            <w:szCs w:val="18"/>
          </w:rPr>
          <m:t>O</m:t>
        </m:r>
      </m:oMath>
      <w:r w:rsidRPr="0065228D">
        <w:rPr>
          <w:rFonts w:ascii="Times New Roman" w:eastAsiaTheme="minorEastAsia" w:hAnsi="Times New Roman" w:cs="Times New Roman"/>
          <w:sz w:val="18"/>
          <w:szCs w:val="18"/>
        </w:rPr>
        <w:t xml:space="preserve"> (</w:t>
      </w:r>
      <w:proofErr w:type="gramStart"/>
      <w:r w:rsidRPr="0065228D">
        <w:rPr>
          <w:rFonts w:ascii="Times New Roman" w:eastAsiaTheme="minorEastAsia" w:hAnsi="Times New Roman" w:cs="Times New Roman"/>
          <w:sz w:val="18"/>
          <w:szCs w:val="18"/>
        </w:rPr>
        <w:t>other</w:t>
      </w:r>
      <w:proofErr w:type="gramEnd"/>
      <w:r w:rsidRPr="0065228D">
        <w:rPr>
          <w:rFonts w:ascii="Times New Roman" w:eastAsiaTheme="minorEastAsia" w:hAnsi="Times New Roman" w:cs="Times New Roman"/>
          <w:sz w:val="18"/>
          <w:szCs w:val="18"/>
        </w:rPr>
        <w:t xml:space="preserve"> asset) asset.</w:t>
      </w:r>
      <w:r w:rsidRPr="0065228D">
        <w:rPr>
          <w:rFonts w:ascii="Times New Roman" w:eastAsia="Times New Roman" w:hAnsi="Times New Roman" w:cs="Times New Roman"/>
          <w:sz w:val="18"/>
          <w:szCs w:val="18"/>
        </w:rPr>
        <w:t xml:space="preserve"> A higher HE </w:t>
      </w:r>
      <w:proofErr w:type="gramStart"/>
      <w:r w:rsidRPr="0065228D">
        <w:rPr>
          <w:rFonts w:ascii="Times New Roman" w:eastAsia="Times New Roman" w:hAnsi="Times New Roman" w:cs="Times New Roman"/>
          <w:sz w:val="18"/>
          <w:szCs w:val="18"/>
        </w:rPr>
        <w:t>score</w:t>
      </w:r>
      <w:proofErr w:type="gramEnd"/>
      <w:r w:rsidRPr="0065228D">
        <w:rPr>
          <w:rFonts w:ascii="Times New Roman" w:eastAsia="Times New Roman" w:hAnsi="Times New Roman" w:cs="Times New Roman"/>
          <w:sz w:val="18"/>
          <w:szCs w:val="18"/>
        </w:rPr>
        <w:t xml:space="preserve"> shows a higher risk reduction, and vice versa. Hedging effectiveness score is calculated for the optimal weight-based portfolios.</w:t>
      </w:r>
    </w:p>
    <w:p w14:paraId="12D6371B" w14:textId="77777777" w:rsidR="004F242A" w:rsidRPr="004F242A" w:rsidRDefault="004F242A" w:rsidP="004F242A">
      <w:pPr>
        <w:jc w:val="center"/>
        <w:rPr>
          <w:rFonts w:ascii="Times New Roman" w:hAnsi="Times New Roman" w:cs="Times New Roman"/>
          <w:b/>
          <w:bCs/>
          <w:sz w:val="28"/>
          <w:szCs w:val="28"/>
        </w:rPr>
      </w:pPr>
      <w:r w:rsidRPr="004F242A">
        <w:rPr>
          <w:rFonts w:ascii="Times New Roman" w:hAnsi="Times New Roman" w:cs="Times New Roman"/>
          <w:b/>
          <w:bCs/>
          <w:sz w:val="28"/>
          <w:szCs w:val="28"/>
        </w:rPr>
        <w:lastRenderedPageBreak/>
        <w:t>Appendix</w:t>
      </w:r>
    </w:p>
    <w:p w14:paraId="3F0CBF9B" w14:textId="30757B81" w:rsidR="004F242A" w:rsidRPr="008E7B4C" w:rsidRDefault="004F242A" w:rsidP="004F242A">
      <w:pPr>
        <w:rPr>
          <w:rFonts w:ascii="Times New Roman" w:hAnsi="Times New Roman" w:cs="Times New Roman"/>
        </w:rPr>
      </w:pPr>
      <w:r w:rsidRPr="008E7B4C">
        <w:rPr>
          <w:rFonts w:ascii="Times New Roman" w:hAnsi="Times New Roman" w:cs="Times New Roman"/>
        </w:rPr>
        <w:t xml:space="preserve">Table A1. Static return spillover at </w:t>
      </w:r>
      <w:r w:rsidR="00B82199">
        <w:rPr>
          <w:rFonts w:ascii="Times New Roman" w:hAnsi="Times New Roman" w:cs="Times New Roman"/>
        </w:rPr>
        <w:t xml:space="preserve">the </w:t>
      </w:r>
      <w:r w:rsidRPr="008E7B4C">
        <w:rPr>
          <w:rFonts w:ascii="Times New Roman" w:hAnsi="Times New Roman" w:cs="Times New Roman"/>
        </w:rPr>
        <w:t xml:space="preserve">means using </w:t>
      </w:r>
      <w:r w:rsidR="00DB564B">
        <w:rPr>
          <w:rFonts w:ascii="Times New Roman" w:hAnsi="Times New Roman" w:cs="Times New Roman"/>
        </w:rPr>
        <w:t xml:space="preserve">the </w:t>
      </w:r>
      <w:r w:rsidRPr="008E7B4C">
        <w:rPr>
          <w:rFonts w:ascii="Times New Roman" w:hAnsi="Times New Roman" w:cs="Times New Roman"/>
        </w:rPr>
        <w:t xml:space="preserve">Diebold and Yilmaz (2012) approach </w:t>
      </w:r>
      <w:r>
        <w:rPr>
          <w:rFonts w:ascii="Times New Roman" w:hAnsi="Times New Roman" w:cs="Times New Roman"/>
        </w:rPr>
        <w:t xml:space="preserve">[Sample period: </w:t>
      </w:r>
      <w:r w:rsidR="00DB564B">
        <w:rPr>
          <w:rFonts w:ascii="Times New Roman" w:hAnsi="Times New Roman" w:cs="Times New Roman"/>
        </w:rPr>
        <w:t xml:space="preserve">31 </w:t>
      </w:r>
      <w:r w:rsidR="00531153">
        <w:rPr>
          <w:rFonts w:ascii="Times New Roman" w:hAnsi="Times New Roman" w:cs="Times New Roman"/>
          <w:sz w:val="24"/>
          <w:szCs w:val="24"/>
        </w:rPr>
        <w:t>July 2019</w:t>
      </w:r>
      <w:r>
        <w:rPr>
          <w:rFonts w:ascii="Times New Roman" w:hAnsi="Times New Roman" w:cs="Times New Roman"/>
          <w:sz w:val="24"/>
          <w:szCs w:val="24"/>
        </w:rPr>
        <w:t xml:space="preserve"> to </w:t>
      </w:r>
      <w:r w:rsidR="00DB564B">
        <w:rPr>
          <w:rFonts w:ascii="Times New Roman" w:hAnsi="Times New Roman" w:cs="Times New Roman"/>
          <w:sz w:val="24"/>
          <w:szCs w:val="24"/>
        </w:rPr>
        <w:t xml:space="preserve">30 </w:t>
      </w:r>
      <w:proofErr w:type="gramStart"/>
      <w:r>
        <w:rPr>
          <w:rFonts w:ascii="Times New Roman" w:hAnsi="Times New Roman" w:cs="Times New Roman"/>
          <w:sz w:val="24"/>
          <w:szCs w:val="24"/>
        </w:rPr>
        <w:t>January  2023</w:t>
      </w:r>
      <w:proofErr w:type="gramEnd"/>
      <w:r>
        <w:rPr>
          <w:rFonts w:ascii="Times New Roman" w:hAnsi="Times New Roman" w:cs="Times New Roman"/>
          <w:sz w:val="24"/>
          <w:szCs w:val="24"/>
        </w:rPr>
        <w:t>]</w:t>
      </w:r>
    </w:p>
    <w:tbl>
      <w:tblPr>
        <w:tblW w:w="5000" w:type="pct"/>
        <w:tblBorders>
          <w:top w:val="single" w:sz="4" w:space="0" w:color="auto"/>
          <w:bottom w:val="single" w:sz="4" w:space="0" w:color="auto"/>
        </w:tblBorders>
        <w:tblLook w:val="04A0" w:firstRow="1" w:lastRow="0" w:firstColumn="1" w:lastColumn="0" w:noHBand="0" w:noVBand="1"/>
      </w:tblPr>
      <w:tblGrid>
        <w:gridCol w:w="709"/>
        <w:gridCol w:w="1391"/>
        <w:gridCol w:w="815"/>
        <w:gridCol w:w="766"/>
        <w:gridCol w:w="693"/>
        <w:gridCol w:w="767"/>
        <w:gridCol w:w="734"/>
        <w:gridCol w:w="666"/>
        <w:gridCol w:w="666"/>
        <w:gridCol w:w="734"/>
        <w:gridCol w:w="767"/>
        <w:gridCol w:w="705"/>
        <w:gridCol w:w="804"/>
        <w:gridCol w:w="693"/>
        <w:gridCol w:w="1213"/>
        <w:gridCol w:w="837"/>
      </w:tblGrid>
      <w:tr w:rsidR="00D07B84" w:rsidRPr="008E7B4C" w14:paraId="7415C3C3" w14:textId="77777777" w:rsidTr="002D38AF">
        <w:trPr>
          <w:trHeight w:val="161"/>
        </w:trPr>
        <w:tc>
          <w:tcPr>
            <w:tcW w:w="274" w:type="pct"/>
            <w:tcBorders>
              <w:top w:val="single" w:sz="4" w:space="0" w:color="auto"/>
              <w:bottom w:val="single" w:sz="4" w:space="0" w:color="auto"/>
              <w:right w:val="nil"/>
            </w:tcBorders>
          </w:tcPr>
          <w:p w14:paraId="6EBF2C4A" w14:textId="77777777" w:rsidR="00D07B84" w:rsidRPr="00E359D7" w:rsidRDefault="00D07B84" w:rsidP="00E063A1">
            <w:pPr>
              <w:spacing w:after="0" w:line="240" w:lineRule="auto"/>
              <w:rPr>
                <w:rFonts w:ascii="Times New Roman" w:eastAsia="Times New Roman" w:hAnsi="Times New Roman" w:cs="Times New Roman"/>
                <w:sz w:val="24"/>
                <w:szCs w:val="24"/>
              </w:rPr>
            </w:pPr>
          </w:p>
        </w:tc>
        <w:tc>
          <w:tcPr>
            <w:tcW w:w="537" w:type="pct"/>
            <w:tcBorders>
              <w:top w:val="single" w:sz="4" w:space="0" w:color="auto"/>
              <w:left w:val="nil"/>
              <w:bottom w:val="single" w:sz="4" w:space="0" w:color="auto"/>
              <w:right w:val="single" w:sz="4" w:space="0" w:color="auto"/>
            </w:tcBorders>
            <w:shd w:val="clear" w:color="auto" w:fill="auto"/>
            <w:noWrap/>
            <w:vAlign w:val="center"/>
          </w:tcPr>
          <w:p w14:paraId="684B3319" w14:textId="3CA05A90" w:rsidR="00D07B84" w:rsidRPr="00E359D7" w:rsidRDefault="00D07B84" w:rsidP="00E063A1">
            <w:pPr>
              <w:spacing w:after="0" w:line="240" w:lineRule="auto"/>
              <w:rPr>
                <w:rFonts w:ascii="Times New Roman" w:eastAsia="Times New Roman" w:hAnsi="Times New Roman" w:cs="Times New Roman"/>
                <w:sz w:val="24"/>
                <w:szCs w:val="24"/>
              </w:rPr>
            </w:pPr>
          </w:p>
        </w:tc>
        <w:tc>
          <w:tcPr>
            <w:tcW w:w="87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38E01C6" w14:textId="230B46C6" w:rsidR="00D07B84" w:rsidRPr="00E359D7" w:rsidRDefault="00D07B84" w:rsidP="00D07B8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DEX tokens</w:t>
            </w:r>
          </w:p>
        </w:tc>
        <w:tc>
          <w:tcPr>
            <w:tcW w:w="83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9EE085F" w14:textId="4B9C20EF" w:rsidR="00D07B84" w:rsidRPr="00E359D7" w:rsidRDefault="00D07B84" w:rsidP="00D07B8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CEX tokens</w:t>
            </w:r>
          </w:p>
        </w:tc>
        <w:tc>
          <w:tcPr>
            <w:tcW w:w="257" w:type="pct"/>
            <w:tcBorders>
              <w:top w:val="single" w:sz="4" w:space="0" w:color="auto"/>
              <w:left w:val="single" w:sz="4" w:space="0" w:color="auto"/>
              <w:bottom w:val="single" w:sz="4" w:space="0" w:color="auto"/>
            </w:tcBorders>
            <w:shd w:val="clear" w:color="auto" w:fill="auto"/>
            <w:noWrap/>
            <w:vAlign w:val="center"/>
          </w:tcPr>
          <w:p w14:paraId="7BC3F761" w14:textId="77777777" w:rsidR="00D07B84" w:rsidRPr="00E359D7" w:rsidRDefault="00D07B84" w:rsidP="00E063A1">
            <w:pPr>
              <w:spacing w:after="0" w:line="240" w:lineRule="auto"/>
              <w:rPr>
                <w:rFonts w:ascii="Times New Roman" w:eastAsia="Times New Roman" w:hAnsi="Times New Roman" w:cs="Times New Roman"/>
                <w:color w:val="000000"/>
              </w:rPr>
            </w:pPr>
          </w:p>
        </w:tc>
        <w:tc>
          <w:tcPr>
            <w:tcW w:w="283" w:type="pct"/>
            <w:tcBorders>
              <w:top w:val="single" w:sz="4" w:space="0" w:color="auto"/>
              <w:bottom w:val="single" w:sz="4" w:space="0" w:color="auto"/>
            </w:tcBorders>
            <w:shd w:val="clear" w:color="auto" w:fill="auto"/>
            <w:noWrap/>
            <w:vAlign w:val="center"/>
          </w:tcPr>
          <w:p w14:paraId="27F64065" w14:textId="77777777" w:rsidR="00D07B84" w:rsidRPr="00E359D7" w:rsidRDefault="00D07B84" w:rsidP="00E063A1">
            <w:pPr>
              <w:spacing w:after="0" w:line="240" w:lineRule="auto"/>
              <w:rPr>
                <w:rFonts w:ascii="Times New Roman" w:eastAsia="Times New Roman" w:hAnsi="Times New Roman" w:cs="Times New Roman"/>
                <w:color w:val="000000"/>
              </w:rPr>
            </w:pPr>
          </w:p>
        </w:tc>
        <w:tc>
          <w:tcPr>
            <w:tcW w:w="296" w:type="pct"/>
            <w:tcBorders>
              <w:top w:val="single" w:sz="4" w:space="0" w:color="auto"/>
              <w:bottom w:val="single" w:sz="4" w:space="0" w:color="auto"/>
            </w:tcBorders>
            <w:shd w:val="clear" w:color="auto" w:fill="auto"/>
            <w:noWrap/>
            <w:vAlign w:val="center"/>
          </w:tcPr>
          <w:p w14:paraId="2D113BC8" w14:textId="77777777" w:rsidR="00D07B84" w:rsidRPr="00E359D7" w:rsidRDefault="00D07B84" w:rsidP="00E063A1">
            <w:pPr>
              <w:spacing w:after="0" w:line="240" w:lineRule="auto"/>
              <w:rPr>
                <w:rFonts w:ascii="Times New Roman" w:eastAsia="Times New Roman" w:hAnsi="Times New Roman" w:cs="Times New Roman"/>
                <w:color w:val="000000"/>
              </w:rPr>
            </w:pPr>
          </w:p>
        </w:tc>
        <w:tc>
          <w:tcPr>
            <w:tcW w:w="272" w:type="pct"/>
            <w:tcBorders>
              <w:top w:val="single" w:sz="4" w:space="0" w:color="auto"/>
              <w:bottom w:val="single" w:sz="4" w:space="0" w:color="auto"/>
            </w:tcBorders>
            <w:shd w:val="clear" w:color="auto" w:fill="auto"/>
            <w:noWrap/>
            <w:vAlign w:val="center"/>
          </w:tcPr>
          <w:p w14:paraId="092F4060" w14:textId="77777777" w:rsidR="00D07B84" w:rsidRPr="00E359D7" w:rsidRDefault="00D07B84" w:rsidP="00E063A1">
            <w:pPr>
              <w:spacing w:after="0" w:line="240" w:lineRule="auto"/>
              <w:rPr>
                <w:rFonts w:ascii="Times New Roman" w:eastAsia="Times New Roman" w:hAnsi="Times New Roman" w:cs="Times New Roman"/>
                <w:color w:val="000000"/>
              </w:rPr>
            </w:pPr>
          </w:p>
        </w:tc>
        <w:tc>
          <w:tcPr>
            <w:tcW w:w="310" w:type="pct"/>
            <w:tcBorders>
              <w:top w:val="single" w:sz="4" w:space="0" w:color="auto"/>
              <w:bottom w:val="single" w:sz="4" w:space="0" w:color="auto"/>
            </w:tcBorders>
            <w:shd w:val="clear" w:color="auto" w:fill="auto"/>
            <w:noWrap/>
            <w:vAlign w:val="center"/>
          </w:tcPr>
          <w:p w14:paraId="74C558BF" w14:textId="77777777" w:rsidR="00D07B84" w:rsidRPr="00E359D7" w:rsidRDefault="00D07B84" w:rsidP="00E063A1">
            <w:pPr>
              <w:spacing w:after="0" w:line="240" w:lineRule="auto"/>
              <w:rPr>
                <w:rFonts w:ascii="Times New Roman" w:eastAsia="Times New Roman" w:hAnsi="Times New Roman" w:cs="Times New Roman"/>
                <w:color w:val="000000"/>
              </w:rPr>
            </w:pPr>
          </w:p>
        </w:tc>
        <w:tc>
          <w:tcPr>
            <w:tcW w:w="267" w:type="pct"/>
            <w:tcBorders>
              <w:top w:val="single" w:sz="4" w:space="0" w:color="auto"/>
              <w:bottom w:val="single" w:sz="4" w:space="0" w:color="auto"/>
            </w:tcBorders>
            <w:shd w:val="clear" w:color="auto" w:fill="auto"/>
            <w:noWrap/>
            <w:vAlign w:val="center"/>
          </w:tcPr>
          <w:p w14:paraId="51EA883A" w14:textId="77777777" w:rsidR="00D07B84" w:rsidRPr="00E359D7" w:rsidRDefault="00D07B84" w:rsidP="00E063A1">
            <w:pPr>
              <w:spacing w:after="0" w:line="240" w:lineRule="auto"/>
              <w:rPr>
                <w:rFonts w:ascii="Times New Roman" w:eastAsia="Times New Roman" w:hAnsi="Times New Roman" w:cs="Times New Roman"/>
                <w:color w:val="000000"/>
              </w:rPr>
            </w:pPr>
          </w:p>
        </w:tc>
        <w:tc>
          <w:tcPr>
            <w:tcW w:w="468" w:type="pct"/>
            <w:tcBorders>
              <w:top w:val="single" w:sz="4" w:space="0" w:color="auto"/>
              <w:bottom w:val="single" w:sz="4" w:space="0" w:color="auto"/>
            </w:tcBorders>
            <w:shd w:val="clear" w:color="auto" w:fill="auto"/>
            <w:noWrap/>
            <w:vAlign w:val="center"/>
          </w:tcPr>
          <w:p w14:paraId="2D790831" w14:textId="77777777" w:rsidR="00D07B84" w:rsidRPr="00E359D7" w:rsidRDefault="00D07B84" w:rsidP="00E063A1">
            <w:pPr>
              <w:spacing w:after="0" w:line="240" w:lineRule="auto"/>
              <w:rPr>
                <w:rFonts w:ascii="Times New Roman" w:eastAsia="Times New Roman" w:hAnsi="Times New Roman" w:cs="Times New Roman"/>
                <w:color w:val="000000"/>
              </w:rPr>
            </w:pPr>
          </w:p>
        </w:tc>
        <w:tc>
          <w:tcPr>
            <w:tcW w:w="324" w:type="pct"/>
            <w:tcBorders>
              <w:top w:val="single" w:sz="4" w:space="0" w:color="auto"/>
              <w:bottom w:val="single" w:sz="4" w:space="0" w:color="auto"/>
            </w:tcBorders>
            <w:shd w:val="clear" w:color="auto" w:fill="auto"/>
            <w:noWrap/>
            <w:vAlign w:val="center"/>
          </w:tcPr>
          <w:p w14:paraId="173C0197" w14:textId="77777777" w:rsidR="00D07B84" w:rsidRPr="00E359D7" w:rsidRDefault="00D07B84" w:rsidP="00E063A1">
            <w:pPr>
              <w:spacing w:after="0" w:line="240" w:lineRule="auto"/>
              <w:rPr>
                <w:rFonts w:ascii="Times New Roman" w:eastAsia="Times New Roman" w:hAnsi="Times New Roman" w:cs="Times New Roman"/>
                <w:color w:val="000000"/>
              </w:rPr>
            </w:pPr>
          </w:p>
        </w:tc>
      </w:tr>
      <w:tr w:rsidR="00D07B84" w:rsidRPr="008E7B4C" w14:paraId="79D28532" w14:textId="77777777" w:rsidTr="002D38AF">
        <w:trPr>
          <w:trHeight w:val="306"/>
        </w:trPr>
        <w:tc>
          <w:tcPr>
            <w:tcW w:w="274" w:type="pct"/>
            <w:tcBorders>
              <w:top w:val="single" w:sz="4" w:space="0" w:color="auto"/>
              <w:bottom w:val="single" w:sz="4" w:space="0" w:color="auto"/>
              <w:right w:val="nil"/>
            </w:tcBorders>
          </w:tcPr>
          <w:p w14:paraId="6D4998C8" w14:textId="77777777" w:rsidR="00D07B84" w:rsidRPr="00E359D7" w:rsidRDefault="00D07B84" w:rsidP="00E063A1">
            <w:pPr>
              <w:spacing w:after="0" w:line="240" w:lineRule="auto"/>
              <w:rPr>
                <w:rFonts w:ascii="Times New Roman" w:eastAsia="Times New Roman" w:hAnsi="Times New Roman" w:cs="Times New Roman"/>
                <w:sz w:val="24"/>
                <w:szCs w:val="24"/>
              </w:rPr>
            </w:pP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671F6B02" w14:textId="3712F4E4" w:rsidR="00D07B84" w:rsidRPr="00E359D7" w:rsidRDefault="00D07B84" w:rsidP="00E063A1">
            <w:pPr>
              <w:spacing w:after="0" w:line="240" w:lineRule="auto"/>
              <w:rPr>
                <w:rFonts w:ascii="Times New Roman" w:eastAsia="Times New Roman" w:hAnsi="Times New Roman" w:cs="Times New Roman"/>
                <w:sz w:val="24"/>
                <w:szCs w:val="24"/>
              </w:rPr>
            </w:pPr>
          </w:p>
        </w:tc>
        <w:tc>
          <w:tcPr>
            <w:tcW w:w="314" w:type="pct"/>
            <w:tcBorders>
              <w:top w:val="single" w:sz="4" w:space="0" w:color="auto"/>
              <w:left w:val="single" w:sz="4" w:space="0" w:color="auto"/>
              <w:bottom w:val="single" w:sz="4" w:space="0" w:color="auto"/>
            </w:tcBorders>
            <w:shd w:val="clear" w:color="auto" w:fill="auto"/>
            <w:noWrap/>
            <w:vAlign w:val="center"/>
            <w:hideMark/>
          </w:tcPr>
          <w:p w14:paraId="3B59136E" w14:textId="77777777" w:rsidR="00D07B84" w:rsidRPr="00E359D7" w:rsidRDefault="00D07B84"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RUNE</w:t>
            </w:r>
          </w:p>
        </w:tc>
        <w:tc>
          <w:tcPr>
            <w:tcW w:w="296" w:type="pct"/>
            <w:tcBorders>
              <w:top w:val="single" w:sz="4" w:space="0" w:color="auto"/>
              <w:bottom w:val="single" w:sz="4" w:space="0" w:color="auto"/>
            </w:tcBorders>
            <w:shd w:val="clear" w:color="auto" w:fill="auto"/>
            <w:noWrap/>
            <w:vAlign w:val="center"/>
            <w:hideMark/>
          </w:tcPr>
          <w:p w14:paraId="634B256C" w14:textId="77777777" w:rsidR="00D07B84" w:rsidRPr="00E359D7" w:rsidRDefault="00D07B84"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LRC</w:t>
            </w:r>
          </w:p>
        </w:tc>
        <w:tc>
          <w:tcPr>
            <w:tcW w:w="267" w:type="pct"/>
            <w:tcBorders>
              <w:top w:val="single" w:sz="4" w:space="0" w:color="auto"/>
              <w:bottom w:val="single" w:sz="4" w:space="0" w:color="auto"/>
              <w:right w:val="single" w:sz="4" w:space="0" w:color="auto"/>
            </w:tcBorders>
            <w:shd w:val="clear" w:color="auto" w:fill="auto"/>
            <w:noWrap/>
            <w:vAlign w:val="center"/>
            <w:hideMark/>
          </w:tcPr>
          <w:p w14:paraId="54E77E7E" w14:textId="77777777" w:rsidR="00D07B84" w:rsidRPr="00E359D7" w:rsidRDefault="00D07B84"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GNO</w:t>
            </w:r>
          </w:p>
        </w:tc>
        <w:tc>
          <w:tcPr>
            <w:tcW w:w="296" w:type="pct"/>
            <w:tcBorders>
              <w:top w:val="single" w:sz="4" w:space="0" w:color="auto"/>
              <w:left w:val="single" w:sz="4" w:space="0" w:color="auto"/>
              <w:bottom w:val="single" w:sz="4" w:space="0" w:color="auto"/>
            </w:tcBorders>
            <w:shd w:val="clear" w:color="auto" w:fill="auto"/>
            <w:noWrap/>
            <w:vAlign w:val="center"/>
            <w:hideMark/>
          </w:tcPr>
          <w:p w14:paraId="4FEC94F1" w14:textId="77777777" w:rsidR="00D07B84" w:rsidRPr="00E359D7" w:rsidRDefault="00D07B84"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BNB</w:t>
            </w:r>
          </w:p>
        </w:tc>
        <w:tc>
          <w:tcPr>
            <w:tcW w:w="283" w:type="pct"/>
            <w:tcBorders>
              <w:top w:val="single" w:sz="4" w:space="0" w:color="auto"/>
              <w:bottom w:val="single" w:sz="4" w:space="0" w:color="auto"/>
            </w:tcBorders>
            <w:shd w:val="clear" w:color="auto" w:fill="auto"/>
            <w:noWrap/>
            <w:vAlign w:val="center"/>
            <w:hideMark/>
          </w:tcPr>
          <w:p w14:paraId="421AD457" w14:textId="77777777" w:rsidR="00D07B84" w:rsidRPr="00E359D7" w:rsidRDefault="00D07B84"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LEO</w:t>
            </w:r>
          </w:p>
        </w:tc>
        <w:tc>
          <w:tcPr>
            <w:tcW w:w="257" w:type="pct"/>
            <w:tcBorders>
              <w:top w:val="single" w:sz="4" w:space="0" w:color="auto"/>
              <w:bottom w:val="single" w:sz="4" w:space="0" w:color="auto"/>
              <w:right w:val="single" w:sz="4" w:space="0" w:color="auto"/>
            </w:tcBorders>
            <w:shd w:val="clear" w:color="auto" w:fill="auto"/>
            <w:noWrap/>
            <w:vAlign w:val="center"/>
            <w:hideMark/>
          </w:tcPr>
          <w:p w14:paraId="1A50F1F0" w14:textId="77777777" w:rsidR="00D07B84" w:rsidRPr="00E359D7" w:rsidRDefault="00D07B84"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FTT</w:t>
            </w:r>
          </w:p>
        </w:tc>
        <w:tc>
          <w:tcPr>
            <w:tcW w:w="257" w:type="pct"/>
            <w:tcBorders>
              <w:top w:val="single" w:sz="4" w:space="0" w:color="auto"/>
              <w:left w:val="single" w:sz="4" w:space="0" w:color="auto"/>
              <w:bottom w:val="single" w:sz="4" w:space="0" w:color="auto"/>
            </w:tcBorders>
            <w:shd w:val="clear" w:color="auto" w:fill="auto"/>
            <w:noWrap/>
            <w:vAlign w:val="center"/>
            <w:hideMark/>
          </w:tcPr>
          <w:p w14:paraId="2E5E3FFB" w14:textId="77777777" w:rsidR="00D07B84" w:rsidRPr="00E359D7" w:rsidRDefault="00D07B84"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Gold</w:t>
            </w:r>
          </w:p>
        </w:tc>
        <w:tc>
          <w:tcPr>
            <w:tcW w:w="283" w:type="pct"/>
            <w:tcBorders>
              <w:top w:val="single" w:sz="4" w:space="0" w:color="auto"/>
              <w:bottom w:val="single" w:sz="4" w:space="0" w:color="auto"/>
            </w:tcBorders>
            <w:shd w:val="clear" w:color="auto" w:fill="auto"/>
            <w:noWrap/>
            <w:vAlign w:val="center"/>
            <w:hideMark/>
          </w:tcPr>
          <w:p w14:paraId="70C95812" w14:textId="77777777" w:rsidR="00D07B84" w:rsidRPr="00E359D7" w:rsidRDefault="00D07B84"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Oil</w:t>
            </w:r>
          </w:p>
        </w:tc>
        <w:tc>
          <w:tcPr>
            <w:tcW w:w="296" w:type="pct"/>
            <w:tcBorders>
              <w:top w:val="single" w:sz="4" w:space="0" w:color="auto"/>
              <w:bottom w:val="single" w:sz="4" w:space="0" w:color="auto"/>
            </w:tcBorders>
            <w:shd w:val="clear" w:color="auto" w:fill="auto"/>
            <w:noWrap/>
            <w:vAlign w:val="center"/>
            <w:hideMark/>
          </w:tcPr>
          <w:p w14:paraId="7744AD36" w14:textId="77777777" w:rsidR="00D07B84" w:rsidRPr="00E359D7" w:rsidRDefault="00D07B84"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BTC</w:t>
            </w:r>
          </w:p>
        </w:tc>
        <w:tc>
          <w:tcPr>
            <w:tcW w:w="272" w:type="pct"/>
            <w:tcBorders>
              <w:top w:val="single" w:sz="4" w:space="0" w:color="auto"/>
              <w:bottom w:val="single" w:sz="4" w:space="0" w:color="auto"/>
            </w:tcBorders>
            <w:shd w:val="clear" w:color="auto" w:fill="auto"/>
            <w:noWrap/>
            <w:vAlign w:val="center"/>
            <w:hideMark/>
          </w:tcPr>
          <w:p w14:paraId="20B5E86E" w14:textId="77777777" w:rsidR="00D07B84" w:rsidRPr="00E359D7" w:rsidRDefault="00D07B84"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REIT</w:t>
            </w:r>
          </w:p>
        </w:tc>
        <w:tc>
          <w:tcPr>
            <w:tcW w:w="310" w:type="pct"/>
            <w:tcBorders>
              <w:top w:val="single" w:sz="4" w:space="0" w:color="auto"/>
              <w:bottom w:val="single" w:sz="4" w:space="0" w:color="auto"/>
            </w:tcBorders>
            <w:shd w:val="clear" w:color="auto" w:fill="auto"/>
            <w:noWrap/>
            <w:vAlign w:val="center"/>
            <w:hideMark/>
          </w:tcPr>
          <w:p w14:paraId="7DA28884" w14:textId="77777777" w:rsidR="00D07B84" w:rsidRPr="00E359D7" w:rsidRDefault="00D07B84"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Equity</w:t>
            </w:r>
          </w:p>
        </w:tc>
        <w:tc>
          <w:tcPr>
            <w:tcW w:w="267" w:type="pct"/>
            <w:tcBorders>
              <w:top w:val="single" w:sz="4" w:space="0" w:color="auto"/>
              <w:bottom w:val="single" w:sz="4" w:space="0" w:color="auto"/>
            </w:tcBorders>
            <w:shd w:val="clear" w:color="auto" w:fill="auto"/>
            <w:noWrap/>
            <w:vAlign w:val="center"/>
            <w:hideMark/>
          </w:tcPr>
          <w:p w14:paraId="5F5C37DF" w14:textId="77777777" w:rsidR="00D07B84" w:rsidRPr="00E359D7" w:rsidRDefault="00D07B84"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Bond</w:t>
            </w:r>
          </w:p>
        </w:tc>
        <w:tc>
          <w:tcPr>
            <w:tcW w:w="468" w:type="pct"/>
            <w:tcBorders>
              <w:top w:val="single" w:sz="4" w:space="0" w:color="auto"/>
              <w:bottom w:val="single" w:sz="4" w:space="0" w:color="auto"/>
            </w:tcBorders>
            <w:shd w:val="clear" w:color="auto" w:fill="auto"/>
            <w:noWrap/>
            <w:vAlign w:val="center"/>
            <w:hideMark/>
          </w:tcPr>
          <w:p w14:paraId="6FD85308" w14:textId="77777777" w:rsidR="00D07B84" w:rsidRPr="00E359D7" w:rsidRDefault="00D07B84" w:rsidP="00E063A1">
            <w:pPr>
              <w:spacing w:after="0" w:line="240" w:lineRule="auto"/>
              <w:rPr>
                <w:rFonts w:ascii="Times New Roman" w:eastAsia="Times New Roman" w:hAnsi="Times New Roman" w:cs="Times New Roman"/>
                <w:color w:val="000000"/>
              </w:rPr>
            </w:pPr>
            <w:proofErr w:type="spellStart"/>
            <w:r w:rsidRPr="00E359D7">
              <w:rPr>
                <w:rFonts w:ascii="Times New Roman" w:eastAsia="Times New Roman" w:hAnsi="Times New Roman" w:cs="Times New Roman"/>
                <w:color w:val="000000"/>
              </w:rPr>
              <w:t>USD.Index</w:t>
            </w:r>
            <w:proofErr w:type="spellEnd"/>
          </w:p>
        </w:tc>
        <w:tc>
          <w:tcPr>
            <w:tcW w:w="324" w:type="pct"/>
            <w:tcBorders>
              <w:top w:val="single" w:sz="4" w:space="0" w:color="auto"/>
              <w:bottom w:val="single" w:sz="4" w:space="0" w:color="auto"/>
            </w:tcBorders>
            <w:shd w:val="clear" w:color="auto" w:fill="auto"/>
            <w:noWrap/>
            <w:vAlign w:val="center"/>
            <w:hideMark/>
          </w:tcPr>
          <w:p w14:paraId="58F63EC2" w14:textId="54882872" w:rsidR="00D07B84" w:rsidRPr="00E359D7" w:rsidRDefault="00CC0E8D" w:rsidP="00E063A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From</w:t>
            </w:r>
          </w:p>
        </w:tc>
      </w:tr>
      <w:tr w:rsidR="00D07B84" w:rsidRPr="008E7B4C" w14:paraId="61AC7433" w14:textId="77777777" w:rsidTr="002D38AF">
        <w:trPr>
          <w:trHeight w:val="454"/>
        </w:trPr>
        <w:tc>
          <w:tcPr>
            <w:tcW w:w="274" w:type="pct"/>
            <w:vMerge w:val="restart"/>
            <w:tcBorders>
              <w:top w:val="single" w:sz="4" w:space="0" w:color="auto"/>
              <w:right w:val="nil"/>
            </w:tcBorders>
            <w:textDirection w:val="btLr"/>
          </w:tcPr>
          <w:p w14:paraId="62758977" w14:textId="4E46368D" w:rsidR="00D07B84" w:rsidRPr="00E359D7" w:rsidRDefault="00D07B84" w:rsidP="00D07B84">
            <w:pPr>
              <w:spacing w:after="0" w:line="240" w:lineRule="auto"/>
              <w:ind w:left="113" w:right="113"/>
              <w:jc w:val="center"/>
              <w:rPr>
                <w:rFonts w:ascii="Times New Roman" w:eastAsia="Times New Roman" w:hAnsi="Times New Roman" w:cs="Times New Roman"/>
                <w:color w:val="000000"/>
              </w:rPr>
            </w:pPr>
            <w:r>
              <w:rPr>
                <w:rFonts w:ascii="Times New Roman" w:eastAsia="Times New Roman" w:hAnsi="Times New Roman" w:cs="Times New Roman"/>
                <w:color w:val="000000"/>
              </w:rPr>
              <w:t>DEX tokens</w:t>
            </w:r>
          </w:p>
        </w:tc>
        <w:tc>
          <w:tcPr>
            <w:tcW w:w="537" w:type="pct"/>
            <w:tcBorders>
              <w:top w:val="single" w:sz="4" w:space="0" w:color="auto"/>
              <w:left w:val="nil"/>
              <w:bottom w:val="nil"/>
              <w:right w:val="single" w:sz="4" w:space="0" w:color="auto"/>
            </w:tcBorders>
            <w:shd w:val="clear" w:color="auto" w:fill="auto"/>
            <w:noWrap/>
            <w:vAlign w:val="center"/>
            <w:hideMark/>
          </w:tcPr>
          <w:p w14:paraId="1C4CBE83" w14:textId="3B771536" w:rsidR="00D07B84" w:rsidRPr="00E359D7" w:rsidRDefault="00D07B84"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RUNE</w:t>
            </w:r>
          </w:p>
        </w:tc>
        <w:tc>
          <w:tcPr>
            <w:tcW w:w="314" w:type="pct"/>
            <w:tcBorders>
              <w:top w:val="single" w:sz="4" w:space="0" w:color="auto"/>
              <w:left w:val="single" w:sz="4" w:space="0" w:color="auto"/>
              <w:bottom w:val="nil"/>
            </w:tcBorders>
            <w:shd w:val="clear" w:color="auto" w:fill="auto"/>
            <w:noWrap/>
            <w:vAlign w:val="center"/>
            <w:hideMark/>
          </w:tcPr>
          <w:p w14:paraId="47355811"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40.05</w:t>
            </w:r>
          </w:p>
        </w:tc>
        <w:tc>
          <w:tcPr>
            <w:tcW w:w="296" w:type="pct"/>
            <w:tcBorders>
              <w:top w:val="single" w:sz="4" w:space="0" w:color="auto"/>
              <w:bottom w:val="nil"/>
            </w:tcBorders>
            <w:shd w:val="clear" w:color="auto" w:fill="auto"/>
            <w:noWrap/>
            <w:vAlign w:val="center"/>
            <w:hideMark/>
          </w:tcPr>
          <w:p w14:paraId="64807205"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9.89</w:t>
            </w:r>
          </w:p>
        </w:tc>
        <w:tc>
          <w:tcPr>
            <w:tcW w:w="267" w:type="pct"/>
            <w:tcBorders>
              <w:top w:val="single" w:sz="4" w:space="0" w:color="auto"/>
              <w:bottom w:val="nil"/>
              <w:right w:val="single" w:sz="4" w:space="0" w:color="auto"/>
            </w:tcBorders>
            <w:shd w:val="clear" w:color="auto" w:fill="auto"/>
            <w:noWrap/>
            <w:vAlign w:val="center"/>
            <w:hideMark/>
          </w:tcPr>
          <w:p w14:paraId="2EA30E99"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8.11</w:t>
            </w:r>
          </w:p>
        </w:tc>
        <w:tc>
          <w:tcPr>
            <w:tcW w:w="296" w:type="pct"/>
            <w:tcBorders>
              <w:top w:val="single" w:sz="4" w:space="0" w:color="auto"/>
              <w:left w:val="single" w:sz="4" w:space="0" w:color="auto"/>
              <w:bottom w:val="nil"/>
            </w:tcBorders>
            <w:shd w:val="clear" w:color="auto" w:fill="auto"/>
            <w:noWrap/>
            <w:vAlign w:val="center"/>
            <w:hideMark/>
          </w:tcPr>
          <w:p w14:paraId="4073C2D2"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11.32</w:t>
            </w:r>
          </w:p>
        </w:tc>
        <w:tc>
          <w:tcPr>
            <w:tcW w:w="283" w:type="pct"/>
            <w:tcBorders>
              <w:top w:val="single" w:sz="4" w:space="0" w:color="auto"/>
              <w:bottom w:val="nil"/>
            </w:tcBorders>
            <w:shd w:val="clear" w:color="auto" w:fill="auto"/>
            <w:noWrap/>
            <w:vAlign w:val="center"/>
            <w:hideMark/>
          </w:tcPr>
          <w:p w14:paraId="3405D7D1"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1.51</w:t>
            </w:r>
          </w:p>
        </w:tc>
        <w:tc>
          <w:tcPr>
            <w:tcW w:w="257" w:type="pct"/>
            <w:tcBorders>
              <w:top w:val="single" w:sz="4" w:space="0" w:color="auto"/>
              <w:bottom w:val="nil"/>
              <w:right w:val="single" w:sz="4" w:space="0" w:color="auto"/>
            </w:tcBorders>
            <w:shd w:val="clear" w:color="auto" w:fill="auto"/>
            <w:noWrap/>
            <w:vAlign w:val="center"/>
            <w:hideMark/>
          </w:tcPr>
          <w:p w14:paraId="5F354B7C"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9.42</w:t>
            </w:r>
          </w:p>
        </w:tc>
        <w:tc>
          <w:tcPr>
            <w:tcW w:w="257" w:type="pct"/>
            <w:tcBorders>
              <w:top w:val="single" w:sz="4" w:space="0" w:color="auto"/>
              <w:left w:val="single" w:sz="4" w:space="0" w:color="auto"/>
              <w:bottom w:val="nil"/>
            </w:tcBorders>
            <w:shd w:val="clear" w:color="auto" w:fill="auto"/>
            <w:noWrap/>
            <w:vAlign w:val="center"/>
            <w:hideMark/>
          </w:tcPr>
          <w:p w14:paraId="1A9DB6BB"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1.21</w:t>
            </w:r>
          </w:p>
        </w:tc>
        <w:tc>
          <w:tcPr>
            <w:tcW w:w="283" w:type="pct"/>
            <w:tcBorders>
              <w:top w:val="single" w:sz="4" w:space="0" w:color="auto"/>
              <w:bottom w:val="nil"/>
            </w:tcBorders>
            <w:shd w:val="clear" w:color="auto" w:fill="auto"/>
            <w:noWrap/>
            <w:vAlign w:val="center"/>
            <w:hideMark/>
          </w:tcPr>
          <w:p w14:paraId="2F77DFE1"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0.66</w:t>
            </w:r>
          </w:p>
        </w:tc>
        <w:tc>
          <w:tcPr>
            <w:tcW w:w="296" w:type="pct"/>
            <w:tcBorders>
              <w:top w:val="single" w:sz="4" w:space="0" w:color="auto"/>
              <w:bottom w:val="nil"/>
            </w:tcBorders>
            <w:shd w:val="clear" w:color="auto" w:fill="auto"/>
            <w:noWrap/>
            <w:vAlign w:val="center"/>
            <w:hideMark/>
          </w:tcPr>
          <w:p w14:paraId="24D47A34"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10.69</w:t>
            </w:r>
          </w:p>
        </w:tc>
        <w:tc>
          <w:tcPr>
            <w:tcW w:w="272" w:type="pct"/>
            <w:tcBorders>
              <w:top w:val="single" w:sz="4" w:space="0" w:color="auto"/>
              <w:bottom w:val="nil"/>
            </w:tcBorders>
            <w:shd w:val="clear" w:color="auto" w:fill="auto"/>
            <w:noWrap/>
            <w:vAlign w:val="center"/>
            <w:hideMark/>
          </w:tcPr>
          <w:p w14:paraId="0660F0F7"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2.25</w:t>
            </w:r>
          </w:p>
        </w:tc>
        <w:tc>
          <w:tcPr>
            <w:tcW w:w="310" w:type="pct"/>
            <w:tcBorders>
              <w:top w:val="single" w:sz="4" w:space="0" w:color="auto"/>
              <w:bottom w:val="nil"/>
            </w:tcBorders>
            <w:shd w:val="clear" w:color="auto" w:fill="auto"/>
            <w:noWrap/>
            <w:vAlign w:val="center"/>
            <w:hideMark/>
          </w:tcPr>
          <w:p w14:paraId="5008DF90"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3.15</w:t>
            </w:r>
          </w:p>
        </w:tc>
        <w:tc>
          <w:tcPr>
            <w:tcW w:w="267" w:type="pct"/>
            <w:tcBorders>
              <w:top w:val="single" w:sz="4" w:space="0" w:color="auto"/>
              <w:bottom w:val="nil"/>
            </w:tcBorders>
            <w:shd w:val="clear" w:color="auto" w:fill="auto"/>
            <w:noWrap/>
            <w:vAlign w:val="center"/>
            <w:hideMark/>
          </w:tcPr>
          <w:p w14:paraId="7F757B1D"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0.63</w:t>
            </w:r>
          </w:p>
        </w:tc>
        <w:tc>
          <w:tcPr>
            <w:tcW w:w="468" w:type="pct"/>
            <w:tcBorders>
              <w:top w:val="single" w:sz="4" w:space="0" w:color="auto"/>
              <w:bottom w:val="nil"/>
            </w:tcBorders>
            <w:shd w:val="clear" w:color="auto" w:fill="auto"/>
            <w:noWrap/>
            <w:vAlign w:val="center"/>
            <w:hideMark/>
          </w:tcPr>
          <w:p w14:paraId="590105A3"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1.12</w:t>
            </w:r>
          </w:p>
        </w:tc>
        <w:tc>
          <w:tcPr>
            <w:tcW w:w="324" w:type="pct"/>
            <w:tcBorders>
              <w:top w:val="single" w:sz="4" w:space="0" w:color="auto"/>
              <w:bottom w:val="nil"/>
            </w:tcBorders>
            <w:shd w:val="clear" w:color="auto" w:fill="auto"/>
            <w:noWrap/>
            <w:vAlign w:val="center"/>
            <w:hideMark/>
          </w:tcPr>
          <w:p w14:paraId="17423308"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59.95</w:t>
            </w:r>
          </w:p>
        </w:tc>
      </w:tr>
      <w:tr w:rsidR="00D07B84" w:rsidRPr="008E7B4C" w14:paraId="0682E3BE" w14:textId="77777777" w:rsidTr="002D38AF">
        <w:trPr>
          <w:trHeight w:val="454"/>
        </w:trPr>
        <w:tc>
          <w:tcPr>
            <w:tcW w:w="274" w:type="pct"/>
            <w:vMerge/>
            <w:tcBorders>
              <w:right w:val="nil"/>
            </w:tcBorders>
          </w:tcPr>
          <w:p w14:paraId="4E8E48DB" w14:textId="77777777" w:rsidR="00D07B84" w:rsidRPr="00E359D7" w:rsidRDefault="00D07B84" w:rsidP="00E063A1">
            <w:pPr>
              <w:spacing w:after="0" w:line="240" w:lineRule="auto"/>
              <w:rPr>
                <w:rFonts w:ascii="Times New Roman" w:eastAsia="Times New Roman" w:hAnsi="Times New Roman" w:cs="Times New Roman"/>
                <w:color w:val="000000"/>
              </w:rPr>
            </w:pPr>
          </w:p>
        </w:tc>
        <w:tc>
          <w:tcPr>
            <w:tcW w:w="537" w:type="pct"/>
            <w:tcBorders>
              <w:top w:val="nil"/>
              <w:left w:val="nil"/>
              <w:bottom w:val="nil"/>
              <w:right w:val="single" w:sz="4" w:space="0" w:color="auto"/>
            </w:tcBorders>
            <w:shd w:val="clear" w:color="auto" w:fill="auto"/>
            <w:noWrap/>
            <w:vAlign w:val="center"/>
            <w:hideMark/>
          </w:tcPr>
          <w:p w14:paraId="2FF2AE82" w14:textId="522773B2" w:rsidR="00D07B84" w:rsidRPr="00E359D7" w:rsidRDefault="00D07B84"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LRC</w:t>
            </w:r>
          </w:p>
        </w:tc>
        <w:tc>
          <w:tcPr>
            <w:tcW w:w="314" w:type="pct"/>
            <w:tcBorders>
              <w:top w:val="nil"/>
              <w:left w:val="single" w:sz="4" w:space="0" w:color="auto"/>
              <w:bottom w:val="nil"/>
            </w:tcBorders>
            <w:shd w:val="clear" w:color="auto" w:fill="auto"/>
            <w:noWrap/>
            <w:vAlign w:val="center"/>
            <w:hideMark/>
          </w:tcPr>
          <w:p w14:paraId="0C1D6CDF"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9.53</w:t>
            </w:r>
          </w:p>
        </w:tc>
        <w:tc>
          <w:tcPr>
            <w:tcW w:w="296" w:type="pct"/>
            <w:tcBorders>
              <w:top w:val="nil"/>
              <w:bottom w:val="nil"/>
            </w:tcBorders>
            <w:shd w:val="clear" w:color="auto" w:fill="auto"/>
            <w:noWrap/>
            <w:vAlign w:val="center"/>
            <w:hideMark/>
          </w:tcPr>
          <w:p w14:paraId="5FE670F7"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37.47</w:t>
            </w:r>
          </w:p>
        </w:tc>
        <w:tc>
          <w:tcPr>
            <w:tcW w:w="267" w:type="pct"/>
            <w:tcBorders>
              <w:top w:val="nil"/>
              <w:bottom w:val="nil"/>
              <w:right w:val="single" w:sz="4" w:space="0" w:color="auto"/>
            </w:tcBorders>
            <w:shd w:val="clear" w:color="auto" w:fill="auto"/>
            <w:noWrap/>
            <w:vAlign w:val="center"/>
            <w:hideMark/>
          </w:tcPr>
          <w:p w14:paraId="26889849"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10.49</w:t>
            </w:r>
          </w:p>
        </w:tc>
        <w:tc>
          <w:tcPr>
            <w:tcW w:w="296" w:type="pct"/>
            <w:tcBorders>
              <w:top w:val="nil"/>
              <w:left w:val="single" w:sz="4" w:space="0" w:color="auto"/>
              <w:bottom w:val="nil"/>
            </w:tcBorders>
            <w:shd w:val="clear" w:color="auto" w:fill="auto"/>
            <w:noWrap/>
            <w:vAlign w:val="center"/>
            <w:hideMark/>
          </w:tcPr>
          <w:p w14:paraId="6146F937"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11.7</w:t>
            </w:r>
          </w:p>
        </w:tc>
        <w:tc>
          <w:tcPr>
            <w:tcW w:w="283" w:type="pct"/>
            <w:tcBorders>
              <w:top w:val="nil"/>
              <w:bottom w:val="nil"/>
            </w:tcBorders>
            <w:shd w:val="clear" w:color="auto" w:fill="auto"/>
            <w:noWrap/>
            <w:vAlign w:val="center"/>
            <w:hideMark/>
          </w:tcPr>
          <w:p w14:paraId="7AD3A4DE"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1.26</w:t>
            </w:r>
          </w:p>
        </w:tc>
        <w:tc>
          <w:tcPr>
            <w:tcW w:w="257" w:type="pct"/>
            <w:tcBorders>
              <w:top w:val="nil"/>
              <w:bottom w:val="nil"/>
              <w:right w:val="single" w:sz="4" w:space="0" w:color="auto"/>
            </w:tcBorders>
            <w:shd w:val="clear" w:color="auto" w:fill="auto"/>
            <w:noWrap/>
            <w:vAlign w:val="center"/>
            <w:hideMark/>
          </w:tcPr>
          <w:p w14:paraId="2468DC73"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9.36</w:t>
            </w:r>
          </w:p>
        </w:tc>
        <w:tc>
          <w:tcPr>
            <w:tcW w:w="257" w:type="pct"/>
            <w:tcBorders>
              <w:top w:val="nil"/>
              <w:left w:val="single" w:sz="4" w:space="0" w:color="auto"/>
              <w:bottom w:val="nil"/>
            </w:tcBorders>
            <w:shd w:val="clear" w:color="auto" w:fill="auto"/>
            <w:noWrap/>
            <w:vAlign w:val="center"/>
            <w:hideMark/>
          </w:tcPr>
          <w:p w14:paraId="65DDEEBC"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1.73</w:t>
            </w:r>
          </w:p>
        </w:tc>
        <w:tc>
          <w:tcPr>
            <w:tcW w:w="283" w:type="pct"/>
            <w:tcBorders>
              <w:top w:val="nil"/>
              <w:bottom w:val="nil"/>
            </w:tcBorders>
            <w:shd w:val="clear" w:color="auto" w:fill="auto"/>
            <w:noWrap/>
            <w:vAlign w:val="center"/>
            <w:hideMark/>
          </w:tcPr>
          <w:p w14:paraId="0E1C7CAA"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0.78</w:t>
            </w:r>
          </w:p>
        </w:tc>
        <w:tc>
          <w:tcPr>
            <w:tcW w:w="296" w:type="pct"/>
            <w:tcBorders>
              <w:top w:val="nil"/>
              <w:bottom w:val="nil"/>
            </w:tcBorders>
            <w:shd w:val="clear" w:color="auto" w:fill="auto"/>
            <w:noWrap/>
            <w:vAlign w:val="center"/>
            <w:hideMark/>
          </w:tcPr>
          <w:p w14:paraId="75E73B7A"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10.08</w:t>
            </w:r>
          </w:p>
        </w:tc>
        <w:tc>
          <w:tcPr>
            <w:tcW w:w="272" w:type="pct"/>
            <w:tcBorders>
              <w:top w:val="nil"/>
              <w:bottom w:val="nil"/>
            </w:tcBorders>
            <w:shd w:val="clear" w:color="auto" w:fill="auto"/>
            <w:noWrap/>
            <w:vAlign w:val="center"/>
            <w:hideMark/>
          </w:tcPr>
          <w:p w14:paraId="42E1C097"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2.1</w:t>
            </w:r>
          </w:p>
        </w:tc>
        <w:tc>
          <w:tcPr>
            <w:tcW w:w="310" w:type="pct"/>
            <w:tcBorders>
              <w:top w:val="nil"/>
              <w:bottom w:val="nil"/>
            </w:tcBorders>
            <w:shd w:val="clear" w:color="auto" w:fill="auto"/>
            <w:noWrap/>
            <w:vAlign w:val="center"/>
            <w:hideMark/>
          </w:tcPr>
          <w:p w14:paraId="69A631B3"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2.73</w:t>
            </w:r>
          </w:p>
        </w:tc>
        <w:tc>
          <w:tcPr>
            <w:tcW w:w="267" w:type="pct"/>
            <w:tcBorders>
              <w:top w:val="nil"/>
              <w:bottom w:val="nil"/>
            </w:tcBorders>
            <w:shd w:val="clear" w:color="auto" w:fill="auto"/>
            <w:noWrap/>
            <w:vAlign w:val="center"/>
            <w:hideMark/>
          </w:tcPr>
          <w:p w14:paraId="27CD9FDB"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0.92</w:t>
            </w:r>
          </w:p>
        </w:tc>
        <w:tc>
          <w:tcPr>
            <w:tcW w:w="468" w:type="pct"/>
            <w:tcBorders>
              <w:top w:val="nil"/>
              <w:bottom w:val="nil"/>
            </w:tcBorders>
            <w:shd w:val="clear" w:color="auto" w:fill="auto"/>
            <w:noWrap/>
            <w:vAlign w:val="center"/>
            <w:hideMark/>
          </w:tcPr>
          <w:p w14:paraId="167A69C1"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1.87</w:t>
            </w:r>
          </w:p>
        </w:tc>
        <w:tc>
          <w:tcPr>
            <w:tcW w:w="324" w:type="pct"/>
            <w:tcBorders>
              <w:top w:val="nil"/>
              <w:bottom w:val="nil"/>
            </w:tcBorders>
            <w:shd w:val="clear" w:color="auto" w:fill="auto"/>
            <w:noWrap/>
            <w:vAlign w:val="center"/>
            <w:hideMark/>
          </w:tcPr>
          <w:p w14:paraId="7137D8BE"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62.53</w:t>
            </w:r>
          </w:p>
        </w:tc>
      </w:tr>
      <w:tr w:rsidR="00D07B84" w:rsidRPr="008E7B4C" w14:paraId="65B6B0EA" w14:textId="77777777" w:rsidTr="002D38AF">
        <w:trPr>
          <w:trHeight w:val="454"/>
        </w:trPr>
        <w:tc>
          <w:tcPr>
            <w:tcW w:w="274" w:type="pct"/>
            <w:vMerge/>
            <w:tcBorders>
              <w:bottom w:val="single" w:sz="4" w:space="0" w:color="auto"/>
              <w:right w:val="nil"/>
            </w:tcBorders>
          </w:tcPr>
          <w:p w14:paraId="35F8FEF0" w14:textId="77777777" w:rsidR="00D07B84" w:rsidRPr="00E359D7" w:rsidRDefault="00D07B84" w:rsidP="00E063A1">
            <w:pPr>
              <w:spacing w:after="0" w:line="240" w:lineRule="auto"/>
              <w:rPr>
                <w:rFonts w:ascii="Times New Roman" w:eastAsia="Times New Roman" w:hAnsi="Times New Roman" w:cs="Times New Roman"/>
                <w:color w:val="000000"/>
              </w:rPr>
            </w:pPr>
          </w:p>
        </w:tc>
        <w:tc>
          <w:tcPr>
            <w:tcW w:w="537" w:type="pct"/>
            <w:tcBorders>
              <w:top w:val="nil"/>
              <w:left w:val="nil"/>
              <w:bottom w:val="single" w:sz="4" w:space="0" w:color="auto"/>
              <w:right w:val="single" w:sz="4" w:space="0" w:color="auto"/>
            </w:tcBorders>
            <w:shd w:val="clear" w:color="auto" w:fill="auto"/>
            <w:noWrap/>
            <w:vAlign w:val="center"/>
            <w:hideMark/>
          </w:tcPr>
          <w:p w14:paraId="6667A718" w14:textId="438DE78E" w:rsidR="00D07B84" w:rsidRPr="00E359D7" w:rsidRDefault="00D07B84"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GNO</w:t>
            </w:r>
          </w:p>
        </w:tc>
        <w:tc>
          <w:tcPr>
            <w:tcW w:w="314" w:type="pct"/>
            <w:tcBorders>
              <w:top w:val="nil"/>
              <w:left w:val="single" w:sz="4" w:space="0" w:color="auto"/>
              <w:bottom w:val="single" w:sz="4" w:space="0" w:color="auto"/>
            </w:tcBorders>
            <w:shd w:val="clear" w:color="auto" w:fill="auto"/>
            <w:noWrap/>
            <w:vAlign w:val="center"/>
            <w:hideMark/>
          </w:tcPr>
          <w:p w14:paraId="318230F7"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7.53</w:t>
            </w:r>
          </w:p>
        </w:tc>
        <w:tc>
          <w:tcPr>
            <w:tcW w:w="296" w:type="pct"/>
            <w:tcBorders>
              <w:top w:val="nil"/>
              <w:bottom w:val="single" w:sz="4" w:space="0" w:color="auto"/>
            </w:tcBorders>
            <w:shd w:val="clear" w:color="auto" w:fill="auto"/>
            <w:noWrap/>
            <w:vAlign w:val="center"/>
            <w:hideMark/>
          </w:tcPr>
          <w:p w14:paraId="6A9D4720"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9.91</w:t>
            </w:r>
          </w:p>
        </w:tc>
        <w:tc>
          <w:tcPr>
            <w:tcW w:w="267" w:type="pct"/>
            <w:tcBorders>
              <w:top w:val="nil"/>
              <w:bottom w:val="single" w:sz="4" w:space="0" w:color="auto"/>
              <w:right w:val="single" w:sz="4" w:space="0" w:color="auto"/>
            </w:tcBorders>
            <w:shd w:val="clear" w:color="auto" w:fill="auto"/>
            <w:noWrap/>
            <w:vAlign w:val="center"/>
            <w:hideMark/>
          </w:tcPr>
          <w:p w14:paraId="2EBE76D6"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36.56</w:t>
            </w:r>
          </w:p>
        </w:tc>
        <w:tc>
          <w:tcPr>
            <w:tcW w:w="296" w:type="pct"/>
            <w:tcBorders>
              <w:top w:val="nil"/>
              <w:left w:val="single" w:sz="4" w:space="0" w:color="auto"/>
              <w:bottom w:val="single" w:sz="4" w:space="0" w:color="auto"/>
            </w:tcBorders>
            <w:shd w:val="clear" w:color="auto" w:fill="auto"/>
            <w:noWrap/>
            <w:vAlign w:val="center"/>
            <w:hideMark/>
          </w:tcPr>
          <w:p w14:paraId="5BE1ABE9"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11.73</w:t>
            </w:r>
          </w:p>
        </w:tc>
        <w:tc>
          <w:tcPr>
            <w:tcW w:w="283" w:type="pct"/>
            <w:tcBorders>
              <w:top w:val="nil"/>
              <w:bottom w:val="single" w:sz="4" w:space="0" w:color="auto"/>
            </w:tcBorders>
            <w:shd w:val="clear" w:color="auto" w:fill="auto"/>
            <w:noWrap/>
            <w:vAlign w:val="center"/>
            <w:hideMark/>
          </w:tcPr>
          <w:p w14:paraId="7B8CDE03"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1.12</w:t>
            </w:r>
          </w:p>
        </w:tc>
        <w:tc>
          <w:tcPr>
            <w:tcW w:w="257" w:type="pct"/>
            <w:tcBorders>
              <w:top w:val="nil"/>
              <w:bottom w:val="single" w:sz="4" w:space="0" w:color="auto"/>
              <w:right w:val="single" w:sz="4" w:space="0" w:color="auto"/>
            </w:tcBorders>
            <w:shd w:val="clear" w:color="auto" w:fill="auto"/>
            <w:noWrap/>
            <w:vAlign w:val="center"/>
            <w:hideMark/>
          </w:tcPr>
          <w:p w14:paraId="662E0728"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10.69</w:t>
            </w:r>
          </w:p>
        </w:tc>
        <w:tc>
          <w:tcPr>
            <w:tcW w:w="257" w:type="pct"/>
            <w:tcBorders>
              <w:top w:val="nil"/>
              <w:left w:val="single" w:sz="4" w:space="0" w:color="auto"/>
              <w:bottom w:val="single" w:sz="4" w:space="0" w:color="auto"/>
            </w:tcBorders>
            <w:shd w:val="clear" w:color="auto" w:fill="auto"/>
            <w:noWrap/>
            <w:vAlign w:val="center"/>
            <w:hideMark/>
          </w:tcPr>
          <w:p w14:paraId="0ED5834B"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1.27</w:t>
            </w:r>
          </w:p>
        </w:tc>
        <w:tc>
          <w:tcPr>
            <w:tcW w:w="283" w:type="pct"/>
            <w:tcBorders>
              <w:top w:val="nil"/>
              <w:bottom w:val="single" w:sz="4" w:space="0" w:color="auto"/>
            </w:tcBorders>
            <w:shd w:val="clear" w:color="auto" w:fill="auto"/>
            <w:noWrap/>
            <w:vAlign w:val="center"/>
            <w:hideMark/>
          </w:tcPr>
          <w:p w14:paraId="301A8E18"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0.63</w:t>
            </w:r>
          </w:p>
        </w:tc>
        <w:tc>
          <w:tcPr>
            <w:tcW w:w="296" w:type="pct"/>
            <w:tcBorders>
              <w:top w:val="nil"/>
              <w:bottom w:val="single" w:sz="4" w:space="0" w:color="auto"/>
            </w:tcBorders>
            <w:shd w:val="clear" w:color="auto" w:fill="auto"/>
            <w:noWrap/>
            <w:vAlign w:val="center"/>
            <w:hideMark/>
          </w:tcPr>
          <w:p w14:paraId="05C9EAE4"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13.03</w:t>
            </w:r>
          </w:p>
        </w:tc>
        <w:tc>
          <w:tcPr>
            <w:tcW w:w="272" w:type="pct"/>
            <w:tcBorders>
              <w:top w:val="nil"/>
              <w:bottom w:val="single" w:sz="4" w:space="0" w:color="auto"/>
            </w:tcBorders>
            <w:shd w:val="clear" w:color="auto" w:fill="auto"/>
            <w:noWrap/>
            <w:vAlign w:val="center"/>
            <w:hideMark/>
          </w:tcPr>
          <w:p w14:paraId="2E44DAD6"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1.98</w:t>
            </w:r>
          </w:p>
        </w:tc>
        <w:tc>
          <w:tcPr>
            <w:tcW w:w="310" w:type="pct"/>
            <w:tcBorders>
              <w:top w:val="nil"/>
              <w:bottom w:val="single" w:sz="4" w:space="0" w:color="auto"/>
            </w:tcBorders>
            <w:shd w:val="clear" w:color="auto" w:fill="auto"/>
            <w:noWrap/>
            <w:vAlign w:val="center"/>
            <w:hideMark/>
          </w:tcPr>
          <w:p w14:paraId="228C0B73"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3.63</w:t>
            </w:r>
          </w:p>
        </w:tc>
        <w:tc>
          <w:tcPr>
            <w:tcW w:w="267" w:type="pct"/>
            <w:tcBorders>
              <w:top w:val="nil"/>
              <w:bottom w:val="single" w:sz="4" w:space="0" w:color="auto"/>
            </w:tcBorders>
            <w:shd w:val="clear" w:color="auto" w:fill="auto"/>
            <w:noWrap/>
            <w:vAlign w:val="center"/>
            <w:hideMark/>
          </w:tcPr>
          <w:p w14:paraId="71A00E18"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0.66</w:t>
            </w:r>
          </w:p>
        </w:tc>
        <w:tc>
          <w:tcPr>
            <w:tcW w:w="468" w:type="pct"/>
            <w:tcBorders>
              <w:top w:val="nil"/>
              <w:bottom w:val="single" w:sz="4" w:space="0" w:color="auto"/>
            </w:tcBorders>
            <w:shd w:val="clear" w:color="auto" w:fill="auto"/>
            <w:noWrap/>
            <w:vAlign w:val="center"/>
            <w:hideMark/>
          </w:tcPr>
          <w:p w14:paraId="2449AE53"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1.26</w:t>
            </w:r>
          </w:p>
        </w:tc>
        <w:tc>
          <w:tcPr>
            <w:tcW w:w="324" w:type="pct"/>
            <w:tcBorders>
              <w:top w:val="nil"/>
              <w:bottom w:val="single" w:sz="4" w:space="0" w:color="auto"/>
            </w:tcBorders>
            <w:shd w:val="clear" w:color="auto" w:fill="auto"/>
            <w:noWrap/>
            <w:vAlign w:val="center"/>
            <w:hideMark/>
          </w:tcPr>
          <w:p w14:paraId="39B16684"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63.44</w:t>
            </w:r>
          </w:p>
        </w:tc>
      </w:tr>
      <w:tr w:rsidR="00D07B84" w:rsidRPr="008E7B4C" w14:paraId="76B168BD" w14:textId="77777777" w:rsidTr="002D38AF">
        <w:trPr>
          <w:trHeight w:val="454"/>
        </w:trPr>
        <w:tc>
          <w:tcPr>
            <w:tcW w:w="274" w:type="pct"/>
            <w:vMerge w:val="restart"/>
            <w:tcBorders>
              <w:top w:val="single" w:sz="4" w:space="0" w:color="auto"/>
              <w:right w:val="nil"/>
            </w:tcBorders>
            <w:textDirection w:val="btLr"/>
          </w:tcPr>
          <w:p w14:paraId="715C5322" w14:textId="6BE134B4" w:rsidR="00D07B84" w:rsidRPr="00E359D7" w:rsidRDefault="00D07B84" w:rsidP="00D07B84">
            <w:pPr>
              <w:spacing w:after="0" w:line="240" w:lineRule="auto"/>
              <w:ind w:left="113" w:right="113"/>
              <w:rPr>
                <w:rFonts w:ascii="Times New Roman" w:eastAsia="Times New Roman" w:hAnsi="Times New Roman" w:cs="Times New Roman"/>
                <w:color w:val="000000"/>
              </w:rPr>
            </w:pPr>
            <w:r>
              <w:rPr>
                <w:rFonts w:ascii="Times New Roman" w:eastAsia="Times New Roman" w:hAnsi="Times New Roman" w:cs="Times New Roman"/>
                <w:color w:val="000000"/>
              </w:rPr>
              <w:t>CEX tokens</w:t>
            </w:r>
          </w:p>
        </w:tc>
        <w:tc>
          <w:tcPr>
            <w:tcW w:w="537" w:type="pct"/>
            <w:tcBorders>
              <w:top w:val="single" w:sz="4" w:space="0" w:color="auto"/>
              <w:left w:val="nil"/>
              <w:bottom w:val="nil"/>
              <w:right w:val="single" w:sz="4" w:space="0" w:color="auto"/>
            </w:tcBorders>
            <w:shd w:val="clear" w:color="auto" w:fill="auto"/>
            <w:noWrap/>
            <w:vAlign w:val="center"/>
            <w:hideMark/>
          </w:tcPr>
          <w:p w14:paraId="2CADEE7B" w14:textId="2C591A8D" w:rsidR="00D07B84" w:rsidRPr="00E359D7" w:rsidRDefault="00D07B84"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BNB</w:t>
            </w:r>
          </w:p>
        </w:tc>
        <w:tc>
          <w:tcPr>
            <w:tcW w:w="314" w:type="pct"/>
            <w:tcBorders>
              <w:top w:val="single" w:sz="4" w:space="0" w:color="auto"/>
              <w:left w:val="single" w:sz="4" w:space="0" w:color="auto"/>
              <w:bottom w:val="nil"/>
            </w:tcBorders>
            <w:shd w:val="clear" w:color="auto" w:fill="auto"/>
            <w:noWrap/>
            <w:vAlign w:val="center"/>
            <w:hideMark/>
          </w:tcPr>
          <w:p w14:paraId="27A2A69F"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8.91</w:t>
            </w:r>
          </w:p>
        </w:tc>
        <w:tc>
          <w:tcPr>
            <w:tcW w:w="296" w:type="pct"/>
            <w:tcBorders>
              <w:top w:val="single" w:sz="4" w:space="0" w:color="auto"/>
              <w:bottom w:val="nil"/>
            </w:tcBorders>
            <w:shd w:val="clear" w:color="auto" w:fill="auto"/>
            <w:noWrap/>
            <w:vAlign w:val="center"/>
            <w:hideMark/>
          </w:tcPr>
          <w:p w14:paraId="25DEF59C"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9.26</w:t>
            </w:r>
          </w:p>
        </w:tc>
        <w:tc>
          <w:tcPr>
            <w:tcW w:w="267" w:type="pct"/>
            <w:tcBorders>
              <w:top w:val="single" w:sz="4" w:space="0" w:color="auto"/>
              <w:bottom w:val="nil"/>
              <w:right w:val="single" w:sz="4" w:space="0" w:color="auto"/>
            </w:tcBorders>
            <w:shd w:val="clear" w:color="auto" w:fill="auto"/>
            <w:noWrap/>
            <w:vAlign w:val="center"/>
            <w:hideMark/>
          </w:tcPr>
          <w:p w14:paraId="75811EF6"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9.78</w:t>
            </w:r>
          </w:p>
        </w:tc>
        <w:tc>
          <w:tcPr>
            <w:tcW w:w="296" w:type="pct"/>
            <w:tcBorders>
              <w:top w:val="single" w:sz="4" w:space="0" w:color="auto"/>
              <w:left w:val="single" w:sz="4" w:space="0" w:color="auto"/>
              <w:bottom w:val="nil"/>
            </w:tcBorders>
            <w:shd w:val="clear" w:color="auto" w:fill="auto"/>
            <w:noWrap/>
            <w:vAlign w:val="center"/>
            <w:hideMark/>
          </w:tcPr>
          <w:p w14:paraId="758DB388"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29.64</w:t>
            </w:r>
          </w:p>
        </w:tc>
        <w:tc>
          <w:tcPr>
            <w:tcW w:w="283" w:type="pct"/>
            <w:tcBorders>
              <w:top w:val="single" w:sz="4" w:space="0" w:color="auto"/>
              <w:bottom w:val="nil"/>
            </w:tcBorders>
            <w:shd w:val="clear" w:color="auto" w:fill="auto"/>
            <w:noWrap/>
            <w:vAlign w:val="center"/>
            <w:hideMark/>
          </w:tcPr>
          <w:p w14:paraId="582D6576"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1.65</w:t>
            </w:r>
          </w:p>
        </w:tc>
        <w:tc>
          <w:tcPr>
            <w:tcW w:w="257" w:type="pct"/>
            <w:tcBorders>
              <w:top w:val="single" w:sz="4" w:space="0" w:color="auto"/>
              <w:bottom w:val="nil"/>
              <w:right w:val="single" w:sz="4" w:space="0" w:color="auto"/>
            </w:tcBorders>
            <w:shd w:val="clear" w:color="auto" w:fill="auto"/>
            <w:noWrap/>
            <w:vAlign w:val="center"/>
            <w:hideMark/>
          </w:tcPr>
          <w:p w14:paraId="609A3FD9"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14.33</w:t>
            </w:r>
          </w:p>
        </w:tc>
        <w:tc>
          <w:tcPr>
            <w:tcW w:w="257" w:type="pct"/>
            <w:tcBorders>
              <w:top w:val="single" w:sz="4" w:space="0" w:color="auto"/>
              <w:left w:val="single" w:sz="4" w:space="0" w:color="auto"/>
              <w:bottom w:val="nil"/>
            </w:tcBorders>
            <w:shd w:val="clear" w:color="auto" w:fill="auto"/>
            <w:noWrap/>
            <w:vAlign w:val="center"/>
            <w:hideMark/>
          </w:tcPr>
          <w:p w14:paraId="18905BD3"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1.62</w:t>
            </w:r>
          </w:p>
        </w:tc>
        <w:tc>
          <w:tcPr>
            <w:tcW w:w="283" w:type="pct"/>
            <w:tcBorders>
              <w:top w:val="single" w:sz="4" w:space="0" w:color="auto"/>
              <w:bottom w:val="nil"/>
            </w:tcBorders>
            <w:shd w:val="clear" w:color="auto" w:fill="auto"/>
            <w:noWrap/>
            <w:vAlign w:val="center"/>
            <w:hideMark/>
          </w:tcPr>
          <w:p w14:paraId="751F6805"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0.59</w:t>
            </w:r>
          </w:p>
        </w:tc>
        <w:tc>
          <w:tcPr>
            <w:tcW w:w="296" w:type="pct"/>
            <w:tcBorders>
              <w:top w:val="single" w:sz="4" w:space="0" w:color="auto"/>
              <w:bottom w:val="nil"/>
            </w:tcBorders>
            <w:shd w:val="clear" w:color="auto" w:fill="auto"/>
            <w:noWrap/>
            <w:vAlign w:val="center"/>
            <w:hideMark/>
          </w:tcPr>
          <w:p w14:paraId="50E674C3"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14.61</w:t>
            </w:r>
          </w:p>
        </w:tc>
        <w:tc>
          <w:tcPr>
            <w:tcW w:w="272" w:type="pct"/>
            <w:tcBorders>
              <w:top w:val="single" w:sz="4" w:space="0" w:color="auto"/>
              <w:bottom w:val="nil"/>
            </w:tcBorders>
            <w:shd w:val="clear" w:color="auto" w:fill="auto"/>
            <w:noWrap/>
            <w:vAlign w:val="center"/>
            <w:hideMark/>
          </w:tcPr>
          <w:p w14:paraId="341A3AE0"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2.84</w:t>
            </w:r>
          </w:p>
        </w:tc>
        <w:tc>
          <w:tcPr>
            <w:tcW w:w="310" w:type="pct"/>
            <w:tcBorders>
              <w:top w:val="single" w:sz="4" w:space="0" w:color="auto"/>
              <w:bottom w:val="nil"/>
            </w:tcBorders>
            <w:shd w:val="clear" w:color="auto" w:fill="auto"/>
            <w:noWrap/>
            <w:vAlign w:val="center"/>
            <w:hideMark/>
          </w:tcPr>
          <w:p w14:paraId="6D517BA3"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4.29</w:t>
            </w:r>
          </w:p>
        </w:tc>
        <w:tc>
          <w:tcPr>
            <w:tcW w:w="267" w:type="pct"/>
            <w:tcBorders>
              <w:top w:val="single" w:sz="4" w:space="0" w:color="auto"/>
              <w:bottom w:val="nil"/>
            </w:tcBorders>
            <w:shd w:val="clear" w:color="auto" w:fill="auto"/>
            <w:noWrap/>
            <w:vAlign w:val="center"/>
            <w:hideMark/>
          </w:tcPr>
          <w:p w14:paraId="6A011B5E"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0.93</w:t>
            </w:r>
          </w:p>
        </w:tc>
        <w:tc>
          <w:tcPr>
            <w:tcW w:w="468" w:type="pct"/>
            <w:tcBorders>
              <w:top w:val="single" w:sz="4" w:space="0" w:color="auto"/>
              <w:bottom w:val="nil"/>
            </w:tcBorders>
            <w:shd w:val="clear" w:color="auto" w:fill="auto"/>
            <w:noWrap/>
            <w:vAlign w:val="center"/>
            <w:hideMark/>
          </w:tcPr>
          <w:p w14:paraId="4783C86E"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1.55</w:t>
            </w:r>
          </w:p>
        </w:tc>
        <w:tc>
          <w:tcPr>
            <w:tcW w:w="324" w:type="pct"/>
            <w:tcBorders>
              <w:top w:val="single" w:sz="4" w:space="0" w:color="auto"/>
              <w:bottom w:val="nil"/>
            </w:tcBorders>
            <w:shd w:val="clear" w:color="auto" w:fill="auto"/>
            <w:noWrap/>
            <w:vAlign w:val="center"/>
            <w:hideMark/>
          </w:tcPr>
          <w:p w14:paraId="25ACF14A"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70.36</w:t>
            </w:r>
          </w:p>
        </w:tc>
      </w:tr>
      <w:tr w:rsidR="00D07B84" w:rsidRPr="008E7B4C" w14:paraId="42D71B52" w14:textId="77777777" w:rsidTr="002D38AF">
        <w:trPr>
          <w:trHeight w:val="454"/>
        </w:trPr>
        <w:tc>
          <w:tcPr>
            <w:tcW w:w="274" w:type="pct"/>
            <w:vMerge/>
            <w:tcBorders>
              <w:right w:val="nil"/>
            </w:tcBorders>
          </w:tcPr>
          <w:p w14:paraId="37AFE045" w14:textId="77777777" w:rsidR="00D07B84" w:rsidRPr="00E359D7" w:rsidRDefault="00D07B84" w:rsidP="00E063A1">
            <w:pPr>
              <w:spacing w:after="0" w:line="240" w:lineRule="auto"/>
              <w:rPr>
                <w:rFonts w:ascii="Times New Roman" w:eastAsia="Times New Roman" w:hAnsi="Times New Roman" w:cs="Times New Roman"/>
                <w:color w:val="000000"/>
              </w:rPr>
            </w:pPr>
          </w:p>
        </w:tc>
        <w:tc>
          <w:tcPr>
            <w:tcW w:w="537" w:type="pct"/>
            <w:tcBorders>
              <w:top w:val="nil"/>
              <w:left w:val="nil"/>
              <w:bottom w:val="nil"/>
              <w:right w:val="single" w:sz="4" w:space="0" w:color="auto"/>
            </w:tcBorders>
            <w:shd w:val="clear" w:color="auto" w:fill="auto"/>
            <w:noWrap/>
            <w:vAlign w:val="center"/>
            <w:hideMark/>
          </w:tcPr>
          <w:p w14:paraId="0F0C1818" w14:textId="7DEE3D3A" w:rsidR="00D07B84" w:rsidRPr="00E359D7" w:rsidRDefault="00D07B84"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LEO</w:t>
            </w:r>
          </w:p>
        </w:tc>
        <w:tc>
          <w:tcPr>
            <w:tcW w:w="314" w:type="pct"/>
            <w:tcBorders>
              <w:top w:val="nil"/>
              <w:left w:val="single" w:sz="4" w:space="0" w:color="auto"/>
              <w:bottom w:val="nil"/>
            </w:tcBorders>
            <w:shd w:val="clear" w:color="auto" w:fill="auto"/>
            <w:noWrap/>
            <w:vAlign w:val="center"/>
            <w:hideMark/>
          </w:tcPr>
          <w:p w14:paraId="5E0506E4"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2.47</w:t>
            </w:r>
          </w:p>
        </w:tc>
        <w:tc>
          <w:tcPr>
            <w:tcW w:w="296" w:type="pct"/>
            <w:tcBorders>
              <w:top w:val="nil"/>
              <w:bottom w:val="nil"/>
            </w:tcBorders>
            <w:shd w:val="clear" w:color="auto" w:fill="auto"/>
            <w:noWrap/>
            <w:vAlign w:val="center"/>
            <w:hideMark/>
          </w:tcPr>
          <w:p w14:paraId="01E63F2F"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2.78</w:t>
            </w:r>
          </w:p>
        </w:tc>
        <w:tc>
          <w:tcPr>
            <w:tcW w:w="267" w:type="pct"/>
            <w:tcBorders>
              <w:top w:val="nil"/>
              <w:bottom w:val="nil"/>
              <w:right w:val="single" w:sz="4" w:space="0" w:color="auto"/>
            </w:tcBorders>
            <w:shd w:val="clear" w:color="auto" w:fill="auto"/>
            <w:noWrap/>
            <w:vAlign w:val="center"/>
            <w:hideMark/>
          </w:tcPr>
          <w:p w14:paraId="7912A631"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2.52</w:t>
            </w:r>
          </w:p>
        </w:tc>
        <w:tc>
          <w:tcPr>
            <w:tcW w:w="296" w:type="pct"/>
            <w:tcBorders>
              <w:top w:val="nil"/>
              <w:left w:val="single" w:sz="4" w:space="0" w:color="auto"/>
              <w:bottom w:val="nil"/>
            </w:tcBorders>
            <w:shd w:val="clear" w:color="auto" w:fill="auto"/>
            <w:noWrap/>
            <w:vAlign w:val="center"/>
            <w:hideMark/>
          </w:tcPr>
          <w:p w14:paraId="5B7EA7E1"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4.34</w:t>
            </w:r>
          </w:p>
        </w:tc>
        <w:tc>
          <w:tcPr>
            <w:tcW w:w="283" w:type="pct"/>
            <w:tcBorders>
              <w:top w:val="nil"/>
              <w:bottom w:val="nil"/>
            </w:tcBorders>
            <w:shd w:val="clear" w:color="auto" w:fill="auto"/>
            <w:noWrap/>
            <w:vAlign w:val="center"/>
            <w:hideMark/>
          </w:tcPr>
          <w:p w14:paraId="24FB39E2"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72.28</w:t>
            </w:r>
          </w:p>
        </w:tc>
        <w:tc>
          <w:tcPr>
            <w:tcW w:w="257" w:type="pct"/>
            <w:tcBorders>
              <w:top w:val="nil"/>
              <w:bottom w:val="nil"/>
              <w:right w:val="single" w:sz="4" w:space="0" w:color="auto"/>
            </w:tcBorders>
            <w:shd w:val="clear" w:color="auto" w:fill="auto"/>
            <w:noWrap/>
            <w:vAlign w:val="center"/>
            <w:hideMark/>
          </w:tcPr>
          <w:p w14:paraId="54E85018"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3.13</w:t>
            </w:r>
          </w:p>
        </w:tc>
        <w:tc>
          <w:tcPr>
            <w:tcW w:w="257" w:type="pct"/>
            <w:tcBorders>
              <w:top w:val="nil"/>
              <w:left w:val="single" w:sz="4" w:space="0" w:color="auto"/>
              <w:bottom w:val="nil"/>
            </w:tcBorders>
            <w:shd w:val="clear" w:color="auto" w:fill="auto"/>
            <w:noWrap/>
            <w:vAlign w:val="center"/>
            <w:hideMark/>
          </w:tcPr>
          <w:p w14:paraId="6F557D03"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0.73</w:t>
            </w:r>
          </w:p>
        </w:tc>
        <w:tc>
          <w:tcPr>
            <w:tcW w:w="283" w:type="pct"/>
            <w:tcBorders>
              <w:top w:val="nil"/>
              <w:bottom w:val="nil"/>
            </w:tcBorders>
            <w:shd w:val="clear" w:color="auto" w:fill="auto"/>
            <w:noWrap/>
            <w:vAlign w:val="center"/>
            <w:hideMark/>
          </w:tcPr>
          <w:p w14:paraId="3DA9C331"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0.76</w:t>
            </w:r>
          </w:p>
        </w:tc>
        <w:tc>
          <w:tcPr>
            <w:tcW w:w="296" w:type="pct"/>
            <w:tcBorders>
              <w:top w:val="nil"/>
              <w:bottom w:val="nil"/>
            </w:tcBorders>
            <w:shd w:val="clear" w:color="auto" w:fill="auto"/>
            <w:noWrap/>
            <w:vAlign w:val="center"/>
            <w:hideMark/>
          </w:tcPr>
          <w:p w14:paraId="34B2063E"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3.50</w:t>
            </w:r>
          </w:p>
        </w:tc>
        <w:tc>
          <w:tcPr>
            <w:tcW w:w="272" w:type="pct"/>
            <w:tcBorders>
              <w:top w:val="nil"/>
              <w:bottom w:val="nil"/>
            </w:tcBorders>
            <w:shd w:val="clear" w:color="auto" w:fill="auto"/>
            <w:noWrap/>
            <w:vAlign w:val="center"/>
            <w:hideMark/>
          </w:tcPr>
          <w:p w14:paraId="2CA65164"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1.61</w:t>
            </w:r>
          </w:p>
        </w:tc>
        <w:tc>
          <w:tcPr>
            <w:tcW w:w="310" w:type="pct"/>
            <w:tcBorders>
              <w:top w:val="nil"/>
              <w:bottom w:val="nil"/>
            </w:tcBorders>
            <w:shd w:val="clear" w:color="auto" w:fill="auto"/>
            <w:noWrap/>
            <w:vAlign w:val="center"/>
            <w:hideMark/>
          </w:tcPr>
          <w:p w14:paraId="038D2D24"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2.78</w:t>
            </w:r>
          </w:p>
        </w:tc>
        <w:tc>
          <w:tcPr>
            <w:tcW w:w="267" w:type="pct"/>
            <w:tcBorders>
              <w:top w:val="nil"/>
              <w:bottom w:val="nil"/>
            </w:tcBorders>
            <w:shd w:val="clear" w:color="auto" w:fill="auto"/>
            <w:noWrap/>
            <w:vAlign w:val="center"/>
            <w:hideMark/>
          </w:tcPr>
          <w:p w14:paraId="5A098050"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1.41</w:t>
            </w:r>
          </w:p>
        </w:tc>
        <w:tc>
          <w:tcPr>
            <w:tcW w:w="468" w:type="pct"/>
            <w:tcBorders>
              <w:top w:val="nil"/>
              <w:bottom w:val="nil"/>
            </w:tcBorders>
            <w:shd w:val="clear" w:color="auto" w:fill="auto"/>
            <w:noWrap/>
            <w:vAlign w:val="center"/>
            <w:hideMark/>
          </w:tcPr>
          <w:p w14:paraId="398C6CC8"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1.70</w:t>
            </w:r>
          </w:p>
        </w:tc>
        <w:tc>
          <w:tcPr>
            <w:tcW w:w="324" w:type="pct"/>
            <w:tcBorders>
              <w:top w:val="nil"/>
              <w:bottom w:val="nil"/>
            </w:tcBorders>
            <w:shd w:val="clear" w:color="auto" w:fill="auto"/>
            <w:noWrap/>
            <w:vAlign w:val="center"/>
            <w:hideMark/>
          </w:tcPr>
          <w:p w14:paraId="5B3607D3"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27.72</w:t>
            </w:r>
          </w:p>
        </w:tc>
      </w:tr>
      <w:tr w:rsidR="00D07B84" w:rsidRPr="008E7B4C" w14:paraId="2DBE45D3" w14:textId="77777777" w:rsidTr="002D38AF">
        <w:trPr>
          <w:trHeight w:val="454"/>
        </w:trPr>
        <w:tc>
          <w:tcPr>
            <w:tcW w:w="274" w:type="pct"/>
            <w:vMerge/>
            <w:tcBorders>
              <w:bottom w:val="single" w:sz="4" w:space="0" w:color="auto"/>
              <w:right w:val="nil"/>
            </w:tcBorders>
          </w:tcPr>
          <w:p w14:paraId="114A92F6" w14:textId="77777777" w:rsidR="00D07B84" w:rsidRPr="00E359D7" w:rsidRDefault="00D07B84" w:rsidP="00E063A1">
            <w:pPr>
              <w:spacing w:after="0" w:line="240" w:lineRule="auto"/>
              <w:rPr>
                <w:rFonts w:ascii="Times New Roman" w:eastAsia="Times New Roman" w:hAnsi="Times New Roman" w:cs="Times New Roman"/>
                <w:color w:val="000000"/>
              </w:rPr>
            </w:pPr>
          </w:p>
        </w:tc>
        <w:tc>
          <w:tcPr>
            <w:tcW w:w="537" w:type="pct"/>
            <w:tcBorders>
              <w:top w:val="nil"/>
              <w:left w:val="nil"/>
              <w:bottom w:val="single" w:sz="4" w:space="0" w:color="auto"/>
              <w:right w:val="single" w:sz="4" w:space="0" w:color="auto"/>
            </w:tcBorders>
            <w:shd w:val="clear" w:color="auto" w:fill="auto"/>
            <w:noWrap/>
            <w:vAlign w:val="center"/>
            <w:hideMark/>
          </w:tcPr>
          <w:p w14:paraId="513FE152" w14:textId="713B76D4" w:rsidR="00D07B84" w:rsidRPr="00E359D7" w:rsidRDefault="00D07B84"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FTT</w:t>
            </w:r>
          </w:p>
        </w:tc>
        <w:tc>
          <w:tcPr>
            <w:tcW w:w="314" w:type="pct"/>
            <w:tcBorders>
              <w:top w:val="nil"/>
              <w:left w:val="single" w:sz="4" w:space="0" w:color="auto"/>
              <w:bottom w:val="single" w:sz="4" w:space="0" w:color="auto"/>
            </w:tcBorders>
            <w:shd w:val="clear" w:color="auto" w:fill="auto"/>
            <w:noWrap/>
            <w:vAlign w:val="center"/>
            <w:hideMark/>
          </w:tcPr>
          <w:p w14:paraId="1AB3DA09"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7.93</w:t>
            </w:r>
          </w:p>
        </w:tc>
        <w:tc>
          <w:tcPr>
            <w:tcW w:w="296" w:type="pct"/>
            <w:tcBorders>
              <w:top w:val="nil"/>
              <w:bottom w:val="single" w:sz="4" w:space="0" w:color="auto"/>
            </w:tcBorders>
            <w:shd w:val="clear" w:color="auto" w:fill="auto"/>
            <w:noWrap/>
            <w:vAlign w:val="center"/>
            <w:hideMark/>
          </w:tcPr>
          <w:p w14:paraId="00C05D8C"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8.18</w:t>
            </w:r>
          </w:p>
        </w:tc>
        <w:tc>
          <w:tcPr>
            <w:tcW w:w="267" w:type="pct"/>
            <w:tcBorders>
              <w:top w:val="nil"/>
              <w:bottom w:val="single" w:sz="4" w:space="0" w:color="auto"/>
              <w:right w:val="single" w:sz="4" w:space="0" w:color="auto"/>
            </w:tcBorders>
            <w:shd w:val="clear" w:color="auto" w:fill="auto"/>
            <w:noWrap/>
            <w:vAlign w:val="center"/>
            <w:hideMark/>
          </w:tcPr>
          <w:p w14:paraId="6ED161E7"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9.5</w:t>
            </w:r>
          </w:p>
        </w:tc>
        <w:tc>
          <w:tcPr>
            <w:tcW w:w="296" w:type="pct"/>
            <w:tcBorders>
              <w:top w:val="nil"/>
              <w:left w:val="single" w:sz="4" w:space="0" w:color="auto"/>
              <w:bottom w:val="single" w:sz="4" w:space="0" w:color="auto"/>
            </w:tcBorders>
            <w:shd w:val="clear" w:color="auto" w:fill="auto"/>
            <w:noWrap/>
            <w:vAlign w:val="center"/>
            <w:hideMark/>
          </w:tcPr>
          <w:p w14:paraId="71A5D4E6"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14.48</w:t>
            </w:r>
          </w:p>
        </w:tc>
        <w:tc>
          <w:tcPr>
            <w:tcW w:w="283" w:type="pct"/>
            <w:tcBorders>
              <w:top w:val="nil"/>
              <w:bottom w:val="single" w:sz="4" w:space="0" w:color="auto"/>
            </w:tcBorders>
            <w:shd w:val="clear" w:color="auto" w:fill="auto"/>
            <w:noWrap/>
            <w:vAlign w:val="center"/>
            <w:hideMark/>
          </w:tcPr>
          <w:p w14:paraId="01E57C36"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1.46</w:t>
            </w:r>
          </w:p>
        </w:tc>
        <w:tc>
          <w:tcPr>
            <w:tcW w:w="257" w:type="pct"/>
            <w:tcBorders>
              <w:top w:val="nil"/>
              <w:bottom w:val="single" w:sz="4" w:space="0" w:color="auto"/>
              <w:right w:val="single" w:sz="4" w:space="0" w:color="auto"/>
            </w:tcBorders>
            <w:shd w:val="clear" w:color="auto" w:fill="auto"/>
            <w:noWrap/>
            <w:vAlign w:val="center"/>
            <w:hideMark/>
          </w:tcPr>
          <w:p w14:paraId="5BDAD272"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31.44</w:t>
            </w:r>
          </w:p>
        </w:tc>
        <w:tc>
          <w:tcPr>
            <w:tcW w:w="257" w:type="pct"/>
            <w:tcBorders>
              <w:top w:val="nil"/>
              <w:left w:val="single" w:sz="4" w:space="0" w:color="auto"/>
              <w:bottom w:val="single" w:sz="4" w:space="0" w:color="auto"/>
            </w:tcBorders>
            <w:shd w:val="clear" w:color="auto" w:fill="auto"/>
            <w:noWrap/>
            <w:vAlign w:val="center"/>
            <w:hideMark/>
          </w:tcPr>
          <w:p w14:paraId="74C84D69"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1.36</w:t>
            </w:r>
          </w:p>
        </w:tc>
        <w:tc>
          <w:tcPr>
            <w:tcW w:w="283" w:type="pct"/>
            <w:tcBorders>
              <w:top w:val="nil"/>
              <w:bottom w:val="single" w:sz="4" w:space="0" w:color="auto"/>
            </w:tcBorders>
            <w:shd w:val="clear" w:color="auto" w:fill="auto"/>
            <w:noWrap/>
            <w:vAlign w:val="center"/>
            <w:hideMark/>
          </w:tcPr>
          <w:p w14:paraId="434E9880"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0.76</w:t>
            </w:r>
          </w:p>
        </w:tc>
        <w:tc>
          <w:tcPr>
            <w:tcW w:w="296" w:type="pct"/>
            <w:tcBorders>
              <w:top w:val="nil"/>
              <w:bottom w:val="single" w:sz="4" w:space="0" w:color="auto"/>
            </w:tcBorders>
            <w:shd w:val="clear" w:color="auto" w:fill="auto"/>
            <w:noWrap/>
            <w:vAlign w:val="center"/>
            <w:hideMark/>
          </w:tcPr>
          <w:p w14:paraId="393D3AF2"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16.17</w:t>
            </w:r>
          </w:p>
        </w:tc>
        <w:tc>
          <w:tcPr>
            <w:tcW w:w="272" w:type="pct"/>
            <w:tcBorders>
              <w:top w:val="nil"/>
              <w:bottom w:val="single" w:sz="4" w:space="0" w:color="auto"/>
            </w:tcBorders>
            <w:shd w:val="clear" w:color="auto" w:fill="auto"/>
            <w:noWrap/>
            <w:vAlign w:val="center"/>
            <w:hideMark/>
          </w:tcPr>
          <w:p w14:paraId="7D0B2496"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2.07</w:t>
            </w:r>
          </w:p>
        </w:tc>
        <w:tc>
          <w:tcPr>
            <w:tcW w:w="310" w:type="pct"/>
            <w:tcBorders>
              <w:top w:val="nil"/>
              <w:bottom w:val="single" w:sz="4" w:space="0" w:color="auto"/>
            </w:tcBorders>
            <w:shd w:val="clear" w:color="auto" w:fill="auto"/>
            <w:noWrap/>
            <w:vAlign w:val="center"/>
            <w:hideMark/>
          </w:tcPr>
          <w:p w14:paraId="2F87840E"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3.80</w:t>
            </w:r>
          </w:p>
        </w:tc>
        <w:tc>
          <w:tcPr>
            <w:tcW w:w="267" w:type="pct"/>
            <w:tcBorders>
              <w:top w:val="nil"/>
              <w:bottom w:val="single" w:sz="4" w:space="0" w:color="auto"/>
            </w:tcBorders>
            <w:shd w:val="clear" w:color="auto" w:fill="auto"/>
            <w:noWrap/>
            <w:vAlign w:val="center"/>
            <w:hideMark/>
          </w:tcPr>
          <w:p w14:paraId="7CE1E6C6"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0.74</w:t>
            </w:r>
          </w:p>
        </w:tc>
        <w:tc>
          <w:tcPr>
            <w:tcW w:w="468" w:type="pct"/>
            <w:tcBorders>
              <w:top w:val="nil"/>
              <w:bottom w:val="single" w:sz="4" w:space="0" w:color="auto"/>
            </w:tcBorders>
            <w:shd w:val="clear" w:color="auto" w:fill="auto"/>
            <w:noWrap/>
            <w:vAlign w:val="center"/>
            <w:hideMark/>
          </w:tcPr>
          <w:p w14:paraId="015F2408"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2.11</w:t>
            </w:r>
          </w:p>
        </w:tc>
        <w:tc>
          <w:tcPr>
            <w:tcW w:w="324" w:type="pct"/>
            <w:tcBorders>
              <w:top w:val="nil"/>
              <w:bottom w:val="single" w:sz="4" w:space="0" w:color="auto"/>
            </w:tcBorders>
            <w:shd w:val="clear" w:color="auto" w:fill="auto"/>
            <w:noWrap/>
            <w:vAlign w:val="center"/>
            <w:hideMark/>
          </w:tcPr>
          <w:p w14:paraId="39F6022D"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68.56</w:t>
            </w:r>
          </w:p>
        </w:tc>
      </w:tr>
      <w:tr w:rsidR="00D07B84" w:rsidRPr="008E7B4C" w14:paraId="087DFC1E" w14:textId="77777777" w:rsidTr="002D38AF">
        <w:trPr>
          <w:trHeight w:val="454"/>
        </w:trPr>
        <w:tc>
          <w:tcPr>
            <w:tcW w:w="274" w:type="pct"/>
            <w:tcBorders>
              <w:top w:val="single" w:sz="4" w:space="0" w:color="auto"/>
              <w:right w:val="nil"/>
            </w:tcBorders>
          </w:tcPr>
          <w:p w14:paraId="690D094F" w14:textId="77777777" w:rsidR="00D07B84" w:rsidRPr="00E359D7" w:rsidRDefault="00D07B84" w:rsidP="00E063A1">
            <w:pPr>
              <w:spacing w:after="0" w:line="240" w:lineRule="auto"/>
              <w:rPr>
                <w:rFonts w:ascii="Times New Roman" w:eastAsia="Times New Roman" w:hAnsi="Times New Roman" w:cs="Times New Roman"/>
                <w:color w:val="000000"/>
              </w:rPr>
            </w:pPr>
          </w:p>
        </w:tc>
        <w:tc>
          <w:tcPr>
            <w:tcW w:w="537" w:type="pct"/>
            <w:tcBorders>
              <w:top w:val="single" w:sz="4" w:space="0" w:color="auto"/>
              <w:left w:val="nil"/>
              <w:right w:val="single" w:sz="4" w:space="0" w:color="auto"/>
            </w:tcBorders>
            <w:shd w:val="clear" w:color="auto" w:fill="auto"/>
            <w:noWrap/>
            <w:vAlign w:val="center"/>
            <w:hideMark/>
          </w:tcPr>
          <w:p w14:paraId="77898DE9" w14:textId="74F4A93A" w:rsidR="00D07B84" w:rsidRPr="00E359D7" w:rsidRDefault="00D07B84"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Gold</w:t>
            </w:r>
          </w:p>
        </w:tc>
        <w:tc>
          <w:tcPr>
            <w:tcW w:w="314" w:type="pct"/>
            <w:tcBorders>
              <w:top w:val="single" w:sz="4" w:space="0" w:color="auto"/>
              <w:left w:val="single" w:sz="4" w:space="0" w:color="auto"/>
            </w:tcBorders>
            <w:shd w:val="clear" w:color="auto" w:fill="auto"/>
            <w:noWrap/>
            <w:vAlign w:val="center"/>
            <w:hideMark/>
          </w:tcPr>
          <w:p w14:paraId="731610D0"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1.84</w:t>
            </w:r>
          </w:p>
        </w:tc>
        <w:tc>
          <w:tcPr>
            <w:tcW w:w="296" w:type="pct"/>
            <w:tcBorders>
              <w:top w:val="single" w:sz="4" w:space="0" w:color="auto"/>
            </w:tcBorders>
            <w:shd w:val="clear" w:color="auto" w:fill="auto"/>
            <w:noWrap/>
            <w:vAlign w:val="center"/>
            <w:hideMark/>
          </w:tcPr>
          <w:p w14:paraId="308FEE6E"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2.04</w:t>
            </w:r>
          </w:p>
        </w:tc>
        <w:tc>
          <w:tcPr>
            <w:tcW w:w="267" w:type="pct"/>
            <w:tcBorders>
              <w:top w:val="single" w:sz="4" w:space="0" w:color="auto"/>
              <w:right w:val="single" w:sz="4" w:space="0" w:color="auto"/>
            </w:tcBorders>
            <w:shd w:val="clear" w:color="auto" w:fill="auto"/>
            <w:noWrap/>
            <w:vAlign w:val="center"/>
            <w:hideMark/>
          </w:tcPr>
          <w:p w14:paraId="1CBAB6F9"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1.77</w:t>
            </w:r>
          </w:p>
        </w:tc>
        <w:tc>
          <w:tcPr>
            <w:tcW w:w="296" w:type="pct"/>
            <w:tcBorders>
              <w:top w:val="single" w:sz="4" w:space="0" w:color="auto"/>
              <w:left w:val="single" w:sz="4" w:space="0" w:color="auto"/>
            </w:tcBorders>
            <w:shd w:val="clear" w:color="auto" w:fill="auto"/>
            <w:noWrap/>
            <w:vAlign w:val="center"/>
            <w:hideMark/>
          </w:tcPr>
          <w:p w14:paraId="420A2D19"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3.13</w:t>
            </w:r>
          </w:p>
        </w:tc>
        <w:tc>
          <w:tcPr>
            <w:tcW w:w="283" w:type="pct"/>
            <w:tcBorders>
              <w:top w:val="single" w:sz="4" w:space="0" w:color="auto"/>
            </w:tcBorders>
            <w:shd w:val="clear" w:color="auto" w:fill="auto"/>
            <w:noWrap/>
            <w:vAlign w:val="center"/>
            <w:hideMark/>
          </w:tcPr>
          <w:p w14:paraId="1B70EC3B"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0.97</w:t>
            </w:r>
          </w:p>
        </w:tc>
        <w:tc>
          <w:tcPr>
            <w:tcW w:w="257" w:type="pct"/>
            <w:tcBorders>
              <w:top w:val="single" w:sz="4" w:space="0" w:color="auto"/>
              <w:right w:val="single" w:sz="4" w:space="0" w:color="auto"/>
            </w:tcBorders>
            <w:shd w:val="clear" w:color="auto" w:fill="auto"/>
            <w:noWrap/>
            <w:vAlign w:val="center"/>
            <w:hideMark/>
          </w:tcPr>
          <w:p w14:paraId="5623463C"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2.67</w:t>
            </w:r>
          </w:p>
        </w:tc>
        <w:tc>
          <w:tcPr>
            <w:tcW w:w="257" w:type="pct"/>
            <w:tcBorders>
              <w:top w:val="single" w:sz="4" w:space="0" w:color="auto"/>
              <w:left w:val="single" w:sz="4" w:space="0" w:color="auto"/>
            </w:tcBorders>
            <w:shd w:val="clear" w:color="auto" w:fill="auto"/>
            <w:noWrap/>
            <w:vAlign w:val="center"/>
            <w:hideMark/>
          </w:tcPr>
          <w:p w14:paraId="224A4B7C"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54.3</w:t>
            </w:r>
          </w:p>
        </w:tc>
        <w:tc>
          <w:tcPr>
            <w:tcW w:w="283" w:type="pct"/>
            <w:tcBorders>
              <w:top w:val="single" w:sz="4" w:space="0" w:color="auto"/>
            </w:tcBorders>
            <w:shd w:val="clear" w:color="auto" w:fill="auto"/>
            <w:noWrap/>
            <w:vAlign w:val="center"/>
            <w:hideMark/>
          </w:tcPr>
          <w:p w14:paraId="173E85CD"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3.75</w:t>
            </w:r>
          </w:p>
        </w:tc>
        <w:tc>
          <w:tcPr>
            <w:tcW w:w="296" w:type="pct"/>
            <w:tcBorders>
              <w:top w:val="single" w:sz="4" w:space="0" w:color="auto"/>
            </w:tcBorders>
            <w:shd w:val="clear" w:color="auto" w:fill="auto"/>
            <w:noWrap/>
            <w:vAlign w:val="center"/>
            <w:hideMark/>
          </w:tcPr>
          <w:p w14:paraId="549FD453"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3.60</w:t>
            </w:r>
          </w:p>
        </w:tc>
        <w:tc>
          <w:tcPr>
            <w:tcW w:w="272" w:type="pct"/>
            <w:tcBorders>
              <w:top w:val="single" w:sz="4" w:space="0" w:color="auto"/>
            </w:tcBorders>
            <w:shd w:val="clear" w:color="auto" w:fill="auto"/>
            <w:noWrap/>
            <w:vAlign w:val="center"/>
            <w:hideMark/>
          </w:tcPr>
          <w:p w14:paraId="12A15F9A"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2.83</w:t>
            </w:r>
          </w:p>
        </w:tc>
        <w:tc>
          <w:tcPr>
            <w:tcW w:w="310" w:type="pct"/>
            <w:tcBorders>
              <w:top w:val="single" w:sz="4" w:space="0" w:color="auto"/>
            </w:tcBorders>
            <w:shd w:val="clear" w:color="auto" w:fill="auto"/>
            <w:noWrap/>
            <w:vAlign w:val="center"/>
            <w:hideMark/>
          </w:tcPr>
          <w:p w14:paraId="53DD5C8E"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4.56</w:t>
            </w:r>
          </w:p>
        </w:tc>
        <w:tc>
          <w:tcPr>
            <w:tcW w:w="267" w:type="pct"/>
            <w:tcBorders>
              <w:top w:val="single" w:sz="4" w:space="0" w:color="auto"/>
            </w:tcBorders>
            <w:shd w:val="clear" w:color="auto" w:fill="auto"/>
            <w:noWrap/>
            <w:vAlign w:val="center"/>
            <w:hideMark/>
          </w:tcPr>
          <w:p w14:paraId="6E34839B"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7.79</w:t>
            </w:r>
          </w:p>
        </w:tc>
        <w:tc>
          <w:tcPr>
            <w:tcW w:w="468" w:type="pct"/>
            <w:tcBorders>
              <w:top w:val="single" w:sz="4" w:space="0" w:color="auto"/>
            </w:tcBorders>
            <w:shd w:val="clear" w:color="auto" w:fill="auto"/>
            <w:noWrap/>
            <w:vAlign w:val="center"/>
            <w:hideMark/>
          </w:tcPr>
          <w:p w14:paraId="6FA9D135"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10.76</w:t>
            </w:r>
          </w:p>
        </w:tc>
        <w:tc>
          <w:tcPr>
            <w:tcW w:w="324" w:type="pct"/>
            <w:tcBorders>
              <w:top w:val="single" w:sz="4" w:space="0" w:color="auto"/>
            </w:tcBorders>
            <w:shd w:val="clear" w:color="auto" w:fill="auto"/>
            <w:noWrap/>
            <w:vAlign w:val="center"/>
            <w:hideMark/>
          </w:tcPr>
          <w:p w14:paraId="60CBE0DA"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45.70</w:t>
            </w:r>
          </w:p>
        </w:tc>
      </w:tr>
      <w:tr w:rsidR="00D07B84" w:rsidRPr="008E7B4C" w14:paraId="27899AF2" w14:textId="77777777" w:rsidTr="002D38AF">
        <w:trPr>
          <w:trHeight w:val="454"/>
        </w:trPr>
        <w:tc>
          <w:tcPr>
            <w:tcW w:w="274" w:type="pct"/>
            <w:tcBorders>
              <w:right w:val="nil"/>
            </w:tcBorders>
          </w:tcPr>
          <w:p w14:paraId="7136E87D" w14:textId="77777777" w:rsidR="00D07B84" w:rsidRPr="00E359D7" w:rsidRDefault="00D07B84" w:rsidP="00E063A1">
            <w:pPr>
              <w:spacing w:after="0" w:line="240" w:lineRule="auto"/>
              <w:rPr>
                <w:rFonts w:ascii="Times New Roman" w:eastAsia="Times New Roman" w:hAnsi="Times New Roman" w:cs="Times New Roman"/>
                <w:color w:val="000000"/>
              </w:rPr>
            </w:pPr>
          </w:p>
        </w:tc>
        <w:tc>
          <w:tcPr>
            <w:tcW w:w="537" w:type="pct"/>
            <w:tcBorders>
              <w:left w:val="nil"/>
              <w:right w:val="single" w:sz="4" w:space="0" w:color="auto"/>
            </w:tcBorders>
            <w:shd w:val="clear" w:color="auto" w:fill="auto"/>
            <w:noWrap/>
            <w:vAlign w:val="center"/>
            <w:hideMark/>
          </w:tcPr>
          <w:p w14:paraId="643DB41B" w14:textId="342B03A0" w:rsidR="00D07B84" w:rsidRPr="00E359D7" w:rsidRDefault="00D07B84"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Oil</w:t>
            </w:r>
          </w:p>
        </w:tc>
        <w:tc>
          <w:tcPr>
            <w:tcW w:w="314" w:type="pct"/>
            <w:tcBorders>
              <w:left w:val="single" w:sz="4" w:space="0" w:color="auto"/>
            </w:tcBorders>
            <w:shd w:val="clear" w:color="auto" w:fill="auto"/>
            <w:noWrap/>
            <w:vAlign w:val="center"/>
            <w:hideMark/>
          </w:tcPr>
          <w:p w14:paraId="2E336C44"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1.83</w:t>
            </w:r>
          </w:p>
        </w:tc>
        <w:tc>
          <w:tcPr>
            <w:tcW w:w="296" w:type="pct"/>
            <w:shd w:val="clear" w:color="auto" w:fill="auto"/>
            <w:noWrap/>
            <w:vAlign w:val="center"/>
            <w:hideMark/>
          </w:tcPr>
          <w:p w14:paraId="05CD3B3B"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2.33</w:t>
            </w:r>
          </w:p>
        </w:tc>
        <w:tc>
          <w:tcPr>
            <w:tcW w:w="267" w:type="pct"/>
            <w:tcBorders>
              <w:right w:val="single" w:sz="4" w:space="0" w:color="auto"/>
            </w:tcBorders>
            <w:shd w:val="clear" w:color="auto" w:fill="auto"/>
            <w:noWrap/>
            <w:vAlign w:val="center"/>
            <w:hideMark/>
          </w:tcPr>
          <w:p w14:paraId="2D6607B3"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2.31</w:t>
            </w:r>
          </w:p>
        </w:tc>
        <w:tc>
          <w:tcPr>
            <w:tcW w:w="296" w:type="pct"/>
            <w:tcBorders>
              <w:left w:val="single" w:sz="4" w:space="0" w:color="auto"/>
            </w:tcBorders>
            <w:shd w:val="clear" w:color="auto" w:fill="auto"/>
            <w:noWrap/>
            <w:vAlign w:val="center"/>
            <w:hideMark/>
          </w:tcPr>
          <w:p w14:paraId="3E421985"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1.69</w:t>
            </w:r>
          </w:p>
        </w:tc>
        <w:tc>
          <w:tcPr>
            <w:tcW w:w="283" w:type="pct"/>
            <w:shd w:val="clear" w:color="auto" w:fill="auto"/>
            <w:noWrap/>
            <w:vAlign w:val="center"/>
            <w:hideMark/>
          </w:tcPr>
          <w:p w14:paraId="08D9E5B3"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0.60</w:t>
            </w:r>
          </w:p>
        </w:tc>
        <w:tc>
          <w:tcPr>
            <w:tcW w:w="257" w:type="pct"/>
            <w:tcBorders>
              <w:right w:val="single" w:sz="4" w:space="0" w:color="auto"/>
            </w:tcBorders>
            <w:shd w:val="clear" w:color="auto" w:fill="auto"/>
            <w:noWrap/>
            <w:vAlign w:val="center"/>
            <w:hideMark/>
          </w:tcPr>
          <w:p w14:paraId="2A4DCA76"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2.02</w:t>
            </w:r>
          </w:p>
        </w:tc>
        <w:tc>
          <w:tcPr>
            <w:tcW w:w="257" w:type="pct"/>
            <w:tcBorders>
              <w:left w:val="single" w:sz="4" w:space="0" w:color="auto"/>
            </w:tcBorders>
            <w:shd w:val="clear" w:color="auto" w:fill="auto"/>
            <w:noWrap/>
            <w:vAlign w:val="center"/>
            <w:hideMark/>
          </w:tcPr>
          <w:p w14:paraId="055CE0D2"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4.23</w:t>
            </w:r>
          </w:p>
        </w:tc>
        <w:tc>
          <w:tcPr>
            <w:tcW w:w="283" w:type="pct"/>
            <w:shd w:val="clear" w:color="auto" w:fill="auto"/>
            <w:noWrap/>
            <w:vAlign w:val="center"/>
            <w:hideMark/>
          </w:tcPr>
          <w:p w14:paraId="5729847F"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68.79</w:t>
            </w:r>
          </w:p>
        </w:tc>
        <w:tc>
          <w:tcPr>
            <w:tcW w:w="296" w:type="pct"/>
            <w:shd w:val="clear" w:color="auto" w:fill="auto"/>
            <w:noWrap/>
            <w:vAlign w:val="center"/>
            <w:hideMark/>
          </w:tcPr>
          <w:p w14:paraId="6ECCDC6B"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2.04</w:t>
            </w:r>
          </w:p>
        </w:tc>
        <w:tc>
          <w:tcPr>
            <w:tcW w:w="272" w:type="pct"/>
            <w:shd w:val="clear" w:color="auto" w:fill="auto"/>
            <w:noWrap/>
            <w:vAlign w:val="center"/>
            <w:hideMark/>
          </w:tcPr>
          <w:p w14:paraId="4430DE5F"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2.56</w:t>
            </w:r>
          </w:p>
        </w:tc>
        <w:tc>
          <w:tcPr>
            <w:tcW w:w="310" w:type="pct"/>
            <w:shd w:val="clear" w:color="auto" w:fill="auto"/>
            <w:noWrap/>
            <w:vAlign w:val="center"/>
            <w:hideMark/>
          </w:tcPr>
          <w:p w14:paraId="21CFB2C3"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6.15</w:t>
            </w:r>
          </w:p>
        </w:tc>
        <w:tc>
          <w:tcPr>
            <w:tcW w:w="267" w:type="pct"/>
            <w:shd w:val="clear" w:color="auto" w:fill="auto"/>
            <w:noWrap/>
            <w:vAlign w:val="center"/>
            <w:hideMark/>
          </w:tcPr>
          <w:p w14:paraId="3809AAEC"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2.87</w:t>
            </w:r>
          </w:p>
        </w:tc>
        <w:tc>
          <w:tcPr>
            <w:tcW w:w="468" w:type="pct"/>
            <w:shd w:val="clear" w:color="auto" w:fill="auto"/>
            <w:noWrap/>
            <w:vAlign w:val="center"/>
            <w:hideMark/>
          </w:tcPr>
          <w:p w14:paraId="65EEEF88"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2.58</w:t>
            </w:r>
          </w:p>
        </w:tc>
        <w:tc>
          <w:tcPr>
            <w:tcW w:w="324" w:type="pct"/>
            <w:shd w:val="clear" w:color="auto" w:fill="auto"/>
            <w:noWrap/>
            <w:vAlign w:val="center"/>
            <w:hideMark/>
          </w:tcPr>
          <w:p w14:paraId="1A681F68"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31.21</w:t>
            </w:r>
          </w:p>
        </w:tc>
      </w:tr>
      <w:tr w:rsidR="00D07B84" w:rsidRPr="008E7B4C" w14:paraId="48BEA5E6" w14:textId="77777777" w:rsidTr="002D38AF">
        <w:trPr>
          <w:trHeight w:val="454"/>
        </w:trPr>
        <w:tc>
          <w:tcPr>
            <w:tcW w:w="274" w:type="pct"/>
            <w:tcBorders>
              <w:right w:val="nil"/>
            </w:tcBorders>
          </w:tcPr>
          <w:p w14:paraId="2FA0BD7E" w14:textId="77777777" w:rsidR="00D07B84" w:rsidRPr="00E359D7" w:rsidRDefault="00D07B84" w:rsidP="00E063A1">
            <w:pPr>
              <w:spacing w:after="0" w:line="240" w:lineRule="auto"/>
              <w:rPr>
                <w:rFonts w:ascii="Times New Roman" w:eastAsia="Times New Roman" w:hAnsi="Times New Roman" w:cs="Times New Roman"/>
                <w:color w:val="000000"/>
              </w:rPr>
            </w:pPr>
          </w:p>
        </w:tc>
        <w:tc>
          <w:tcPr>
            <w:tcW w:w="537" w:type="pct"/>
            <w:tcBorders>
              <w:left w:val="nil"/>
              <w:right w:val="single" w:sz="4" w:space="0" w:color="auto"/>
            </w:tcBorders>
            <w:shd w:val="clear" w:color="auto" w:fill="auto"/>
            <w:noWrap/>
            <w:vAlign w:val="center"/>
            <w:hideMark/>
          </w:tcPr>
          <w:p w14:paraId="6509F84C" w14:textId="6281FBAB" w:rsidR="00D07B84" w:rsidRPr="00E359D7" w:rsidRDefault="00D07B84"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BTC</w:t>
            </w:r>
          </w:p>
        </w:tc>
        <w:tc>
          <w:tcPr>
            <w:tcW w:w="314" w:type="pct"/>
            <w:tcBorders>
              <w:left w:val="single" w:sz="4" w:space="0" w:color="auto"/>
            </w:tcBorders>
            <w:shd w:val="clear" w:color="auto" w:fill="auto"/>
            <w:noWrap/>
            <w:vAlign w:val="center"/>
            <w:hideMark/>
          </w:tcPr>
          <w:p w14:paraId="4A877944"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8.54</w:t>
            </w:r>
          </w:p>
        </w:tc>
        <w:tc>
          <w:tcPr>
            <w:tcW w:w="296" w:type="pct"/>
            <w:shd w:val="clear" w:color="auto" w:fill="auto"/>
            <w:noWrap/>
            <w:vAlign w:val="center"/>
            <w:hideMark/>
          </w:tcPr>
          <w:p w14:paraId="4A43F0A2"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8.18</w:t>
            </w:r>
          </w:p>
        </w:tc>
        <w:tc>
          <w:tcPr>
            <w:tcW w:w="267" w:type="pct"/>
            <w:tcBorders>
              <w:right w:val="single" w:sz="4" w:space="0" w:color="auto"/>
            </w:tcBorders>
            <w:shd w:val="clear" w:color="auto" w:fill="auto"/>
            <w:noWrap/>
            <w:vAlign w:val="center"/>
            <w:hideMark/>
          </w:tcPr>
          <w:p w14:paraId="2B7342E8"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10.97</w:t>
            </w:r>
          </w:p>
        </w:tc>
        <w:tc>
          <w:tcPr>
            <w:tcW w:w="296" w:type="pct"/>
            <w:tcBorders>
              <w:left w:val="single" w:sz="4" w:space="0" w:color="auto"/>
            </w:tcBorders>
            <w:shd w:val="clear" w:color="auto" w:fill="auto"/>
            <w:noWrap/>
            <w:vAlign w:val="center"/>
            <w:hideMark/>
          </w:tcPr>
          <w:p w14:paraId="7FDA7FC4"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14.37</w:t>
            </w:r>
          </w:p>
        </w:tc>
        <w:tc>
          <w:tcPr>
            <w:tcW w:w="283" w:type="pct"/>
            <w:shd w:val="clear" w:color="auto" w:fill="auto"/>
            <w:noWrap/>
            <w:vAlign w:val="center"/>
            <w:hideMark/>
          </w:tcPr>
          <w:p w14:paraId="7C6478F6"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1.23</w:t>
            </w:r>
          </w:p>
        </w:tc>
        <w:tc>
          <w:tcPr>
            <w:tcW w:w="257" w:type="pct"/>
            <w:tcBorders>
              <w:right w:val="single" w:sz="4" w:space="0" w:color="auto"/>
            </w:tcBorders>
            <w:shd w:val="clear" w:color="auto" w:fill="auto"/>
            <w:noWrap/>
            <w:vAlign w:val="center"/>
            <w:hideMark/>
          </w:tcPr>
          <w:p w14:paraId="358171D3"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15.42</w:t>
            </w:r>
          </w:p>
        </w:tc>
        <w:tc>
          <w:tcPr>
            <w:tcW w:w="257" w:type="pct"/>
            <w:tcBorders>
              <w:left w:val="single" w:sz="4" w:space="0" w:color="auto"/>
            </w:tcBorders>
            <w:shd w:val="clear" w:color="auto" w:fill="auto"/>
            <w:noWrap/>
            <w:vAlign w:val="center"/>
            <w:hideMark/>
          </w:tcPr>
          <w:p w14:paraId="41F87A41"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1.93</w:t>
            </w:r>
          </w:p>
        </w:tc>
        <w:tc>
          <w:tcPr>
            <w:tcW w:w="283" w:type="pct"/>
            <w:shd w:val="clear" w:color="auto" w:fill="auto"/>
            <w:noWrap/>
            <w:vAlign w:val="center"/>
            <w:hideMark/>
          </w:tcPr>
          <w:p w14:paraId="7476D7D7"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0.54</w:t>
            </w:r>
          </w:p>
        </w:tc>
        <w:tc>
          <w:tcPr>
            <w:tcW w:w="296" w:type="pct"/>
            <w:shd w:val="clear" w:color="auto" w:fill="auto"/>
            <w:noWrap/>
            <w:vAlign w:val="center"/>
            <w:hideMark/>
          </w:tcPr>
          <w:p w14:paraId="0E435735"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28.34</w:t>
            </w:r>
          </w:p>
        </w:tc>
        <w:tc>
          <w:tcPr>
            <w:tcW w:w="272" w:type="pct"/>
            <w:shd w:val="clear" w:color="auto" w:fill="auto"/>
            <w:noWrap/>
            <w:vAlign w:val="center"/>
            <w:hideMark/>
          </w:tcPr>
          <w:p w14:paraId="487548B9"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2.49</w:t>
            </w:r>
          </w:p>
        </w:tc>
        <w:tc>
          <w:tcPr>
            <w:tcW w:w="310" w:type="pct"/>
            <w:shd w:val="clear" w:color="auto" w:fill="auto"/>
            <w:noWrap/>
            <w:vAlign w:val="center"/>
            <w:hideMark/>
          </w:tcPr>
          <w:p w14:paraId="5673AB16"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4.84</w:t>
            </w:r>
          </w:p>
        </w:tc>
        <w:tc>
          <w:tcPr>
            <w:tcW w:w="267" w:type="pct"/>
            <w:shd w:val="clear" w:color="auto" w:fill="auto"/>
            <w:noWrap/>
            <w:vAlign w:val="center"/>
            <w:hideMark/>
          </w:tcPr>
          <w:p w14:paraId="2E774894"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1.09</w:t>
            </w:r>
          </w:p>
        </w:tc>
        <w:tc>
          <w:tcPr>
            <w:tcW w:w="468" w:type="pct"/>
            <w:shd w:val="clear" w:color="auto" w:fill="auto"/>
            <w:noWrap/>
            <w:vAlign w:val="center"/>
            <w:hideMark/>
          </w:tcPr>
          <w:p w14:paraId="31282A96"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2.07</w:t>
            </w:r>
          </w:p>
        </w:tc>
        <w:tc>
          <w:tcPr>
            <w:tcW w:w="324" w:type="pct"/>
            <w:shd w:val="clear" w:color="auto" w:fill="auto"/>
            <w:noWrap/>
            <w:vAlign w:val="center"/>
            <w:hideMark/>
          </w:tcPr>
          <w:p w14:paraId="6CF687A5"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71.66</w:t>
            </w:r>
          </w:p>
        </w:tc>
      </w:tr>
      <w:tr w:rsidR="00D07B84" w:rsidRPr="008E7B4C" w14:paraId="4BA71170" w14:textId="77777777" w:rsidTr="002D38AF">
        <w:trPr>
          <w:trHeight w:val="454"/>
        </w:trPr>
        <w:tc>
          <w:tcPr>
            <w:tcW w:w="274" w:type="pct"/>
            <w:tcBorders>
              <w:right w:val="nil"/>
            </w:tcBorders>
          </w:tcPr>
          <w:p w14:paraId="3C9E2A11" w14:textId="77777777" w:rsidR="00D07B84" w:rsidRPr="00E359D7" w:rsidRDefault="00D07B84" w:rsidP="00E063A1">
            <w:pPr>
              <w:spacing w:after="0" w:line="240" w:lineRule="auto"/>
              <w:rPr>
                <w:rFonts w:ascii="Times New Roman" w:eastAsia="Times New Roman" w:hAnsi="Times New Roman" w:cs="Times New Roman"/>
                <w:color w:val="000000"/>
              </w:rPr>
            </w:pPr>
          </w:p>
        </w:tc>
        <w:tc>
          <w:tcPr>
            <w:tcW w:w="537" w:type="pct"/>
            <w:tcBorders>
              <w:left w:val="nil"/>
              <w:right w:val="single" w:sz="4" w:space="0" w:color="auto"/>
            </w:tcBorders>
            <w:shd w:val="clear" w:color="auto" w:fill="auto"/>
            <w:noWrap/>
            <w:vAlign w:val="center"/>
            <w:hideMark/>
          </w:tcPr>
          <w:p w14:paraId="54EF4431" w14:textId="4492539B" w:rsidR="00D07B84" w:rsidRPr="00E359D7" w:rsidRDefault="00D07B84"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REIT</w:t>
            </w:r>
          </w:p>
        </w:tc>
        <w:tc>
          <w:tcPr>
            <w:tcW w:w="314" w:type="pct"/>
            <w:tcBorders>
              <w:left w:val="single" w:sz="4" w:space="0" w:color="auto"/>
            </w:tcBorders>
            <w:shd w:val="clear" w:color="auto" w:fill="auto"/>
            <w:noWrap/>
            <w:vAlign w:val="center"/>
            <w:hideMark/>
          </w:tcPr>
          <w:p w14:paraId="7A17EB42"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2.71</w:t>
            </w:r>
          </w:p>
        </w:tc>
        <w:tc>
          <w:tcPr>
            <w:tcW w:w="296" w:type="pct"/>
            <w:shd w:val="clear" w:color="auto" w:fill="auto"/>
            <w:noWrap/>
            <w:vAlign w:val="center"/>
            <w:hideMark/>
          </w:tcPr>
          <w:p w14:paraId="02A92C8E"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2.8</w:t>
            </w:r>
          </w:p>
        </w:tc>
        <w:tc>
          <w:tcPr>
            <w:tcW w:w="267" w:type="pct"/>
            <w:tcBorders>
              <w:right w:val="single" w:sz="4" w:space="0" w:color="auto"/>
            </w:tcBorders>
            <w:shd w:val="clear" w:color="auto" w:fill="auto"/>
            <w:noWrap/>
            <w:vAlign w:val="center"/>
            <w:hideMark/>
          </w:tcPr>
          <w:p w14:paraId="2F1EF484"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3.11</w:t>
            </w:r>
          </w:p>
        </w:tc>
        <w:tc>
          <w:tcPr>
            <w:tcW w:w="296" w:type="pct"/>
            <w:tcBorders>
              <w:left w:val="single" w:sz="4" w:space="0" w:color="auto"/>
            </w:tcBorders>
            <w:shd w:val="clear" w:color="auto" w:fill="auto"/>
            <w:noWrap/>
            <w:vAlign w:val="center"/>
            <w:hideMark/>
          </w:tcPr>
          <w:p w14:paraId="519736E2"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4.32</w:t>
            </w:r>
          </w:p>
        </w:tc>
        <w:tc>
          <w:tcPr>
            <w:tcW w:w="283" w:type="pct"/>
            <w:shd w:val="clear" w:color="auto" w:fill="auto"/>
            <w:noWrap/>
            <w:vAlign w:val="center"/>
            <w:hideMark/>
          </w:tcPr>
          <w:p w14:paraId="31215F28"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1.06</w:t>
            </w:r>
          </w:p>
        </w:tc>
        <w:tc>
          <w:tcPr>
            <w:tcW w:w="257" w:type="pct"/>
            <w:tcBorders>
              <w:right w:val="single" w:sz="4" w:space="0" w:color="auto"/>
            </w:tcBorders>
            <w:shd w:val="clear" w:color="auto" w:fill="auto"/>
            <w:noWrap/>
            <w:vAlign w:val="center"/>
            <w:hideMark/>
          </w:tcPr>
          <w:p w14:paraId="684C6050"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2.52</w:t>
            </w:r>
          </w:p>
        </w:tc>
        <w:tc>
          <w:tcPr>
            <w:tcW w:w="257" w:type="pct"/>
            <w:tcBorders>
              <w:left w:val="single" w:sz="4" w:space="0" w:color="auto"/>
            </w:tcBorders>
            <w:shd w:val="clear" w:color="auto" w:fill="auto"/>
            <w:noWrap/>
            <w:vAlign w:val="center"/>
            <w:hideMark/>
          </w:tcPr>
          <w:p w14:paraId="5517D4A6"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2.64</w:t>
            </w:r>
          </w:p>
        </w:tc>
        <w:tc>
          <w:tcPr>
            <w:tcW w:w="283" w:type="pct"/>
            <w:shd w:val="clear" w:color="auto" w:fill="auto"/>
            <w:noWrap/>
            <w:vAlign w:val="center"/>
            <w:hideMark/>
          </w:tcPr>
          <w:p w14:paraId="0E45BA40"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1.56</w:t>
            </w:r>
          </w:p>
        </w:tc>
        <w:tc>
          <w:tcPr>
            <w:tcW w:w="296" w:type="pct"/>
            <w:shd w:val="clear" w:color="auto" w:fill="auto"/>
            <w:noWrap/>
            <w:vAlign w:val="center"/>
            <w:hideMark/>
          </w:tcPr>
          <w:p w14:paraId="2406E9D7"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4.07</w:t>
            </w:r>
          </w:p>
        </w:tc>
        <w:tc>
          <w:tcPr>
            <w:tcW w:w="272" w:type="pct"/>
            <w:shd w:val="clear" w:color="auto" w:fill="auto"/>
            <w:noWrap/>
            <w:vAlign w:val="center"/>
            <w:hideMark/>
          </w:tcPr>
          <w:p w14:paraId="3845A69C"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45.62</w:t>
            </w:r>
          </w:p>
        </w:tc>
        <w:tc>
          <w:tcPr>
            <w:tcW w:w="310" w:type="pct"/>
            <w:shd w:val="clear" w:color="auto" w:fill="auto"/>
            <w:noWrap/>
            <w:vAlign w:val="center"/>
            <w:hideMark/>
          </w:tcPr>
          <w:p w14:paraId="63158FC7"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21.64</w:t>
            </w:r>
          </w:p>
        </w:tc>
        <w:tc>
          <w:tcPr>
            <w:tcW w:w="267" w:type="pct"/>
            <w:shd w:val="clear" w:color="auto" w:fill="auto"/>
            <w:noWrap/>
            <w:vAlign w:val="center"/>
            <w:hideMark/>
          </w:tcPr>
          <w:p w14:paraId="4D39AEB7"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4.46</w:t>
            </w:r>
          </w:p>
        </w:tc>
        <w:tc>
          <w:tcPr>
            <w:tcW w:w="468" w:type="pct"/>
            <w:shd w:val="clear" w:color="auto" w:fill="auto"/>
            <w:noWrap/>
            <w:vAlign w:val="center"/>
            <w:hideMark/>
          </w:tcPr>
          <w:p w14:paraId="38F09220"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3.46</w:t>
            </w:r>
          </w:p>
        </w:tc>
        <w:tc>
          <w:tcPr>
            <w:tcW w:w="324" w:type="pct"/>
            <w:shd w:val="clear" w:color="auto" w:fill="auto"/>
            <w:noWrap/>
            <w:vAlign w:val="center"/>
            <w:hideMark/>
          </w:tcPr>
          <w:p w14:paraId="0022A1D5"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54.38</w:t>
            </w:r>
          </w:p>
        </w:tc>
      </w:tr>
      <w:tr w:rsidR="00D07B84" w:rsidRPr="008E7B4C" w14:paraId="3781CF92" w14:textId="77777777" w:rsidTr="002D38AF">
        <w:trPr>
          <w:trHeight w:val="454"/>
        </w:trPr>
        <w:tc>
          <w:tcPr>
            <w:tcW w:w="274" w:type="pct"/>
            <w:tcBorders>
              <w:right w:val="nil"/>
            </w:tcBorders>
          </w:tcPr>
          <w:p w14:paraId="685FBCA3" w14:textId="77777777" w:rsidR="00D07B84" w:rsidRPr="00E359D7" w:rsidRDefault="00D07B84" w:rsidP="00E063A1">
            <w:pPr>
              <w:spacing w:after="0" w:line="240" w:lineRule="auto"/>
              <w:rPr>
                <w:rFonts w:ascii="Times New Roman" w:eastAsia="Times New Roman" w:hAnsi="Times New Roman" w:cs="Times New Roman"/>
                <w:color w:val="000000"/>
              </w:rPr>
            </w:pPr>
          </w:p>
        </w:tc>
        <w:tc>
          <w:tcPr>
            <w:tcW w:w="537" w:type="pct"/>
            <w:tcBorders>
              <w:left w:val="nil"/>
              <w:right w:val="single" w:sz="4" w:space="0" w:color="auto"/>
            </w:tcBorders>
            <w:shd w:val="clear" w:color="auto" w:fill="auto"/>
            <w:noWrap/>
            <w:vAlign w:val="center"/>
            <w:hideMark/>
          </w:tcPr>
          <w:p w14:paraId="6354E435" w14:textId="1AC08FF7" w:rsidR="00D07B84" w:rsidRPr="00E359D7" w:rsidRDefault="00D07B84"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Equity</w:t>
            </w:r>
          </w:p>
        </w:tc>
        <w:tc>
          <w:tcPr>
            <w:tcW w:w="314" w:type="pct"/>
            <w:tcBorders>
              <w:left w:val="single" w:sz="4" w:space="0" w:color="auto"/>
            </w:tcBorders>
            <w:shd w:val="clear" w:color="auto" w:fill="auto"/>
            <w:noWrap/>
            <w:vAlign w:val="center"/>
            <w:hideMark/>
          </w:tcPr>
          <w:p w14:paraId="4AC3AA68"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3.25</w:t>
            </w:r>
          </w:p>
        </w:tc>
        <w:tc>
          <w:tcPr>
            <w:tcW w:w="296" w:type="pct"/>
            <w:shd w:val="clear" w:color="auto" w:fill="auto"/>
            <w:noWrap/>
            <w:vAlign w:val="center"/>
            <w:hideMark/>
          </w:tcPr>
          <w:p w14:paraId="4F6D39DD"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3.01</w:t>
            </w:r>
          </w:p>
        </w:tc>
        <w:tc>
          <w:tcPr>
            <w:tcW w:w="267" w:type="pct"/>
            <w:tcBorders>
              <w:right w:val="single" w:sz="4" w:space="0" w:color="auto"/>
            </w:tcBorders>
            <w:shd w:val="clear" w:color="auto" w:fill="auto"/>
            <w:noWrap/>
            <w:vAlign w:val="center"/>
            <w:hideMark/>
          </w:tcPr>
          <w:p w14:paraId="2C51A436"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4.30</w:t>
            </w:r>
          </w:p>
        </w:tc>
        <w:tc>
          <w:tcPr>
            <w:tcW w:w="296" w:type="pct"/>
            <w:tcBorders>
              <w:left w:val="single" w:sz="4" w:space="0" w:color="auto"/>
            </w:tcBorders>
            <w:shd w:val="clear" w:color="auto" w:fill="auto"/>
            <w:noWrap/>
            <w:vAlign w:val="center"/>
            <w:hideMark/>
          </w:tcPr>
          <w:p w14:paraId="531565B0"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5.55</w:t>
            </w:r>
          </w:p>
        </w:tc>
        <w:tc>
          <w:tcPr>
            <w:tcW w:w="283" w:type="pct"/>
            <w:shd w:val="clear" w:color="auto" w:fill="auto"/>
            <w:noWrap/>
            <w:vAlign w:val="center"/>
            <w:hideMark/>
          </w:tcPr>
          <w:p w14:paraId="76EAE202"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1.28</w:t>
            </w:r>
          </w:p>
        </w:tc>
        <w:tc>
          <w:tcPr>
            <w:tcW w:w="257" w:type="pct"/>
            <w:tcBorders>
              <w:right w:val="single" w:sz="4" w:space="0" w:color="auto"/>
            </w:tcBorders>
            <w:shd w:val="clear" w:color="auto" w:fill="auto"/>
            <w:noWrap/>
            <w:vAlign w:val="center"/>
            <w:hideMark/>
          </w:tcPr>
          <w:p w14:paraId="2BED5519"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4.35</w:t>
            </w:r>
          </w:p>
        </w:tc>
        <w:tc>
          <w:tcPr>
            <w:tcW w:w="257" w:type="pct"/>
            <w:tcBorders>
              <w:left w:val="single" w:sz="4" w:space="0" w:color="auto"/>
            </w:tcBorders>
            <w:shd w:val="clear" w:color="auto" w:fill="auto"/>
            <w:noWrap/>
            <w:vAlign w:val="center"/>
            <w:hideMark/>
          </w:tcPr>
          <w:p w14:paraId="4AE668FD"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3.52</w:t>
            </w:r>
          </w:p>
        </w:tc>
        <w:tc>
          <w:tcPr>
            <w:tcW w:w="283" w:type="pct"/>
            <w:shd w:val="clear" w:color="auto" w:fill="auto"/>
            <w:noWrap/>
            <w:vAlign w:val="center"/>
            <w:hideMark/>
          </w:tcPr>
          <w:p w14:paraId="045681A3"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3.50</w:t>
            </w:r>
          </w:p>
        </w:tc>
        <w:tc>
          <w:tcPr>
            <w:tcW w:w="296" w:type="pct"/>
            <w:shd w:val="clear" w:color="auto" w:fill="auto"/>
            <w:noWrap/>
            <w:vAlign w:val="center"/>
            <w:hideMark/>
          </w:tcPr>
          <w:p w14:paraId="05B807E2"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6.28</w:t>
            </w:r>
          </w:p>
        </w:tc>
        <w:tc>
          <w:tcPr>
            <w:tcW w:w="272" w:type="pct"/>
            <w:shd w:val="clear" w:color="auto" w:fill="auto"/>
            <w:noWrap/>
            <w:vAlign w:val="center"/>
            <w:hideMark/>
          </w:tcPr>
          <w:p w14:paraId="00132F63"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17.99</w:t>
            </w:r>
          </w:p>
        </w:tc>
        <w:tc>
          <w:tcPr>
            <w:tcW w:w="310" w:type="pct"/>
            <w:shd w:val="clear" w:color="auto" w:fill="auto"/>
            <w:noWrap/>
            <w:vAlign w:val="center"/>
            <w:hideMark/>
          </w:tcPr>
          <w:p w14:paraId="7B0DAAF9"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37.84</w:t>
            </w:r>
          </w:p>
        </w:tc>
        <w:tc>
          <w:tcPr>
            <w:tcW w:w="267" w:type="pct"/>
            <w:shd w:val="clear" w:color="auto" w:fill="auto"/>
            <w:noWrap/>
            <w:vAlign w:val="center"/>
            <w:hideMark/>
          </w:tcPr>
          <w:p w14:paraId="566513A2"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3.33</w:t>
            </w:r>
          </w:p>
        </w:tc>
        <w:tc>
          <w:tcPr>
            <w:tcW w:w="468" w:type="pct"/>
            <w:shd w:val="clear" w:color="auto" w:fill="auto"/>
            <w:noWrap/>
            <w:vAlign w:val="center"/>
            <w:hideMark/>
          </w:tcPr>
          <w:p w14:paraId="7EAF1B2B"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5.78</w:t>
            </w:r>
          </w:p>
        </w:tc>
        <w:tc>
          <w:tcPr>
            <w:tcW w:w="324" w:type="pct"/>
            <w:shd w:val="clear" w:color="auto" w:fill="auto"/>
            <w:noWrap/>
            <w:vAlign w:val="center"/>
            <w:hideMark/>
          </w:tcPr>
          <w:p w14:paraId="1EB2415A"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62.16</w:t>
            </w:r>
          </w:p>
        </w:tc>
      </w:tr>
      <w:tr w:rsidR="00D07B84" w:rsidRPr="008E7B4C" w14:paraId="4348D8F2" w14:textId="77777777" w:rsidTr="002D38AF">
        <w:trPr>
          <w:trHeight w:val="454"/>
        </w:trPr>
        <w:tc>
          <w:tcPr>
            <w:tcW w:w="274" w:type="pct"/>
            <w:tcBorders>
              <w:right w:val="nil"/>
            </w:tcBorders>
          </w:tcPr>
          <w:p w14:paraId="67CF1297" w14:textId="77777777" w:rsidR="00D07B84" w:rsidRPr="00E359D7" w:rsidRDefault="00D07B84" w:rsidP="00E063A1">
            <w:pPr>
              <w:spacing w:after="0" w:line="240" w:lineRule="auto"/>
              <w:rPr>
                <w:rFonts w:ascii="Times New Roman" w:eastAsia="Times New Roman" w:hAnsi="Times New Roman" w:cs="Times New Roman"/>
                <w:color w:val="000000"/>
              </w:rPr>
            </w:pPr>
          </w:p>
        </w:tc>
        <w:tc>
          <w:tcPr>
            <w:tcW w:w="537" w:type="pct"/>
            <w:tcBorders>
              <w:left w:val="nil"/>
              <w:right w:val="single" w:sz="4" w:space="0" w:color="auto"/>
            </w:tcBorders>
            <w:shd w:val="clear" w:color="auto" w:fill="auto"/>
            <w:noWrap/>
            <w:vAlign w:val="center"/>
            <w:hideMark/>
          </w:tcPr>
          <w:p w14:paraId="0A04DE85" w14:textId="3BD4A51D" w:rsidR="00D07B84" w:rsidRPr="00E359D7" w:rsidRDefault="00D07B84"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Bond</w:t>
            </w:r>
          </w:p>
        </w:tc>
        <w:tc>
          <w:tcPr>
            <w:tcW w:w="314" w:type="pct"/>
            <w:tcBorders>
              <w:left w:val="single" w:sz="4" w:space="0" w:color="auto"/>
            </w:tcBorders>
            <w:shd w:val="clear" w:color="auto" w:fill="auto"/>
            <w:noWrap/>
            <w:vAlign w:val="center"/>
            <w:hideMark/>
          </w:tcPr>
          <w:p w14:paraId="77D95CEB"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1.11</w:t>
            </w:r>
          </w:p>
        </w:tc>
        <w:tc>
          <w:tcPr>
            <w:tcW w:w="296" w:type="pct"/>
            <w:shd w:val="clear" w:color="auto" w:fill="auto"/>
            <w:noWrap/>
            <w:vAlign w:val="center"/>
            <w:hideMark/>
          </w:tcPr>
          <w:p w14:paraId="68CEA3F2"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1.58</w:t>
            </w:r>
          </w:p>
        </w:tc>
        <w:tc>
          <w:tcPr>
            <w:tcW w:w="267" w:type="pct"/>
            <w:tcBorders>
              <w:right w:val="single" w:sz="4" w:space="0" w:color="auto"/>
            </w:tcBorders>
            <w:shd w:val="clear" w:color="auto" w:fill="auto"/>
            <w:noWrap/>
            <w:vAlign w:val="center"/>
            <w:hideMark/>
          </w:tcPr>
          <w:p w14:paraId="5A746F6D"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1.33</w:t>
            </w:r>
          </w:p>
        </w:tc>
        <w:tc>
          <w:tcPr>
            <w:tcW w:w="296" w:type="pct"/>
            <w:tcBorders>
              <w:left w:val="single" w:sz="4" w:space="0" w:color="auto"/>
            </w:tcBorders>
            <w:shd w:val="clear" w:color="auto" w:fill="auto"/>
            <w:noWrap/>
            <w:vAlign w:val="center"/>
            <w:hideMark/>
          </w:tcPr>
          <w:p w14:paraId="3FE393BF"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2.06</w:t>
            </w:r>
          </w:p>
        </w:tc>
        <w:tc>
          <w:tcPr>
            <w:tcW w:w="283" w:type="pct"/>
            <w:shd w:val="clear" w:color="auto" w:fill="auto"/>
            <w:noWrap/>
            <w:vAlign w:val="center"/>
            <w:hideMark/>
          </w:tcPr>
          <w:p w14:paraId="18A7D67D"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0.98</w:t>
            </w:r>
          </w:p>
        </w:tc>
        <w:tc>
          <w:tcPr>
            <w:tcW w:w="257" w:type="pct"/>
            <w:tcBorders>
              <w:right w:val="single" w:sz="4" w:space="0" w:color="auto"/>
            </w:tcBorders>
            <w:shd w:val="clear" w:color="auto" w:fill="auto"/>
            <w:noWrap/>
            <w:vAlign w:val="center"/>
            <w:hideMark/>
          </w:tcPr>
          <w:p w14:paraId="79DC338D"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1.53</w:t>
            </w:r>
          </w:p>
        </w:tc>
        <w:tc>
          <w:tcPr>
            <w:tcW w:w="257" w:type="pct"/>
            <w:tcBorders>
              <w:left w:val="single" w:sz="4" w:space="0" w:color="auto"/>
            </w:tcBorders>
            <w:shd w:val="clear" w:color="auto" w:fill="auto"/>
            <w:noWrap/>
            <w:vAlign w:val="center"/>
            <w:hideMark/>
          </w:tcPr>
          <w:p w14:paraId="0FB2A6A1"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8.24</w:t>
            </w:r>
          </w:p>
        </w:tc>
        <w:tc>
          <w:tcPr>
            <w:tcW w:w="283" w:type="pct"/>
            <w:shd w:val="clear" w:color="auto" w:fill="auto"/>
            <w:noWrap/>
            <w:vAlign w:val="center"/>
            <w:hideMark/>
          </w:tcPr>
          <w:p w14:paraId="53AF3273"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2.04</w:t>
            </w:r>
          </w:p>
        </w:tc>
        <w:tc>
          <w:tcPr>
            <w:tcW w:w="296" w:type="pct"/>
            <w:shd w:val="clear" w:color="auto" w:fill="auto"/>
            <w:noWrap/>
            <w:vAlign w:val="center"/>
            <w:hideMark/>
          </w:tcPr>
          <w:p w14:paraId="032F35F4"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2.41</w:t>
            </w:r>
          </w:p>
        </w:tc>
        <w:tc>
          <w:tcPr>
            <w:tcW w:w="272" w:type="pct"/>
            <w:shd w:val="clear" w:color="auto" w:fill="auto"/>
            <w:noWrap/>
            <w:vAlign w:val="center"/>
            <w:hideMark/>
          </w:tcPr>
          <w:p w14:paraId="453592C1"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5.72</w:t>
            </w:r>
          </w:p>
        </w:tc>
        <w:tc>
          <w:tcPr>
            <w:tcW w:w="310" w:type="pct"/>
            <w:shd w:val="clear" w:color="auto" w:fill="auto"/>
            <w:noWrap/>
            <w:vAlign w:val="center"/>
            <w:hideMark/>
          </w:tcPr>
          <w:p w14:paraId="334BCA09"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4.97</w:t>
            </w:r>
          </w:p>
        </w:tc>
        <w:tc>
          <w:tcPr>
            <w:tcW w:w="267" w:type="pct"/>
            <w:shd w:val="clear" w:color="auto" w:fill="auto"/>
            <w:noWrap/>
            <w:vAlign w:val="center"/>
            <w:hideMark/>
          </w:tcPr>
          <w:p w14:paraId="7D929687"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62.52</w:t>
            </w:r>
          </w:p>
        </w:tc>
        <w:tc>
          <w:tcPr>
            <w:tcW w:w="468" w:type="pct"/>
            <w:shd w:val="clear" w:color="auto" w:fill="auto"/>
            <w:noWrap/>
            <w:vAlign w:val="center"/>
            <w:hideMark/>
          </w:tcPr>
          <w:p w14:paraId="7BA5C262"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5.51</w:t>
            </w:r>
          </w:p>
        </w:tc>
        <w:tc>
          <w:tcPr>
            <w:tcW w:w="324" w:type="pct"/>
            <w:shd w:val="clear" w:color="auto" w:fill="auto"/>
            <w:noWrap/>
            <w:vAlign w:val="center"/>
            <w:hideMark/>
          </w:tcPr>
          <w:p w14:paraId="211F27DC"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37.48</w:t>
            </w:r>
          </w:p>
        </w:tc>
      </w:tr>
      <w:tr w:rsidR="00D07B84" w:rsidRPr="008E7B4C" w14:paraId="551BBF35" w14:textId="77777777" w:rsidTr="002D38AF">
        <w:trPr>
          <w:trHeight w:val="454"/>
        </w:trPr>
        <w:tc>
          <w:tcPr>
            <w:tcW w:w="274" w:type="pct"/>
            <w:tcBorders>
              <w:right w:val="nil"/>
            </w:tcBorders>
          </w:tcPr>
          <w:p w14:paraId="0B988BBE" w14:textId="77777777" w:rsidR="00D07B84" w:rsidRPr="00E359D7" w:rsidRDefault="00D07B84" w:rsidP="00E063A1">
            <w:pPr>
              <w:spacing w:after="0" w:line="240" w:lineRule="auto"/>
              <w:rPr>
                <w:rFonts w:ascii="Times New Roman" w:eastAsia="Times New Roman" w:hAnsi="Times New Roman" w:cs="Times New Roman"/>
                <w:color w:val="000000"/>
              </w:rPr>
            </w:pPr>
          </w:p>
        </w:tc>
        <w:tc>
          <w:tcPr>
            <w:tcW w:w="537" w:type="pct"/>
            <w:tcBorders>
              <w:left w:val="nil"/>
              <w:right w:val="single" w:sz="4" w:space="0" w:color="auto"/>
            </w:tcBorders>
            <w:shd w:val="clear" w:color="auto" w:fill="auto"/>
            <w:noWrap/>
            <w:vAlign w:val="center"/>
            <w:hideMark/>
          </w:tcPr>
          <w:p w14:paraId="5CB79454" w14:textId="0E090885" w:rsidR="00D07B84" w:rsidRPr="00E359D7" w:rsidRDefault="00D07B84" w:rsidP="00E063A1">
            <w:pPr>
              <w:spacing w:after="0" w:line="240" w:lineRule="auto"/>
              <w:rPr>
                <w:rFonts w:ascii="Times New Roman" w:eastAsia="Times New Roman" w:hAnsi="Times New Roman" w:cs="Times New Roman"/>
                <w:color w:val="000000"/>
              </w:rPr>
            </w:pPr>
            <w:proofErr w:type="spellStart"/>
            <w:r w:rsidRPr="00E359D7">
              <w:rPr>
                <w:rFonts w:ascii="Times New Roman" w:eastAsia="Times New Roman" w:hAnsi="Times New Roman" w:cs="Times New Roman"/>
                <w:color w:val="000000"/>
              </w:rPr>
              <w:t>USD.Index</w:t>
            </w:r>
            <w:proofErr w:type="spellEnd"/>
          </w:p>
        </w:tc>
        <w:tc>
          <w:tcPr>
            <w:tcW w:w="314" w:type="pct"/>
            <w:tcBorders>
              <w:left w:val="single" w:sz="4" w:space="0" w:color="auto"/>
            </w:tcBorders>
            <w:shd w:val="clear" w:color="auto" w:fill="auto"/>
            <w:noWrap/>
            <w:vAlign w:val="center"/>
            <w:hideMark/>
          </w:tcPr>
          <w:p w14:paraId="09C2413F"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1.74</w:t>
            </w:r>
          </w:p>
        </w:tc>
        <w:tc>
          <w:tcPr>
            <w:tcW w:w="296" w:type="pct"/>
            <w:shd w:val="clear" w:color="auto" w:fill="auto"/>
            <w:noWrap/>
            <w:vAlign w:val="center"/>
            <w:hideMark/>
          </w:tcPr>
          <w:p w14:paraId="7C4DC27C"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2.86</w:t>
            </w:r>
          </w:p>
        </w:tc>
        <w:tc>
          <w:tcPr>
            <w:tcW w:w="267" w:type="pct"/>
            <w:tcBorders>
              <w:right w:val="single" w:sz="4" w:space="0" w:color="auto"/>
            </w:tcBorders>
            <w:shd w:val="clear" w:color="auto" w:fill="auto"/>
            <w:noWrap/>
            <w:vAlign w:val="center"/>
            <w:hideMark/>
          </w:tcPr>
          <w:p w14:paraId="4E2AFC84"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2.86</w:t>
            </w:r>
          </w:p>
        </w:tc>
        <w:tc>
          <w:tcPr>
            <w:tcW w:w="296" w:type="pct"/>
            <w:tcBorders>
              <w:left w:val="single" w:sz="4" w:space="0" w:color="auto"/>
            </w:tcBorders>
            <w:shd w:val="clear" w:color="auto" w:fill="auto"/>
            <w:noWrap/>
            <w:vAlign w:val="center"/>
            <w:hideMark/>
          </w:tcPr>
          <w:p w14:paraId="62263C54"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3.82</w:t>
            </w:r>
          </w:p>
        </w:tc>
        <w:tc>
          <w:tcPr>
            <w:tcW w:w="283" w:type="pct"/>
            <w:shd w:val="clear" w:color="auto" w:fill="auto"/>
            <w:noWrap/>
            <w:vAlign w:val="center"/>
            <w:hideMark/>
          </w:tcPr>
          <w:p w14:paraId="6FE53D53"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1.09</w:t>
            </w:r>
          </w:p>
        </w:tc>
        <w:tc>
          <w:tcPr>
            <w:tcW w:w="257" w:type="pct"/>
            <w:tcBorders>
              <w:right w:val="single" w:sz="4" w:space="0" w:color="auto"/>
            </w:tcBorders>
            <w:shd w:val="clear" w:color="auto" w:fill="auto"/>
            <w:noWrap/>
            <w:vAlign w:val="center"/>
            <w:hideMark/>
          </w:tcPr>
          <w:p w14:paraId="486E9F0D"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3.62</w:t>
            </w:r>
          </w:p>
        </w:tc>
        <w:tc>
          <w:tcPr>
            <w:tcW w:w="257" w:type="pct"/>
            <w:tcBorders>
              <w:left w:val="single" w:sz="4" w:space="0" w:color="auto"/>
            </w:tcBorders>
            <w:shd w:val="clear" w:color="auto" w:fill="auto"/>
            <w:noWrap/>
            <w:vAlign w:val="center"/>
            <w:hideMark/>
          </w:tcPr>
          <w:p w14:paraId="56D87FFA"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10.46</w:t>
            </w:r>
          </w:p>
        </w:tc>
        <w:tc>
          <w:tcPr>
            <w:tcW w:w="283" w:type="pct"/>
            <w:shd w:val="clear" w:color="auto" w:fill="auto"/>
            <w:noWrap/>
            <w:vAlign w:val="center"/>
            <w:hideMark/>
          </w:tcPr>
          <w:p w14:paraId="4AB273E2"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1.97</w:t>
            </w:r>
          </w:p>
        </w:tc>
        <w:tc>
          <w:tcPr>
            <w:tcW w:w="296" w:type="pct"/>
            <w:shd w:val="clear" w:color="auto" w:fill="auto"/>
            <w:noWrap/>
            <w:vAlign w:val="center"/>
            <w:hideMark/>
          </w:tcPr>
          <w:p w14:paraId="3B148BAE"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3.94</w:t>
            </w:r>
          </w:p>
        </w:tc>
        <w:tc>
          <w:tcPr>
            <w:tcW w:w="272" w:type="pct"/>
            <w:shd w:val="clear" w:color="auto" w:fill="auto"/>
            <w:noWrap/>
            <w:vAlign w:val="center"/>
            <w:hideMark/>
          </w:tcPr>
          <w:p w14:paraId="1E3F5F3D"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5.74</w:t>
            </w:r>
          </w:p>
        </w:tc>
        <w:tc>
          <w:tcPr>
            <w:tcW w:w="310" w:type="pct"/>
            <w:shd w:val="clear" w:color="auto" w:fill="auto"/>
            <w:noWrap/>
            <w:vAlign w:val="center"/>
            <w:hideMark/>
          </w:tcPr>
          <w:p w14:paraId="00357683"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9.78</w:t>
            </w:r>
          </w:p>
        </w:tc>
        <w:tc>
          <w:tcPr>
            <w:tcW w:w="267" w:type="pct"/>
            <w:shd w:val="clear" w:color="auto" w:fill="auto"/>
            <w:noWrap/>
            <w:vAlign w:val="center"/>
            <w:hideMark/>
          </w:tcPr>
          <w:p w14:paraId="1E1040C8"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6.35</w:t>
            </w:r>
          </w:p>
        </w:tc>
        <w:tc>
          <w:tcPr>
            <w:tcW w:w="468" w:type="pct"/>
            <w:shd w:val="clear" w:color="auto" w:fill="auto"/>
            <w:noWrap/>
            <w:vAlign w:val="center"/>
            <w:hideMark/>
          </w:tcPr>
          <w:p w14:paraId="7091ED2E"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45.77</w:t>
            </w:r>
          </w:p>
        </w:tc>
        <w:tc>
          <w:tcPr>
            <w:tcW w:w="324" w:type="pct"/>
            <w:shd w:val="clear" w:color="auto" w:fill="auto"/>
            <w:noWrap/>
            <w:vAlign w:val="center"/>
            <w:hideMark/>
          </w:tcPr>
          <w:p w14:paraId="2944F29A"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54.23</w:t>
            </w:r>
          </w:p>
        </w:tc>
      </w:tr>
      <w:tr w:rsidR="00D07B84" w:rsidRPr="008E7B4C" w14:paraId="776A9A2A" w14:textId="77777777" w:rsidTr="002D38AF">
        <w:trPr>
          <w:trHeight w:val="454"/>
        </w:trPr>
        <w:tc>
          <w:tcPr>
            <w:tcW w:w="274" w:type="pct"/>
            <w:tcBorders>
              <w:right w:val="nil"/>
            </w:tcBorders>
          </w:tcPr>
          <w:p w14:paraId="06EF5D6C" w14:textId="77777777" w:rsidR="00D07B84" w:rsidRPr="00E359D7" w:rsidRDefault="00D07B84" w:rsidP="00E063A1">
            <w:pPr>
              <w:spacing w:after="0" w:line="240" w:lineRule="auto"/>
              <w:rPr>
                <w:rFonts w:ascii="Times New Roman" w:eastAsia="Times New Roman" w:hAnsi="Times New Roman" w:cs="Times New Roman"/>
                <w:color w:val="000000"/>
              </w:rPr>
            </w:pPr>
          </w:p>
        </w:tc>
        <w:tc>
          <w:tcPr>
            <w:tcW w:w="537" w:type="pct"/>
            <w:tcBorders>
              <w:left w:val="nil"/>
              <w:right w:val="single" w:sz="4" w:space="0" w:color="auto"/>
            </w:tcBorders>
            <w:shd w:val="clear" w:color="auto" w:fill="auto"/>
            <w:noWrap/>
            <w:vAlign w:val="center"/>
            <w:hideMark/>
          </w:tcPr>
          <w:p w14:paraId="2483361D" w14:textId="436B6413" w:rsidR="00D07B84" w:rsidRPr="00E359D7" w:rsidRDefault="00AD4771" w:rsidP="00E063A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To Others</w:t>
            </w:r>
          </w:p>
        </w:tc>
        <w:tc>
          <w:tcPr>
            <w:tcW w:w="314" w:type="pct"/>
            <w:tcBorders>
              <w:left w:val="single" w:sz="4" w:space="0" w:color="auto"/>
            </w:tcBorders>
            <w:shd w:val="clear" w:color="auto" w:fill="auto"/>
            <w:noWrap/>
            <w:vAlign w:val="center"/>
            <w:hideMark/>
          </w:tcPr>
          <w:p w14:paraId="58BFB28D"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57.41</w:t>
            </w:r>
          </w:p>
        </w:tc>
        <w:tc>
          <w:tcPr>
            <w:tcW w:w="296" w:type="pct"/>
            <w:shd w:val="clear" w:color="auto" w:fill="auto"/>
            <w:noWrap/>
            <w:vAlign w:val="center"/>
            <w:hideMark/>
          </w:tcPr>
          <w:p w14:paraId="4D31B805"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62.83</w:t>
            </w:r>
          </w:p>
        </w:tc>
        <w:tc>
          <w:tcPr>
            <w:tcW w:w="267" w:type="pct"/>
            <w:tcBorders>
              <w:right w:val="single" w:sz="4" w:space="0" w:color="auto"/>
            </w:tcBorders>
            <w:shd w:val="clear" w:color="auto" w:fill="auto"/>
            <w:noWrap/>
            <w:vAlign w:val="center"/>
            <w:hideMark/>
          </w:tcPr>
          <w:p w14:paraId="076D67C5"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67.05</w:t>
            </w:r>
          </w:p>
        </w:tc>
        <w:tc>
          <w:tcPr>
            <w:tcW w:w="296" w:type="pct"/>
            <w:tcBorders>
              <w:left w:val="single" w:sz="4" w:space="0" w:color="auto"/>
            </w:tcBorders>
            <w:shd w:val="clear" w:color="auto" w:fill="auto"/>
            <w:noWrap/>
            <w:vAlign w:val="center"/>
            <w:hideMark/>
          </w:tcPr>
          <w:p w14:paraId="0B329CC7"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88.50</w:t>
            </w:r>
          </w:p>
        </w:tc>
        <w:tc>
          <w:tcPr>
            <w:tcW w:w="283" w:type="pct"/>
            <w:shd w:val="clear" w:color="auto" w:fill="auto"/>
            <w:noWrap/>
            <w:vAlign w:val="center"/>
            <w:hideMark/>
          </w:tcPr>
          <w:p w14:paraId="2FB53837"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14.20</w:t>
            </w:r>
          </w:p>
        </w:tc>
        <w:tc>
          <w:tcPr>
            <w:tcW w:w="257" w:type="pct"/>
            <w:tcBorders>
              <w:right w:val="single" w:sz="4" w:space="0" w:color="auto"/>
            </w:tcBorders>
            <w:shd w:val="clear" w:color="auto" w:fill="auto"/>
            <w:noWrap/>
            <w:vAlign w:val="center"/>
            <w:hideMark/>
          </w:tcPr>
          <w:p w14:paraId="563A591D"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79.06</w:t>
            </w:r>
          </w:p>
        </w:tc>
        <w:tc>
          <w:tcPr>
            <w:tcW w:w="257" w:type="pct"/>
            <w:tcBorders>
              <w:left w:val="single" w:sz="4" w:space="0" w:color="auto"/>
            </w:tcBorders>
            <w:shd w:val="clear" w:color="auto" w:fill="auto"/>
            <w:noWrap/>
            <w:vAlign w:val="center"/>
            <w:hideMark/>
          </w:tcPr>
          <w:p w14:paraId="1779A426"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38.94</w:t>
            </w:r>
          </w:p>
        </w:tc>
        <w:tc>
          <w:tcPr>
            <w:tcW w:w="283" w:type="pct"/>
            <w:shd w:val="clear" w:color="auto" w:fill="auto"/>
            <w:noWrap/>
            <w:vAlign w:val="center"/>
            <w:hideMark/>
          </w:tcPr>
          <w:p w14:paraId="309B0DE3"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17.53</w:t>
            </w:r>
          </w:p>
        </w:tc>
        <w:tc>
          <w:tcPr>
            <w:tcW w:w="296" w:type="pct"/>
            <w:shd w:val="clear" w:color="auto" w:fill="auto"/>
            <w:noWrap/>
            <w:vAlign w:val="center"/>
            <w:hideMark/>
          </w:tcPr>
          <w:p w14:paraId="47708D43"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90.43</w:t>
            </w:r>
          </w:p>
        </w:tc>
        <w:tc>
          <w:tcPr>
            <w:tcW w:w="272" w:type="pct"/>
            <w:shd w:val="clear" w:color="auto" w:fill="auto"/>
            <w:noWrap/>
            <w:vAlign w:val="center"/>
            <w:hideMark/>
          </w:tcPr>
          <w:p w14:paraId="43E82E56"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50.19</w:t>
            </w:r>
          </w:p>
        </w:tc>
        <w:tc>
          <w:tcPr>
            <w:tcW w:w="310" w:type="pct"/>
            <w:shd w:val="clear" w:color="auto" w:fill="auto"/>
            <w:noWrap/>
            <w:vAlign w:val="center"/>
            <w:hideMark/>
          </w:tcPr>
          <w:p w14:paraId="3D4681C5"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72.31</w:t>
            </w:r>
          </w:p>
        </w:tc>
        <w:tc>
          <w:tcPr>
            <w:tcW w:w="267" w:type="pct"/>
            <w:shd w:val="clear" w:color="auto" w:fill="auto"/>
            <w:noWrap/>
            <w:vAlign w:val="center"/>
            <w:hideMark/>
          </w:tcPr>
          <w:p w14:paraId="54ED24F4"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31.17</w:t>
            </w:r>
          </w:p>
        </w:tc>
        <w:tc>
          <w:tcPr>
            <w:tcW w:w="468" w:type="pct"/>
            <w:shd w:val="clear" w:color="auto" w:fill="auto"/>
            <w:noWrap/>
            <w:vAlign w:val="center"/>
            <w:hideMark/>
          </w:tcPr>
          <w:p w14:paraId="28AF7BEF"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39.77</w:t>
            </w:r>
          </w:p>
        </w:tc>
        <w:tc>
          <w:tcPr>
            <w:tcW w:w="324" w:type="pct"/>
            <w:shd w:val="clear" w:color="auto" w:fill="auto"/>
            <w:noWrap/>
            <w:vAlign w:val="center"/>
            <w:hideMark/>
          </w:tcPr>
          <w:p w14:paraId="6F324AC0"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709.39</w:t>
            </w:r>
          </w:p>
        </w:tc>
      </w:tr>
      <w:tr w:rsidR="00D07B84" w:rsidRPr="008E7B4C" w14:paraId="121DAD48" w14:textId="77777777" w:rsidTr="002D38AF">
        <w:trPr>
          <w:trHeight w:val="454"/>
        </w:trPr>
        <w:tc>
          <w:tcPr>
            <w:tcW w:w="274" w:type="pct"/>
            <w:tcBorders>
              <w:right w:val="nil"/>
            </w:tcBorders>
          </w:tcPr>
          <w:p w14:paraId="4A8639E4" w14:textId="77777777" w:rsidR="00D07B84" w:rsidRPr="00E359D7" w:rsidRDefault="00D07B84" w:rsidP="00E063A1">
            <w:pPr>
              <w:spacing w:after="0" w:line="240" w:lineRule="auto"/>
              <w:rPr>
                <w:rFonts w:ascii="Times New Roman" w:eastAsia="Times New Roman" w:hAnsi="Times New Roman" w:cs="Times New Roman"/>
                <w:color w:val="000000"/>
              </w:rPr>
            </w:pPr>
          </w:p>
        </w:tc>
        <w:tc>
          <w:tcPr>
            <w:tcW w:w="537" w:type="pct"/>
            <w:tcBorders>
              <w:left w:val="nil"/>
              <w:right w:val="single" w:sz="4" w:space="0" w:color="auto"/>
            </w:tcBorders>
            <w:shd w:val="clear" w:color="auto" w:fill="auto"/>
            <w:noWrap/>
            <w:vAlign w:val="center"/>
            <w:hideMark/>
          </w:tcPr>
          <w:p w14:paraId="4FA9252F" w14:textId="27DFA9EA" w:rsidR="00D07B84" w:rsidRPr="00E359D7" w:rsidRDefault="00D07B84" w:rsidP="00E063A1">
            <w:pPr>
              <w:spacing w:after="0" w:line="240" w:lineRule="auto"/>
              <w:rPr>
                <w:rFonts w:ascii="Times New Roman" w:eastAsia="Times New Roman" w:hAnsi="Times New Roman" w:cs="Times New Roman"/>
                <w:color w:val="000000"/>
              </w:rPr>
            </w:pPr>
            <w:proofErr w:type="spellStart"/>
            <w:r w:rsidRPr="00E359D7">
              <w:rPr>
                <w:rFonts w:ascii="Times New Roman" w:eastAsia="Times New Roman" w:hAnsi="Times New Roman" w:cs="Times New Roman"/>
                <w:color w:val="000000"/>
              </w:rPr>
              <w:t>Inc.Own</w:t>
            </w:r>
            <w:proofErr w:type="spellEnd"/>
          </w:p>
        </w:tc>
        <w:tc>
          <w:tcPr>
            <w:tcW w:w="314" w:type="pct"/>
            <w:tcBorders>
              <w:left w:val="single" w:sz="4" w:space="0" w:color="auto"/>
            </w:tcBorders>
            <w:shd w:val="clear" w:color="auto" w:fill="auto"/>
            <w:noWrap/>
            <w:vAlign w:val="center"/>
            <w:hideMark/>
          </w:tcPr>
          <w:p w14:paraId="27045384"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97.46</w:t>
            </w:r>
          </w:p>
        </w:tc>
        <w:tc>
          <w:tcPr>
            <w:tcW w:w="296" w:type="pct"/>
            <w:shd w:val="clear" w:color="auto" w:fill="auto"/>
            <w:noWrap/>
            <w:vAlign w:val="center"/>
            <w:hideMark/>
          </w:tcPr>
          <w:p w14:paraId="6C04C7D1"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100.31</w:t>
            </w:r>
          </w:p>
        </w:tc>
        <w:tc>
          <w:tcPr>
            <w:tcW w:w="267" w:type="pct"/>
            <w:tcBorders>
              <w:right w:val="single" w:sz="4" w:space="0" w:color="auto"/>
            </w:tcBorders>
            <w:shd w:val="clear" w:color="auto" w:fill="auto"/>
            <w:noWrap/>
            <w:vAlign w:val="center"/>
            <w:hideMark/>
          </w:tcPr>
          <w:p w14:paraId="0E72871A"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103.6</w:t>
            </w:r>
          </w:p>
        </w:tc>
        <w:tc>
          <w:tcPr>
            <w:tcW w:w="296" w:type="pct"/>
            <w:tcBorders>
              <w:left w:val="single" w:sz="4" w:space="0" w:color="auto"/>
            </w:tcBorders>
            <w:shd w:val="clear" w:color="auto" w:fill="auto"/>
            <w:noWrap/>
            <w:vAlign w:val="center"/>
            <w:hideMark/>
          </w:tcPr>
          <w:p w14:paraId="5AB5B2C1"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118.14</w:t>
            </w:r>
          </w:p>
        </w:tc>
        <w:tc>
          <w:tcPr>
            <w:tcW w:w="283" w:type="pct"/>
            <w:shd w:val="clear" w:color="auto" w:fill="auto"/>
            <w:noWrap/>
            <w:vAlign w:val="center"/>
            <w:hideMark/>
          </w:tcPr>
          <w:p w14:paraId="07978CCE"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86.47</w:t>
            </w:r>
          </w:p>
        </w:tc>
        <w:tc>
          <w:tcPr>
            <w:tcW w:w="257" w:type="pct"/>
            <w:tcBorders>
              <w:right w:val="single" w:sz="4" w:space="0" w:color="auto"/>
            </w:tcBorders>
            <w:shd w:val="clear" w:color="auto" w:fill="auto"/>
            <w:noWrap/>
            <w:vAlign w:val="center"/>
            <w:hideMark/>
          </w:tcPr>
          <w:p w14:paraId="5C016385"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110.5</w:t>
            </w:r>
          </w:p>
        </w:tc>
        <w:tc>
          <w:tcPr>
            <w:tcW w:w="257" w:type="pct"/>
            <w:tcBorders>
              <w:left w:val="single" w:sz="4" w:space="0" w:color="auto"/>
            </w:tcBorders>
            <w:shd w:val="clear" w:color="auto" w:fill="auto"/>
            <w:noWrap/>
            <w:vAlign w:val="center"/>
            <w:hideMark/>
          </w:tcPr>
          <w:p w14:paraId="3C53D75C"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93.23</w:t>
            </w:r>
          </w:p>
        </w:tc>
        <w:tc>
          <w:tcPr>
            <w:tcW w:w="283" w:type="pct"/>
            <w:shd w:val="clear" w:color="auto" w:fill="auto"/>
            <w:noWrap/>
            <w:vAlign w:val="center"/>
            <w:hideMark/>
          </w:tcPr>
          <w:p w14:paraId="7779A96E"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86.32</w:t>
            </w:r>
          </w:p>
        </w:tc>
        <w:tc>
          <w:tcPr>
            <w:tcW w:w="296" w:type="pct"/>
            <w:shd w:val="clear" w:color="auto" w:fill="auto"/>
            <w:noWrap/>
            <w:vAlign w:val="center"/>
            <w:hideMark/>
          </w:tcPr>
          <w:p w14:paraId="1165C5F8"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118.77</w:t>
            </w:r>
          </w:p>
        </w:tc>
        <w:tc>
          <w:tcPr>
            <w:tcW w:w="272" w:type="pct"/>
            <w:shd w:val="clear" w:color="auto" w:fill="auto"/>
            <w:noWrap/>
            <w:vAlign w:val="center"/>
            <w:hideMark/>
          </w:tcPr>
          <w:p w14:paraId="086868E1"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95.81</w:t>
            </w:r>
          </w:p>
        </w:tc>
        <w:tc>
          <w:tcPr>
            <w:tcW w:w="310" w:type="pct"/>
            <w:shd w:val="clear" w:color="auto" w:fill="auto"/>
            <w:noWrap/>
            <w:vAlign w:val="center"/>
            <w:hideMark/>
          </w:tcPr>
          <w:p w14:paraId="288C328B"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110.15</w:t>
            </w:r>
          </w:p>
        </w:tc>
        <w:tc>
          <w:tcPr>
            <w:tcW w:w="267" w:type="pct"/>
            <w:shd w:val="clear" w:color="auto" w:fill="auto"/>
            <w:noWrap/>
            <w:vAlign w:val="center"/>
            <w:hideMark/>
          </w:tcPr>
          <w:p w14:paraId="257BB7D1"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93.69</w:t>
            </w:r>
          </w:p>
        </w:tc>
        <w:tc>
          <w:tcPr>
            <w:tcW w:w="468" w:type="pct"/>
            <w:shd w:val="clear" w:color="auto" w:fill="auto"/>
            <w:noWrap/>
            <w:vAlign w:val="center"/>
            <w:hideMark/>
          </w:tcPr>
          <w:p w14:paraId="1647A50B"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85.54</w:t>
            </w:r>
          </w:p>
        </w:tc>
        <w:tc>
          <w:tcPr>
            <w:tcW w:w="324" w:type="pct"/>
            <w:shd w:val="clear" w:color="auto" w:fill="auto"/>
            <w:noWrap/>
            <w:vAlign w:val="center"/>
            <w:hideMark/>
          </w:tcPr>
          <w:p w14:paraId="559361D9"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TCI</w:t>
            </w:r>
          </w:p>
        </w:tc>
      </w:tr>
      <w:tr w:rsidR="00D07B84" w:rsidRPr="008E7B4C" w14:paraId="40BD6915" w14:textId="77777777" w:rsidTr="002D38AF">
        <w:trPr>
          <w:trHeight w:val="454"/>
        </w:trPr>
        <w:tc>
          <w:tcPr>
            <w:tcW w:w="274" w:type="pct"/>
            <w:tcBorders>
              <w:right w:val="nil"/>
            </w:tcBorders>
          </w:tcPr>
          <w:p w14:paraId="1B8C414A" w14:textId="77777777" w:rsidR="00D07B84" w:rsidRPr="00E359D7" w:rsidRDefault="00D07B84" w:rsidP="00E063A1">
            <w:pPr>
              <w:spacing w:after="0" w:line="240" w:lineRule="auto"/>
              <w:rPr>
                <w:rFonts w:ascii="Times New Roman" w:eastAsia="Times New Roman" w:hAnsi="Times New Roman" w:cs="Times New Roman"/>
                <w:color w:val="000000"/>
              </w:rPr>
            </w:pPr>
          </w:p>
        </w:tc>
        <w:tc>
          <w:tcPr>
            <w:tcW w:w="537" w:type="pct"/>
            <w:tcBorders>
              <w:left w:val="nil"/>
              <w:bottom w:val="single" w:sz="4" w:space="0" w:color="auto"/>
              <w:right w:val="single" w:sz="4" w:space="0" w:color="auto"/>
            </w:tcBorders>
            <w:shd w:val="clear" w:color="auto" w:fill="auto"/>
            <w:noWrap/>
            <w:vAlign w:val="center"/>
            <w:hideMark/>
          </w:tcPr>
          <w:p w14:paraId="178D68C4" w14:textId="5E99BC26" w:rsidR="00D07B84" w:rsidRPr="00E359D7" w:rsidRDefault="00D97C9B" w:rsidP="00E063A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Net</w:t>
            </w:r>
          </w:p>
        </w:tc>
        <w:tc>
          <w:tcPr>
            <w:tcW w:w="314" w:type="pct"/>
            <w:tcBorders>
              <w:left w:val="single" w:sz="4" w:space="0" w:color="auto"/>
              <w:bottom w:val="single" w:sz="4" w:space="0" w:color="auto"/>
            </w:tcBorders>
            <w:shd w:val="clear" w:color="auto" w:fill="auto"/>
            <w:noWrap/>
            <w:vAlign w:val="center"/>
            <w:hideMark/>
          </w:tcPr>
          <w:p w14:paraId="26F8F73A"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-2.54</w:t>
            </w:r>
          </w:p>
        </w:tc>
        <w:tc>
          <w:tcPr>
            <w:tcW w:w="296" w:type="pct"/>
            <w:tcBorders>
              <w:bottom w:val="single" w:sz="4" w:space="0" w:color="auto"/>
            </w:tcBorders>
            <w:shd w:val="clear" w:color="auto" w:fill="auto"/>
            <w:noWrap/>
            <w:vAlign w:val="center"/>
            <w:hideMark/>
          </w:tcPr>
          <w:p w14:paraId="3831459C"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0.31</w:t>
            </w:r>
          </w:p>
        </w:tc>
        <w:tc>
          <w:tcPr>
            <w:tcW w:w="267" w:type="pct"/>
            <w:tcBorders>
              <w:bottom w:val="single" w:sz="4" w:space="0" w:color="auto"/>
              <w:right w:val="single" w:sz="4" w:space="0" w:color="auto"/>
            </w:tcBorders>
            <w:shd w:val="clear" w:color="auto" w:fill="auto"/>
            <w:noWrap/>
            <w:vAlign w:val="center"/>
            <w:hideMark/>
          </w:tcPr>
          <w:p w14:paraId="55484DD5"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3.60</w:t>
            </w:r>
          </w:p>
        </w:tc>
        <w:tc>
          <w:tcPr>
            <w:tcW w:w="296" w:type="pct"/>
            <w:tcBorders>
              <w:left w:val="single" w:sz="4" w:space="0" w:color="auto"/>
              <w:bottom w:val="single" w:sz="4" w:space="0" w:color="auto"/>
            </w:tcBorders>
            <w:shd w:val="clear" w:color="auto" w:fill="auto"/>
            <w:noWrap/>
            <w:vAlign w:val="center"/>
            <w:hideMark/>
          </w:tcPr>
          <w:p w14:paraId="51DECE40"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18.14</w:t>
            </w:r>
          </w:p>
        </w:tc>
        <w:tc>
          <w:tcPr>
            <w:tcW w:w="283" w:type="pct"/>
            <w:tcBorders>
              <w:bottom w:val="single" w:sz="4" w:space="0" w:color="auto"/>
            </w:tcBorders>
            <w:shd w:val="clear" w:color="auto" w:fill="auto"/>
            <w:noWrap/>
            <w:vAlign w:val="center"/>
            <w:hideMark/>
          </w:tcPr>
          <w:p w14:paraId="6B9B6056"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-13.53</w:t>
            </w:r>
          </w:p>
        </w:tc>
        <w:tc>
          <w:tcPr>
            <w:tcW w:w="257" w:type="pct"/>
            <w:tcBorders>
              <w:bottom w:val="single" w:sz="4" w:space="0" w:color="auto"/>
              <w:right w:val="single" w:sz="4" w:space="0" w:color="auto"/>
            </w:tcBorders>
            <w:shd w:val="clear" w:color="auto" w:fill="auto"/>
            <w:noWrap/>
            <w:vAlign w:val="center"/>
            <w:hideMark/>
          </w:tcPr>
          <w:p w14:paraId="42CBC372"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10.5</w:t>
            </w:r>
          </w:p>
        </w:tc>
        <w:tc>
          <w:tcPr>
            <w:tcW w:w="257" w:type="pct"/>
            <w:tcBorders>
              <w:left w:val="single" w:sz="4" w:space="0" w:color="auto"/>
            </w:tcBorders>
            <w:shd w:val="clear" w:color="auto" w:fill="auto"/>
            <w:noWrap/>
            <w:vAlign w:val="center"/>
            <w:hideMark/>
          </w:tcPr>
          <w:p w14:paraId="1E15BE2A"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-6.77</w:t>
            </w:r>
          </w:p>
        </w:tc>
        <w:tc>
          <w:tcPr>
            <w:tcW w:w="283" w:type="pct"/>
            <w:shd w:val="clear" w:color="auto" w:fill="auto"/>
            <w:noWrap/>
            <w:vAlign w:val="center"/>
            <w:hideMark/>
          </w:tcPr>
          <w:p w14:paraId="432D0B41"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-13.68</w:t>
            </w:r>
          </w:p>
        </w:tc>
        <w:tc>
          <w:tcPr>
            <w:tcW w:w="296" w:type="pct"/>
            <w:shd w:val="clear" w:color="auto" w:fill="auto"/>
            <w:noWrap/>
            <w:vAlign w:val="center"/>
            <w:hideMark/>
          </w:tcPr>
          <w:p w14:paraId="321586B8"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18.77</w:t>
            </w:r>
          </w:p>
        </w:tc>
        <w:tc>
          <w:tcPr>
            <w:tcW w:w="272" w:type="pct"/>
            <w:shd w:val="clear" w:color="auto" w:fill="auto"/>
            <w:noWrap/>
            <w:vAlign w:val="center"/>
            <w:hideMark/>
          </w:tcPr>
          <w:p w14:paraId="7EDE0CF8"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-4.19</w:t>
            </w:r>
          </w:p>
        </w:tc>
        <w:tc>
          <w:tcPr>
            <w:tcW w:w="310" w:type="pct"/>
            <w:shd w:val="clear" w:color="auto" w:fill="auto"/>
            <w:noWrap/>
            <w:vAlign w:val="center"/>
            <w:hideMark/>
          </w:tcPr>
          <w:p w14:paraId="27A474EA"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10.15</w:t>
            </w:r>
          </w:p>
        </w:tc>
        <w:tc>
          <w:tcPr>
            <w:tcW w:w="267" w:type="pct"/>
            <w:shd w:val="clear" w:color="auto" w:fill="auto"/>
            <w:noWrap/>
            <w:vAlign w:val="center"/>
            <w:hideMark/>
          </w:tcPr>
          <w:p w14:paraId="6B26015C"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-6.31</w:t>
            </w:r>
          </w:p>
        </w:tc>
        <w:tc>
          <w:tcPr>
            <w:tcW w:w="468" w:type="pct"/>
            <w:shd w:val="clear" w:color="auto" w:fill="auto"/>
            <w:noWrap/>
            <w:vAlign w:val="center"/>
            <w:hideMark/>
          </w:tcPr>
          <w:p w14:paraId="2C0F03C9"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-14.46</w:t>
            </w:r>
          </w:p>
        </w:tc>
        <w:tc>
          <w:tcPr>
            <w:tcW w:w="324" w:type="pct"/>
            <w:shd w:val="clear" w:color="auto" w:fill="auto"/>
            <w:noWrap/>
            <w:vAlign w:val="center"/>
            <w:hideMark/>
          </w:tcPr>
          <w:p w14:paraId="5710F615" w14:textId="77777777" w:rsidR="00D07B84" w:rsidRPr="00D07B84" w:rsidRDefault="00D07B84" w:rsidP="00E063A1">
            <w:pPr>
              <w:spacing w:after="0" w:line="240" w:lineRule="auto"/>
              <w:rPr>
                <w:rFonts w:ascii="Times New Roman" w:eastAsia="Times New Roman" w:hAnsi="Times New Roman" w:cs="Times New Roman"/>
                <w:color w:val="000000"/>
                <w:sz w:val="20"/>
              </w:rPr>
            </w:pPr>
            <w:r w:rsidRPr="00D07B84">
              <w:rPr>
                <w:rFonts w:ascii="Times New Roman" w:eastAsia="Times New Roman" w:hAnsi="Times New Roman" w:cs="Times New Roman"/>
                <w:color w:val="000000"/>
                <w:sz w:val="20"/>
              </w:rPr>
              <w:t>54.57</w:t>
            </w:r>
          </w:p>
        </w:tc>
      </w:tr>
    </w:tbl>
    <w:p w14:paraId="34025E60" w14:textId="056B26A8" w:rsidR="004F242A" w:rsidRPr="00D07B84" w:rsidRDefault="004F242A" w:rsidP="00D07B84">
      <w:pPr>
        <w:jc w:val="both"/>
        <w:rPr>
          <w:rFonts w:ascii="Times New Roman" w:hAnsi="Times New Roman" w:cs="Times New Roman"/>
          <w:sz w:val="18"/>
          <w:szCs w:val="18"/>
        </w:rPr>
      </w:pPr>
      <w:r w:rsidRPr="00AF531A">
        <w:rPr>
          <w:rFonts w:ascii="Times New Roman" w:hAnsi="Times New Roman" w:cs="Times New Roman"/>
          <w:sz w:val="18"/>
          <w:szCs w:val="18"/>
        </w:rPr>
        <w:lastRenderedPageBreak/>
        <w:t>Notes: DEX- Decentralized Exchange, CEX- Centralized Exchange, RUNE-</w:t>
      </w:r>
      <w:r w:rsidR="00B82199">
        <w:rPr>
          <w:rFonts w:ascii="Times New Roman" w:hAnsi="Times New Roman" w:cs="Times New Roman"/>
          <w:sz w:val="18"/>
          <w:szCs w:val="18"/>
        </w:rPr>
        <w:t xml:space="preserve"> </w:t>
      </w:r>
      <w:proofErr w:type="spellStart"/>
      <w:r w:rsidRPr="00AF531A">
        <w:rPr>
          <w:rFonts w:ascii="Times New Roman" w:hAnsi="Times New Roman" w:cs="Times New Roman"/>
          <w:sz w:val="18"/>
          <w:szCs w:val="18"/>
        </w:rPr>
        <w:t>THORChain</w:t>
      </w:r>
      <w:proofErr w:type="spellEnd"/>
      <w:r w:rsidRPr="00AF531A">
        <w:rPr>
          <w:rFonts w:ascii="Times New Roman" w:hAnsi="Times New Roman" w:cs="Times New Roman"/>
          <w:sz w:val="18"/>
          <w:szCs w:val="18"/>
        </w:rPr>
        <w:t>, LRC-</w:t>
      </w:r>
      <w:r w:rsidR="00B82199">
        <w:rPr>
          <w:rFonts w:ascii="Times New Roman" w:hAnsi="Times New Roman" w:cs="Times New Roman"/>
          <w:sz w:val="18"/>
          <w:szCs w:val="18"/>
        </w:rPr>
        <w:t xml:space="preserve"> </w:t>
      </w:r>
      <w:proofErr w:type="spellStart"/>
      <w:proofErr w:type="gramStart"/>
      <w:r w:rsidRPr="00AF531A">
        <w:rPr>
          <w:rFonts w:ascii="Times New Roman" w:hAnsi="Times New Roman" w:cs="Times New Roman"/>
          <w:sz w:val="18"/>
          <w:szCs w:val="18"/>
        </w:rPr>
        <w:t>Loopring</w:t>
      </w:r>
      <w:proofErr w:type="spellEnd"/>
      <w:r w:rsidRPr="00AF531A">
        <w:rPr>
          <w:rFonts w:ascii="Times New Roman" w:hAnsi="Times New Roman" w:cs="Times New Roman"/>
          <w:sz w:val="18"/>
          <w:szCs w:val="18"/>
        </w:rPr>
        <w:t> ,</w:t>
      </w:r>
      <w:proofErr w:type="gramEnd"/>
      <w:r w:rsidRPr="00AF531A">
        <w:rPr>
          <w:rFonts w:ascii="Times New Roman" w:hAnsi="Times New Roman" w:cs="Times New Roman"/>
          <w:sz w:val="18"/>
          <w:szCs w:val="18"/>
        </w:rPr>
        <w:t xml:space="preserve"> GNO-</w:t>
      </w:r>
      <w:r w:rsidR="00B82199">
        <w:rPr>
          <w:rFonts w:ascii="Times New Roman" w:hAnsi="Times New Roman" w:cs="Times New Roman"/>
          <w:sz w:val="18"/>
          <w:szCs w:val="18"/>
        </w:rPr>
        <w:t xml:space="preserve"> </w:t>
      </w:r>
      <w:r w:rsidRPr="00AF531A">
        <w:rPr>
          <w:rFonts w:ascii="Times New Roman" w:hAnsi="Times New Roman" w:cs="Times New Roman"/>
          <w:sz w:val="18"/>
          <w:szCs w:val="18"/>
        </w:rPr>
        <w:t>Gnosis, BNB-</w:t>
      </w:r>
      <w:r w:rsidR="00B82199">
        <w:rPr>
          <w:rFonts w:ascii="Times New Roman" w:hAnsi="Times New Roman" w:cs="Times New Roman"/>
          <w:sz w:val="18"/>
          <w:szCs w:val="18"/>
        </w:rPr>
        <w:t xml:space="preserve"> </w:t>
      </w:r>
      <w:proofErr w:type="spellStart"/>
      <w:r w:rsidRPr="00AF531A">
        <w:rPr>
          <w:rFonts w:ascii="Times New Roman" w:hAnsi="Times New Roman" w:cs="Times New Roman"/>
          <w:sz w:val="18"/>
          <w:szCs w:val="18"/>
        </w:rPr>
        <w:t>Binance</w:t>
      </w:r>
      <w:proofErr w:type="spellEnd"/>
      <w:r w:rsidRPr="00AF531A">
        <w:rPr>
          <w:rFonts w:ascii="Times New Roman" w:hAnsi="Times New Roman" w:cs="Times New Roman"/>
          <w:sz w:val="18"/>
          <w:szCs w:val="18"/>
        </w:rPr>
        <w:t xml:space="preserve"> Coin, LEO-</w:t>
      </w:r>
      <w:r w:rsidR="00B82199">
        <w:rPr>
          <w:rFonts w:ascii="Times New Roman" w:hAnsi="Times New Roman" w:cs="Times New Roman"/>
          <w:sz w:val="18"/>
          <w:szCs w:val="18"/>
        </w:rPr>
        <w:t xml:space="preserve"> </w:t>
      </w:r>
      <w:r w:rsidRPr="00AF531A">
        <w:rPr>
          <w:rFonts w:ascii="Times New Roman" w:hAnsi="Times New Roman" w:cs="Times New Roman"/>
          <w:sz w:val="18"/>
          <w:szCs w:val="18"/>
        </w:rPr>
        <w:t>UNUS SED LEO, FTT-</w:t>
      </w:r>
      <w:r w:rsidR="00B82199">
        <w:rPr>
          <w:rFonts w:ascii="Times New Roman" w:hAnsi="Times New Roman" w:cs="Times New Roman"/>
          <w:sz w:val="18"/>
          <w:szCs w:val="18"/>
        </w:rPr>
        <w:t xml:space="preserve"> </w:t>
      </w:r>
      <w:r w:rsidRPr="00AF531A">
        <w:rPr>
          <w:rFonts w:ascii="Times New Roman" w:hAnsi="Times New Roman" w:cs="Times New Roman"/>
          <w:sz w:val="18"/>
          <w:szCs w:val="18"/>
        </w:rPr>
        <w:t>FTX Token, BTC-</w:t>
      </w:r>
      <w:r w:rsidR="00B82199">
        <w:rPr>
          <w:rFonts w:ascii="Times New Roman" w:hAnsi="Times New Roman" w:cs="Times New Roman"/>
          <w:sz w:val="18"/>
          <w:szCs w:val="18"/>
        </w:rPr>
        <w:t xml:space="preserve"> </w:t>
      </w:r>
      <w:r w:rsidRPr="00AF531A">
        <w:rPr>
          <w:rFonts w:ascii="Times New Roman" w:hAnsi="Times New Roman" w:cs="Times New Roman"/>
          <w:sz w:val="18"/>
          <w:szCs w:val="18"/>
        </w:rPr>
        <w:t>Bitcoin.</w:t>
      </w:r>
    </w:p>
    <w:p w14:paraId="59EB4BDC" w14:textId="7A491902" w:rsidR="004F242A" w:rsidRPr="008E7B4C" w:rsidRDefault="004F242A" w:rsidP="004F242A">
      <w:pPr>
        <w:rPr>
          <w:rFonts w:ascii="Times New Roman" w:hAnsi="Times New Roman" w:cs="Times New Roman"/>
        </w:rPr>
      </w:pPr>
      <w:r w:rsidRPr="008E7B4C">
        <w:rPr>
          <w:rFonts w:ascii="Times New Roman" w:hAnsi="Times New Roman" w:cs="Times New Roman"/>
        </w:rPr>
        <w:t xml:space="preserve">Table A2. </w:t>
      </w:r>
      <w:r w:rsidRPr="000834CE">
        <w:rPr>
          <w:rFonts w:ascii="Times New Roman" w:hAnsi="Times New Roman" w:cs="Times New Roman"/>
          <w:sz w:val="24"/>
          <w:szCs w:val="24"/>
        </w:rPr>
        <w:t xml:space="preserve">Static </w:t>
      </w:r>
      <w:r>
        <w:rPr>
          <w:rFonts w:ascii="Times New Roman" w:hAnsi="Times New Roman" w:cs="Times New Roman"/>
          <w:sz w:val="24"/>
          <w:szCs w:val="24"/>
        </w:rPr>
        <w:t xml:space="preserve">return </w:t>
      </w:r>
      <w:r w:rsidRPr="000834CE">
        <w:rPr>
          <w:rFonts w:ascii="Times New Roman" w:hAnsi="Times New Roman" w:cs="Times New Roman"/>
          <w:sz w:val="24"/>
          <w:szCs w:val="24"/>
        </w:rPr>
        <w:t xml:space="preserve">spillover </w:t>
      </w:r>
      <w:r>
        <w:rPr>
          <w:rFonts w:ascii="Times New Roman" w:hAnsi="Times New Roman" w:cs="Times New Roman"/>
          <w:sz w:val="24"/>
          <w:szCs w:val="24"/>
        </w:rPr>
        <w:t xml:space="preserve">at </w:t>
      </w:r>
      <w:r w:rsidR="00B82199">
        <w:rPr>
          <w:rFonts w:ascii="Times New Roman" w:hAnsi="Times New Roman" w:cs="Times New Roman"/>
          <w:sz w:val="24"/>
          <w:szCs w:val="24"/>
        </w:rPr>
        <w:t xml:space="preserve">the </w:t>
      </w:r>
      <w:r w:rsidRPr="000834CE">
        <w:rPr>
          <w:rFonts w:ascii="Times New Roman" w:hAnsi="Times New Roman" w:cs="Times New Roman"/>
          <w:sz w:val="24"/>
          <w:szCs w:val="24"/>
        </w:rPr>
        <w:t>median</w:t>
      </w:r>
      <w:r>
        <w:rPr>
          <w:rFonts w:ascii="Times New Roman" w:hAnsi="Times New Roman" w:cs="Times New Roman"/>
          <w:sz w:val="24"/>
          <w:szCs w:val="24"/>
        </w:rPr>
        <w:t xml:space="preserve"> quantile (Q=0.50)</w:t>
      </w:r>
      <w:r w:rsidRPr="008E7B4C">
        <w:rPr>
          <w:rFonts w:ascii="Times New Roman" w:hAnsi="Times New Roman" w:cs="Times New Roman"/>
        </w:rPr>
        <w:t xml:space="preserve"> </w:t>
      </w:r>
      <w:r>
        <w:rPr>
          <w:rFonts w:ascii="Times New Roman" w:hAnsi="Times New Roman" w:cs="Times New Roman"/>
        </w:rPr>
        <w:t xml:space="preserve">[Sample period: </w:t>
      </w:r>
      <w:r w:rsidR="00B82199">
        <w:rPr>
          <w:rFonts w:ascii="Times New Roman" w:hAnsi="Times New Roman" w:cs="Times New Roman"/>
        </w:rPr>
        <w:t xml:space="preserve">31 </w:t>
      </w:r>
      <w:r>
        <w:rPr>
          <w:rFonts w:ascii="Times New Roman" w:hAnsi="Times New Roman" w:cs="Times New Roman"/>
          <w:sz w:val="24"/>
          <w:szCs w:val="24"/>
        </w:rPr>
        <w:t xml:space="preserve">July 2019 to </w:t>
      </w:r>
      <w:r w:rsidR="00B82199">
        <w:rPr>
          <w:rFonts w:ascii="Times New Roman" w:hAnsi="Times New Roman" w:cs="Times New Roman"/>
          <w:sz w:val="24"/>
          <w:szCs w:val="24"/>
        </w:rPr>
        <w:t xml:space="preserve">30 </w:t>
      </w:r>
      <w:r>
        <w:rPr>
          <w:rFonts w:ascii="Times New Roman" w:hAnsi="Times New Roman" w:cs="Times New Roman"/>
          <w:sz w:val="24"/>
          <w:szCs w:val="24"/>
        </w:rPr>
        <w:t>January 2023]</w:t>
      </w:r>
    </w:p>
    <w:tbl>
      <w:tblPr>
        <w:tblW w:w="5000" w:type="pct"/>
        <w:tblBorders>
          <w:top w:val="single" w:sz="4" w:space="0" w:color="auto"/>
          <w:bottom w:val="single" w:sz="4" w:space="0" w:color="auto"/>
        </w:tblBorders>
        <w:tblLook w:val="04A0" w:firstRow="1" w:lastRow="0" w:firstColumn="1" w:lastColumn="0" w:noHBand="0" w:noVBand="1"/>
      </w:tblPr>
      <w:tblGrid>
        <w:gridCol w:w="857"/>
        <w:gridCol w:w="1213"/>
        <w:gridCol w:w="815"/>
        <w:gridCol w:w="766"/>
        <w:gridCol w:w="766"/>
        <w:gridCol w:w="766"/>
        <w:gridCol w:w="666"/>
        <w:gridCol w:w="766"/>
        <w:gridCol w:w="666"/>
        <w:gridCol w:w="733"/>
        <w:gridCol w:w="766"/>
        <w:gridCol w:w="705"/>
        <w:gridCol w:w="803"/>
        <w:gridCol w:w="693"/>
        <w:gridCol w:w="1213"/>
        <w:gridCol w:w="766"/>
      </w:tblGrid>
      <w:tr w:rsidR="002D38AF" w:rsidRPr="008E7B4C" w14:paraId="29979BF7" w14:textId="77777777" w:rsidTr="002D38AF">
        <w:trPr>
          <w:trHeight w:val="455"/>
        </w:trPr>
        <w:tc>
          <w:tcPr>
            <w:tcW w:w="415" w:type="pct"/>
            <w:tcBorders>
              <w:top w:val="single" w:sz="4" w:space="0" w:color="auto"/>
              <w:bottom w:val="single" w:sz="4" w:space="0" w:color="auto"/>
              <w:right w:val="nil"/>
            </w:tcBorders>
          </w:tcPr>
          <w:p w14:paraId="6D39729F" w14:textId="77777777" w:rsidR="002D38AF" w:rsidRPr="00E359D7" w:rsidRDefault="002D38AF" w:rsidP="00E063A1">
            <w:pPr>
              <w:spacing w:after="0" w:line="240" w:lineRule="auto"/>
              <w:rPr>
                <w:rFonts w:ascii="Times New Roman" w:eastAsia="Times New Roman" w:hAnsi="Times New Roman" w:cs="Times New Roman"/>
                <w:sz w:val="24"/>
                <w:szCs w:val="24"/>
              </w:rPr>
            </w:pPr>
          </w:p>
        </w:tc>
        <w:tc>
          <w:tcPr>
            <w:tcW w:w="415" w:type="pct"/>
            <w:tcBorders>
              <w:top w:val="single" w:sz="4" w:space="0" w:color="auto"/>
              <w:left w:val="nil"/>
              <w:bottom w:val="single" w:sz="4" w:space="0" w:color="auto"/>
              <w:right w:val="single" w:sz="4" w:space="0" w:color="auto"/>
            </w:tcBorders>
            <w:shd w:val="clear" w:color="auto" w:fill="auto"/>
            <w:noWrap/>
            <w:vAlign w:val="center"/>
          </w:tcPr>
          <w:p w14:paraId="38D0EE70" w14:textId="173F29F6" w:rsidR="002D38AF" w:rsidRPr="00E359D7" w:rsidRDefault="002D38AF" w:rsidP="00E063A1">
            <w:pPr>
              <w:spacing w:after="0" w:line="240" w:lineRule="auto"/>
              <w:rPr>
                <w:rFonts w:ascii="Times New Roman" w:eastAsia="Times New Roman" w:hAnsi="Times New Roman" w:cs="Times New Roman"/>
                <w:sz w:val="24"/>
                <w:szCs w:val="24"/>
              </w:rPr>
            </w:pPr>
          </w:p>
        </w:tc>
        <w:tc>
          <w:tcPr>
            <w:tcW w:w="839"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54831B7" w14:textId="2A3D96D8" w:rsidR="002D38AF" w:rsidRPr="00E359D7" w:rsidRDefault="002D38AF" w:rsidP="00D07B8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DEX tokens</w:t>
            </w:r>
          </w:p>
        </w:tc>
        <w:tc>
          <w:tcPr>
            <w:tcW w:w="836"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CDDBC82" w14:textId="2286FFEC" w:rsidR="002D38AF" w:rsidRPr="00E359D7" w:rsidRDefault="002D38AF" w:rsidP="00D07B8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CEX tokens</w:t>
            </w:r>
          </w:p>
        </w:tc>
        <w:tc>
          <w:tcPr>
            <w:tcW w:w="275" w:type="pct"/>
            <w:tcBorders>
              <w:top w:val="single" w:sz="4" w:space="0" w:color="auto"/>
              <w:left w:val="single" w:sz="4" w:space="0" w:color="auto"/>
              <w:bottom w:val="single" w:sz="4" w:space="0" w:color="auto"/>
            </w:tcBorders>
            <w:shd w:val="clear" w:color="auto" w:fill="auto"/>
            <w:noWrap/>
            <w:vAlign w:val="center"/>
          </w:tcPr>
          <w:p w14:paraId="5195832B" w14:textId="77777777" w:rsidR="002D38AF" w:rsidRPr="00E359D7" w:rsidRDefault="002D38AF" w:rsidP="00E063A1">
            <w:pPr>
              <w:spacing w:after="0" w:line="240" w:lineRule="auto"/>
              <w:rPr>
                <w:rFonts w:ascii="Times New Roman" w:eastAsia="Times New Roman" w:hAnsi="Times New Roman" w:cs="Times New Roman"/>
                <w:color w:val="000000"/>
              </w:rPr>
            </w:pPr>
          </w:p>
        </w:tc>
        <w:tc>
          <w:tcPr>
            <w:tcW w:w="275" w:type="pct"/>
            <w:tcBorders>
              <w:top w:val="single" w:sz="4" w:space="0" w:color="auto"/>
              <w:bottom w:val="single" w:sz="4" w:space="0" w:color="auto"/>
            </w:tcBorders>
            <w:shd w:val="clear" w:color="auto" w:fill="auto"/>
            <w:noWrap/>
            <w:vAlign w:val="center"/>
          </w:tcPr>
          <w:p w14:paraId="6FD5EE72" w14:textId="77777777" w:rsidR="002D38AF" w:rsidRPr="00E359D7" w:rsidRDefault="002D38AF" w:rsidP="00E063A1">
            <w:pPr>
              <w:spacing w:after="0" w:line="240" w:lineRule="auto"/>
              <w:rPr>
                <w:rFonts w:ascii="Times New Roman" w:eastAsia="Times New Roman" w:hAnsi="Times New Roman" w:cs="Times New Roman"/>
                <w:color w:val="000000"/>
              </w:rPr>
            </w:pPr>
          </w:p>
        </w:tc>
        <w:tc>
          <w:tcPr>
            <w:tcW w:w="280" w:type="pct"/>
            <w:tcBorders>
              <w:top w:val="single" w:sz="4" w:space="0" w:color="auto"/>
              <w:bottom w:val="single" w:sz="4" w:space="0" w:color="auto"/>
            </w:tcBorders>
            <w:shd w:val="clear" w:color="auto" w:fill="auto"/>
            <w:noWrap/>
            <w:vAlign w:val="center"/>
          </w:tcPr>
          <w:p w14:paraId="7D2985D8" w14:textId="77777777" w:rsidR="002D38AF" w:rsidRPr="00E359D7" w:rsidRDefault="002D38AF" w:rsidP="00E063A1">
            <w:pPr>
              <w:spacing w:after="0" w:line="240" w:lineRule="auto"/>
              <w:rPr>
                <w:rFonts w:ascii="Times New Roman" w:eastAsia="Times New Roman" w:hAnsi="Times New Roman" w:cs="Times New Roman"/>
                <w:color w:val="000000"/>
              </w:rPr>
            </w:pPr>
          </w:p>
        </w:tc>
        <w:tc>
          <w:tcPr>
            <w:tcW w:w="275" w:type="pct"/>
            <w:tcBorders>
              <w:top w:val="single" w:sz="4" w:space="0" w:color="auto"/>
              <w:bottom w:val="single" w:sz="4" w:space="0" w:color="auto"/>
            </w:tcBorders>
            <w:shd w:val="clear" w:color="auto" w:fill="auto"/>
            <w:noWrap/>
            <w:vAlign w:val="center"/>
          </w:tcPr>
          <w:p w14:paraId="3D00A82E" w14:textId="77777777" w:rsidR="002D38AF" w:rsidRPr="00E359D7" w:rsidRDefault="002D38AF" w:rsidP="00E063A1">
            <w:pPr>
              <w:spacing w:after="0" w:line="240" w:lineRule="auto"/>
              <w:rPr>
                <w:rFonts w:ascii="Times New Roman" w:eastAsia="Times New Roman" w:hAnsi="Times New Roman" w:cs="Times New Roman"/>
                <w:color w:val="000000"/>
              </w:rPr>
            </w:pPr>
          </w:p>
        </w:tc>
        <w:tc>
          <w:tcPr>
            <w:tcW w:w="280" w:type="pct"/>
            <w:tcBorders>
              <w:top w:val="single" w:sz="4" w:space="0" w:color="auto"/>
              <w:bottom w:val="single" w:sz="4" w:space="0" w:color="auto"/>
            </w:tcBorders>
            <w:shd w:val="clear" w:color="auto" w:fill="auto"/>
            <w:noWrap/>
            <w:vAlign w:val="center"/>
          </w:tcPr>
          <w:p w14:paraId="5D40B82A" w14:textId="77777777" w:rsidR="002D38AF" w:rsidRPr="00E359D7" w:rsidRDefault="002D38AF" w:rsidP="00E063A1">
            <w:pPr>
              <w:spacing w:after="0" w:line="240" w:lineRule="auto"/>
              <w:rPr>
                <w:rFonts w:ascii="Times New Roman" w:eastAsia="Times New Roman" w:hAnsi="Times New Roman" w:cs="Times New Roman"/>
                <w:color w:val="000000"/>
              </w:rPr>
            </w:pPr>
          </w:p>
        </w:tc>
        <w:tc>
          <w:tcPr>
            <w:tcW w:w="275" w:type="pct"/>
            <w:tcBorders>
              <w:top w:val="single" w:sz="4" w:space="0" w:color="auto"/>
              <w:bottom w:val="single" w:sz="4" w:space="0" w:color="auto"/>
            </w:tcBorders>
            <w:shd w:val="clear" w:color="auto" w:fill="auto"/>
            <w:noWrap/>
            <w:vAlign w:val="center"/>
          </w:tcPr>
          <w:p w14:paraId="16E5F9BA" w14:textId="77777777" w:rsidR="002D38AF" w:rsidRPr="00E359D7" w:rsidRDefault="002D38AF" w:rsidP="00E063A1">
            <w:pPr>
              <w:spacing w:after="0" w:line="240" w:lineRule="auto"/>
              <w:rPr>
                <w:rFonts w:ascii="Times New Roman" w:eastAsia="Times New Roman" w:hAnsi="Times New Roman" w:cs="Times New Roman"/>
                <w:color w:val="000000"/>
              </w:rPr>
            </w:pPr>
          </w:p>
        </w:tc>
        <w:tc>
          <w:tcPr>
            <w:tcW w:w="415" w:type="pct"/>
            <w:tcBorders>
              <w:top w:val="single" w:sz="4" w:space="0" w:color="auto"/>
              <w:bottom w:val="single" w:sz="4" w:space="0" w:color="auto"/>
            </w:tcBorders>
            <w:shd w:val="clear" w:color="auto" w:fill="auto"/>
            <w:noWrap/>
            <w:vAlign w:val="center"/>
          </w:tcPr>
          <w:p w14:paraId="0FAA1F94" w14:textId="77777777" w:rsidR="002D38AF" w:rsidRPr="00E359D7" w:rsidRDefault="002D38AF" w:rsidP="00E063A1">
            <w:pPr>
              <w:spacing w:after="0" w:line="240" w:lineRule="auto"/>
              <w:rPr>
                <w:rFonts w:ascii="Times New Roman" w:eastAsia="Times New Roman" w:hAnsi="Times New Roman" w:cs="Times New Roman"/>
                <w:color w:val="000000"/>
              </w:rPr>
            </w:pPr>
          </w:p>
        </w:tc>
        <w:tc>
          <w:tcPr>
            <w:tcW w:w="417" w:type="pct"/>
            <w:tcBorders>
              <w:top w:val="single" w:sz="4" w:space="0" w:color="auto"/>
              <w:bottom w:val="single" w:sz="4" w:space="0" w:color="auto"/>
            </w:tcBorders>
            <w:shd w:val="clear" w:color="auto" w:fill="auto"/>
            <w:noWrap/>
            <w:vAlign w:val="center"/>
          </w:tcPr>
          <w:p w14:paraId="0C8A1D6D" w14:textId="77777777" w:rsidR="002D38AF" w:rsidRPr="00E359D7" w:rsidRDefault="002D38AF" w:rsidP="00E063A1">
            <w:pPr>
              <w:spacing w:after="0" w:line="240" w:lineRule="auto"/>
              <w:rPr>
                <w:rFonts w:ascii="Times New Roman" w:eastAsia="Times New Roman" w:hAnsi="Times New Roman" w:cs="Times New Roman"/>
                <w:color w:val="000000"/>
              </w:rPr>
            </w:pPr>
          </w:p>
        </w:tc>
      </w:tr>
      <w:tr w:rsidR="002D38AF" w:rsidRPr="008E7B4C" w14:paraId="20B83C5A" w14:textId="77777777" w:rsidTr="002D38AF">
        <w:trPr>
          <w:trHeight w:val="455"/>
        </w:trPr>
        <w:tc>
          <w:tcPr>
            <w:tcW w:w="415" w:type="pct"/>
            <w:tcBorders>
              <w:top w:val="single" w:sz="4" w:space="0" w:color="auto"/>
              <w:bottom w:val="single" w:sz="4" w:space="0" w:color="auto"/>
              <w:right w:val="nil"/>
            </w:tcBorders>
          </w:tcPr>
          <w:p w14:paraId="23FFFE6F" w14:textId="77777777" w:rsidR="002D38AF" w:rsidRPr="00E359D7" w:rsidRDefault="002D38AF" w:rsidP="00E063A1">
            <w:pPr>
              <w:spacing w:after="0" w:line="240" w:lineRule="auto"/>
              <w:rPr>
                <w:rFonts w:ascii="Times New Roman" w:eastAsia="Times New Roman" w:hAnsi="Times New Roman" w:cs="Times New Roman"/>
                <w:sz w:val="24"/>
                <w:szCs w:val="24"/>
              </w:rPr>
            </w:pP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32CA1F99" w14:textId="4FEF2234" w:rsidR="002D38AF" w:rsidRPr="00E359D7" w:rsidRDefault="002D38AF" w:rsidP="00E063A1">
            <w:pPr>
              <w:spacing w:after="0" w:line="240" w:lineRule="auto"/>
              <w:rPr>
                <w:rFonts w:ascii="Times New Roman" w:eastAsia="Times New Roman" w:hAnsi="Times New Roman" w:cs="Times New Roman"/>
                <w:sz w:val="24"/>
                <w:szCs w:val="24"/>
              </w:rPr>
            </w:pPr>
          </w:p>
        </w:tc>
        <w:tc>
          <w:tcPr>
            <w:tcW w:w="278" w:type="pct"/>
            <w:tcBorders>
              <w:top w:val="single" w:sz="4" w:space="0" w:color="auto"/>
              <w:left w:val="single" w:sz="4" w:space="0" w:color="auto"/>
              <w:bottom w:val="single" w:sz="4" w:space="0" w:color="auto"/>
            </w:tcBorders>
            <w:shd w:val="clear" w:color="auto" w:fill="auto"/>
            <w:noWrap/>
            <w:vAlign w:val="center"/>
            <w:hideMark/>
          </w:tcPr>
          <w:p w14:paraId="0F2B00E9" w14:textId="77777777" w:rsidR="002D38AF" w:rsidRPr="00E359D7" w:rsidRDefault="002D38AF"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RUNE</w:t>
            </w:r>
          </w:p>
        </w:tc>
        <w:tc>
          <w:tcPr>
            <w:tcW w:w="280" w:type="pct"/>
            <w:tcBorders>
              <w:top w:val="single" w:sz="4" w:space="0" w:color="auto"/>
              <w:bottom w:val="single" w:sz="4" w:space="0" w:color="auto"/>
            </w:tcBorders>
            <w:shd w:val="clear" w:color="auto" w:fill="auto"/>
            <w:noWrap/>
            <w:vAlign w:val="center"/>
            <w:hideMark/>
          </w:tcPr>
          <w:p w14:paraId="7FCE9354" w14:textId="77777777" w:rsidR="002D38AF" w:rsidRPr="00E359D7" w:rsidRDefault="002D38AF"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LRC</w:t>
            </w:r>
          </w:p>
        </w:tc>
        <w:tc>
          <w:tcPr>
            <w:tcW w:w="280" w:type="pct"/>
            <w:tcBorders>
              <w:top w:val="single" w:sz="4" w:space="0" w:color="auto"/>
              <w:bottom w:val="single" w:sz="4" w:space="0" w:color="auto"/>
              <w:right w:val="single" w:sz="4" w:space="0" w:color="auto"/>
            </w:tcBorders>
            <w:shd w:val="clear" w:color="auto" w:fill="auto"/>
            <w:noWrap/>
            <w:vAlign w:val="center"/>
            <w:hideMark/>
          </w:tcPr>
          <w:p w14:paraId="32F6EF8F" w14:textId="77777777" w:rsidR="002D38AF" w:rsidRPr="00E359D7" w:rsidRDefault="002D38AF"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GNO</w:t>
            </w:r>
          </w:p>
        </w:tc>
        <w:tc>
          <w:tcPr>
            <w:tcW w:w="280" w:type="pct"/>
            <w:tcBorders>
              <w:top w:val="single" w:sz="4" w:space="0" w:color="auto"/>
              <w:left w:val="single" w:sz="4" w:space="0" w:color="auto"/>
              <w:bottom w:val="single" w:sz="4" w:space="0" w:color="auto"/>
            </w:tcBorders>
            <w:shd w:val="clear" w:color="auto" w:fill="auto"/>
            <w:noWrap/>
            <w:vAlign w:val="center"/>
            <w:hideMark/>
          </w:tcPr>
          <w:p w14:paraId="4651061C" w14:textId="77777777" w:rsidR="002D38AF" w:rsidRPr="00E359D7" w:rsidRDefault="002D38AF"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BNB</w:t>
            </w:r>
          </w:p>
        </w:tc>
        <w:tc>
          <w:tcPr>
            <w:tcW w:w="275" w:type="pct"/>
            <w:tcBorders>
              <w:top w:val="single" w:sz="4" w:space="0" w:color="auto"/>
              <w:bottom w:val="single" w:sz="4" w:space="0" w:color="auto"/>
            </w:tcBorders>
            <w:shd w:val="clear" w:color="auto" w:fill="auto"/>
            <w:noWrap/>
            <w:vAlign w:val="center"/>
            <w:hideMark/>
          </w:tcPr>
          <w:p w14:paraId="2D642CC0" w14:textId="77777777" w:rsidR="002D38AF" w:rsidRPr="00E359D7" w:rsidRDefault="002D38AF"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LEO</w:t>
            </w:r>
          </w:p>
        </w:tc>
        <w:tc>
          <w:tcPr>
            <w:tcW w:w="280" w:type="pct"/>
            <w:tcBorders>
              <w:top w:val="single" w:sz="4" w:space="0" w:color="auto"/>
              <w:bottom w:val="single" w:sz="4" w:space="0" w:color="auto"/>
              <w:right w:val="single" w:sz="4" w:space="0" w:color="auto"/>
            </w:tcBorders>
            <w:shd w:val="clear" w:color="auto" w:fill="auto"/>
            <w:noWrap/>
            <w:vAlign w:val="center"/>
            <w:hideMark/>
          </w:tcPr>
          <w:p w14:paraId="77158DA6" w14:textId="77777777" w:rsidR="002D38AF" w:rsidRPr="00E359D7" w:rsidRDefault="002D38AF"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FTT</w:t>
            </w:r>
          </w:p>
        </w:tc>
        <w:tc>
          <w:tcPr>
            <w:tcW w:w="275" w:type="pct"/>
            <w:tcBorders>
              <w:top w:val="single" w:sz="4" w:space="0" w:color="auto"/>
              <w:left w:val="single" w:sz="4" w:space="0" w:color="auto"/>
              <w:bottom w:val="single" w:sz="4" w:space="0" w:color="auto"/>
            </w:tcBorders>
            <w:shd w:val="clear" w:color="auto" w:fill="auto"/>
            <w:noWrap/>
            <w:vAlign w:val="center"/>
            <w:hideMark/>
          </w:tcPr>
          <w:p w14:paraId="10E81996" w14:textId="77777777" w:rsidR="002D38AF" w:rsidRPr="00E359D7" w:rsidRDefault="002D38AF"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Gold</w:t>
            </w:r>
          </w:p>
        </w:tc>
        <w:tc>
          <w:tcPr>
            <w:tcW w:w="275" w:type="pct"/>
            <w:tcBorders>
              <w:top w:val="single" w:sz="4" w:space="0" w:color="auto"/>
              <w:bottom w:val="single" w:sz="4" w:space="0" w:color="auto"/>
            </w:tcBorders>
            <w:shd w:val="clear" w:color="auto" w:fill="auto"/>
            <w:noWrap/>
            <w:vAlign w:val="center"/>
            <w:hideMark/>
          </w:tcPr>
          <w:p w14:paraId="332A41C5" w14:textId="77777777" w:rsidR="002D38AF" w:rsidRPr="00E359D7" w:rsidRDefault="002D38AF"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Oil</w:t>
            </w:r>
          </w:p>
        </w:tc>
        <w:tc>
          <w:tcPr>
            <w:tcW w:w="280" w:type="pct"/>
            <w:tcBorders>
              <w:top w:val="single" w:sz="4" w:space="0" w:color="auto"/>
              <w:bottom w:val="single" w:sz="4" w:space="0" w:color="auto"/>
            </w:tcBorders>
            <w:shd w:val="clear" w:color="auto" w:fill="auto"/>
            <w:noWrap/>
            <w:vAlign w:val="center"/>
            <w:hideMark/>
          </w:tcPr>
          <w:p w14:paraId="7729F7D5" w14:textId="77777777" w:rsidR="002D38AF" w:rsidRPr="00E359D7" w:rsidRDefault="002D38AF"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BTC</w:t>
            </w:r>
          </w:p>
        </w:tc>
        <w:tc>
          <w:tcPr>
            <w:tcW w:w="275" w:type="pct"/>
            <w:tcBorders>
              <w:top w:val="single" w:sz="4" w:space="0" w:color="auto"/>
              <w:bottom w:val="single" w:sz="4" w:space="0" w:color="auto"/>
            </w:tcBorders>
            <w:shd w:val="clear" w:color="auto" w:fill="auto"/>
            <w:noWrap/>
            <w:vAlign w:val="center"/>
            <w:hideMark/>
          </w:tcPr>
          <w:p w14:paraId="20159B58" w14:textId="77777777" w:rsidR="002D38AF" w:rsidRPr="00E359D7" w:rsidRDefault="002D38AF"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REIT</w:t>
            </w:r>
          </w:p>
        </w:tc>
        <w:tc>
          <w:tcPr>
            <w:tcW w:w="280" w:type="pct"/>
            <w:tcBorders>
              <w:top w:val="single" w:sz="4" w:space="0" w:color="auto"/>
              <w:bottom w:val="single" w:sz="4" w:space="0" w:color="auto"/>
            </w:tcBorders>
            <w:shd w:val="clear" w:color="auto" w:fill="auto"/>
            <w:noWrap/>
            <w:vAlign w:val="center"/>
            <w:hideMark/>
          </w:tcPr>
          <w:p w14:paraId="77F54745" w14:textId="77777777" w:rsidR="002D38AF" w:rsidRPr="00E359D7" w:rsidRDefault="002D38AF"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Equity</w:t>
            </w:r>
          </w:p>
        </w:tc>
        <w:tc>
          <w:tcPr>
            <w:tcW w:w="275" w:type="pct"/>
            <w:tcBorders>
              <w:top w:val="single" w:sz="4" w:space="0" w:color="auto"/>
              <w:bottom w:val="single" w:sz="4" w:space="0" w:color="auto"/>
            </w:tcBorders>
            <w:shd w:val="clear" w:color="auto" w:fill="auto"/>
            <w:noWrap/>
            <w:vAlign w:val="center"/>
            <w:hideMark/>
          </w:tcPr>
          <w:p w14:paraId="17BC2D23" w14:textId="77777777" w:rsidR="002D38AF" w:rsidRPr="00E359D7" w:rsidRDefault="002D38AF"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Bond</w:t>
            </w:r>
          </w:p>
        </w:tc>
        <w:tc>
          <w:tcPr>
            <w:tcW w:w="415" w:type="pct"/>
            <w:tcBorders>
              <w:top w:val="single" w:sz="4" w:space="0" w:color="auto"/>
              <w:bottom w:val="single" w:sz="4" w:space="0" w:color="auto"/>
            </w:tcBorders>
            <w:shd w:val="clear" w:color="auto" w:fill="auto"/>
            <w:noWrap/>
            <w:vAlign w:val="center"/>
            <w:hideMark/>
          </w:tcPr>
          <w:p w14:paraId="291C4FFD" w14:textId="77777777" w:rsidR="002D38AF" w:rsidRPr="00E359D7" w:rsidRDefault="002D38AF" w:rsidP="00E063A1">
            <w:pPr>
              <w:spacing w:after="0" w:line="240" w:lineRule="auto"/>
              <w:rPr>
                <w:rFonts w:ascii="Times New Roman" w:eastAsia="Times New Roman" w:hAnsi="Times New Roman" w:cs="Times New Roman"/>
                <w:color w:val="000000"/>
              </w:rPr>
            </w:pPr>
            <w:proofErr w:type="spellStart"/>
            <w:r w:rsidRPr="00E359D7">
              <w:rPr>
                <w:rFonts w:ascii="Times New Roman" w:eastAsia="Times New Roman" w:hAnsi="Times New Roman" w:cs="Times New Roman"/>
                <w:color w:val="000000"/>
              </w:rPr>
              <w:t>USD.Index</w:t>
            </w:r>
            <w:proofErr w:type="spellEnd"/>
          </w:p>
        </w:tc>
        <w:tc>
          <w:tcPr>
            <w:tcW w:w="417" w:type="pct"/>
            <w:tcBorders>
              <w:top w:val="single" w:sz="4" w:space="0" w:color="auto"/>
              <w:bottom w:val="single" w:sz="4" w:space="0" w:color="auto"/>
            </w:tcBorders>
            <w:shd w:val="clear" w:color="auto" w:fill="auto"/>
            <w:noWrap/>
            <w:vAlign w:val="center"/>
            <w:hideMark/>
          </w:tcPr>
          <w:p w14:paraId="3E356032" w14:textId="41F697ED" w:rsidR="002D38AF" w:rsidRPr="00E359D7" w:rsidRDefault="00CC0E8D" w:rsidP="00E063A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From</w:t>
            </w:r>
          </w:p>
        </w:tc>
      </w:tr>
      <w:tr w:rsidR="002D38AF" w:rsidRPr="008E7B4C" w14:paraId="2D9C7F74" w14:textId="77777777" w:rsidTr="002D38AF">
        <w:trPr>
          <w:trHeight w:val="455"/>
        </w:trPr>
        <w:tc>
          <w:tcPr>
            <w:tcW w:w="415" w:type="pct"/>
            <w:vMerge w:val="restart"/>
            <w:tcBorders>
              <w:top w:val="single" w:sz="4" w:space="0" w:color="auto"/>
              <w:right w:val="nil"/>
            </w:tcBorders>
            <w:textDirection w:val="btLr"/>
          </w:tcPr>
          <w:p w14:paraId="144EF523" w14:textId="56894A58" w:rsidR="002D38AF" w:rsidRPr="00E359D7" w:rsidRDefault="002D38AF" w:rsidP="002D38AF">
            <w:pPr>
              <w:spacing w:after="0" w:line="240" w:lineRule="auto"/>
              <w:ind w:left="113" w:right="113"/>
              <w:rPr>
                <w:rFonts w:ascii="Times New Roman" w:eastAsia="Times New Roman" w:hAnsi="Times New Roman" w:cs="Times New Roman"/>
                <w:color w:val="000000"/>
              </w:rPr>
            </w:pPr>
            <w:r>
              <w:rPr>
                <w:rFonts w:ascii="Times New Roman" w:eastAsia="Times New Roman" w:hAnsi="Times New Roman" w:cs="Times New Roman"/>
                <w:color w:val="000000"/>
              </w:rPr>
              <w:t>DEX tokens</w:t>
            </w:r>
          </w:p>
        </w:tc>
        <w:tc>
          <w:tcPr>
            <w:tcW w:w="415" w:type="pct"/>
            <w:tcBorders>
              <w:top w:val="single" w:sz="4" w:space="0" w:color="auto"/>
              <w:left w:val="nil"/>
              <w:bottom w:val="nil"/>
              <w:right w:val="single" w:sz="4" w:space="0" w:color="auto"/>
            </w:tcBorders>
            <w:shd w:val="clear" w:color="auto" w:fill="auto"/>
            <w:noWrap/>
            <w:vAlign w:val="center"/>
            <w:hideMark/>
          </w:tcPr>
          <w:p w14:paraId="56F00888" w14:textId="2ED09E20" w:rsidR="002D38AF" w:rsidRPr="00E359D7" w:rsidRDefault="002D38AF"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RUNE</w:t>
            </w:r>
          </w:p>
        </w:tc>
        <w:tc>
          <w:tcPr>
            <w:tcW w:w="278" w:type="pct"/>
            <w:tcBorders>
              <w:top w:val="single" w:sz="4" w:space="0" w:color="auto"/>
              <w:left w:val="single" w:sz="4" w:space="0" w:color="auto"/>
              <w:bottom w:val="nil"/>
            </w:tcBorders>
            <w:shd w:val="clear" w:color="auto" w:fill="auto"/>
            <w:noWrap/>
            <w:vAlign w:val="center"/>
            <w:hideMark/>
          </w:tcPr>
          <w:p w14:paraId="51844051"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41.68</w:t>
            </w:r>
          </w:p>
        </w:tc>
        <w:tc>
          <w:tcPr>
            <w:tcW w:w="280" w:type="pct"/>
            <w:tcBorders>
              <w:top w:val="single" w:sz="4" w:space="0" w:color="auto"/>
              <w:bottom w:val="nil"/>
            </w:tcBorders>
            <w:shd w:val="clear" w:color="auto" w:fill="auto"/>
            <w:noWrap/>
            <w:vAlign w:val="center"/>
            <w:hideMark/>
          </w:tcPr>
          <w:p w14:paraId="59A44761"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9.9</w:t>
            </w:r>
          </w:p>
        </w:tc>
        <w:tc>
          <w:tcPr>
            <w:tcW w:w="280" w:type="pct"/>
            <w:tcBorders>
              <w:top w:val="single" w:sz="4" w:space="0" w:color="auto"/>
              <w:bottom w:val="nil"/>
              <w:right w:val="single" w:sz="4" w:space="0" w:color="auto"/>
            </w:tcBorders>
            <w:shd w:val="clear" w:color="auto" w:fill="auto"/>
            <w:noWrap/>
            <w:vAlign w:val="center"/>
            <w:hideMark/>
          </w:tcPr>
          <w:p w14:paraId="0E5339EB"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7.74</w:t>
            </w:r>
          </w:p>
        </w:tc>
        <w:tc>
          <w:tcPr>
            <w:tcW w:w="280" w:type="pct"/>
            <w:tcBorders>
              <w:top w:val="single" w:sz="4" w:space="0" w:color="auto"/>
              <w:left w:val="single" w:sz="4" w:space="0" w:color="auto"/>
              <w:bottom w:val="nil"/>
            </w:tcBorders>
            <w:shd w:val="clear" w:color="auto" w:fill="auto"/>
            <w:noWrap/>
            <w:vAlign w:val="center"/>
            <w:hideMark/>
          </w:tcPr>
          <w:p w14:paraId="29E1B281"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10.82</w:t>
            </w:r>
          </w:p>
        </w:tc>
        <w:tc>
          <w:tcPr>
            <w:tcW w:w="275" w:type="pct"/>
            <w:tcBorders>
              <w:top w:val="single" w:sz="4" w:space="0" w:color="auto"/>
              <w:bottom w:val="nil"/>
            </w:tcBorders>
            <w:shd w:val="clear" w:color="auto" w:fill="auto"/>
            <w:noWrap/>
            <w:vAlign w:val="center"/>
            <w:hideMark/>
          </w:tcPr>
          <w:p w14:paraId="5289D94D"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1.44</w:t>
            </w:r>
          </w:p>
        </w:tc>
        <w:tc>
          <w:tcPr>
            <w:tcW w:w="280" w:type="pct"/>
            <w:tcBorders>
              <w:top w:val="single" w:sz="4" w:space="0" w:color="auto"/>
              <w:bottom w:val="nil"/>
              <w:right w:val="single" w:sz="4" w:space="0" w:color="auto"/>
            </w:tcBorders>
            <w:shd w:val="clear" w:color="auto" w:fill="auto"/>
            <w:noWrap/>
            <w:vAlign w:val="center"/>
            <w:hideMark/>
          </w:tcPr>
          <w:p w14:paraId="0D624208"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8.7</w:t>
            </w:r>
          </w:p>
        </w:tc>
        <w:tc>
          <w:tcPr>
            <w:tcW w:w="275" w:type="pct"/>
            <w:tcBorders>
              <w:top w:val="single" w:sz="4" w:space="0" w:color="auto"/>
              <w:left w:val="single" w:sz="4" w:space="0" w:color="auto"/>
              <w:bottom w:val="nil"/>
            </w:tcBorders>
            <w:shd w:val="clear" w:color="auto" w:fill="auto"/>
            <w:noWrap/>
            <w:vAlign w:val="center"/>
            <w:hideMark/>
          </w:tcPr>
          <w:p w14:paraId="0D8BE555"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1.29</w:t>
            </w:r>
          </w:p>
        </w:tc>
        <w:tc>
          <w:tcPr>
            <w:tcW w:w="275" w:type="pct"/>
            <w:tcBorders>
              <w:top w:val="single" w:sz="4" w:space="0" w:color="auto"/>
              <w:bottom w:val="nil"/>
            </w:tcBorders>
            <w:shd w:val="clear" w:color="auto" w:fill="auto"/>
            <w:noWrap/>
            <w:vAlign w:val="center"/>
            <w:hideMark/>
          </w:tcPr>
          <w:p w14:paraId="4AE998BD"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0.81</w:t>
            </w:r>
          </w:p>
        </w:tc>
        <w:tc>
          <w:tcPr>
            <w:tcW w:w="280" w:type="pct"/>
            <w:tcBorders>
              <w:top w:val="single" w:sz="4" w:space="0" w:color="auto"/>
              <w:bottom w:val="nil"/>
            </w:tcBorders>
            <w:shd w:val="clear" w:color="auto" w:fill="auto"/>
            <w:noWrap/>
            <w:vAlign w:val="center"/>
            <w:hideMark/>
          </w:tcPr>
          <w:p w14:paraId="7E956099"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10.11</w:t>
            </w:r>
          </w:p>
        </w:tc>
        <w:tc>
          <w:tcPr>
            <w:tcW w:w="275" w:type="pct"/>
            <w:tcBorders>
              <w:top w:val="single" w:sz="4" w:space="0" w:color="auto"/>
              <w:bottom w:val="nil"/>
            </w:tcBorders>
            <w:shd w:val="clear" w:color="auto" w:fill="auto"/>
            <w:noWrap/>
            <w:vAlign w:val="center"/>
            <w:hideMark/>
          </w:tcPr>
          <w:p w14:paraId="43A7DAE6"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2.25</w:t>
            </w:r>
          </w:p>
        </w:tc>
        <w:tc>
          <w:tcPr>
            <w:tcW w:w="280" w:type="pct"/>
            <w:tcBorders>
              <w:top w:val="single" w:sz="4" w:space="0" w:color="auto"/>
              <w:bottom w:val="nil"/>
            </w:tcBorders>
            <w:shd w:val="clear" w:color="auto" w:fill="auto"/>
            <w:noWrap/>
            <w:vAlign w:val="center"/>
            <w:hideMark/>
          </w:tcPr>
          <w:p w14:paraId="19857336"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3.06</w:t>
            </w:r>
          </w:p>
        </w:tc>
        <w:tc>
          <w:tcPr>
            <w:tcW w:w="275" w:type="pct"/>
            <w:tcBorders>
              <w:top w:val="single" w:sz="4" w:space="0" w:color="auto"/>
              <w:bottom w:val="nil"/>
            </w:tcBorders>
            <w:shd w:val="clear" w:color="auto" w:fill="auto"/>
            <w:noWrap/>
            <w:vAlign w:val="center"/>
            <w:hideMark/>
          </w:tcPr>
          <w:p w14:paraId="2FA1A74D"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0.87</w:t>
            </w:r>
          </w:p>
        </w:tc>
        <w:tc>
          <w:tcPr>
            <w:tcW w:w="415" w:type="pct"/>
            <w:tcBorders>
              <w:top w:val="single" w:sz="4" w:space="0" w:color="auto"/>
              <w:bottom w:val="nil"/>
            </w:tcBorders>
            <w:shd w:val="clear" w:color="auto" w:fill="auto"/>
            <w:noWrap/>
            <w:vAlign w:val="center"/>
            <w:hideMark/>
          </w:tcPr>
          <w:p w14:paraId="679BEFCA"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1.32</w:t>
            </w:r>
          </w:p>
        </w:tc>
        <w:tc>
          <w:tcPr>
            <w:tcW w:w="417" w:type="pct"/>
            <w:tcBorders>
              <w:top w:val="single" w:sz="4" w:space="0" w:color="auto"/>
              <w:bottom w:val="nil"/>
            </w:tcBorders>
            <w:shd w:val="clear" w:color="auto" w:fill="auto"/>
            <w:noWrap/>
            <w:vAlign w:val="center"/>
            <w:hideMark/>
          </w:tcPr>
          <w:p w14:paraId="644B08C6"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58.32</w:t>
            </w:r>
          </w:p>
        </w:tc>
      </w:tr>
      <w:tr w:rsidR="002D38AF" w:rsidRPr="008E7B4C" w14:paraId="065F0C77" w14:textId="77777777" w:rsidTr="002D38AF">
        <w:trPr>
          <w:trHeight w:val="455"/>
        </w:trPr>
        <w:tc>
          <w:tcPr>
            <w:tcW w:w="415" w:type="pct"/>
            <w:vMerge/>
            <w:tcBorders>
              <w:right w:val="nil"/>
            </w:tcBorders>
          </w:tcPr>
          <w:p w14:paraId="262D24E4" w14:textId="77777777" w:rsidR="002D38AF" w:rsidRPr="00E359D7" w:rsidRDefault="002D38AF" w:rsidP="00E063A1">
            <w:pPr>
              <w:spacing w:after="0" w:line="240" w:lineRule="auto"/>
              <w:rPr>
                <w:rFonts w:ascii="Times New Roman" w:eastAsia="Times New Roman" w:hAnsi="Times New Roman" w:cs="Times New Roman"/>
                <w:color w:val="000000"/>
              </w:rPr>
            </w:pPr>
          </w:p>
        </w:tc>
        <w:tc>
          <w:tcPr>
            <w:tcW w:w="415" w:type="pct"/>
            <w:tcBorders>
              <w:top w:val="nil"/>
              <w:left w:val="nil"/>
              <w:bottom w:val="nil"/>
              <w:right w:val="single" w:sz="4" w:space="0" w:color="auto"/>
            </w:tcBorders>
            <w:shd w:val="clear" w:color="auto" w:fill="auto"/>
            <w:noWrap/>
            <w:vAlign w:val="center"/>
            <w:hideMark/>
          </w:tcPr>
          <w:p w14:paraId="67D251B7" w14:textId="341F0C71" w:rsidR="002D38AF" w:rsidRPr="00E359D7" w:rsidRDefault="002D38AF"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LRC</w:t>
            </w:r>
          </w:p>
        </w:tc>
        <w:tc>
          <w:tcPr>
            <w:tcW w:w="278" w:type="pct"/>
            <w:tcBorders>
              <w:top w:val="nil"/>
              <w:left w:val="single" w:sz="4" w:space="0" w:color="auto"/>
              <w:bottom w:val="nil"/>
            </w:tcBorders>
            <w:shd w:val="clear" w:color="auto" w:fill="auto"/>
            <w:noWrap/>
            <w:vAlign w:val="center"/>
            <w:hideMark/>
          </w:tcPr>
          <w:p w14:paraId="0A95CBC0"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9.5</w:t>
            </w:r>
          </w:p>
        </w:tc>
        <w:tc>
          <w:tcPr>
            <w:tcW w:w="280" w:type="pct"/>
            <w:tcBorders>
              <w:top w:val="nil"/>
              <w:bottom w:val="nil"/>
            </w:tcBorders>
            <w:shd w:val="clear" w:color="auto" w:fill="auto"/>
            <w:noWrap/>
            <w:vAlign w:val="center"/>
            <w:hideMark/>
          </w:tcPr>
          <w:p w14:paraId="2FB6384D"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39.24</w:t>
            </w:r>
          </w:p>
        </w:tc>
        <w:tc>
          <w:tcPr>
            <w:tcW w:w="280" w:type="pct"/>
            <w:tcBorders>
              <w:top w:val="nil"/>
              <w:bottom w:val="nil"/>
              <w:right w:val="single" w:sz="4" w:space="0" w:color="auto"/>
            </w:tcBorders>
            <w:shd w:val="clear" w:color="auto" w:fill="auto"/>
            <w:noWrap/>
            <w:vAlign w:val="center"/>
            <w:hideMark/>
          </w:tcPr>
          <w:p w14:paraId="7C9ABA9C"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10.31</w:t>
            </w:r>
          </w:p>
        </w:tc>
        <w:tc>
          <w:tcPr>
            <w:tcW w:w="280" w:type="pct"/>
            <w:tcBorders>
              <w:top w:val="nil"/>
              <w:left w:val="single" w:sz="4" w:space="0" w:color="auto"/>
              <w:bottom w:val="nil"/>
            </w:tcBorders>
            <w:shd w:val="clear" w:color="auto" w:fill="auto"/>
            <w:noWrap/>
            <w:vAlign w:val="center"/>
            <w:hideMark/>
          </w:tcPr>
          <w:p w14:paraId="56F5EE4D"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11.23</w:t>
            </w:r>
          </w:p>
        </w:tc>
        <w:tc>
          <w:tcPr>
            <w:tcW w:w="275" w:type="pct"/>
            <w:tcBorders>
              <w:top w:val="nil"/>
              <w:bottom w:val="nil"/>
            </w:tcBorders>
            <w:shd w:val="clear" w:color="auto" w:fill="auto"/>
            <w:noWrap/>
            <w:vAlign w:val="center"/>
            <w:hideMark/>
          </w:tcPr>
          <w:p w14:paraId="33C3F516"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1.14</w:t>
            </w:r>
          </w:p>
        </w:tc>
        <w:tc>
          <w:tcPr>
            <w:tcW w:w="280" w:type="pct"/>
            <w:tcBorders>
              <w:top w:val="nil"/>
              <w:bottom w:val="nil"/>
              <w:right w:val="single" w:sz="4" w:space="0" w:color="auto"/>
            </w:tcBorders>
            <w:shd w:val="clear" w:color="auto" w:fill="auto"/>
            <w:noWrap/>
            <w:vAlign w:val="center"/>
            <w:hideMark/>
          </w:tcPr>
          <w:p w14:paraId="7F9E2328"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9.01</w:t>
            </w:r>
          </w:p>
        </w:tc>
        <w:tc>
          <w:tcPr>
            <w:tcW w:w="275" w:type="pct"/>
            <w:tcBorders>
              <w:top w:val="nil"/>
              <w:left w:val="single" w:sz="4" w:space="0" w:color="auto"/>
              <w:bottom w:val="nil"/>
            </w:tcBorders>
            <w:shd w:val="clear" w:color="auto" w:fill="auto"/>
            <w:noWrap/>
            <w:vAlign w:val="center"/>
            <w:hideMark/>
          </w:tcPr>
          <w:p w14:paraId="70B7B163"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1.55</w:t>
            </w:r>
          </w:p>
        </w:tc>
        <w:tc>
          <w:tcPr>
            <w:tcW w:w="275" w:type="pct"/>
            <w:tcBorders>
              <w:top w:val="nil"/>
              <w:bottom w:val="nil"/>
            </w:tcBorders>
            <w:shd w:val="clear" w:color="auto" w:fill="auto"/>
            <w:noWrap/>
            <w:vAlign w:val="center"/>
            <w:hideMark/>
          </w:tcPr>
          <w:p w14:paraId="521D068B"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0.66</w:t>
            </w:r>
          </w:p>
        </w:tc>
        <w:tc>
          <w:tcPr>
            <w:tcW w:w="280" w:type="pct"/>
            <w:tcBorders>
              <w:top w:val="nil"/>
              <w:bottom w:val="nil"/>
            </w:tcBorders>
            <w:shd w:val="clear" w:color="auto" w:fill="auto"/>
            <w:noWrap/>
            <w:vAlign w:val="center"/>
            <w:hideMark/>
          </w:tcPr>
          <w:p w14:paraId="3E90EBC5"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9.95</w:t>
            </w:r>
          </w:p>
        </w:tc>
        <w:tc>
          <w:tcPr>
            <w:tcW w:w="275" w:type="pct"/>
            <w:tcBorders>
              <w:top w:val="nil"/>
              <w:bottom w:val="nil"/>
            </w:tcBorders>
            <w:shd w:val="clear" w:color="auto" w:fill="auto"/>
            <w:noWrap/>
            <w:vAlign w:val="center"/>
            <w:hideMark/>
          </w:tcPr>
          <w:p w14:paraId="58B1C646"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w:t>
            </w:r>
          </w:p>
        </w:tc>
        <w:tc>
          <w:tcPr>
            <w:tcW w:w="280" w:type="pct"/>
            <w:tcBorders>
              <w:top w:val="nil"/>
              <w:bottom w:val="nil"/>
            </w:tcBorders>
            <w:shd w:val="clear" w:color="auto" w:fill="auto"/>
            <w:noWrap/>
            <w:vAlign w:val="center"/>
            <w:hideMark/>
          </w:tcPr>
          <w:p w14:paraId="37103FE0"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2.84</w:t>
            </w:r>
          </w:p>
        </w:tc>
        <w:tc>
          <w:tcPr>
            <w:tcW w:w="275" w:type="pct"/>
            <w:tcBorders>
              <w:top w:val="nil"/>
              <w:bottom w:val="nil"/>
            </w:tcBorders>
            <w:shd w:val="clear" w:color="auto" w:fill="auto"/>
            <w:noWrap/>
            <w:vAlign w:val="center"/>
            <w:hideMark/>
          </w:tcPr>
          <w:p w14:paraId="056F430E"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0.96</w:t>
            </w:r>
          </w:p>
        </w:tc>
        <w:tc>
          <w:tcPr>
            <w:tcW w:w="415" w:type="pct"/>
            <w:tcBorders>
              <w:top w:val="nil"/>
              <w:bottom w:val="nil"/>
            </w:tcBorders>
            <w:shd w:val="clear" w:color="auto" w:fill="auto"/>
            <w:noWrap/>
            <w:vAlign w:val="center"/>
            <w:hideMark/>
          </w:tcPr>
          <w:p w14:paraId="186C18ED"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1.6</w:t>
            </w:r>
          </w:p>
        </w:tc>
        <w:tc>
          <w:tcPr>
            <w:tcW w:w="417" w:type="pct"/>
            <w:tcBorders>
              <w:top w:val="nil"/>
              <w:bottom w:val="nil"/>
            </w:tcBorders>
            <w:shd w:val="clear" w:color="auto" w:fill="auto"/>
            <w:noWrap/>
            <w:vAlign w:val="center"/>
            <w:hideMark/>
          </w:tcPr>
          <w:p w14:paraId="0604EF5A"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60.76</w:t>
            </w:r>
          </w:p>
        </w:tc>
      </w:tr>
      <w:tr w:rsidR="002D38AF" w:rsidRPr="008E7B4C" w14:paraId="09D76D2D" w14:textId="77777777" w:rsidTr="002D38AF">
        <w:trPr>
          <w:trHeight w:val="455"/>
        </w:trPr>
        <w:tc>
          <w:tcPr>
            <w:tcW w:w="415" w:type="pct"/>
            <w:vMerge/>
            <w:tcBorders>
              <w:bottom w:val="single" w:sz="4" w:space="0" w:color="auto"/>
              <w:right w:val="nil"/>
            </w:tcBorders>
          </w:tcPr>
          <w:p w14:paraId="1D9ED7E4" w14:textId="77777777" w:rsidR="002D38AF" w:rsidRPr="00E359D7" w:rsidRDefault="002D38AF" w:rsidP="00E063A1">
            <w:pPr>
              <w:spacing w:after="0" w:line="240" w:lineRule="auto"/>
              <w:rPr>
                <w:rFonts w:ascii="Times New Roman" w:eastAsia="Times New Roman" w:hAnsi="Times New Roman" w:cs="Times New Roman"/>
                <w:color w:val="000000"/>
              </w:rPr>
            </w:pPr>
          </w:p>
        </w:tc>
        <w:tc>
          <w:tcPr>
            <w:tcW w:w="415" w:type="pct"/>
            <w:tcBorders>
              <w:top w:val="nil"/>
              <w:left w:val="nil"/>
              <w:bottom w:val="single" w:sz="4" w:space="0" w:color="auto"/>
              <w:right w:val="single" w:sz="4" w:space="0" w:color="auto"/>
            </w:tcBorders>
            <w:shd w:val="clear" w:color="auto" w:fill="auto"/>
            <w:noWrap/>
            <w:vAlign w:val="center"/>
            <w:hideMark/>
          </w:tcPr>
          <w:p w14:paraId="076DF0A0" w14:textId="2CED1080" w:rsidR="002D38AF" w:rsidRPr="00E359D7" w:rsidRDefault="002D38AF"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GNO</w:t>
            </w:r>
          </w:p>
        </w:tc>
        <w:tc>
          <w:tcPr>
            <w:tcW w:w="278" w:type="pct"/>
            <w:tcBorders>
              <w:top w:val="nil"/>
              <w:left w:val="single" w:sz="4" w:space="0" w:color="auto"/>
              <w:bottom w:val="single" w:sz="4" w:space="0" w:color="auto"/>
            </w:tcBorders>
            <w:shd w:val="clear" w:color="auto" w:fill="auto"/>
            <w:noWrap/>
            <w:vAlign w:val="center"/>
            <w:hideMark/>
          </w:tcPr>
          <w:p w14:paraId="1FB4D0DD"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7.2</w:t>
            </w:r>
          </w:p>
        </w:tc>
        <w:tc>
          <w:tcPr>
            <w:tcW w:w="280" w:type="pct"/>
            <w:tcBorders>
              <w:top w:val="nil"/>
              <w:bottom w:val="single" w:sz="4" w:space="0" w:color="auto"/>
            </w:tcBorders>
            <w:shd w:val="clear" w:color="auto" w:fill="auto"/>
            <w:noWrap/>
            <w:vAlign w:val="center"/>
            <w:hideMark/>
          </w:tcPr>
          <w:p w14:paraId="76BD8499"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9.85</w:t>
            </w:r>
          </w:p>
        </w:tc>
        <w:tc>
          <w:tcPr>
            <w:tcW w:w="280" w:type="pct"/>
            <w:tcBorders>
              <w:top w:val="nil"/>
              <w:bottom w:val="single" w:sz="4" w:space="0" w:color="auto"/>
              <w:right w:val="single" w:sz="4" w:space="0" w:color="auto"/>
            </w:tcBorders>
            <w:shd w:val="clear" w:color="auto" w:fill="auto"/>
            <w:noWrap/>
            <w:vAlign w:val="center"/>
            <w:hideMark/>
          </w:tcPr>
          <w:p w14:paraId="5F94EB60"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37.79</w:t>
            </w:r>
          </w:p>
        </w:tc>
        <w:tc>
          <w:tcPr>
            <w:tcW w:w="280" w:type="pct"/>
            <w:tcBorders>
              <w:top w:val="nil"/>
              <w:left w:val="single" w:sz="4" w:space="0" w:color="auto"/>
              <w:bottom w:val="single" w:sz="4" w:space="0" w:color="auto"/>
            </w:tcBorders>
            <w:shd w:val="clear" w:color="auto" w:fill="auto"/>
            <w:noWrap/>
            <w:vAlign w:val="center"/>
            <w:hideMark/>
          </w:tcPr>
          <w:p w14:paraId="6F169D36"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11.41</w:t>
            </w:r>
          </w:p>
        </w:tc>
        <w:tc>
          <w:tcPr>
            <w:tcW w:w="275" w:type="pct"/>
            <w:tcBorders>
              <w:top w:val="nil"/>
              <w:bottom w:val="single" w:sz="4" w:space="0" w:color="auto"/>
            </w:tcBorders>
            <w:shd w:val="clear" w:color="auto" w:fill="auto"/>
            <w:noWrap/>
            <w:vAlign w:val="center"/>
            <w:hideMark/>
          </w:tcPr>
          <w:p w14:paraId="519A0A91"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1.16</w:t>
            </w:r>
          </w:p>
        </w:tc>
        <w:tc>
          <w:tcPr>
            <w:tcW w:w="280" w:type="pct"/>
            <w:tcBorders>
              <w:top w:val="nil"/>
              <w:bottom w:val="single" w:sz="4" w:space="0" w:color="auto"/>
              <w:right w:val="single" w:sz="4" w:space="0" w:color="auto"/>
            </w:tcBorders>
            <w:shd w:val="clear" w:color="auto" w:fill="auto"/>
            <w:noWrap/>
            <w:vAlign w:val="center"/>
            <w:hideMark/>
          </w:tcPr>
          <w:p w14:paraId="1D943086"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10.1</w:t>
            </w:r>
          </w:p>
        </w:tc>
        <w:tc>
          <w:tcPr>
            <w:tcW w:w="275" w:type="pct"/>
            <w:tcBorders>
              <w:top w:val="nil"/>
              <w:left w:val="single" w:sz="4" w:space="0" w:color="auto"/>
              <w:bottom w:val="single" w:sz="4" w:space="0" w:color="auto"/>
            </w:tcBorders>
            <w:shd w:val="clear" w:color="auto" w:fill="auto"/>
            <w:noWrap/>
            <w:vAlign w:val="center"/>
            <w:hideMark/>
          </w:tcPr>
          <w:p w14:paraId="591641F8"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1.34</w:t>
            </w:r>
          </w:p>
        </w:tc>
        <w:tc>
          <w:tcPr>
            <w:tcW w:w="275" w:type="pct"/>
            <w:tcBorders>
              <w:top w:val="nil"/>
              <w:bottom w:val="single" w:sz="4" w:space="0" w:color="auto"/>
            </w:tcBorders>
            <w:shd w:val="clear" w:color="auto" w:fill="auto"/>
            <w:noWrap/>
            <w:vAlign w:val="center"/>
            <w:hideMark/>
          </w:tcPr>
          <w:p w14:paraId="45EDB743"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0.74</w:t>
            </w:r>
          </w:p>
        </w:tc>
        <w:tc>
          <w:tcPr>
            <w:tcW w:w="280" w:type="pct"/>
            <w:tcBorders>
              <w:top w:val="nil"/>
              <w:bottom w:val="single" w:sz="4" w:space="0" w:color="auto"/>
            </w:tcBorders>
            <w:shd w:val="clear" w:color="auto" w:fill="auto"/>
            <w:noWrap/>
            <w:vAlign w:val="center"/>
            <w:hideMark/>
          </w:tcPr>
          <w:p w14:paraId="4B9C5BF5"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12.72</w:t>
            </w:r>
          </w:p>
        </w:tc>
        <w:tc>
          <w:tcPr>
            <w:tcW w:w="275" w:type="pct"/>
            <w:tcBorders>
              <w:top w:val="nil"/>
              <w:bottom w:val="single" w:sz="4" w:space="0" w:color="auto"/>
            </w:tcBorders>
            <w:shd w:val="clear" w:color="auto" w:fill="auto"/>
            <w:noWrap/>
            <w:vAlign w:val="center"/>
            <w:hideMark/>
          </w:tcPr>
          <w:p w14:paraId="48809EF2"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2.1</w:t>
            </w:r>
          </w:p>
        </w:tc>
        <w:tc>
          <w:tcPr>
            <w:tcW w:w="280" w:type="pct"/>
            <w:tcBorders>
              <w:top w:val="nil"/>
              <w:bottom w:val="single" w:sz="4" w:space="0" w:color="auto"/>
            </w:tcBorders>
            <w:shd w:val="clear" w:color="auto" w:fill="auto"/>
            <w:noWrap/>
            <w:vAlign w:val="center"/>
            <w:hideMark/>
          </w:tcPr>
          <w:p w14:paraId="095E74B2"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3.75</w:t>
            </w:r>
          </w:p>
        </w:tc>
        <w:tc>
          <w:tcPr>
            <w:tcW w:w="275" w:type="pct"/>
            <w:tcBorders>
              <w:top w:val="nil"/>
              <w:bottom w:val="single" w:sz="4" w:space="0" w:color="auto"/>
            </w:tcBorders>
            <w:shd w:val="clear" w:color="auto" w:fill="auto"/>
            <w:noWrap/>
            <w:vAlign w:val="center"/>
            <w:hideMark/>
          </w:tcPr>
          <w:p w14:paraId="07AF8EC9"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0.77</w:t>
            </w:r>
          </w:p>
        </w:tc>
        <w:tc>
          <w:tcPr>
            <w:tcW w:w="415" w:type="pct"/>
            <w:tcBorders>
              <w:top w:val="nil"/>
              <w:bottom w:val="single" w:sz="4" w:space="0" w:color="auto"/>
            </w:tcBorders>
            <w:shd w:val="clear" w:color="auto" w:fill="auto"/>
            <w:noWrap/>
            <w:vAlign w:val="center"/>
            <w:hideMark/>
          </w:tcPr>
          <w:p w14:paraId="75055862"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1.06</w:t>
            </w:r>
          </w:p>
        </w:tc>
        <w:tc>
          <w:tcPr>
            <w:tcW w:w="417" w:type="pct"/>
            <w:tcBorders>
              <w:top w:val="nil"/>
              <w:bottom w:val="single" w:sz="4" w:space="0" w:color="auto"/>
            </w:tcBorders>
            <w:shd w:val="clear" w:color="auto" w:fill="auto"/>
            <w:noWrap/>
            <w:vAlign w:val="center"/>
            <w:hideMark/>
          </w:tcPr>
          <w:p w14:paraId="691C9D9D"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62.21</w:t>
            </w:r>
          </w:p>
        </w:tc>
      </w:tr>
      <w:tr w:rsidR="002D38AF" w:rsidRPr="008E7B4C" w14:paraId="1D561040" w14:textId="77777777" w:rsidTr="002D38AF">
        <w:trPr>
          <w:trHeight w:val="455"/>
        </w:trPr>
        <w:tc>
          <w:tcPr>
            <w:tcW w:w="415" w:type="pct"/>
            <w:vMerge w:val="restart"/>
            <w:tcBorders>
              <w:top w:val="single" w:sz="4" w:space="0" w:color="auto"/>
              <w:right w:val="nil"/>
            </w:tcBorders>
            <w:textDirection w:val="btLr"/>
          </w:tcPr>
          <w:p w14:paraId="638728D6" w14:textId="05304180" w:rsidR="002D38AF" w:rsidRPr="00E359D7" w:rsidRDefault="002D38AF" w:rsidP="002D38AF">
            <w:pPr>
              <w:spacing w:after="0" w:line="240" w:lineRule="auto"/>
              <w:ind w:left="113" w:right="113"/>
              <w:rPr>
                <w:rFonts w:ascii="Times New Roman" w:eastAsia="Times New Roman" w:hAnsi="Times New Roman" w:cs="Times New Roman"/>
                <w:color w:val="000000"/>
              </w:rPr>
            </w:pPr>
            <w:r>
              <w:rPr>
                <w:rFonts w:ascii="Times New Roman" w:eastAsia="Times New Roman" w:hAnsi="Times New Roman" w:cs="Times New Roman"/>
                <w:color w:val="000000"/>
              </w:rPr>
              <w:t>CEX tokens</w:t>
            </w:r>
          </w:p>
        </w:tc>
        <w:tc>
          <w:tcPr>
            <w:tcW w:w="415" w:type="pct"/>
            <w:tcBorders>
              <w:top w:val="single" w:sz="4" w:space="0" w:color="auto"/>
              <w:left w:val="nil"/>
              <w:bottom w:val="nil"/>
              <w:right w:val="single" w:sz="4" w:space="0" w:color="auto"/>
            </w:tcBorders>
            <w:shd w:val="clear" w:color="auto" w:fill="auto"/>
            <w:noWrap/>
            <w:vAlign w:val="center"/>
            <w:hideMark/>
          </w:tcPr>
          <w:p w14:paraId="2884025C" w14:textId="71CD140D" w:rsidR="002D38AF" w:rsidRPr="00E359D7" w:rsidRDefault="002D38AF"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BNB</w:t>
            </w:r>
          </w:p>
        </w:tc>
        <w:tc>
          <w:tcPr>
            <w:tcW w:w="278" w:type="pct"/>
            <w:tcBorders>
              <w:top w:val="single" w:sz="4" w:space="0" w:color="auto"/>
              <w:left w:val="single" w:sz="4" w:space="0" w:color="auto"/>
              <w:bottom w:val="nil"/>
            </w:tcBorders>
            <w:shd w:val="clear" w:color="auto" w:fill="auto"/>
            <w:noWrap/>
            <w:vAlign w:val="center"/>
            <w:hideMark/>
          </w:tcPr>
          <w:p w14:paraId="6B5B40F0"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8.7</w:t>
            </w:r>
          </w:p>
        </w:tc>
        <w:tc>
          <w:tcPr>
            <w:tcW w:w="280" w:type="pct"/>
            <w:tcBorders>
              <w:top w:val="single" w:sz="4" w:space="0" w:color="auto"/>
              <w:bottom w:val="nil"/>
            </w:tcBorders>
            <w:shd w:val="clear" w:color="auto" w:fill="auto"/>
            <w:noWrap/>
            <w:vAlign w:val="center"/>
            <w:hideMark/>
          </w:tcPr>
          <w:p w14:paraId="26D715E6"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9.09</w:t>
            </w:r>
          </w:p>
        </w:tc>
        <w:tc>
          <w:tcPr>
            <w:tcW w:w="280" w:type="pct"/>
            <w:tcBorders>
              <w:top w:val="single" w:sz="4" w:space="0" w:color="auto"/>
              <w:bottom w:val="nil"/>
              <w:right w:val="single" w:sz="4" w:space="0" w:color="auto"/>
            </w:tcBorders>
            <w:shd w:val="clear" w:color="auto" w:fill="auto"/>
            <w:noWrap/>
            <w:vAlign w:val="center"/>
            <w:hideMark/>
          </w:tcPr>
          <w:p w14:paraId="246FE2D0"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9.56</w:t>
            </w:r>
          </w:p>
        </w:tc>
        <w:tc>
          <w:tcPr>
            <w:tcW w:w="280" w:type="pct"/>
            <w:tcBorders>
              <w:top w:val="single" w:sz="4" w:space="0" w:color="auto"/>
              <w:left w:val="single" w:sz="4" w:space="0" w:color="auto"/>
              <w:bottom w:val="nil"/>
            </w:tcBorders>
            <w:shd w:val="clear" w:color="auto" w:fill="auto"/>
            <w:noWrap/>
            <w:vAlign w:val="center"/>
            <w:hideMark/>
          </w:tcPr>
          <w:p w14:paraId="735CF943"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31.22</w:t>
            </w:r>
          </w:p>
        </w:tc>
        <w:tc>
          <w:tcPr>
            <w:tcW w:w="275" w:type="pct"/>
            <w:tcBorders>
              <w:top w:val="single" w:sz="4" w:space="0" w:color="auto"/>
              <w:bottom w:val="nil"/>
            </w:tcBorders>
            <w:shd w:val="clear" w:color="auto" w:fill="auto"/>
            <w:noWrap/>
            <w:vAlign w:val="center"/>
            <w:hideMark/>
          </w:tcPr>
          <w:p w14:paraId="50D365EA"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1.4</w:t>
            </w:r>
          </w:p>
        </w:tc>
        <w:tc>
          <w:tcPr>
            <w:tcW w:w="280" w:type="pct"/>
            <w:tcBorders>
              <w:top w:val="single" w:sz="4" w:space="0" w:color="auto"/>
              <w:bottom w:val="nil"/>
              <w:right w:val="single" w:sz="4" w:space="0" w:color="auto"/>
            </w:tcBorders>
            <w:shd w:val="clear" w:color="auto" w:fill="auto"/>
            <w:noWrap/>
            <w:vAlign w:val="center"/>
            <w:hideMark/>
          </w:tcPr>
          <w:p w14:paraId="58F9B579"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14.1</w:t>
            </w:r>
          </w:p>
        </w:tc>
        <w:tc>
          <w:tcPr>
            <w:tcW w:w="275" w:type="pct"/>
            <w:tcBorders>
              <w:top w:val="single" w:sz="4" w:space="0" w:color="auto"/>
              <w:left w:val="single" w:sz="4" w:space="0" w:color="auto"/>
              <w:bottom w:val="nil"/>
            </w:tcBorders>
            <w:shd w:val="clear" w:color="auto" w:fill="auto"/>
            <w:noWrap/>
            <w:vAlign w:val="center"/>
            <w:hideMark/>
          </w:tcPr>
          <w:p w14:paraId="7EB3B945"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1.31</w:t>
            </w:r>
          </w:p>
        </w:tc>
        <w:tc>
          <w:tcPr>
            <w:tcW w:w="275" w:type="pct"/>
            <w:tcBorders>
              <w:top w:val="single" w:sz="4" w:space="0" w:color="auto"/>
              <w:bottom w:val="nil"/>
            </w:tcBorders>
            <w:shd w:val="clear" w:color="auto" w:fill="auto"/>
            <w:noWrap/>
            <w:vAlign w:val="center"/>
            <w:hideMark/>
          </w:tcPr>
          <w:p w14:paraId="4FD795DC"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0.68</w:t>
            </w:r>
          </w:p>
        </w:tc>
        <w:tc>
          <w:tcPr>
            <w:tcW w:w="280" w:type="pct"/>
            <w:tcBorders>
              <w:top w:val="single" w:sz="4" w:space="0" w:color="auto"/>
              <w:bottom w:val="nil"/>
            </w:tcBorders>
            <w:shd w:val="clear" w:color="auto" w:fill="auto"/>
            <w:noWrap/>
            <w:vAlign w:val="center"/>
            <w:hideMark/>
          </w:tcPr>
          <w:p w14:paraId="1C9CF443"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14.81</w:t>
            </w:r>
          </w:p>
        </w:tc>
        <w:tc>
          <w:tcPr>
            <w:tcW w:w="275" w:type="pct"/>
            <w:tcBorders>
              <w:top w:val="single" w:sz="4" w:space="0" w:color="auto"/>
              <w:bottom w:val="nil"/>
            </w:tcBorders>
            <w:shd w:val="clear" w:color="auto" w:fill="auto"/>
            <w:noWrap/>
            <w:vAlign w:val="center"/>
            <w:hideMark/>
          </w:tcPr>
          <w:p w14:paraId="4C5371ED"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2.65</w:t>
            </w:r>
          </w:p>
        </w:tc>
        <w:tc>
          <w:tcPr>
            <w:tcW w:w="280" w:type="pct"/>
            <w:tcBorders>
              <w:top w:val="single" w:sz="4" w:space="0" w:color="auto"/>
              <w:bottom w:val="nil"/>
            </w:tcBorders>
            <w:shd w:val="clear" w:color="auto" w:fill="auto"/>
            <w:noWrap/>
            <w:vAlign w:val="center"/>
            <w:hideMark/>
          </w:tcPr>
          <w:p w14:paraId="384664CB"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4.11</w:t>
            </w:r>
          </w:p>
        </w:tc>
        <w:tc>
          <w:tcPr>
            <w:tcW w:w="275" w:type="pct"/>
            <w:tcBorders>
              <w:top w:val="single" w:sz="4" w:space="0" w:color="auto"/>
              <w:bottom w:val="nil"/>
            </w:tcBorders>
            <w:shd w:val="clear" w:color="auto" w:fill="auto"/>
            <w:noWrap/>
            <w:vAlign w:val="center"/>
            <w:hideMark/>
          </w:tcPr>
          <w:p w14:paraId="7F959576"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0.94</w:t>
            </w:r>
          </w:p>
        </w:tc>
        <w:tc>
          <w:tcPr>
            <w:tcW w:w="415" w:type="pct"/>
            <w:tcBorders>
              <w:top w:val="single" w:sz="4" w:space="0" w:color="auto"/>
              <w:bottom w:val="nil"/>
            </w:tcBorders>
            <w:shd w:val="clear" w:color="auto" w:fill="auto"/>
            <w:noWrap/>
            <w:vAlign w:val="center"/>
            <w:hideMark/>
          </w:tcPr>
          <w:p w14:paraId="2893C847"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1.43</w:t>
            </w:r>
          </w:p>
        </w:tc>
        <w:tc>
          <w:tcPr>
            <w:tcW w:w="417" w:type="pct"/>
            <w:tcBorders>
              <w:top w:val="single" w:sz="4" w:space="0" w:color="auto"/>
              <w:bottom w:val="nil"/>
            </w:tcBorders>
            <w:shd w:val="clear" w:color="auto" w:fill="auto"/>
            <w:noWrap/>
            <w:vAlign w:val="center"/>
            <w:hideMark/>
          </w:tcPr>
          <w:p w14:paraId="487721BC"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68.78</w:t>
            </w:r>
          </w:p>
        </w:tc>
      </w:tr>
      <w:tr w:rsidR="002D38AF" w:rsidRPr="008E7B4C" w14:paraId="0849FB7A" w14:textId="77777777" w:rsidTr="002D38AF">
        <w:trPr>
          <w:trHeight w:val="455"/>
        </w:trPr>
        <w:tc>
          <w:tcPr>
            <w:tcW w:w="415" w:type="pct"/>
            <w:vMerge/>
            <w:tcBorders>
              <w:right w:val="nil"/>
            </w:tcBorders>
          </w:tcPr>
          <w:p w14:paraId="6EABC261" w14:textId="77777777" w:rsidR="002D38AF" w:rsidRPr="00E359D7" w:rsidRDefault="002D38AF" w:rsidP="00E063A1">
            <w:pPr>
              <w:spacing w:after="0" w:line="240" w:lineRule="auto"/>
              <w:rPr>
                <w:rFonts w:ascii="Times New Roman" w:eastAsia="Times New Roman" w:hAnsi="Times New Roman" w:cs="Times New Roman"/>
                <w:color w:val="000000"/>
              </w:rPr>
            </w:pPr>
          </w:p>
        </w:tc>
        <w:tc>
          <w:tcPr>
            <w:tcW w:w="415" w:type="pct"/>
            <w:tcBorders>
              <w:top w:val="nil"/>
              <w:left w:val="nil"/>
              <w:bottom w:val="nil"/>
              <w:right w:val="single" w:sz="4" w:space="0" w:color="auto"/>
            </w:tcBorders>
            <w:shd w:val="clear" w:color="auto" w:fill="auto"/>
            <w:noWrap/>
            <w:vAlign w:val="center"/>
            <w:hideMark/>
          </w:tcPr>
          <w:p w14:paraId="09BA30C2" w14:textId="53368C28" w:rsidR="002D38AF" w:rsidRPr="00E359D7" w:rsidRDefault="002D38AF"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LEO</w:t>
            </w:r>
          </w:p>
        </w:tc>
        <w:tc>
          <w:tcPr>
            <w:tcW w:w="278" w:type="pct"/>
            <w:tcBorders>
              <w:top w:val="nil"/>
              <w:left w:val="single" w:sz="4" w:space="0" w:color="auto"/>
              <w:bottom w:val="nil"/>
            </w:tcBorders>
            <w:shd w:val="clear" w:color="auto" w:fill="auto"/>
            <w:noWrap/>
            <w:vAlign w:val="center"/>
            <w:hideMark/>
          </w:tcPr>
          <w:p w14:paraId="46ED3D38"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1.81</w:t>
            </w:r>
          </w:p>
        </w:tc>
        <w:tc>
          <w:tcPr>
            <w:tcW w:w="280" w:type="pct"/>
            <w:tcBorders>
              <w:top w:val="nil"/>
              <w:bottom w:val="nil"/>
            </w:tcBorders>
            <w:shd w:val="clear" w:color="auto" w:fill="auto"/>
            <w:noWrap/>
            <w:vAlign w:val="center"/>
            <w:hideMark/>
          </w:tcPr>
          <w:p w14:paraId="165276C5"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1.92</w:t>
            </w:r>
          </w:p>
        </w:tc>
        <w:tc>
          <w:tcPr>
            <w:tcW w:w="280" w:type="pct"/>
            <w:tcBorders>
              <w:top w:val="nil"/>
              <w:bottom w:val="nil"/>
              <w:right w:val="single" w:sz="4" w:space="0" w:color="auto"/>
            </w:tcBorders>
            <w:shd w:val="clear" w:color="auto" w:fill="auto"/>
            <w:noWrap/>
            <w:vAlign w:val="center"/>
            <w:hideMark/>
          </w:tcPr>
          <w:p w14:paraId="74A32CD8"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2.3</w:t>
            </w:r>
          </w:p>
        </w:tc>
        <w:tc>
          <w:tcPr>
            <w:tcW w:w="280" w:type="pct"/>
            <w:tcBorders>
              <w:top w:val="nil"/>
              <w:left w:val="single" w:sz="4" w:space="0" w:color="auto"/>
              <w:bottom w:val="nil"/>
            </w:tcBorders>
            <w:shd w:val="clear" w:color="auto" w:fill="auto"/>
            <w:noWrap/>
            <w:vAlign w:val="center"/>
            <w:hideMark/>
          </w:tcPr>
          <w:p w14:paraId="32FC4D09"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3.33</w:t>
            </w:r>
          </w:p>
        </w:tc>
        <w:tc>
          <w:tcPr>
            <w:tcW w:w="275" w:type="pct"/>
            <w:tcBorders>
              <w:top w:val="nil"/>
              <w:bottom w:val="nil"/>
            </w:tcBorders>
            <w:shd w:val="clear" w:color="auto" w:fill="auto"/>
            <w:noWrap/>
            <w:vAlign w:val="center"/>
            <w:hideMark/>
          </w:tcPr>
          <w:p w14:paraId="142421C5"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77.5</w:t>
            </w:r>
          </w:p>
        </w:tc>
        <w:tc>
          <w:tcPr>
            <w:tcW w:w="280" w:type="pct"/>
            <w:tcBorders>
              <w:top w:val="nil"/>
              <w:bottom w:val="nil"/>
              <w:right w:val="single" w:sz="4" w:space="0" w:color="auto"/>
            </w:tcBorders>
            <w:shd w:val="clear" w:color="auto" w:fill="auto"/>
            <w:noWrap/>
            <w:vAlign w:val="center"/>
            <w:hideMark/>
          </w:tcPr>
          <w:p w14:paraId="493051B1"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2.8</w:t>
            </w:r>
          </w:p>
        </w:tc>
        <w:tc>
          <w:tcPr>
            <w:tcW w:w="275" w:type="pct"/>
            <w:tcBorders>
              <w:top w:val="nil"/>
              <w:left w:val="single" w:sz="4" w:space="0" w:color="auto"/>
              <w:bottom w:val="nil"/>
            </w:tcBorders>
            <w:shd w:val="clear" w:color="auto" w:fill="auto"/>
            <w:noWrap/>
            <w:vAlign w:val="center"/>
            <w:hideMark/>
          </w:tcPr>
          <w:p w14:paraId="5DBAC5F2"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0.82</w:t>
            </w:r>
          </w:p>
        </w:tc>
        <w:tc>
          <w:tcPr>
            <w:tcW w:w="275" w:type="pct"/>
            <w:tcBorders>
              <w:top w:val="nil"/>
              <w:bottom w:val="nil"/>
            </w:tcBorders>
            <w:shd w:val="clear" w:color="auto" w:fill="auto"/>
            <w:noWrap/>
            <w:vAlign w:val="center"/>
            <w:hideMark/>
          </w:tcPr>
          <w:p w14:paraId="6148BC2A"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0.6</w:t>
            </w:r>
          </w:p>
        </w:tc>
        <w:tc>
          <w:tcPr>
            <w:tcW w:w="280" w:type="pct"/>
            <w:tcBorders>
              <w:top w:val="nil"/>
              <w:bottom w:val="nil"/>
            </w:tcBorders>
            <w:shd w:val="clear" w:color="auto" w:fill="auto"/>
            <w:noWrap/>
            <w:vAlign w:val="center"/>
            <w:hideMark/>
          </w:tcPr>
          <w:p w14:paraId="3E677CA3"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3.13</w:t>
            </w:r>
          </w:p>
        </w:tc>
        <w:tc>
          <w:tcPr>
            <w:tcW w:w="275" w:type="pct"/>
            <w:tcBorders>
              <w:top w:val="nil"/>
              <w:bottom w:val="nil"/>
            </w:tcBorders>
            <w:shd w:val="clear" w:color="auto" w:fill="auto"/>
            <w:noWrap/>
            <w:vAlign w:val="center"/>
            <w:hideMark/>
          </w:tcPr>
          <w:p w14:paraId="232549D7"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1.38</w:t>
            </w:r>
          </w:p>
        </w:tc>
        <w:tc>
          <w:tcPr>
            <w:tcW w:w="280" w:type="pct"/>
            <w:tcBorders>
              <w:top w:val="nil"/>
              <w:bottom w:val="nil"/>
            </w:tcBorders>
            <w:shd w:val="clear" w:color="auto" w:fill="auto"/>
            <w:noWrap/>
            <w:vAlign w:val="center"/>
            <w:hideMark/>
          </w:tcPr>
          <w:p w14:paraId="688E81AA"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2.19</w:t>
            </w:r>
          </w:p>
        </w:tc>
        <w:tc>
          <w:tcPr>
            <w:tcW w:w="275" w:type="pct"/>
            <w:tcBorders>
              <w:top w:val="nil"/>
              <w:bottom w:val="nil"/>
            </w:tcBorders>
            <w:shd w:val="clear" w:color="auto" w:fill="auto"/>
            <w:noWrap/>
            <w:vAlign w:val="center"/>
            <w:hideMark/>
          </w:tcPr>
          <w:p w14:paraId="3E113851"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0.98</w:t>
            </w:r>
          </w:p>
        </w:tc>
        <w:tc>
          <w:tcPr>
            <w:tcW w:w="415" w:type="pct"/>
            <w:tcBorders>
              <w:top w:val="nil"/>
              <w:bottom w:val="nil"/>
            </w:tcBorders>
            <w:shd w:val="clear" w:color="auto" w:fill="auto"/>
            <w:noWrap/>
            <w:vAlign w:val="center"/>
            <w:hideMark/>
          </w:tcPr>
          <w:p w14:paraId="35AA41EF"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1.26</w:t>
            </w:r>
          </w:p>
        </w:tc>
        <w:tc>
          <w:tcPr>
            <w:tcW w:w="417" w:type="pct"/>
            <w:tcBorders>
              <w:top w:val="nil"/>
              <w:bottom w:val="nil"/>
            </w:tcBorders>
            <w:shd w:val="clear" w:color="auto" w:fill="auto"/>
            <w:noWrap/>
            <w:vAlign w:val="center"/>
            <w:hideMark/>
          </w:tcPr>
          <w:p w14:paraId="5FB044BD"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22.5</w:t>
            </w:r>
          </w:p>
        </w:tc>
      </w:tr>
      <w:tr w:rsidR="002D38AF" w:rsidRPr="008E7B4C" w14:paraId="60843E8C" w14:textId="77777777" w:rsidTr="002D38AF">
        <w:trPr>
          <w:trHeight w:val="455"/>
        </w:trPr>
        <w:tc>
          <w:tcPr>
            <w:tcW w:w="415" w:type="pct"/>
            <w:vMerge/>
            <w:tcBorders>
              <w:bottom w:val="single" w:sz="4" w:space="0" w:color="auto"/>
              <w:right w:val="nil"/>
            </w:tcBorders>
          </w:tcPr>
          <w:p w14:paraId="7A1FA817" w14:textId="77777777" w:rsidR="002D38AF" w:rsidRPr="00E359D7" w:rsidRDefault="002D38AF" w:rsidP="00E063A1">
            <w:pPr>
              <w:spacing w:after="0" w:line="240" w:lineRule="auto"/>
              <w:rPr>
                <w:rFonts w:ascii="Times New Roman" w:eastAsia="Times New Roman" w:hAnsi="Times New Roman" w:cs="Times New Roman"/>
                <w:color w:val="000000"/>
              </w:rPr>
            </w:pPr>
          </w:p>
        </w:tc>
        <w:tc>
          <w:tcPr>
            <w:tcW w:w="415" w:type="pct"/>
            <w:tcBorders>
              <w:top w:val="nil"/>
              <w:left w:val="nil"/>
              <w:bottom w:val="single" w:sz="4" w:space="0" w:color="auto"/>
              <w:right w:val="single" w:sz="4" w:space="0" w:color="auto"/>
            </w:tcBorders>
            <w:shd w:val="clear" w:color="auto" w:fill="auto"/>
            <w:noWrap/>
            <w:vAlign w:val="center"/>
            <w:hideMark/>
          </w:tcPr>
          <w:p w14:paraId="1941319E" w14:textId="4E4CFA00" w:rsidR="002D38AF" w:rsidRPr="00E359D7" w:rsidRDefault="002D38AF"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FTT</w:t>
            </w:r>
          </w:p>
        </w:tc>
        <w:tc>
          <w:tcPr>
            <w:tcW w:w="278" w:type="pct"/>
            <w:tcBorders>
              <w:top w:val="nil"/>
              <w:left w:val="single" w:sz="4" w:space="0" w:color="auto"/>
              <w:bottom w:val="single" w:sz="4" w:space="0" w:color="auto"/>
            </w:tcBorders>
            <w:shd w:val="clear" w:color="auto" w:fill="auto"/>
            <w:noWrap/>
            <w:vAlign w:val="center"/>
            <w:hideMark/>
          </w:tcPr>
          <w:p w14:paraId="75193A02"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7.69</w:t>
            </w:r>
          </w:p>
        </w:tc>
        <w:tc>
          <w:tcPr>
            <w:tcW w:w="280" w:type="pct"/>
            <w:tcBorders>
              <w:top w:val="nil"/>
              <w:bottom w:val="single" w:sz="4" w:space="0" w:color="auto"/>
            </w:tcBorders>
            <w:shd w:val="clear" w:color="auto" w:fill="auto"/>
            <w:noWrap/>
            <w:vAlign w:val="center"/>
            <w:hideMark/>
          </w:tcPr>
          <w:p w14:paraId="63D36718"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8.2</w:t>
            </w:r>
          </w:p>
        </w:tc>
        <w:tc>
          <w:tcPr>
            <w:tcW w:w="280" w:type="pct"/>
            <w:tcBorders>
              <w:top w:val="nil"/>
              <w:bottom w:val="single" w:sz="4" w:space="0" w:color="auto"/>
              <w:right w:val="single" w:sz="4" w:space="0" w:color="auto"/>
            </w:tcBorders>
            <w:shd w:val="clear" w:color="auto" w:fill="auto"/>
            <w:noWrap/>
            <w:vAlign w:val="center"/>
            <w:hideMark/>
          </w:tcPr>
          <w:p w14:paraId="4026F409"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9.37</w:t>
            </w:r>
          </w:p>
        </w:tc>
        <w:tc>
          <w:tcPr>
            <w:tcW w:w="280" w:type="pct"/>
            <w:tcBorders>
              <w:top w:val="nil"/>
              <w:left w:val="single" w:sz="4" w:space="0" w:color="auto"/>
              <w:bottom w:val="single" w:sz="4" w:space="0" w:color="auto"/>
            </w:tcBorders>
            <w:shd w:val="clear" w:color="auto" w:fill="auto"/>
            <w:noWrap/>
            <w:vAlign w:val="center"/>
            <w:hideMark/>
          </w:tcPr>
          <w:p w14:paraId="316CE1D3"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14.48</w:t>
            </w:r>
          </w:p>
        </w:tc>
        <w:tc>
          <w:tcPr>
            <w:tcW w:w="275" w:type="pct"/>
            <w:tcBorders>
              <w:top w:val="nil"/>
              <w:bottom w:val="single" w:sz="4" w:space="0" w:color="auto"/>
            </w:tcBorders>
            <w:shd w:val="clear" w:color="auto" w:fill="auto"/>
            <w:noWrap/>
            <w:vAlign w:val="center"/>
            <w:hideMark/>
          </w:tcPr>
          <w:p w14:paraId="39202C5A"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1.3</w:t>
            </w:r>
          </w:p>
        </w:tc>
        <w:tc>
          <w:tcPr>
            <w:tcW w:w="280" w:type="pct"/>
            <w:tcBorders>
              <w:top w:val="nil"/>
              <w:bottom w:val="single" w:sz="4" w:space="0" w:color="auto"/>
              <w:right w:val="single" w:sz="4" w:space="0" w:color="auto"/>
            </w:tcBorders>
            <w:shd w:val="clear" w:color="auto" w:fill="auto"/>
            <w:noWrap/>
            <w:vAlign w:val="center"/>
            <w:hideMark/>
          </w:tcPr>
          <w:p w14:paraId="2252443A"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33.22</w:t>
            </w:r>
          </w:p>
        </w:tc>
        <w:tc>
          <w:tcPr>
            <w:tcW w:w="275" w:type="pct"/>
            <w:tcBorders>
              <w:top w:val="nil"/>
              <w:left w:val="single" w:sz="4" w:space="0" w:color="auto"/>
              <w:bottom w:val="single" w:sz="4" w:space="0" w:color="auto"/>
            </w:tcBorders>
            <w:shd w:val="clear" w:color="auto" w:fill="auto"/>
            <w:noWrap/>
            <w:vAlign w:val="center"/>
            <w:hideMark/>
          </w:tcPr>
          <w:p w14:paraId="49101C24"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1.21</w:t>
            </w:r>
          </w:p>
        </w:tc>
        <w:tc>
          <w:tcPr>
            <w:tcW w:w="275" w:type="pct"/>
            <w:tcBorders>
              <w:top w:val="nil"/>
              <w:bottom w:val="single" w:sz="4" w:space="0" w:color="auto"/>
            </w:tcBorders>
            <w:shd w:val="clear" w:color="auto" w:fill="auto"/>
            <w:noWrap/>
            <w:vAlign w:val="center"/>
            <w:hideMark/>
          </w:tcPr>
          <w:p w14:paraId="0A147E54"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0.8</w:t>
            </w:r>
          </w:p>
        </w:tc>
        <w:tc>
          <w:tcPr>
            <w:tcW w:w="280" w:type="pct"/>
            <w:tcBorders>
              <w:top w:val="nil"/>
              <w:bottom w:val="single" w:sz="4" w:space="0" w:color="auto"/>
            </w:tcBorders>
            <w:shd w:val="clear" w:color="auto" w:fill="auto"/>
            <w:noWrap/>
            <w:vAlign w:val="center"/>
            <w:hideMark/>
          </w:tcPr>
          <w:p w14:paraId="4F3F098C"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16.32</w:t>
            </w:r>
          </w:p>
        </w:tc>
        <w:tc>
          <w:tcPr>
            <w:tcW w:w="275" w:type="pct"/>
            <w:tcBorders>
              <w:top w:val="nil"/>
              <w:bottom w:val="single" w:sz="4" w:space="0" w:color="auto"/>
            </w:tcBorders>
            <w:shd w:val="clear" w:color="auto" w:fill="auto"/>
            <w:noWrap/>
            <w:vAlign w:val="center"/>
            <w:hideMark/>
          </w:tcPr>
          <w:p w14:paraId="405E2011"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1.66</w:t>
            </w:r>
          </w:p>
        </w:tc>
        <w:tc>
          <w:tcPr>
            <w:tcW w:w="280" w:type="pct"/>
            <w:tcBorders>
              <w:top w:val="nil"/>
              <w:bottom w:val="single" w:sz="4" w:space="0" w:color="auto"/>
            </w:tcBorders>
            <w:shd w:val="clear" w:color="auto" w:fill="auto"/>
            <w:noWrap/>
            <w:vAlign w:val="center"/>
            <w:hideMark/>
          </w:tcPr>
          <w:p w14:paraId="76010EB4"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3.41</w:t>
            </w:r>
          </w:p>
        </w:tc>
        <w:tc>
          <w:tcPr>
            <w:tcW w:w="275" w:type="pct"/>
            <w:tcBorders>
              <w:top w:val="nil"/>
              <w:bottom w:val="single" w:sz="4" w:space="0" w:color="auto"/>
            </w:tcBorders>
            <w:shd w:val="clear" w:color="auto" w:fill="auto"/>
            <w:noWrap/>
            <w:vAlign w:val="center"/>
            <w:hideMark/>
          </w:tcPr>
          <w:p w14:paraId="219E0A20"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0.6</w:t>
            </w:r>
          </w:p>
        </w:tc>
        <w:tc>
          <w:tcPr>
            <w:tcW w:w="415" w:type="pct"/>
            <w:tcBorders>
              <w:top w:val="nil"/>
              <w:bottom w:val="single" w:sz="4" w:space="0" w:color="auto"/>
            </w:tcBorders>
            <w:shd w:val="clear" w:color="auto" w:fill="auto"/>
            <w:noWrap/>
            <w:vAlign w:val="center"/>
            <w:hideMark/>
          </w:tcPr>
          <w:p w14:paraId="46F7357B"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1.74</w:t>
            </w:r>
          </w:p>
        </w:tc>
        <w:tc>
          <w:tcPr>
            <w:tcW w:w="417" w:type="pct"/>
            <w:tcBorders>
              <w:top w:val="nil"/>
              <w:bottom w:val="single" w:sz="4" w:space="0" w:color="auto"/>
            </w:tcBorders>
            <w:shd w:val="clear" w:color="auto" w:fill="auto"/>
            <w:noWrap/>
            <w:vAlign w:val="center"/>
            <w:hideMark/>
          </w:tcPr>
          <w:p w14:paraId="14CB90F2"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66.78</w:t>
            </w:r>
          </w:p>
        </w:tc>
      </w:tr>
      <w:tr w:rsidR="002D38AF" w:rsidRPr="008E7B4C" w14:paraId="6A259F7A" w14:textId="77777777" w:rsidTr="002D38AF">
        <w:trPr>
          <w:trHeight w:val="455"/>
        </w:trPr>
        <w:tc>
          <w:tcPr>
            <w:tcW w:w="415" w:type="pct"/>
            <w:tcBorders>
              <w:top w:val="single" w:sz="4" w:space="0" w:color="auto"/>
              <w:right w:val="nil"/>
            </w:tcBorders>
          </w:tcPr>
          <w:p w14:paraId="79388525" w14:textId="77777777" w:rsidR="002D38AF" w:rsidRPr="00E359D7" w:rsidRDefault="002D38AF" w:rsidP="00E063A1">
            <w:pPr>
              <w:spacing w:after="0" w:line="240" w:lineRule="auto"/>
              <w:rPr>
                <w:rFonts w:ascii="Times New Roman" w:eastAsia="Times New Roman" w:hAnsi="Times New Roman" w:cs="Times New Roman"/>
                <w:color w:val="000000"/>
              </w:rPr>
            </w:pPr>
          </w:p>
        </w:tc>
        <w:tc>
          <w:tcPr>
            <w:tcW w:w="415" w:type="pct"/>
            <w:tcBorders>
              <w:top w:val="single" w:sz="4" w:space="0" w:color="auto"/>
              <w:left w:val="nil"/>
              <w:right w:val="single" w:sz="4" w:space="0" w:color="auto"/>
            </w:tcBorders>
            <w:shd w:val="clear" w:color="auto" w:fill="auto"/>
            <w:noWrap/>
            <w:vAlign w:val="center"/>
            <w:hideMark/>
          </w:tcPr>
          <w:p w14:paraId="4C606843" w14:textId="2B806F3F" w:rsidR="002D38AF" w:rsidRPr="00E359D7" w:rsidRDefault="002D38AF"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Gold</w:t>
            </w:r>
          </w:p>
        </w:tc>
        <w:tc>
          <w:tcPr>
            <w:tcW w:w="278" w:type="pct"/>
            <w:tcBorders>
              <w:top w:val="single" w:sz="4" w:space="0" w:color="auto"/>
              <w:left w:val="single" w:sz="4" w:space="0" w:color="auto"/>
            </w:tcBorders>
            <w:shd w:val="clear" w:color="auto" w:fill="auto"/>
            <w:noWrap/>
            <w:vAlign w:val="center"/>
            <w:hideMark/>
          </w:tcPr>
          <w:p w14:paraId="298C9F4B"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1.55</w:t>
            </w:r>
          </w:p>
        </w:tc>
        <w:tc>
          <w:tcPr>
            <w:tcW w:w="280" w:type="pct"/>
            <w:tcBorders>
              <w:top w:val="single" w:sz="4" w:space="0" w:color="auto"/>
            </w:tcBorders>
            <w:shd w:val="clear" w:color="auto" w:fill="auto"/>
            <w:noWrap/>
            <w:vAlign w:val="center"/>
            <w:hideMark/>
          </w:tcPr>
          <w:p w14:paraId="12C7C8A1"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2.31</w:t>
            </w:r>
          </w:p>
        </w:tc>
        <w:tc>
          <w:tcPr>
            <w:tcW w:w="280" w:type="pct"/>
            <w:tcBorders>
              <w:top w:val="single" w:sz="4" w:space="0" w:color="auto"/>
              <w:right w:val="single" w:sz="4" w:space="0" w:color="auto"/>
            </w:tcBorders>
            <w:shd w:val="clear" w:color="auto" w:fill="auto"/>
            <w:noWrap/>
            <w:vAlign w:val="center"/>
            <w:hideMark/>
          </w:tcPr>
          <w:p w14:paraId="15688DCD"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1.95</w:t>
            </w:r>
          </w:p>
        </w:tc>
        <w:tc>
          <w:tcPr>
            <w:tcW w:w="280" w:type="pct"/>
            <w:tcBorders>
              <w:top w:val="single" w:sz="4" w:space="0" w:color="auto"/>
              <w:left w:val="single" w:sz="4" w:space="0" w:color="auto"/>
            </w:tcBorders>
            <w:shd w:val="clear" w:color="auto" w:fill="auto"/>
            <w:noWrap/>
            <w:vAlign w:val="center"/>
            <w:hideMark/>
          </w:tcPr>
          <w:p w14:paraId="6714A59F"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3.24</w:t>
            </w:r>
          </w:p>
        </w:tc>
        <w:tc>
          <w:tcPr>
            <w:tcW w:w="275" w:type="pct"/>
            <w:tcBorders>
              <w:top w:val="single" w:sz="4" w:space="0" w:color="auto"/>
            </w:tcBorders>
            <w:shd w:val="clear" w:color="auto" w:fill="auto"/>
            <w:noWrap/>
            <w:vAlign w:val="center"/>
            <w:hideMark/>
          </w:tcPr>
          <w:p w14:paraId="1E22AECA"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0.86</w:t>
            </w:r>
          </w:p>
        </w:tc>
        <w:tc>
          <w:tcPr>
            <w:tcW w:w="280" w:type="pct"/>
            <w:tcBorders>
              <w:top w:val="single" w:sz="4" w:space="0" w:color="auto"/>
              <w:right w:val="single" w:sz="4" w:space="0" w:color="auto"/>
            </w:tcBorders>
            <w:shd w:val="clear" w:color="auto" w:fill="auto"/>
            <w:noWrap/>
            <w:vAlign w:val="center"/>
            <w:hideMark/>
          </w:tcPr>
          <w:p w14:paraId="33982FAF"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2.37</w:t>
            </w:r>
          </w:p>
        </w:tc>
        <w:tc>
          <w:tcPr>
            <w:tcW w:w="275" w:type="pct"/>
            <w:tcBorders>
              <w:top w:val="single" w:sz="4" w:space="0" w:color="auto"/>
              <w:left w:val="single" w:sz="4" w:space="0" w:color="auto"/>
            </w:tcBorders>
            <w:shd w:val="clear" w:color="auto" w:fill="auto"/>
            <w:noWrap/>
            <w:vAlign w:val="center"/>
            <w:hideMark/>
          </w:tcPr>
          <w:p w14:paraId="706A1E2B"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55.83</w:t>
            </w:r>
          </w:p>
        </w:tc>
        <w:tc>
          <w:tcPr>
            <w:tcW w:w="275" w:type="pct"/>
            <w:tcBorders>
              <w:top w:val="single" w:sz="4" w:space="0" w:color="auto"/>
            </w:tcBorders>
            <w:shd w:val="clear" w:color="auto" w:fill="auto"/>
            <w:noWrap/>
            <w:vAlign w:val="center"/>
            <w:hideMark/>
          </w:tcPr>
          <w:p w14:paraId="32145068"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3.51</w:t>
            </w:r>
          </w:p>
        </w:tc>
        <w:tc>
          <w:tcPr>
            <w:tcW w:w="280" w:type="pct"/>
            <w:tcBorders>
              <w:top w:val="single" w:sz="4" w:space="0" w:color="auto"/>
            </w:tcBorders>
            <w:shd w:val="clear" w:color="auto" w:fill="auto"/>
            <w:noWrap/>
            <w:vAlign w:val="center"/>
            <w:hideMark/>
          </w:tcPr>
          <w:p w14:paraId="505D7820"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3.4</w:t>
            </w:r>
          </w:p>
        </w:tc>
        <w:tc>
          <w:tcPr>
            <w:tcW w:w="275" w:type="pct"/>
            <w:tcBorders>
              <w:top w:val="single" w:sz="4" w:space="0" w:color="auto"/>
            </w:tcBorders>
            <w:shd w:val="clear" w:color="auto" w:fill="auto"/>
            <w:noWrap/>
            <w:vAlign w:val="center"/>
            <w:hideMark/>
          </w:tcPr>
          <w:p w14:paraId="2CD6555E"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2.73</w:t>
            </w:r>
          </w:p>
        </w:tc>
        <w:tc>
          <w:tcPr>
            <w:tcW w:w="280" w:type="pct"/>
            <w:tcBorders>
              <w:top w:val="single" w:sz="4" w:space="0" w:color="auto"/>
            </w:tcBorders>
            <w:shd w:val="clear" w:color="auto" w:fill="auto"/>
            <w:noWrap/>
            <w:vAlign w:val="center"/>
            <w:hideMark/>
          </w:tcPr>
          <w:p w14:paraId="3595C6A6"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4.24</w:t>
            </w:r>
          </w:p>
        </w:tc>
        <w:tc>
          <w:tcPr>
            <w:tcW w:w="275" w:type="pct"/>
            <w:tcBorders>
              <w:top w:val="single" w:sz="4" w:space="0" w:color="auto"/>
            </w:tcBorders>
            <w:shd w:val="clear" w:color="auto" w:fill="auto"/>
            <w:noWrap/>
            <w:vAlign w:val="center"/>
            <w:hideMark/>
          </w:tcPr>
          <w:p w14:paraId="4DF29D6E"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7.51</w:t>
            </w:r>
          </w:p>
        </w:tc>
        <w:tc>
          <w:tcPr>
            <w:tcW w:w="415" w:type="pct"/>
            <w:tcBorders>
              <w:top w:val="single" w:sz="4" w:space="0" w:color="auto"/>
            </w:tcBorders>
            <w:shd w:val="clear" w:color="auto" w:fill="auto"/>
            <w:noWrap/>
            <w:vAlign w:val="center"/>
            <w:hideMark/>
          </w:tcPr>
          <w:p w14:paraId="6F8E579B"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10.49</w:t>
            </w:r>
          </w:p>
        </w:tc>
        <w:tc>
          <w:tcPr>
            <w:tcW w:w="417" w:type="pct"/>
            <w:tcBorders>
              <w:top w:val="single" w:sz="4" w:space="0" w:color="auto"/>
            </w:tcBorders>
            <w:shd w:val="clear" w:color="auto" w:fill="auto"/>
            <w:noWrap/>
            <w:vAlign w:val="center"/>
            <w:hideMark/>
          </w:tcPr>
          <w:p w14:paraId="42C3BC8F"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44.17</w:t>
            </w:r>
          </w:p>
        </w:tc>
      </w:tr>
      <w:tr w:rsidR="002D38AF" w:rsidRPr="008E7B4C" w14:paraId="2181C302" w14:textId="77777777" w:rsidTr="002D38AF">
        <w:trPr>
          <w:trHeight w:val="455"/>
        </w:trPr>
        <w:tc>
          <w:tcPr>
            <w:tcW w:w="415" w:type="pct"/>
            <w:tcBorders>
              <w:right w:val="nil"/>
            </w:tcBorders>
          </w:tcPr>
          <w:p w14:paraId="554909ED" w14:textId="77777777" w:rsidR="002D38AF" w:rsidRPr="00E359D7" w:rsidRDefault="002D38AF" w:rsidP="00E063A1">
            <w:pPr>
              <w:spacing w:after="0" w:line="240" w:lineRule="auto"/>
              <w:rPr>
                <w:rFonts w:ascii="Times New Roman" w:eastAsia="Times New Roman" w:hAnsi="Times New Roman" w:cs="Times New Roman"/>
                <w:color w:val="000000"/>
              </w:rPr>
            </w:pPr>
          </w:p>
        </w:tc>
        <w:tc>
          <w:tcPr>
            <w:tcW w:w="415" w:type="pct"/>
            <w:tcBorders>
              <w:left w:val="nil"/>
              <w:right w:val="single" w:sz="4" w:space="0" w:color="auto"/>
            </w:tcBorders>
            <w:shd w:val="clear" w:color="auto" w:fill="auto"/>
            <w:noWrap/>
            <w:vAlign w:val="center"/>
            <w:hideMark/>
          </w:tcPr>
          <w:p w14:paraId="4063E9E1" w14:textId="0858E4AA" w:rsidR="002D38AF" w:rsidRPr="00E359D7" w:rsidRDefault="002D38AF"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Oil</w:t>
            </w:r>
          </w:p>
        </w:tc>
        <w:tc>
          <w:tcPr>
            <w:tcW w:w="278" w:type="pct"/>
            <w:tcBorders>
              <w:left w:val="single" w:sz="4" w:space="0" w:color="auto"/>
            </w:tcBorders>
            <w:shd w:val="clear" w:color="auto" w:fill="auto"/>
            <w:noWrap/>
            <w:vAlign w:val="center"/>
            <w:hideMark/>
          </w:tcPr>
          <w:p w14:paraId="54103F6B"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1.51</w:t>
            </w:r>
          </w:p>
        </w:tc>
        <w:tc>
          <w:tcPr>
            <w:tcW w:w="280" w:type="pct"/>
            <w:shd w:val="clear" w:color="auto" w:fill="auto"/>
            <w:noWrap/>
            <w:vAlign w:val="center"/>
            <w:hideMark/>
          </w:tcPr>
          <w:p w14:paraId="0E5DCE2E"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2.11</w:t>
            </w:r>
          </w:p>
        </w:tc>
        <w:tc>
          <w:tcPr>
            <w:tcW w:w="280" w:type="pct"/>
            <w:tcBorders>
              <w:right w:val="single" w:sz="4" w:space="0" w:color="auto"/>
            </w:tcBorders>
            <w:shd w:val="clear" w:color="auto" w:fill="auto"/>
            <w:noWrap/>
            <w:vAlign w:val="center"/>
            <w:hideMark/>
          </w:tcPr>
          <w:p w14:paraId="3FBB7A2D"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1.82</w:t>
            </w:r>
          </w:p>
        </w:tc>
        <w:tc>
          <w:tcPr>
            <w:tcW w:w="280" w:type="pct"/>
            <w:tcBorders>
              <w:left w:val="single" w:sz="4" w:space="0" w:color="auto"/>
            </w:tcBorders>
            <w:shd w:val="clear" w:color="auto" w:fill="auto"/>
            <w:noWrap/>
            <w:vAlign w:val="center"/>
            <w:hideMark/>
          </w:tcPr>
          <w:p w14:paraId="164AE46C"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1.82</w:t>
            </w:r>
          </w:p>
        </w:tc>
        <w:tc>
          <w:tcPr>
            <w:tcW w:w="275" w:type="pct"/>
            <w:shd w:val="clear" w:color="auto" w:fill="auto"/>
            <w:noWrap/>
            <w:vAlign w:val="center"/>
            <w:hideMark/>
          </w:tcPr>
          <w:p w14:paraId="5229AF11"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0.72</w:t>
            </w:r>
          </w:p>
        </w:tc>
        <w:tc>
          <w:tcPr>
            <w:tcW w:w="280" w:type="pct"/>
            <w:tcBorders>
              <w:right w:val="single" w:sz="4" w:space="0" w:color="auto"/>
            </w:tcBorders>
            <w:shd w:val="clear" w:color="auto" w:fill="auto"/>
            <w:noWrap/>
            <w:vAlign w:val="center"/>
            <w:hideMark/>
          </w:tcPr>
          <w:p w14:paraId="242E02FB"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2.25</w:t>
            </w:r>
          </w:p>
        </w:tc>
        <w:tc>
          <w:tcPr>
            <w:tcW w:w="275" w:type="pct"/>
            <w:tcBorders>
              <w:left w:val="single" w:sz="4" w:space="0" w:color="auto"/>
            </w:tcBorders>
            <w:shd w:val="clear" w:color="auto" w:fill="auto"/>
            <w:noWrap/>
            <w:vAlign w:val="center"/>
            <w:hideMark/>
          </w:tcPr>
          <w:p w14:paraId="14352EED"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3.66</w:t>
            </w:r>
          </w:p>
        </w:tc>
        <w:tc>
          <w:tcPr>
            <w:tcW w:w="275" w:type="pct"/>
            <w:shd w:val="clear" w:color="auto" w:fill="auto"/>
            <w:noWrap/>
            <w:vAlign w:val="center"/>
            <w:hideMark/>
          </w:tcPr>
          <w:p w14:paraId="57560879"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71.17</w:t>
            </w:r>
          </w:p>
        </w:tc>
        <w:tc>
          <w:tcPr>
            <w:tcW w:w="280" w:type="pct"/>
            <w:shd w:val="clear" w:color="auto" w:fill="auto"/>
            <w:noWrap/>
            <w:vAlign w:val="center"/>
            <w:hideMark/>
          </w:tcPr>
          <w:p w14:paraId="1A8FE3A6"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1.88</w:t>
            </w:r>
          </w:p>
        </w:tc>
        <w:tc>
          <w:tcPr>
            <w:tcW w:w="275" w:type="pct"/>
            <w:shd w:val="clear" w:color="auto" w:fill="auto"/>
            <w:noWrap/>
            <w:vAlign w:val="center"/>
            <w:hideMark/>
          </w:tcPr>
          <w:p w14:paraId="1D1D1B0B"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2.4</w:t>
            </w:r>
          </w:p>
        </w:tc>
        <w:tc>
          <w:tcPr>
            <w:tcW w:w="280" w:type="pct"/>
            <w:shd w:val="clear" w:color="auto" w:fill="auto"/>
            <w:noWrap/>
            <w:vAlign w:val="center"/>
            <w:hideMark/>
          </w:tcPr>
          <w:p w14:paraId="00A33045"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5.65</w:t>
            </w:r>
          </w:p>
        </w:tc>
        <w:tc>
          <w:tcPr>
            <w:tcW w:w="275" w:type="pct"/>
            <w:shd w:val="clear" w:color="auto" w:fill="auto"/>
            <w:noWrap/>
            <w:vAlign w:val="center"/>
            <w:hideMark/>
          </w:tcPr>
          <w:p w14:paraId="0F7F6E2F"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2.54</w:t>
            </w:r>
          </w:p>
        </w:tc>
        <w:tc>
          <w:tcPr>
            <w:tcW w:w="415" w:type="pct"/>
            <w:shd w:val="clear" w:color="auto" w:fill="auto"/>
            <w:noWrap/>
            <w:vAlign w:val="center"/>
            <w:hideMark/>
          </w:tcPr>
          <w:p w14:paraId="26B2AD82"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2.47</w:t>
            </w:r>
          </w:p>
        </w:tc>
        <w:tc>
          <w:tcPr>
            <w:tcW w:w="417" w:type="pct"/>
            <w:shd w:val="clear" w:color="auto" w:fill="auto"/>
            <w:noWrap/>
            <w:vAlign w:val="center"/>
            <w:hideMark/>
          </w:tcPr>
          <w:p w14:paraId="2FB72E8E"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28.83</w:t>
            </w:r>
          </w:p>
        </w:tc>
      </w:tr>
      <w:tr w:rsidR="002D38AF" w:rsidRPr="008E7B4C" w14:paraId="6BE791FE" w14:textId="77777777" w:rsidTr="002D38AF">
        <w:trPr>
          <w:trHeight w:val="455"/>
        </w:trPr>
        <w:tc>
          <w:tcPr>
            <w:tcW w:w="415" w:type="pct"/>
            <w:tcBorders>
              <w:right w:val="nil"/>
            </w:tcBorders>
          </w:tcPr>
          <w:p w14:paraId="41BBCC4D" w14:textId="77777777" w:rsidR="002D38AF" w:rsidRPr="00E359D7" w:rsidRDefault="002D38AF" w:rsidP="00E063A1">
            <w:pPr>
              <w:spacing w:after="0" w:line="240" w:lineRule="auto"/>
              <w:rPr>
                <w:rFonts w:ascii="Times New Roman" w:eastAsia="Times New Roman" w:hAnsi="Times New Roman" w:cs="Times New Roman"/>
                <w:color w:val="000000"/>
              </w:rPr>
            </w:pPr>
          </w:p>
        </w:tc>
        <w:tc>
          <w:tcPr>
            <w:tcW w:w="415" w:type="pct"/>
            <w:tcBorders>
              <w:left w:val="nil"/>
              <w:right w:val="single" w:sz="4" w:space="0" w:color="auto"/>
            </w:tcBorders>
            <w:shd w:val="clear" w:color="auto" w:fill="auto"/>
            <w:noWrap/>
            <w:vAlign w:val="center"/>
            <w:hideMark/>
          </w:tcPr>
          <w:p w14:paraId="0A22F584" w14:textId="6E0E9D77" w:rsidR="002D38AF" w:rsidRPr="00E359D7" w:rsidRDefault="002D38AF"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BTC</w:t>
            </w:r>
          </w:p>
        </w:tc>
        <w:tc>
          <w:tcPr>
            <w:tcW w:w="278" w:type="pct"/>
            <w:tcBorders>
              <w:left w:val="single" w:sz="4" w:space="0" w:color="auto"/>
            </w:tcBorders>
            <w:shd w:val="clear" w:color="auto" w:fill="auto"/>
            <w:noWrap/>
            <w:vAlign w:val="center"/>
            <w:hideMark/>
          </w:tcPr>
          <w:p w14:paraId="7A31733F"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8.32</w:t>
            </w:r>
          </w:p>
        </w:tc>
        <w:tc>
          <w:tcPr>
            <w:tcW w:w="280" w:type="pct"/>
            <w:shd w:val="clear" w:color="auto" w:fill="auto"/>
            <w:noWrap/>
            <w:vAlign w:val="center"/>
            <w:hideMark/>
          </w:tcPr>
          <w:p w14:paraId="561F3979"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8.1</w:t>
            </w:r>
          </w:p>
        </w:tc>
        <w:tc>
          <w:tcPr>
            <w:tcW w:w="280" w:type="pct"/>
            <w:tcBorders>
              <w:right w:val="single" w:sz="4" w:space="0" w:color="auto"/>
            </w:tcBorders>
            <w:shd w:val="clear" w:color="auto" w:fill="auto"/>
            <w:noWrap/>
            <w:vAlign w:val="center"/>
            <w:hideMark/>
          </w:tcPr>
          <w:p w14:paraId="06ECC9AD"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10.89</w:t>
            </w:r>
          </w:p>
        </w:tc>
        <w:tc>
          <w:tcPr>
            <w:tcW w:w="280" w:type="pct"/>
            <w:tcBorders>
              <w:left w:val="single" w:sz="4" w:space="0" w:color="auto"/>
            </w:tcBorders>
            <w:shd w:val="clear" w:color="auto" w:fill="auto"/>
            <w:noWrap/>
            <w:vAlign w:val="center"/>
            <w:hideMark/>
          </w:tcPr>
          <w:p w14:paraId="4501A8D8"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14.58</w:t>
            </w:r>
          </w:p>
        </w:tc>
        <w:tc>
          <w:tcPr>
            <w:tcW w:w="275" w:type="pct"/>
            <w:shd w:val="clear" w:color="auto" w:fill="auto"/>
            <w:noWrap/>
            <w:vAlign w:val="center"/>
            <w:hideMark/>
          </w:tcPr>
          <w:p w14:paraId="6BB74CBE"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1.14</w:t>
            </w:r>
          </w:p>
        </w:tc>
        <w:tc>
          <w:tcPr>
            <w:tcW w:w="280" w:type="pct"/>
            <w:tcBorders>
              <w:right w:val="single" w:sz="4" w:space="0" w:color="auto"/>
            </w:tcBorders>
            <w:shd w:val="clear" w:color="auto" w:fill="auto"/>
            <w:noWrap/>
            <w:vAlign w:val="center"/>
            <w:hideMark/>
          </w:tcPr>
          <w:p w14:paraId="720812E6"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15.27</w:t>
            </w:r>
          </w:p>
        </w:tc>
        <w:tc>
          <w:tcPr>
            <w:tcW w:w="275" w:type="pct"/>
            <w:tcBorders>
              <w:left w:val="single" w:sz="4" w:space="0" w:color="auto"/>
            </w:tcBorders>
            <w:shd w:val="clear" w:color="auto" w:fill="auto"/>
            <w:noWrap/>
            <w:vAlign w:val="center"/>
            <w:hideMark/>
          </w:tcPr>
          <w:p w14:paraId="3ACA07C0"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1.68</w:t>
            </w:r>
          </w:p>
        </w:tc>
        <w:tc>
          <w:tcPr>
            <w:tcW w:w="275" w:type="pct"/>
            <w:shd w:val="clear" w:color="auto" w:fill="auto"/>
            <w:noWrap/>
            <w:vAlign w:val="center"/>
            <w:hideMark/>
          </w:tcPr>
          <w:p w14:paraId="739836E0"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0.56</w:t>
            </w:r>
          </w:p>
        </w:tc>
        <w:tc>
          <w:tcPr>
            <w:tcW w:w="280" w:type="pct"/>
            <w:shd w:val="clear" w:color="auto" w:fill="auto"/>
            <w:noWrap/>
            <w:vAlign w:val="center"/>
            <w:hideMark/>
          </w:tcPr>
          <w:p w14:paraId="317E1F52"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29.77</w:t>
            </w:r>
          </w:p>
        </w:tc>
        <w:tc>
          <w:tcPr>
            <w:tcW w:w="275" w:type="pct"/>
            <w:shd w:val="clear" w:color="auto" w:fill="auto"/>
            <w:noWrap/>
            <w:vAlign w:val="center"/>
            <w:hideMark/>
          </w:tcPr>
          <w:p w14:paraId="4E844EA7"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2.28</w:t>
            </w:r>
          </w:p>
        </w:tc>
        <w:tc>
          <w:tcPr>
            <w:tcW w:w="280" w:type="pct"/>
            <w:shd w:val="clear" w:color="auto" w:fill="auto"/>
            <w:noWrap/>
            <w:vAlign w:val="center"/>
            <w:hideMark/>
          </w:tcPr>
          <w:p w14:paraId="44CA298B"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4.63</w:t>
            </w:r>
          </w:p>
        </w:tc>
        <w:tc>
          <w:tcPr>
            <w:tcW w:w="275" w:type="pct"/>
            <w:shd w:val="clear" w:color="auto" w:fill="auto"/>
            <w:noWrap/>
            <w:vAlign w:val="center"/>
            <w:hideMark/>
          </w:tcPr>
          <w:p w14:paraId="1AA8A146"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1.01</w:t>
            </w:r>
          </w:p>
        </w:tc>
        <w:tc>
          <w:tcPr>
            <w:tcW w:w="415" w:type="pct"/>
            <w:shd w:val="clear" w:color="auto" w:fill="auto"/>
            <w:noWrap/>
            <w:vAlign w:val="center"/>
            <w:hideMark/>
          </w:tcPr>
          <w:p w14:paraId="523FC3DC"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1.77</w:t>
            </w:r>
          </w:p>
        </w:tc>
        <w:tc>
          <w:tcPr>
            <w:tcW w:w="417" w:type="pct"/>
            <w:shd w:val="clear" w:color="auto" w:fill="auto"/>
            <w:noWrap/>
            <w:vAlign w:val="center"/>
            <w:hideMark/>
          </w:tcPr>
          <w:p w14:paraId="7349A90F"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70.23</w:t>
            </w:r>
          </w:p>
        </w:tc>
      </w:tr>
      <w:tr w:rsidR="002D38AF" w:rsidRPr="008E7B4C" w14:paraId="572798AF" w14:textId="77777777" w:rsidTr="002D38AF">
        <w:trPr>
          <w:trHeight w:val="455"/>
        </w:trPr>
        <w:tc>
          <w:tcPr>
            <w:tcW w:w="415" w:type="pct"/>
            <w:tcBorders>
              <w:right w:val="nil"/>
            </w:tcBorders>
          </w:tcPr>
          <w:p w14:paraId="06D1EB5C" w14:textId="77777777" w:rsidR="002D38AF" w:rsidRPr="00E359D7" w:rsidRDefault="002D38AF" w:rsidP="00E063A1">
            <w:pPr>
              <w:spacing w:after="0" w:line="240" w:lineRule="auto"/>
              <w:rPr>
                <w:rFonts w:ascii="Times New Roman" w:eastAsia="Times New Roman" w:hAnsi="Times New Roman" w:cs="Times New Roman"/>
                <w:color w:val="000000"/>
              </w:rPr>
            </w:pPr>
          </w:p>
        </w:tc>
        <w:tc>
          <w:tcPr>
            <w:tcW w:w="415" w:type="pct"/>
            <w:tcBorders>
              <w:left w:val="nil"/>
              <w:right w:val="single" w:sz="4" w:space="0" w:color="auto"/>
            </w:tcBorders>
            <w:shd w:val="clear" w:color="auto" w:fill="auto"/>
            <w:noWrap/>
            <w:vAlign w:val="center"/>
            <w:hideMark/>
          </w:tcPr>
          <w:p w14:paraId="2DD8ACB1" w14:textId="5C99795E" w:rsidR="002D38AF" w:rsidRPr="00E359D7" w:rsidRDefault="002D38AF"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REIT</w:t>
            </w:r>
          </w:p>
        </w:tc>
        <w:tc>
          <w:tcPr>
            <w:tcW w:w="278" w:type="pct"/>
            <w:tcBorders>
              <w:left w:val="single" w:sz="4" w:space="0" w:color="auto"/>
            </w:tcBorders>
            <w:shd w:val="clear" w:color="auto" w:fill="auto"/>
            <w:noWrap/>
            <w:vAlign w:val="center"/>
            <w:hideMark/>
          </w:tcPr>
          <w:p w14:paraId="6C65E009"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2.85</w:t>
            </w:r>
          </w:p>
        </w:tc>
        <w:tc>
          <w:tcPr>
            <w:tcW w:w="280" w:type="pct"/>
            <w:shd w:val="clear" w:color="auto" w:fill="auto"/>
            <w:noWrap/>
            <w:vAlign w:val="center"/>
            <w:hideMark/>
          </w:tcPr>
          <w:p w14:paraId="1B509C07"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2.97</w:t>
            </w:r>
          </w:p>
        </w:tc>
        <w:tc>
          <w:tcPr>
            <w:tcW w:w="280" w:type="pct"/>
            <w:tcBorders>
              <w:right w:val="single" w:sz="4" w:space="0" w:color="auto"/>
            </w:tcBorders>
            <w:shd w:val="clear" w:color="auto" w:fill="auto"/>
            <w:noWrap/>
            <w:vAlign w:val="center"/>
            <w:hideMark/>
          </w:tcPr>
          <w:p w14:paraId="7E7E7B9A"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3.42</w:t>
            </w:r>
          </w:p>
        </w:tc>
        <w:tc>
          <w:tcPr>
            <w:tcW w:w="280" w:type="pct"/>
            <w:tcBorders>
              <w:left w:val="single" w:sz="4" w:space="0" w:color="auto"/>
            </w:tcBorders>
            <w:shd w:val="clear" w:color="auto" w:fill="auto"/>
            <w:noWrap/>
            <w:vAlign w:val="center"/>
            <w:hideMark/>
          </w:tcPr>
          <w:p w14:paraId="5558B296"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4.06</w:t>
            </w:r>
          </w:p>
        </w:tc>
        <w:tc>
          <w:tcPr>
            <w:tcW w:w="275" w:type="pct"/>
            <w:shd w:val="clear" w:color="auto" w:fill="auto"/>
            <w:noWrap/>
            <w:vAlign w:val="center"/>
            <w:hideMark/>
          </w:tcPr>
          <w:p w14:paraId="46C81735"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1.47</w:t>
            </w:r>
          </w:p>
        </w:tc>
        <w:tc>
          <w:tcPr>
            <w:tcW w:w="280" w:type="pct"/>
            <w:tcBorders>
              <w:right w:val="single" w:sz="4" w:space="0" w:color="auto"/>
            </w:tcBorders>
            <w:shd w:val="clear" w:color="auto" w:fill="auto"/>
            <w:noWrap/>
            <w:vAlign w:val="center"/>
            <w:hideMark/>
          </w:tcPr>
          <w:p w14:paraId="052F299E"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2.31</w:t>
            </w:r>
          </w:p>
        </w:tc>
        <w:tc>
          <w:tcPr>
            <w:tcW w:w="275" w:type="pct"/>
            <w:tcBorders>
              <w:left w:val="single" w:sz="4" w:space="0" w:color="auto"/>
            </w:tcBorders>
            <w:shd w:val="clear" w:color="auto" w:fill="auto"/>
            <w:noWrap/>
            <w:vAlign w:val="center"/>
            <w:hideMark/>
          </w:tcPr>
          <w:p w14:paraId="7D5C524F"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2.74</w:t>
            </w:r>
          </w:p>
        </w:tc>
        <w:tc>
          <w:tcPr>
            <w:tcW w:w="275" w:type="pct"/>
            <w:shd w:val="clear" w:color="auto" w:fill="auto"/>
            <w:noWrap/>
            <w:vAlign w:val="center"/>
            <w:hideMark/>
          </w:tcPr>
          <w:p w14:paraId="59CE9E94"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1.82</w:t>
            </w:r>
          </w:p>
        </w:tc>
        <w:tc>
          <w:tcPr>
            <w:tcW w:w="280" w:type="pct"/>
            <w:shd w:val="clear" w:color="auto" w:fill="auto"/>
            <w:noWrap/>
            <w:vAlign w:val="center"/>
            <w:hideMark/>
          </w:tcPr>
          <w:p w14:paraId="66A67399"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3.72</w:t>
            </w:r>
          </w:p>
        </w:tc>
        <w:tc>
          <w:tcPr>
            <w:tcW w:w="275" w:type="pct"/>
            <w:shd w:val="clear" w:color="auto" w:fill="auto"/>
            <w:noWrap/>
            <w:vAlign w:val="center"/>
            <w:hideMark/>
          </w:tcPr>
          <w:p w14:paraId="1AAD9AA3"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45.98</w:t>
            </w:r>
          </w:p>
        </w:tc>
        <w:tc>
          <w:tcPr>
            <w:tcW w:w="280" w:type="pct"/>
            <w:shd w:val="clear" w:color="auto" w:fill="auto"/>
            <w:noWrap/>
            <w:vAlign w:val="center"/>
            <w:hideMark/>
          </w:tcPr>
          <w:p w14:paraId="111221D4"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20.63</w:t>
            </w:r>
          </w:p>
        </w:tc>
        <w:tc>
          <w:tcPr>
            <w:tcW w:w="275" w:type="pct"/>
            <w:shd w:val="clear" w:color="auto" w:fill="auto"/>
            <w:noWrap/>
            <w:vAlign w:val="center"/>
            <w:hideMark/>
          </w:tcPr>
          <w:p w14:paraId="7FA887D8"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4.44</w:t>
            </w:r>
          </w:p>
        </w:tc>
        <w:tc>
          <w:tcPr>
            <w:tcW w:w="415" w:type="pct"/>
            <w:shd w:val="clear" w:color="auto" w:fill="auto"/>
            <w:noWrap/>
            <w:vAlign w:val="center"/>
            <w:hideMark/>
          </w:tcPr>
          <w:p w14:paraId="7F7074C2"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3.6</w:t>
            </w:r>
          </w:p>
        </w:tc>
        <w:tc>
          <w:tcPr>
            <w:tcW w:w="417" w:type="pct"/>
            <w:shd w:val="clear" w:color="auto" w:fill="auto"/>
            <w:noWrap/>
            <w:vAlign w:val="center"/>
            <w:hideMark/>
          </w:tcPr>
          <w:p w14:paraId="183C2A18"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54.02</w:t>
            </w:r>
          </w:p>
        </w:tc>
      </w:tr>
      <w:tr w:rsidR="002D38AF" w:rsidRPr="008E7B4C" w14:paraId="558BD89E" w14:textId="77777777" w:rsidTr="002D38AF">
        <w:trPr>
          <w:trHeight w:val="455"/>
        </w:trPr>
        <w:tc>
          <w:tcPr>
            <w:tcW w:w="415" w:type="pct"/>
            <w:tcBorders>
              <w:right w:val="nil"/>
            </w:tcBorders>
          </w:tcPr>
          <w:p w14:paraId="0DD4493A" w14:textId="77777777" w:rsidR="002D38AF" w:rsidRPr="00E359D7" w:rsidRDefault="002D38AF" w:rsidP="00E063A1">
            <w:pPr>
              <w:spacing w:after="0" w:line="240" w:lineRule="auto"/>
              <w:rPr>
                <w:rFonts w:ascii="Times New Roman" w:eastAsia="Times New Roman" w:hAnsi="Times New Roman" w:cs="Times New Roman"/>
                <w:color w:val="000000"/>
              </w:rPr>
            </w:pPr>
          </w:p>
        </w:tc>
        <w:tc>
          <w:tcPr>
            <w:tcW w:w="415" w:type="pct"/>
            <w:tcBorders>
              <w:left w:val="nil"/>
              <w:right w:val="single" w:sz="4" w:space="0" w:color="auto"/>
            </w:tcBorders>
            <w:shd w:val="clear" w:color="auto" w:fill="auto"/>
            <w:noWrap/>
            <w:vAlign w:val="center"/>
            <w:hideMark/>
          </w:tcPr>
          <w:p w14:paraId="251953BB" w14:textId="3E3EE497" w:rsidR="002D38AF" w:rsidRPr="00E359D7" w:rsidRDefault="002D38AF"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Equity</w:t>
            </w:r>
          </w:p>
        </w:tc>
        <w:tc>
          <w:tcPr>
            <w:tcW w:w="278" w:type="pct"/>
            <w:tcBorders>
              <w:left w:val="single" w:sz="4" w:space="0" w:color="auto"/>
            </w:tcBorders>
            <w:shd w:val="clear" w:color="auto" w:fill="auto"/>
            <w:noWrap/>
            <w:vAlign w:val="center"/>
            <w:hideMark/>
          </w:tcPr>
          <w:p w14:paraId="57AE04D3"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3.33</w:t>
            </w:r>
          </w:p>
        </w:tc>
        <w:tc>
          <w:tcPr>
            <w:tcW w:w="280" w:type="pct"/>
            <w:shd w:val="clear" w:color="auto" w:fill="auto"/>
            <w:noWrap/>
            <w:vAlign w:val="center"/>
            <w:hideMark/>
          </w:tcPr>
          <w:p w14:paraId="49FBEEF7"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2.88</w:t>
            </w:r>
          </w:p>
        </w:tc>
        <w:tc>
          <w:tcPr>
            <w:tcW w:w="280" w:type="pct"/>
            <w:tcBorders>
              <w:right w:val="single" w:sz="4" w:space="0" w:color="auto"/>
            </w:tcBorders>
            <w:shd w:val="clear" w:color="auto" w:fill="auto"/>
            <w:noWrap/>
            <w:vAlign w:val="center"/>
            <w:hideMark/>
          </w:tcPr>
          <w:p w14:paraId="610B4B2D"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4.23</w:t>
            </w:r>
          </w:p>
        </w:tc>
        <w:tc>
          <w:tcPr>
            <w:tcW w:w="280" w:type="pct"/>
            <w:tcBorders>
              <w:left w:val="single" w:sz="4" w:space="0" w:color="auto"/>
            </w:tcBorders>
            <w:shd w:val="clear" w:color="auto" w:fill="auto"/>
            <w:noWrap/>
            <w:vAlign w:val="center"/>
            <w:hideMark/>
          </w:tcPr>
          <w:p w14:paraId="094FE833"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5.26</w:t>
            </w:r>
          </w:p>
        </w:tc>
        <w:tc>
          <w:tcPr>
            <w:tcW w:w="275" w:type="pct"/>
            <w:shd w:val="clear" w:color="auto" w:fill="auto"/>
            <w:noWrap/>
            <w:vAlign w:val="center"/>
            <w:hideMark/>
          </w:tcPr>
          <w:p w14:paraId="598BA0C0"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1.46</w:t>
            </w:r>
          </w:p>
        </w:tc>
        <w:tc>
          <w:tcPr>
            <w:tcW w:w="280" w:type="pct"/>
            <w:tcBorders>
              <w:right w:val="single" w:sz="4" w:space="0" w:color="auto"/>
            </w:tcBorders>
            <w:shd w:val="clear" w:color="auto" w:fill="auto"/>
            <w:noWrap/>
            <w:vAlign w:val="center"/>
            <w:hideMark/>
          </w:tcPr>
          <w:p w14:paraId="5CA2D6BE"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3.96</w:t>
            </w:r>
          </w:p>
        </w:tc>
        <w:tc>
          <w:tcPr>
            <w:tcW w:w="275" w:type="pct"/>
            <w:tcBorders>
              <w:left w:val="single" w:sz="4" w:space="0" w:color="auto"/>
            </w:tcBorders>
            <w:shd w:val="clear" w:color="auto" w:fill="auto"/>
            <w:noWrap/>
            <w:vAlign w:val="center"/>
            <w:hideMark/>
          </w:tcPr>
          <w:p w14:paraId="6E150D90"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3.19</w:t>
            </w:r>
          </w:p>
        </w:tc>
        <w:tc>
          <w:tcPr>
            <w:tcW w:w="275" w:type="pct"/>
            <w:shd w:val="clear" w:color="auto" w:fill="auto"/>
            <w:noWrap/>
            <w:vAlign w:val="center"/>
            <w:hideMark/>
          </w:tcPr>
          <w:p w14:paraId="38B645A6"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3.8</w:t>
            </w:r>
          </w:p>
        </w:tc>
        <w:tc>
          <w:tcPr>
            <w:tcW w:w="280" w:type="pct"/>
            <w:shd w:val="clear" w:color="auto" w:fill="auto"/>
            <w:noWrap/>
            <w:vAlign w:val="center"/>
            <w:hideMark/>
          </w:tcPr>
          <w:p w14:paraId="439AC05B"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5.8</w:t>
            </w:r>
          </w:p>
        </w:tc>
        <w:tc>
          <w:tcPr>
            <w:tcW w:w="275" w:type="pct"/>
            <w:shd w:val="clear" w:color="auto" w:fill="auto"/>
            <w:noWrap/>
            <w:vAlign w:val="center"/>
            <w:hideMark/>
          </w:tcPr>
          <w:p w14:paraId="22D22EBD"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17.56</w:t>
            </w:r>
          </w:p>
        </w:tc>
        <w:tc>
          <w:tcPr>
            <w:tcW w:w="280" w:type="pct"/>
            <w:shd w:val="clear" w:color="auto" w:fill="auto"/>
            <w:noWrap/>
            <w:vAlign w:val="center"/>
            <w:hideMark/>
          </w:tcPr>
          <w:p w14:paraId="7457CDAB"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39.83</w:t>
            </w:r>
          </w:p>
        </w:tc>
        <w:tc>
          <w:tcPr>
            <w:tcW w:w="275" w:type="pct"/>
            <w:shd w:val="clear" w:color="auto" w:fill="auto"/>
            <w:noWrap/>
            <w:vAlign w:val="center"/>
            <w:hideMark/>
          </w:tcPr>
          <w:p w14:paraId="6779FE1F"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3.26</w:t>
            </w:r>
          </w:p>
        </w:tc>
        <w:tc>
          <w:tcPr>
            <w:tcW w:w="415" w:type="pct"/>
            <w:shd w:val="clear" w:color="auto" w:fill="auto"/>
            <w:noWrap/>
            <w:vAlign w:val="center"/>
            <w:hideMark/>
          </w:tcPr>
          <w:p w14:paraId="4E16E5C5"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5.45</w:t>
            </w:r>
          </w:p>
        </w:tc>
        <w:tc>
          <w:tcPr>
            <w:tcW w:w="417" w:type="pct"/>
            <w:shd w:val="clear" w:color="auto" w:fill="auto"/>
            <w:noWrap/>
            <w:vAlign w:val="center"/>
            <w:hideMark/>
          </w:tcPr>
          <w:p w14:paraId="5F798FBB"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60.17</w:t>
            </w:r>
          </w:p>
        </w:tc>
      </w:tr>
      <w:tr w:rsidR="002D38AF" w:rsidRPr="008E7B4C" w14:paraId="4F66734E" w14:textId="77777777" w:rsidTr="002D38AF">
        <w:trPr>
          <w:trHeight w:val="455"/>
        </w:trPr>
        <w:tc>
          <w:tcPr>
            <w:tcW w:w="415" w:type="pct"/>
            <w:tcBorders>
              <w:right w:val="nil"/>
            </w:tcBorders>
          </w:tcPr>
          <w:p w14:paraId="2E598E9D" w14:textId="77777777" w:rsidR="002D38AF" w:rsidRPr="00E359D7" w:rsidRDefault="002D38AF" w:rsidP="00E063A1">
            <w:pPr>
              <w:spacing w:after="0" w:line="240" w:lineRule="auto"/>
              <w:rPr>
                <w:rFonts w:ascii="Times New Roman" w:eastAsia="Times New Roman" w:hAnsi="Times New Roman" w:cs="Times New Roman"/>
                <w:color w:val="000000"/>
              </w:rPr>
            </w:pPr>
          </w:p>
        </w:tc>
        <w:tc>
          <w:tcPr>
            <w:tcW w:w="415" w:type="pct"/>
            <w:tcBorders>
              <w:left w:val="nil"/>
              <w:right w:val="single" w:sz="4" w:space="0" w:color="auto"/>
            </w:tcBorders>
            <w:shd w:val="clear" w:color="auto" w:fill="auto"/>
            <w:noWrap/>
            <w:vAlign w:val="center"/>
            <w:hideMark/>
          </w:tcPr>
          <w:p w14:paraId="7101FD83" w14:textId="2409FDC7" w:rsidR="002D38AF" w:rsidRPr="00E359D7" w:rsidRDefault="002D38AF"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Bond</w:t>
            </w:r>
          </w:p>
        </w:tc>
        <w:tc>
          <w:tcPr>
            <w:tcW w:w="278" w:type="pct"/>
            <w:tcBorders>
              <w:left w:val="single" w:sz="4" w:space="0" w:color="auto"/>
            </w:tcBorders>
            <w:shd w:val="clear" w:color="auto" w:fill="auto"/>
            <w:noWrap/>
            <w:vAlign w:val="center"/>
            <w:hideMark/>
          </w:tcPr>
          <w:p w14:paraId="74677BCE"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1.13</w:t>
            </w:r>
          </w:p>
        </w:tc>
        <w:tc>
          <w:tcPr>
            <w:tcW w:w="280" w:type="pct"/>
            <w:shd w:val="clear" w:color="auto" w:fill="auto"/>
            <w:noWrap/>
            <w:vAlign w:val="center"/>
            <w:hideMark/>
          </w:tcPr>
          <w:p w14:paraId="4105795C"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1.56</w:t>
            </w:r>
          </w:p>
        </w:tc>
        <w:tc>
          <w:tcPr>
            <w:tcW w:w="280" w:type="pct"/>
            <w:tcBorders>
              <w:right w:val="single" w:sz="4" w:space="0" w:color="auto"/>
            </w:tcBorders>
            <w:shd w:val="clear" w:color="auto" w:fill="auto"/>
            <w:noWrap/>
            <w:vAlign w:val="center"/>
            <w:hideMark/>
          </w:tcPr>
          <w:p w14:paraId="0A0D8B14"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1.51</w:t>
            </w:r>
          </w:p>
        </w:tc>
        <w:tc>
          <w:tcPr>
            <w:tcW w:w="280" w:type="pct"/>
            <w:tcBorders>
              <w:left w:val="single" w:sz="4" w:space="0" w:color="auto"/>
            </w:tcBorders>
            <w:shd w:val="clear" w:color="auto" w:fill="auto"/>
            <w:noWrap/>
            <w:vAlign w:val="center"/>
            <w:hideMark/>
          </w:tcPr>
          <w:p w14:paraId="449D2AC6"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2.07</w:t>
            </w:r>
          </w:p>
        </w:tc>
        <w:tc>
          <w:tcPr>
            <w:tcW w:w="275" w:type="pct"/>
            <w:shd w:val="clear" w:color="auto" w:fill="auto"/>
            <w:noWrap/>
            <w:vAlign w:val="center"/>
            <w:hideMark/>
          </w:tcPr>
          <w:p w14:paraId="5C7EC3B9"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1.04</w:t>
            </w:r>
          </w:p>
        </w:tc>
        <w:tc>
          <w:tcPr>
            <w:tcW w:w="280" w:type="pct"/>
            <w:tcBorders>
              <w:right w:val="single" w:sz="4" w:space="0" w:color="auto"/>
            </w:tcBorders>
            <w:shd w:val="clear" w:color="auto" w:fill="auto"/>
            <w:noWrap/>
            <w:vAlign w:val="center"/>
            <w:hideMark/>
          </w:tcPr>
          <w:p w14:paraId="0627693A"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1.59</w:t>
            </w:r>
          </w:p>
        </w:tc>
        <w:tc>
          <w:tcPr>
            <w:tcW w:w="275" w:type="pct"/>
            <w:tcBorders>
              <w:left w:val="single" w:sz="4" w:space="0" w:color="auto"/>
            </w:tcBorders>
            <w:shd w:val="clear" w:color="auto" w:fill="auto"/>
            <w:noWrap/>
            <w:vAlign w:val="center"/>
            <w:hideMark/>
          </w:tcPr>
          <w:p w14:paraId="30FC8174"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7.66</w:t>
            </w:r>
          </w:p>
        </w:tc>
        <w:tc>
          <w:tcPr>
            <w:tcW w:w="275" w:type="pct"/>
            <w:shd w:val="clear" w:color="auto" w:fill="auto"/>
            <w:noWrap/>
            <w:vAlign w:val="center"/>
            <w:hideMark/>
          </w:tcPr>
          <w:p w14:paraId="61FF1F7F"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2.48</w:t>
            </w:r>
          </w:p>
        </w:tc>
        <w:tc>
          <w:tcPr>
            <w:tcW w:w="280" w:type="pct"/>
            <w:shd w:val="clear" w:color="auto" w:fill="auto"/>
            <w:noWrap/>
            <w:vAlign w:val="center"/>
            <w:hideMark/>
          </w:tcPr>
          <w:p w14:paraId="13683B9B"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2.36</w:t>
            </w:r>
          </w:p>
        </w:tc>
        <w:tc>
          <w:tcPr>
            <w:tcW w:w="275" w:type="pct"/>
            <w:shd w:val="clear" w:color="auto" w:fill="auto"/>
            <w:noWrap/>
            <w:vAlign w:val="center"/>
            <w:hideMark/>
          </w:tcPr>
          <w:p w14:paraId="20C37570"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5.43</w:t>
            </w:r>
          </w:p>
        </w:tc>
        <w:tc>
          <w:tcPr>
            <w:tcW w:w="280" w:type="pct"/>
            <w:shd w:val="clear" w:color="auto" w:fill="auto"/>
            <w:noWrap/>
            <w:vAlign w:val="center"/>
            <w:hideMark/>
          </w:tcPr>
          <w:p w14:paraId="057D1226"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5.3</w:t>
            </w:r>
          </w:p>
        </w:tc>
        <w:tc>
          <w:tcPr>
            <w:tcW w:w="275" w:type="pct"/>
            <w:shd w:val="clear" w:color="auto" w:fill="auto"/>
            <w:noWrap/>
            <w:vAlign w:val="center"/>
            <w:hideMark/>
          </w:tcPr>
          <w:p w14:paraId="2A2DE1B8"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62.47</w:t>
            </w:r>
          </w:p>
        </w:tc>
        <w:tc>
          <w:tcPr>
            <w:tcW w:w="415" w:type="pct"/>
            <w:shd w:val="clear" w:color="auto" w:fill="auto"/>
            <w:noWrap/>
            <w:vAlign w:val="center"/>
            <w:hideMark/>
          </w:tcPr>
          <w:p w14:paraId="3D39263D"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5.41</w:t>
            </w:r>
          </w:p>
        </w:tc>
        <w:tc>
          <w:tcPr>
            <w:tcW w:w="417" w:type="pct"/>
            <w:shd w:val="clear" w:color="auto" w:fill="auto"/>
            <w:noWrap/>
            <w:vAlign w:val="center"/>
            <w:hideMark/>
          </w:tcPr>
          <w:p w14:paraId="547CB632"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37.53</w:t>
            </w:r>
          </w:p>
        </w:tc>
      </w:tr>
      <w:tr w:rsidR="002D38AF" w:rsidRPr="008E7B4C" w14:paraId="6E7BCA1F" w14:textId="77777777" w:rsidTr="002D38AF">
        <w:trPr>
          <w:trHeight w:val="455"/>
        </w:trPr>
        <w:tc>
          <w:tcPr>
            <w:tcW w:w="415" w:type="pct"/>
            <w:tcBorders>
              <w:right w:val="nil"/>
            </w:tcBorders>
          </w:tcPr>
          <w:p w14:paraId="51B4C215" w14:textId="77777777" w:rsidR="002D38AF" w:rsidRPr="00E359D7" w:rsidRDefault="002D38AF" w:rsidP="00E063A1">
            <w:pPr>
              <w:spacing w:after="0" w:line="240" w:lineRule="auto"/>
              <w:rPr>
                <w:rFonts w:ascii="Times New Roman" w:eastAsia="Times New Roman" w:hAnsi="Times New Roman" w:cs="Times New Roman"/>
                <w:color w:val="000000"/>
              </w:rPr>
            </w:pPr>
          </w:p>
        </w:tc>
        <w:tc>
          <w:tcPr>
            <w:tcW w:w="415" w:type="pct"/>
            <w:tcBorders>
              <w:left w:val="nil"/>
              <w:right w:val="single" w:sz="4" w:space="0" w:color="auto"/>
            </w:tcBorders>
            <w:shd w:val="clear" w:color="auto" w:fill="auto"/>
            <w:noWrap/>
            <w:vAlign w:val="center"/>
            <w:hideMark/>
          </w:tcPr>
          <w:p w14:paraId="28625AB1" w14:textId="3CC0F646" w:rsidR="002D38AF" w:rsidRPr="00E359D7" w:rsidRDefault="002D38AF" w:rsidP="00E063A1">
            <w:pPr>
              <w:spacing w:after="0" w:line="240" w:lineRule="auto"/>
              <w:rPr>
                <w:rFonts w:ascii="Times New Roman" w:eastAsia="Times New Roman" w:hAnsi="Times New Roman" w:cs="Times New Roman"/>
                <w:color w:val="000000"/>
              </w:rPr>
            </w:pPr>
            <w:proofErr w:type="spellStart"/>
            <w:r w:rsidRPr="00E359D7">
              <w:rPr>
                <w:rFonts w:ascii="Times New Roman" w:eastAsia="Times New Roman" w:hAnsi="Times New Roman" w:cs="Times New Roman"/>
                <w:color w:val="000000"/>
              </w:rPr>
              <w:t>USD.Index</w:t>
            </w:r>
            <w:proofErr w:type="spellEnd"/>
          </w:p>
        </w:tc>
        <w:tc>
          <w:tcPr>
            <w:tcW w:w="278" w:type="pct"/>
            <w:tcBorders>
              <w:left w:val="single" w:sz="4" w:space="0" w:color="auto"/>
            </w:tcBorders>
            <w:shd w:val="clear" w:color="auto" w:fill="auto"/>
            <w:noWrap/>
            <w:vAlign w:val="center"/>
            <w:hideMark/>
          </w:tcPr>
          <w:p w14:paraId="603E0C98"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2.02</w:t>
            </w:r>
          </w:p>
        </w:tc>
        <w:tc>
          <w:tcPr>
            <w:tcW w:w="280" w:type="pct"/>
            <w:shd w:val="clear" w:color="auto" w:fill="auto"/>
            <w:noWrap/>
            <w:vAlign w:val="center"/>
            <w:hideMark/>
          </w:tcPr>
          <w:p w14:paraId="47760A52"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2.94</w:t>
            </w:r>
          </w:p>
        </w:tc>
        <w:tc>
          <w:tcPr>
            <w:tcW w:w="280" w:type="pct"/>
            <w:tcBorders>
              <w:right w:val="single" w:sz="4" w:space="0" w:color="auto"/>
            </w:tcBorders>
            <w:shd w:val="clear" w:color="auto" w:fill="auto"/>
            <w:noWrap/>
            <w:vAlign w:val="center"/>
            <w:hideMark/>
          </w:tcPr>
          <w:p w14:paraId="1676C33C"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3.08</w:t>
            </w:r>
          </w:p>
        </w:tc>
        <w:tc>
          <w:tcPr>
            <w:tcW w:w="280" w:type="pct"/>
            <w:tcBorders>
              <w:left w:val="single" w:sz="4" w:space="0" w:color="auto"/>
            </w:tcBorders>
            <w:shd w:val="clear" w:color="auto" w:fill="auto"/>
            <w:noWrap/>
            <w:vAlign w:val="center"/>
            <w:hideMark/>
          </w:tcPr>
          <w:p w14:paraId="652C874C"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3.94</w:t>
            </w:r>
          </w:p>
        </w:tc>
        <w:tc>
          <w:tcPr>
            <w:tcW w:w="275" w:type="pct"/>
            <w:shd w:val="clear" w:color="auto" w:fill="auto"/>
            <w:noWrap/>
            <w:vAlign w:val="center"/>
            <w:hideMark/>
          </w:tcPr>
          <w:p w14:paraId="784F58C8"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1.11</w:t>
            </w:r>
          </w:p>
        </w:tc>
        <w:tc>
          <w:tcPr>
            <w:tcW w:w="280" w:type="pct"/>
            <w:tcBorders>
              <w:right w:val="single" w:sz="4" w:space="0" w:color="auto"/>
            </w:tcBorders>
            <w:shd w:val="clear" w:color="auto" w:fill="auto"/>
            <w:noWrap/>
            <w:vAlign w:val="center"/>
            <w:hideMark/>
          </w:tcPr>
          <w:p w14:paraId="170DD942"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3.31</w:t>
            </w:r>
          </w:p>
        </w:tc>
        <w:tc>
          <w:tcPr>
            <w:tcW w:w="275" w:type="pct"/>
            <w:tcBorders>
              <w:left w:val="single" w:sz="4" w:space="0" w:color="auto"/>
            </w:tcBorders>
            <w:shd w:val="clear" w:color="auto" w:fill="auto"/>
            <w:noWrap/>
            <w:vAlign w:val="center"/>
            <w:hideMark/>
          </w:tcPr>
          <w:p w14:paraId="09548256"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9.9</w:t>
            </w:r>
          </w:p>
        </w:tc>
        <w:tc>
          <w:tcPr>
            <w:tcW w:w="275" w:type="pct"/>
            <w:shd w:val="clear" w:color="auto" w:fill="auto"/>
            <w:noWrap/>
            <w:vAlign w:val="center"/>
            <w:hideMark/>
          </w:tcPr>
          <w:p w14:paraId="0A18CA0E"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w:t>
            </w:r>
          </w:p>
        </w:tc>
        <w:tc>
          <w:tcPr>
            <w:tcW w:w="280" w:type="pct"/>
            <w:shd w:val="clear" w:color="auto" w:fill="auto"/>
            <w:noWrap/>
            <w:vAlign w:val="center"/>
            <w:hideMark/>
          </w:tcPr>
          <w:p w14:paraId="740C2006"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3.68</w:t>
            </w:r>
          </w:p>
        </w:tc>
        <w:tc>
          <w:tcPr>
            <w:tcW w:w="275" w:type="pct"/>
            <w:shd w:val="clear" w:color="auto" w:fill="auto"/>
            <w:noWrap/>
            <w:vAlign w:val="center"/>
            <w:hideMark/>
          </w:tcPr>
          <w:p w14:paraId="10357514"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5.77</w:t>
            </w:r>
          </w:p>
        </w:tc>
        <w:tc>
          <w:tcPr>
            <w:tcW w:w="280" w:type="pct"/>
            <w:shd w:val="clear" w:color="auto" w:fill="auto"/>
            <w:noWrap/>
            <w:vAlign w:val="center"/>
            <w:hideMark/>
          </w:tcPr>
          <w:p w14:paraId="6DD92D25"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10.02</w:t>
            </w:r>
          </w:p>
        </w:tc>
        <w:tc>
          <w:tcPr>
            <w:tcW w:w="275" w:type="pct"/>
            <w:shd w:val="clear" w:color="auto" w:fill="auto"/>
            <w:noWrap/>
            <w:vAlign w:val="center"/>
            <w:hideMark/>
          </w:tcPr>
          <w:p w14:paraId="3FA5DD14"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5.55</w:t>
            </w:r>
          </w:p>
        </w:tc>
        <w:tc>
          <w:tcPr>
            <w:tcW w:w="415" w:type="pct"/>
            <w:shd w:val="clear" w:color="auto" w:fill="auto"/>
            <w:noWrap/>
            <w:vAlign w:val="center"/>
            <w:hideMark/>
          </w:tcPr>
          <w:p w14:paraId="591F0CD3"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46.67</w:t>
            </w:r>
          </w:p>
        </w:tc>
        <w:tc>
          <w:tcPr>
            <w:tcW w:w="417" w:type="pct"/>
            <w:shd w:val="clear" w:color="auto" w:fill="auto"/>
            <w:noWrap/>
            <w:vAlign w:val="center"/>
            <w:hideMark/>
          </w:tcPr>
          <w:p w14:paraId="173BDC36"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53.33</w:t>
            </w:r>
          </w:p>
        </w:tc>
      </w:tr>
      <w:tr w:rsidR="002D38AF" w:rsidRPr="008E7B4C" w14:paraId="22D66018" w14:textId="77777777" w:rsidTr="002D38AF">
        <w:trPr>
          <w:trHeight w:val="455"/>
        </w:trPr>
        <w:tc>
          <w:tcPr>
            <w:tcW w:w="415" w:type="pct"/>
            <w:tcBorders>
              <w:right w:val="nil"/>
            </w:tcBorders>
          </w:tcPr>
          <w:p w14:paraId="270E8C5B" w14:textId="77777777" w:rsidR="002D38AF" w:rsidRPr="00E359D7" w:rsidRDefault="002D38AF" w:rsidP="00E063A1">
            <w:pPr>
              <w:spacing w:after="0" w:line="240" w:lineRule="auto"/>
              <w:rPr>
                <w:rFonts w:ascii="Times New Roman" w:eastAsia="Times New Roman" w:hAnsi="Times New Roman" w:cs="Times New Roman"/>
                <w:color w:val="000000"/>
              </w:rPr>
            </w:pPr>
          </w:p>
        </w:tc>
        <w:tc>
          <w:tcPr>
            <w:tcW w:w="415" w:type="pct"/>
            <w:tcBorders>
              <w:left w:val="nil"/>
              <w:right w:val="single" w:sz="4" w:space="0" w:color="auto"/>
            </w:tcBorders>
            <w:shd w:val="clear" w:color="auto" w:fill="auto"/>
            <w:noWrap/>
            <w:vAlign w:val="center"/>
            <w:hideMark/>
          </w:tcPr>
          <w:p w14:paraId="1E06048B" w14:textId="66F1BC82" w:rsidR="002D38AF" w:rsidRPr="00E359D7" w:rsidRDefault="00AD4771" w:rsidP="00E063A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To Others</w:t>
            </w:r>
          </w:p>
        </w:tc>
        <w:tc>
          <w:tcPr>
            <w:tcW w:w="278" w:type="pct"/>
            <w:tcBorders>
              <w:left w:val="single" w:sz="4" w:space="0" w:color="auto"/>
            </w:tcBorders>
            <w:shd w:val="clear" w:color="auto" w:fill="auto"/>
            <w:noWrap/>
            <w:vAlign w:val="center"/>
            <w:hideMark/>
          </w:tcPr>
          <w:p w14:paraId="67E916F2"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55.61</w:t>
            </w:r>
          </w:p>
        </w:tc>
        <w:tc>
          <w:tcPr>
            <w:tcW w:w="280" w:type="pct"/>
            <w:shd w:val="clear" w:color="auto" w:fill="auto"/>
            <w:noWrap/>
            <w:vAlign w:val="center"/>
            <w:hideMark/>
          </w:tcPr>
          <w:p w14:paraId="74222292"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61.83</w:t>
            </w:r>
          </w:p>
        </w:tc>
        <w:tc>
          <w:tcPr>
            <w:tcW w:w="280" w:type="pct"/>
            <w:tcBorders>
              <w:right w:val="single" w:sz="4" w:space="0" w:color="auto"/>
            </w:tcBorders>
            <w:shd w:val="clear" w:color="auto" w:fill="auto"/>
            <w:noWrap/>
            <w:vAlign w:val="center"/>
            <w:hideMark/>
          </w:tcPr>
          <w:p w14:paraId="5C952104"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66.17</w:t>
            </w:r>
          </w:p>
        </w:tc>
        <w:tc>
          <w:tcPr>
            <w:tcW w:w="280" w:type="pct"/>
            <w:tcBorders>
              <w:left w:val="single" w:sz="4" w:space="0" w:color="auto"/>
            </w:tcBorders>
            <w:shd w:val="clear" w:color="auto" w:fill="auto"/>
            <w:noWrap/>
            <w:vAlign w:val="center"/>
            <w:hideMark/>
          </w:tcPr>
          <w:p w14:paraId="60207888"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86.25</w:t>
            </w:r>
          </w:p>
        </w:tc>
        <w:tc>
          <w:tcPr>
            <w:tcW w:w="275" w:type="pct"/>
            <w:shd w:val="clear" w:color="auto" w:fill="auto"/>
            <w:noWrap/>
            <w:vAlign w:val="center"/>
            <w:hideMark/>
          </w:tcPr>
          <w:p w14:paraId="58BCF0B1"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14.25</w:t>
            </w:r>
          </w:p>
        </w:tc>
        <w:tc>
          <w:tcPr>
            <w:tcW w:w="280" w:type="pct"/>
            <w:tcBorders>
              <w:right w:val="single" w:sz="4" w:space="0" w:color="auto"/>
            </w:tcBorders>
            <w:shd w:val="clear" w:color="auto" w:fill="auto"/>
            <w:noWrap/>
            <w:vAlign w:val="center"/>
            <w:hideMark/>
          </w:tcPr>
          <w:p w14:paraId="636A96BB"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75.77</w:t>
            </w:r>
          </w:p>
        </w:tc>
        <w:tc>
          <w:tcPr>
            <w:tcW w:w="275" w:type="pct"/>
            <w:tcBorders>
              <w:left w:val="single" w:sz="4" w:space="0" w:color="auto"/>
            </w:tcBorders>
            <w:shd w:val="clear" w:color="auto" w:fill="auto"/>
            <w:noWrap/>
            <w:vAlign w:val="center"/>
            <w:hideMark/>
          </w:tcPr>
          <w:p w14:paraId="0B257B5F"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36.36</w:t>
            </w:r>
          </w:p>
        </w:tc>
        <w:tc>
          <w:tcPr>
            <w:tcW w:w="275" w:type="pct"/>
            <w:shd w:val="clear" w:color="auto" w:fill="auto"/>
            <w:noWrap/>
            <w:vAlign w:val="center"/>
            <w:hideMark/>
          </w:tcPr>
          <w:p w14:paraId="37FAB385"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18.45</w:t>
            </w:r>
          </w:p>
        </w:tc>
        <w:tc>
          <w:tcPr>
            <w:tcW w:w="280" w:type="pct"/>
            <w:shd w:val="clear" w:color="auto" w:fill="auto"/>
            <w:noWrap/>
            <w:vAlign w:val="center"/>
            <w:hideMark/>
          </w:tcPr>
          <w:p w14:paraId="27C5BE26"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87.88</w:t>
            </w:r>
          </w:p>
        </w:tc>
        <w:tc>
          <w:tcPr>
            <w:tcW w:w="275" w:type="pct"/>
            <w:shd w:val="clear" w:color="auto" w:fill="auto"/>
            <w:noWrap/>
            <w:vAlign w:val="center"/>
            <w:hideMark/>
          </w:tcPr>
          <w:p w14:paraId="681C808F"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48.2</w:t>
            </w:r>
          </w:p>
        </w:tc>
        <w:tc>
          <w:tcPr>
            <w:tcW w:w="280" w:type="pct"/>
            <w:shd w:val="clear" w:color="auto" w:fill="auto"/>
            <w:noWrap/>
            <w:vAlign w:val="center"/>
            <w:hideMark/>
          </w:tcPr>
          <w:p w14:paraId="287CD61A"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69.83</w:t>
            </w:r>
          </w:p>
        </w:tc>
        <w:tc>
          <w:tcPr>
            <w:tcW w:w="275" w:type="pct"/>
            <w:shd w:val="clear" w:color="auto" w:fill="auto"/>
            <w:noWrap/>
            <w:vAlign w:val="center"/>
            <w:hideMark/>
          </w:tcPr>
          <w:p w14:paraId="582E695A"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29.44</w:t>
            </w:r>
          </w:p>
        </w:tc>
        <w:tc>
          <w:tcPr>
            <w:tcW w:w="415" w:type="pct"/>
            <w:shd w:val="clear" w:color="auto" w:fill="auto"/>
            <w:noWrap/>
            <w:vAlign w:val="center"/>
            <w:hideMark/>
          </w:tcPr>
          <w:p w14:paraId="078C8D99"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37.61</w:t>
            </w:r>
          </w:p>
        </w:tc>
        <w:tc>
          <w:tcPr>
            <w:tcW w:w="417" w:type="pct"/>
            <w:shd w:val="clear" w:color="auto" w:fill="auto"/>
            <w:noWrap/>
            <w:vAlign w:val="center"/>
            <w:hideMark/>
          </w:tcPr>
          <w:p w14:paraId="3620C946"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687.63</w:t>
            </w:r>
          </w:p>
        </w:tc>
      </w:tr>
      <w:tr w:rsidR="002D38AF" w:rsidRPr="008E7B4C" w14:paraId="2607EB90" w14:textId="77777777" w:rsidTr="002D38AF">
        <w:trPr>
          <w:trHeight w:val="455"/>
        </w:trPr>
        <w:tc>
          <w:tcPr>
            <w:tcW w:w="415" w:type="pct"/>
            <w:tcBorders>
              <w:right w:val="nil"/>
            </w:tcBorders>
          </w:tcPr>
          <w:p w14:paraId="3A5AEB21" w14:textId="77777777" w:rsidR="002D38AF" w:rsidRPr="00E359D7" w:rsidRDefault="002D38AF" w:rsidP="00E063A1">
            <w:pPr>
              <w:spacing w:after="0" w:line="240" w:lineRule="auto"/>
              <w:rPr>
                <w:rFonts w:ascii="Times New Roman" w:eastAsia="Times New Roman" w:hAnsi="Times New Roman" w:cs="Times New Roman"/>
                <w:color w:val="000000"/>
              </w:rPr>
            </w:pPr>
          </w:p>
        </w:tc>
        <w:tc>
          <w:tcPr>
            <w:tcW w:w="415" w:type="pct"/>
            <w:tcBorders>
              <w:left w:val="nil"/>
              <w:right w:val="single" w:sz="4" w:space="0" w:color="auto"/>
            </w:tcBorders>
            <w:shd w:val="clear" w:color="auto" w:fill="auto"/>
            <w:noWrap/>
            <w:vAlign w:val="center"/>
            <w:hideMark/>
          </w:tcPr>
          <w:p w14:paraId="15312E25" w14:textId="742B409E" w:rsidR="002D38AF" w:rsidRPr="00E359D7" w:rsidRDefault="002D38AF" w:rsidP="00E063A1">
            <w:pPr>
              <w:spacing w:after="0" w:line="240" w:lineRule="auto"/>
              <w:rPr>
                <w:rFonts w:ascii="Times New Roman" w:eastAsia="Times New Roman" w:hAnsi="Times New Roman" w:cs="Times New Roman"/>
                <w:color w:val="000000"/>
              </w:rPr>
            </w:pPr>
            <w:proofErr w:type="spellStart"/>
            <w:r w:rsidRPr="00E359D7">
              <w:rPr>
                <w:rFonts w:ascii="Times New Roman" w:eastAsia="Times New Roman" w:hAnsi="Times New Roman" w:cs="Times New Roman"/>
                <w:color w:val="000000"/>
              </w:rPr>
              <w:t>Inc.Own</w:t>
            </w:r>
            <w:proofErr w:type="spellEnd"/>
          </w:p>
        </w:tc>
        <w:tc>
          <w:tcPr>
            <w:tcW w:w="278" w:type="pct"/>
            <w:tcBorders>
              <w:left w:val="single" w:sz="4" w:space="0" w:color="auto"/>
            </w:tcBorders>
            <w:shd w:val="clear" w:color="auto" w:fill="auto"/>
            <w:noWrap/>
            <w:vAlign w:val="center"/>
            <w:hideMark/>
          </w:tcPr>
          <w:p w14:paraId="1AC4087A"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97.28</w:t>
            </w:r>
          </w:p>
        </w:tc>
        <w:tc>
          <w:tcPr>
            <w:tcW w:w="280" w:type="pct"/>
            <w:shd w:val="clear" w:color="auto" w:fill="auto"/>
            <w:noWrap/>
            <w:vAlign w:val="center"/>
            <w:hideMark/>
          </w:tcPr>
          <w:p w14:paraId="6D85EB49"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101.07</w:t>
            </w:r>
          </w:p>
        </w:tc>
        <w:tc>
          <w:tcPr>
            <w:tcW w:w="280" w:type="pct"/>
            <w:tcBorders>
              <w:right w:val="single" w:sz="4" w:space="0" w:color="auto"/>
            </w:tcBorders>
            <w:shd w:val="clear" w:color="auto" w:fill="auto"/>
            <w:noWrap/>
            <w:vAlign w:val="center"/>
            <w:hideMark/>
          </w:tcPr>
          <w:p w14:paraId="45A04DD9"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103.96</w:t>
            </w:r>
          </w:p>
        </w:tc>
        <w:tc>
          <w:tcPr>
            <w:tcW w:w="280" w:type="pct"/>
            <w:tcBorders>
              <w:left w:val="single" w:sz="4" w:space="0" w:color="auto"/>
            </w:tcBorders>
            <w:shd w:val="clear" w:color="auto" w:fill="auto"/>
            <w:noWrap/>
            <w:vAlign w:val="center"/>
            <w:hideMark/>
          </w:tcPr>
          <w:p w14:paraId="31D76143"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117.47</w:t>
            </w:r>
          </w:p>
        </w:tc>
        <w:tc>
          <w:tcPr>
            <w:tcW w:w="275" w:type="pct"/>
            <w:shd w:val="clear" w:color="auto" w:fill="auto"/>
            <w:noWrap/>
            <w:vAlign w:val="center"/>
            <w:hideMark/>
          </w:tcPr>
          <w:p w14:paraId="2EBB229B"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91.75</w:t>
            </w:r>
          </w:p>
        </w:tc>
        <w:tc>
          <w:tcPr>
            <w:tcW w:w="280" w:type="pct"/>
            <w:tcBorders>
              <w:right w:val="single" w:sz="4" w:space="0" w:color="auto"/>
            </w:tcBorders>
            <w:shd w:val="clear" w:color="auto" w:fill="auto"/>
            <w:noWrap/>
            <w:vAlign w:val="center"/>
            <w:hideMark/>
          </w:tcPr>
          <w:p w14:paraId="5C2B50ED"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108.98</w:t>
            </w:r>
          </w:p>
        </w:tc>
        <w:tc>
          <w:tcPr>
            <w:tcW w:w="275" w:type="pct"/>
            <w:tcBorders>
              <w:left w:val="single" w:sz="4" w:space="0" w:color="auto"/>
            </w:tcBorders>
            <w:shd w:val="clear" w:color="auto" w:fill="auto"/>
            <w:noWrap/>
            <w:vAlign w:val="center"/>
            <w:hideMark/>
          </w:tcPr>
          <w:p w14:paraId="04CC6BEB"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92.19</w:t>
            </w:r>
          </w:p>
        </w:tc>
        <w:tc>
          <w:tcPr>
            <w:tcW w:w="275" w:type="pct"/>
            <w:shd w:val="clear" w:color="auto" w:fill="auto"/>
            <w:noWrap/>
            <w:vAlign w:val="center"/>
            <w:hideMark/>
          </w:tcPr>
          <w:p w14:paraId="3154C55A"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89.62</w:t>
            </w:r>
          </w:p>
        </w:tc>
        <w:tc>
          <w:tcPr>
            <w:tcW w:w="280" w:type="pct"/>
            <w:shd w:val="clear" w:color="auto" w:fill="auto"/>
            <w:noWrap/>
            <w:vAlign w:val="center"/>
            <w:hideMark/>
          </w:tcPr>
          <w:p w14:paraId="1C23E344"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117.64</w:t>
            </w:r>
          </w:p>
        </w:tc>
        <w:tc>
          <w:tcPr>
            <w:tcW w:w="275" w:type="pct"/>
            <w:shd w:val="clear" w:color="auto" w:fill="auto"/>
            <w:noWrap/>
            <w:vAlign w:val="center"/>
            <w:hideMark/>
          </w:tcPr>
          <w:p w14:paraId="27D26BD1"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94.19</w:t>
            </w:r>
          </w:p>
        </w:tc>
        <w:tc>
          <w:tcPr>
            <w:tcW w:w="280" w:type="pct"/>
            <w:shd w:val="clear" w:color="auto" w:fill="auto"/>
            <w:noWrap/>
            <w:vAlign w:val="center"/>
            <w:hideMark/>
          </w:tcPr>
          <w:p w14:paraId="4E7EE8AC"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109.66</w:t>
            </w:r>
          </w:p>
        </w:tc>
        <w:tc>
          <w:tcPr>
            <w:tcW w:w="275" w:type="pct"/>
            <w:shd w:val="clear" w:color="auto" w:fill="auto"/>
            <w:noWrap/>
            <w:vAlign w:val="center"/>
            <w:hideMark/>
          </w:tcPr>
          <w:p w14:paraId="75B0EDB7"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91.9</w:t>
            </w:r>
          </w:p>
        </w:tc>
        <w:tc>
          <w:tcPr>
            <w:tcW w:w="415" w:type="pct"/>
            <w:shd w:val="clear" w:color="auto" w:fill="auto"/>
            <w:noWrap/>
            <w:vAlign w:val="center"/>
            <w:hideMark/>
          </w:tcPr>
          <w:p w14:paraId="1F9C8084"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84.28</w:t>
            </w:r>
          </w:p>
        </w:tc>
        <w:tc>
          <w:tcPr>
            <w:tcW w:w="417" w:type="pct"/>
            <w:shd w:val="clear" w:color="auto" w:fill="auto"/>
            <w:noWrap/>
            <w:vAlign w:val="center"/>
            <w:hideMark/>
          </w:tcPr>
          <w:p w14:paraId="51FB0552"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TCI</w:t>
            </w:r>
          </w:p>
        </w:tc>
      </w:tr>
      <w:tr w:rsidR="002D38AF" w:rsidRPr="008E7B4C" w14:paraId="7670FF2A" w14:textId="77777777" w:rsidTr="002D38AF">
        <w:trPr>
          <w:trHeight w:val="455"/>
        </w:trPr>
        <w:tc>
          <w:tcPr>
            <w:tcW w:w="415" w:type="pct"/>
            <w:tcBorders>
              <w:right w:val="nil"/>
            </w:tcBorders>
          </w:tcPr>
          <w:p w14:paraId="597BE623" w14:textId="77777777" w:rsidR="002D38AF" w:rsidRPr="00E359D7" w:rsidRDefault="002D38AF" w:rsidP="00E063A1">
            <w:pPr>
              <w:spacing w:after="0" w:line="240" w:lineRule="auto"/>
              <w:rPr>
                <w:rFonts w:ascii="Times New Roman" w:eastAsia="Times New Roman" w:hAnsi="Times New Roman" w:cs="Times New Roman"/>
                <w:color w:val="000000"/>
              </w:rPr>
            </w:pPr>
          </w:p>
        </w:tc>
        <w:tc>
          <w:tcPr>
            <w:tcW w:w="415" w:type="pct"/>
            <w:tcBorders>
              <w:left w:val="nil"/>
              <w:bottom w:val="single" w:sz="4" w:space="0" w:color="auto"/>
              <w:right w:val="single" w:sz="4" w:space="0" w:color="auto"/>
            </w:tcBorders>
            <w:shd w:val="clear" w:color="auto" w:fill="auto"/>
            <w:noWrap/>
            <w:vAlign w:val="center"/>
            <w:hideMark/>
          </w:tcPr>
          <w:p w14:paraId="18E4C5D0" w14:textId="5B42C81B" w:rsidR="002D38AF" w:rsidRPr="00E359D7" w:rsidRDefault="00D97C9B" w:rsidP="00E063A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Net</w:t>
            </w:r>
          </w:p>
        </w:tc>
        <w:tc>
          <w:tcPr>
            <w:tcW w:w="278" w:type="pct"/>
            <w:tcBorders>
              <w:left w:val="single" w:sz="4" w:space="0" w:color="auto"/>
              <w:bottom w:val="single" w:sz="4" w:space="0" w:color="auto"/>
            </w:tcBorders>
            <w:shd w:val="clear" w:color="auto" w:fill="auto"/>
            <w:noWrap/>
            <w:vAlign w:val="center"/>
            <w:hideMark/>
          </w:tcPr>
          <w:p w14:paraId="1B856F84"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-2.72</w:t>
            </w:r>
          </w:p>
        </w:tc>
        <w:tc>
          <w:tcPr>
            <w:tcW w:w="280" w:type="pct"/>
            <w:tcBorders>
              <w:bottom w:val="single" w:sz="4" w:space="0" w:color="auto"/>
            </w:tcBorders>
            <w:shd w:val="clear" w:color="auto" w:fill="auto"/>
            <w:noWrap/>
            <w:vAlign w:val="center"/>
            <w:hideMark/>
          </w:tcPr>
          <w:p w14:paraId="6913E235"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1.07</w:t>
            </w:r>
          </w:p>
        </w:tc>
        <w:tc>
          <w:tcPr>
            <w:tcW w:w="280" w:type="pct"/>
            <w:tcBorders>
              <w:bottom w:val="single" w:sz="4" w:space="0" w:color="auto"/>
              <w:right w:val="single" w:sz="4" w:space="0" w:color="auto"/>
            </w:tcBorders>
            <w:shd w:val="clear" w:color="auto" w:fill="auto"/>
            <w:noWrap/>
            <w:vAlign w:val="center"/>
            <w:hideMark/>
          </w:tcPr>
          <w:p w14:paraId="3ADA017E"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3.96</w:t>
            </w:r>
          </w:p>
        </w:tc>
        <w:tc>
          <w:tcPr>
            <w:tcW w:w="280" w:type="pct"/>
            <w:tcBorders>
              <w:left w:val="single" w:sz="4" w:space="0" w:color="auto"/>
              <w:bottom w:val="single" w:sz="4" w:space="0" w:color="auto"/>
            </w:tcBorders>
            <w:shd w:val="clear" w:color="auto" w:fill="auto"/>
            <w:noWrap/>
            <w:vAlign w:val="center"/>
            <w:hideMark/>
          </w:tcPr>
          <w:p w14:paraId="58780A60"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17.47</w:t>
            </w:r>
          </w:p>
        </w:tc>
        <w:tc>
          <w:tcPr>
            <w:tcW w:w="275" w:type="pct"/>
            <w:tcBorders>
              <w:bottom w:val="single" w:sz="4" w:space="0" w:color="auto"/>
            </w:tcBorders>
            <w:shd w:val="clear" w:color="auto" w:fill="auto"/>
            <w:noWrap/>
            <w:vAlign w:val="center"/>
            <w:hideMark/>
          </w:tcPr>
          <w:p w14:paraId="1032E948"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-8.25</w:t>
            </w:r>
          </w:p>
        </w:tc>
        <w:tc>
          <w:tcPr>
            <w:tcW w:w="280" w:type="pct"/>
            <w:tcBorders>
              <w:bottom w:val="single" w:sz="4" w:space="0" w:color="auto"/>
              <w:right w:val="single" w:sz="4" w:space="0" w:color="auto"/>
            </w:tcBorders>
            <w:shd w:val="clear" w:color="auto" w:fill="auto"/>
            <w:noWrap/>
            <w:vAlign w:val="center"/>
            <w:hideMark/>
          </w:tcPr>
          <w:p w14:paraId="0C2C31EC"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8.98</w:t>
            </w:r>
          </w:p>
        </w:tc>
        <w:tc>
          <w:tcPr>
            <w:tcW w:w="275" w:type="pct"/>
            <w:tcBorders>
              <w:left w:val="single" w:sz="4" w:space="0" w:color="auto"/>
            </w:tcBorders>
            <w:shd w:val="clear" w:color="auto" w:fill="auto"/>
            <w:noWrap/>
            <w:vAlign w:val="center"/>
            <w:hideMark/>
          </w:tcPr>
          <w:p w14:paraId="1683D825"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-7.81</w:t>
            </w:r>
          </w:p>
        </w:tc>
        <w:tc>
          <w:tcPr>
            <w:tcW w:w="275" w:type="pct"/>
            <w:shd w:val="clear" w:color="auto" w:fill="auto"/>
            <w:noWrap/>
            <w:vAlign w:val="center"/>
            <w:hideMark/>
          </w:tcPr>
          <w:p w14:paraId="5B07B9C3"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-10.38</w:t>
            </w:r>
          </w:p>
        </w:tc>
        <w:tc>
          <w:tcPr>
            <w:tcW w:w="280" w:type="pct"/>
            <w:shd w:val="clear" w:color="auto" w:fill="auto"/>
            <w:noWrap/>
            <w:vAlign w:val="center"/>
            <w:hideMark/>
          </w:tcPr>
          <w:p w14:paraId="526E6221"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17.64</w:t>
            </w:r>
          </w:p>
        </w:tc>
        <w:tc>
          <w:tcPr>
            <w:tcW w:w="275" w:type="pct"/>
            <w:shd w:val="clear" w:color="auto" w:fill="auto"/>
            <w:noWrap/>
            <w:vAlign w:val="center"/>
            <w:hideMark/>
          </w:tcPr>
          <w:p w14:paraId="6FB7623A"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-5.81</w:t>
            </w:r>
          </w:p>
        </w:tc>
        <w:tc>
          <w:tcPr>
            <w:tcW w:w="280" w:type="pct"/>
            <w:shd w:val="clear" w:color="auto" w:fill="auto"/>
            <w:noWrap/>
            <w:vAlign w:val="center"/>
            <w:hideMark/>
          </w:tcPr>
          <w:p w14:paraId="69404DE5"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9.66</w:t>
            </w:r>
          </w:p>
        </w:tc>
        <w:tc>
          <w:tcPr>
            <w:tcW w:w="275" w:type="pct"/>
            <w:shd w:val="clear" w:color="auto" w:fill="auto"/>
            <w:noWrap/>
            <w:vAlign w:val="center"/>
            <w:hideMark/>
          </w:tcPr>
          <w:p w14:paraId="62F929B9"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-8.1</w:t>
            </w:r>
          </w:p>
        </w:tc>
        <w:tc>
          <w:tcPr>
            <w:tcW w:w="415" w:type="pct"/>
            <w:shd w:val="clear" w:color="auto" w:fill="auto"/>
            <w:noWrap/>
            <w:vAlign w:val="center"/>
            <w:hideMark/>
          </w:tcPr>
          <w:p w14:paraId="0BC28EC1"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-15.72</w:t>
            </w:r>
          </w:p>
        </w:tc>
        <w:tc>
          <w:tcPr>
            <w:tcW w:w="417" w:type="pct"/>
            <w:shd w:val="clear" w:color="auto" w:fill="auto"/>
            <w:noWrap/>
            <w:vAlign w:val="center"/>
            <w:hideMark/>
          </w:tcPr>
          <w:p w14:paraId="41EB2ED8" w14:textId="77777777" w:rsidR="002D38AF" w:rsidRPr="002D38AF" w:rsidRDefault="002D38AF" w:rsidP="00E063A1">
            <w:pPr>
              <w:spacing w:after="0" w:line="240" w:lineRule="auto"/>
              <w:rPr>
                <w:rFonts w:ascii="Times New Roman" w:eastAsia="Times New Roman" w:hAnsi="Times New Roman" w:cs="Times New Roman"/>
                <w:color w:val="000000"/>
                <w:sz w:val="20"/>
              </w:rPr>
            </w:pPr>
            <w:r w:rsidRPr="002D38AF">
              <w:rPr>
                <w:rFonts w:ascii="Times New Roman" w:eastAsia="Times New Roman" w:hAnsi="Times New Roman" w:cs="Times New Roman"/>
                <w:color w:val="000000"/>
                <w:sz w:val="20"/>
              </w:rPr>
              <w:t>52.89</w:t>
            </w:r>
          </w:p>
        </w:tc>
      </w:tr>
    </w:tbl>
    <w:p w14:paraId="78440D5F" w14:textId="7E975144" w:rsidR="004F242A" w:rsidRPr="002D38AF" w:rsidRDefault="004F242A" w:rsidP="002D38AF">
      <w:pPr>
        <w:jc w:val="both"/>
        <w:rPr>
          <w:rFonts w:ascii="Times New Roman" w:hAnsi="Times New Roman" w:cs="Times New Roman"/>
          <w:sz w:val="18"/>
          <w:szCs w:val="18"/>
        </w:rPr>
      </w:pPr>
      <w:r w:rsidRPr="00AF531A">
        <w:rPr>
          <w:rFonts w:ascii="Times New Roman" w:hAnsi="Times New Roman" w:cs="Times New Roman"/>
          <w:sz w:val="18"/>
          <w:szCs w:val="18"/>
        </w:rPr>
        <w:lastRenderedPageBreak/>
        <w:t>Notes: DEX- Decentralized Exchange, CEX- Centralized Exchange, RUNE-</w:t>
      </w:r>
      <w:r w:rsidR="00233DAE">
        <w:rPr>
          <w:rFonts w:ascii="Times New Roman" w:hAnsi="Times New Roman" w:cs="Times New Roman"/>
          <w:sz w:val="18"/>
          <w:szCs w:val="18"/>
        </w:rPr>
        <w:t xml:space="preserve"> </w:t>
      </w:r>
      <w:proofErr w:type="spellStart"/>
      <w:r w:rsidRPr="00AF531A">
        <w:rPr>
          <w:rFonts w:ascii="Times New Roman" w:hAnsi="Times New Roman" w:cs="Times New Roman"/>
          <w:sz w:val="18"/>
          <w:szCs w:val="18"/>
        </w:rPr>
        <w:t>THORChain</w:t>
      </w:r>
      <w:proofErr w:type="spellEnd"/>
      <w:r w:rsidRPr="00AF531A">
        <w:rPr>
          <w:rFonts w:ascii="Times New Roman" w:hAnsi="Times New Roman" w:cs="Times New Roman"/>
          <w:sz w:val="18"/>
          <w:szCs w:val="18"/>
        </w:rPr>
        <w:t>, LRC-</w:t>
      </w:r>
      <w:r w:rsidR="00233DAE">
        <w:rPr>
          <w:rFonts w:ascii="Times New Roman" w:hAnsi="Times New Roman" w:cs="Times New Roman"/>
          <w:sz w:val="18"/>
          <w:szCs w:val="18"/>
        </w:rPr>
        <w:t xml:space="preserve"> </w:t>
      </w:r>
      <w:proofErr w:type="spellStart"/>
      <w:proofErr w:type="gramStart"/>
      <w:r w:rsidRPr="00AF531A">
        <w:rPr>
          <w:rFonts w:ascii="Times New Roman" w:hAnsi="Times New Roman" w:cs="Times New Roman"/>
          <w:sz w:val="18"/>
          <w:szCs w:val="18"/>
        </w:rPr>
        <w:t>Loopring</w:t>
      </w:r>
      <w:proofErr w:type="spellEnd"/>
      <w:r w:rsidRPr="00AF531A">
        <w:rPr>
          <w:rFonts w:ascii="Times New Roman" w:hAnsi="Times New Roman" w:cs="Times New Roman"/>
          <w:sz w:val="18"/>
          <w:szCs w:val="18"/>
        </w:rPr>
        <w:t> ,</w:t>
      </w:r>
      <w:proofErr w:type="gramEnd"/>
      <w:r w:rsidRPr="00AF531A">
        <w:rPr>
          <w:rFonts w:ascii="Times New Roman" w:hAnsi="Times New Roman" w:cs="Times New Roman"/>
          <w:sz w:val="18"/>
          <w:szCs w:val="18"/>
        </w:rPr>
        <w:t xml:space="preserve"> GNO-</w:t>
      </w:r>
      <w:r w:rsidR="00233DAE">
        <w:rPr>
          <w:rFonts w:ascii="Times New Roman" w:hAnsi="Times New Roman" w:cs="Times New Roman"/>
          <w:sz w:val="18"/>
          <w:szCs w:val="18"/>
        </w:rPr>
        <w:t xml:space="preserve"> </w:t>
      </w:r>
      <w:r w:rsidRPr="00AF531A">
        <w:rPr>
          <w:rFonts w:ascii="Times New Roman" w:hAnsi="Times New Roman" w:cs="Times New Roman"/>
          <w:sz w:val="18"/>
          <w:szCs w:val="18"/>
        </w:rPr>
        <w:t>Gnosis, BNB-</w:t>
      </w:r>
      <w:r w:rsidR="00233DAE">
        <w:rPr>
          <w:rFonts w:ascii="Times New Roman" w:hAnsi="Times New Roman" w:cs="Times New Roman"/>
          <w:sz w:val="18"/>
          <w:szCs w:val="18"/>
        </w:rPr>
        <w:t xml:space="preserve"> </w:t>
      </w:r>
      <w:proofErr w:type="spellStart"/>
      <w:r w:rsidRPr="00AF531A">
        <w:rPr>
          <w:rFonts w:ascii="Times New Roman" w:hAnsi="Times New Roman" w:cs="Times New Roman"/>
          <w:sz w:val="18"/>
          <w:szCs w:val="18"/>
        </w:rPr>
        <w:t>Binance</w:t>
      </w:r>
      <w:proofErr w:type="spellEnd"/>
      <w:r w:rsidRPr="00AF531A">
        <w:rPr>
          <w:rFonts w:ascii="Times New Roman" w:hAnsi="Times New Roman" w:cs="Times New Roman"/>
          <w:sz w:val="18"/>
          <w:szCs w:val="18"/>
        </w:rPr>
        <w:t xml:space="preserve"> Coin, LEO-</w:t>
      </w:r>
      <w:r w:rsidR="00233DAE">
        <w:rPr>
          <w:rFonts w:ascii="Times New Roman" w:hAnsi="Times New Roman" w:cs="Times New Roman"/>
          <w:sz w:val="18"/>
          <w:szCs w:val="18"/>
        </w:rPr>
        <w:t xml:space="preserve"> </w:t>
      </w:r>
      <w:r w:rsidRPr="00AF531A">
        <w:rPr>
          <w:rFonts w:ascii="Times New Roman" w:hAnsi="Times New Roman" w:cs="Times New Roman"/>
          <w:sz w:val="18"/>
          <w:szCs w:val="18"/>
        </w:rPr>
        <w:t>UNUS SED LEO, FTT-</w:t>
      </w:r>
      <w:r w:rsidR="00233DAE">
        <w:rPr>
          <w:rFonts w:ascii="Times New Roman" w:hAnsi="Times New Roman" w:cs="Times New Roman"/>
          <w:sz w:val="18"/>
          <w:szCs w:val="18"/>
        </w:rPr>
        <w:t xml:space="preserve"> </w:t>
      </w:r>
      <w:r w:rsidRPr="00AF531A">
        <w:rPr>
          <w:rFonts w:ascii="Times New Roman" w:hAnsi="Times New Roman" w:cs="Times New Roman"/>
          <w:sz w:val="18"/>
          <w:szCs w:val="18"/>
        </w:rPr>
        <w:t>FTX Token, BTC-</w:t>
      </w:r>
      <w:r w:rsidR="00233DAE">
        <w:rPr>
          <w:rFonts w:ascii="Times New Roman" w:hAnsi="Times New Roman" w:cs="Times New Roman"/>
          <w:sz w:val="18"/>
          <w:szCs w:val="18"/>
        </w:rPr>
        <w:t xml:space="preserve"> </w:t>
      </w:r>
      <w:r w:rsidRPr="00AF531A">
        <w:rPr>
          <w:rFonts w:ascii="Times New Roman" w:hAnsi="Times New Roman" w:cs="Times New Roman"/>
          <w:sz w:val="18"/>
          <w:szCs w:val="18"/>
        </w:rPr>
        <w:t>Bitcoin.</w:t>
      </w:r>
    </w:p>
    <w:p w14:paraId="65C1F8A2" w14:textId="0BA507F0" w:rsidR="004F242A" w:rsidRPr="008E7B4C" w:rsidRDefault="004F242A" w:rsidP="004F242A">
      <w:pPr>
        <w:rPr>
          <w:rFonts w:ascii="Times New Roman" w:hAnsi="Times New Roman" w:cs="Times New Roman"/>
        </w:rPr>
      </w:pPr>
      <w:r w:rsidRPr="008E7B4C">
        <w:rPr>
          <w:rFonts w:ascii="Times New Roman" w:hAnsi="Times New Roman" w:cs="Times New Roman"/>
        </w:rPr>
        <w:t>Table A3</w:t>
      </w:r>
      <w:r>
        <w:rPr>
          <w:rFonts w:ascii="Times New Roman" w:hAnsi="Times New Roman" w:cs="Times New Roman"/>
        </w:rPr>
        <w:t>.</w:t>
      </w:r>
      <w:r w:rsidRPr="008E7B4C">
        <w:rPr>
          <w:rFonts w:ascii="Times New Roman" w:hAnsi="Times New Roman" w:cs="Times New Roman"/>
          <w:sz w:val="24"/>
          <w:szCs w:val="24"/>
        </w:rPr>
        <w:t xml:space="preserve"> </w:t>
      </w:r>
      <w:r w:rsidRPr="009D49D1">
        <w:rPr>
          <w:rFonts w:ascii="Times New Roman" w:hAnsi="Times New Roman" w:cs="Times New Roman"/>
          <w:sz w:val="24"/>
          <w:szCs w:val="24"/>
        </w:rPr>
        <w:t xml:space="preserve">Static return spillover at </w:t>
      </w:r>
      <w:r w:rsidR="006B43E8">
        <w:rPr>
          <w:rFonts w:ascii="Times New Roman" w:hAnsi="Times New Roman" w:cs="Times New Roman"/>
          <w:sz w:val="24"/>
          <w:szCs w:val="24"/>
        </w:rPr>
        <w:t xml:space="preserve">the </w:t>
      </w:r>
      <w:r w:rsidRPr="009D49D1">
        <w:rPr>
          <w:rFonts w:ascii="Times New Roman" w:hAnsi="Times New Roman" w:cs="Times New Roman"/>
          <w:sz w:val="24"/>
          <w:szCs w:val="24"/>
        </w:rPr>
        <w:t>extreme lower quantile</w:t>
      </w:r>
      <w:r>
        <w:rPr>
          <w:rFonts w:ascii="Times New Roman" w:hAnsi="Times New Roman" w:cs="Times New Roman"/>
          <w:sz w:val="24"/>
          <w:szCs w:val="24"/>
        </w:rPr>
        <w:t xml:space="preserve"> </w:t>
      </w:r>
      <w:r w:rsidRPr="009D49D1">
        <w:rPr>
          <w:rFonts w:ascii="Times New Roman" w:hAnsi="Times New Roman" w:cs="Times New Roman"/>
          <w:sz w:val="24"/>
          <w:szCs w:val="24"/>
        </w:rPr>
        <w:t>(Q=0.05)</w:t>
      </w:r>
      <w:r>
        <w:rPr>
          <w:rFonts w:ascii="Times New Roman" w:hAnsi="Times New Roman" w:cs="Times New Roman"/>
          <w:sz w:val="24"/>
          <w:szCs w:val="24"/>
        </w:rPr>
        <w:t xml:space="preserve"> </w:t>
      </w:r>
      <w:r>
        <w:rPr>
          <w:rFonts w:ascii="Times New Roman" w:hAnsi="Times New Roman" w:cs="Times New Roman"/>
        </w:rPr>
        <w:t xml:space="preserve">[Sample period: </w:t>
      </w:r>
      <w:r w:rsidR="006B43E8">
        <w:rPr>
          <w:rFonts w:ascii="Times New Roman" w:hAnsi="Times New Roman" w:cs="Times New Roman"/>
        </w:rPr>
        <w:t xml:space="preserve">31 </w:t>
      </w:r>
      <w:r>
        <w:rPr>
          <w:rFonts w:ascii="Times New Roman" w:hAnsi="Times New Roman" w:cs="Times New Roman"/>
          <w:sz w:val="24"/>
          <w:szCs w:val="24"/>
        </w:rPr>
        <w:t xml:space="preserve">July2019 to </w:t>
      </w:r>
      <w:r w:rsidR="006B43E8">
        <w:rPr>
          <w:rFonts w:ascii="Times New Roman" w:hAnsi="Times New Roman" w:cs="Times New Roman"/>
          <w:sz w:val="24"/>
          <w:szCs w:val="24"/>
        </w:rPr>
        <w:t xml:space="preserve">30 </w:t>
      </w:r>
      <w:r>
        <w:rPr>
          <w:rFonts w:ascii="Times New Roman" w:hAnsi="Times New Roman" w:cs="Times New Roman"/>
          <w:sz w:val="24"/>
          <w:szCs w:val="24"/>
        </w:rPr>
        <w:t>January 2023]</w:t>
      </w:r>
    </w:p>
    <w:tbl>
      <w:tblPr>
        <w:tblW w:w="5000" w:type="pct"/>
        <w:tblBorders>
          <w:top w:val="single" w:sz="4" w:space="0" w:color="auto"/>
          <w:bottom w:val="single" w:sz="4" w:space="0" w:color="auto"/>
        </w:tblBorders>
        <w:tblLook w:val="04A0" w:firstRow="1" w:lastRow="0" w:firstColumn="1" w:lastColumn="0" w:noHBand="0" w:noVBand="1"/>
      </w:tblPr>
      <w:tblGrid>
        <w:gridCol w:w="860"/>
        <w:gridCol w:w="1213"/>
        <w:gridCol w:w="815"/>
        <w:gridCol w:w="666"/>
        <w:gridCol w:w="693"/>
        <w:gridCol w:w="669"/>
        <w:gridCol w:w="666"/>
        <w:gridCol w:w="766"/>
        <w:gridCol w:w="766"/>
        <w:gridCol w:w="666"/>
        <w:gridCol w:w="766"/>
        <w:gridCol w:w="766"/>
        <w:gridCol w:w="803"/>
        <w:gridCol w:w="766"/>
        <w:gridCol w:w="1213"/>
        <w:gridCol w:w="866"/>
      </w:tblGrid>
      <w:tr w:rsidR="00962CF0" w:rsidRPr="008E7B4C" w14:paraId="36A554FF" w14:textId="77777777" w:rsidTr="00682ED7">
        <w:trPr>
          <w:trHeight w:val="454"/>
        </w:trPr>
        <w:tc>
          <w:tcPr>
            <w:tcW w:w="417" w:type="pct"/>
            <w:tcBorders>
              <w:top w:val="single" w:sz="4" w:space="0" w:color="auto"/>
              <w:bottom w:val="single" w:sz="4" w:space="0" w:color="auto"/>
              <w:right w:val="nil"/>
            </w:tcBorders>
          </w:tcPr>
          <w:p w14:paraId="065197AA" w14:textId="77777777" w:rsidR="00962CF0" w:rsidRPr="00E359D7" w:rsidRDefault="00962CF0" w:rsidP="00E063A1">
            <w:pPr>
              <w:spacing w:after="0" w:line="240" w:lineRule="auto"/>
              <w:rPr>
                <w:rFonts w:ascii="Times New Roman" w:eastAsia="Times New Roman" w:hAnsi="Times New Roman" w:cs="Times New Roman"/>
                <w:sz w:val="24"/>
                <w:szCs w:val="24"/>
              </w:rPr>
            </w:pPr>
          </w:p>
        </w:tc>
        <w:tc>
          <w:tcPr>
            <w:tcW w:w="417" w:type="pct"/>
            <w:tcBorders>
              <w:top w:val="single" w:sz="4" w:space="0" w:color="auto"/>
              <w:left w:val="nil"/>
              <w:bottom w:val="single" w:sz="4" w:space="0" w:color="auto"/>
              <w:right w:val="single" w:sz="4" w:space="0" w:color="auto"/>
            </w:tcBorders>
            <w:shd w:val="clear" w:color="auto" w:fill="auto"/>
            <w:noWrap/>
            <w:vAlign w:val="center"/>
          </w:tcPr>
          <w:p w14:paraId="5CD1A7A5" w14:textId="6C39F3F9" w:rsidR="00962CF0" w:rsidRPr="00E359D7" w:rsidRDefault="00962CF0" w:rsidP="00E063A1">
            <w:pPr>
              <w:spacing w:after="0" w:line="240" w:lineRule="auto"/>
              <w:rPr>
                <w:rFonts w:ascii="Times New Roman" w:eastAsia="Times New Roman" w:hAnsi="Times New Roman" w:cs="Times New Roman"/>
                <w:sz w:val="24"/>
                <w:szCs w:val="24"/>
              </w:rPr>
            </w:pPr>
          </w:p>
        </w:tc>
        <w:tc>
          <w:tcPr>
            <w:tcW w:w="83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0B83A3E" w14:textId="62CB700E" w:rsidR="00962CF0" w:rsidRPr="00E359D7" w:rsidRDefault="00962CF0" w:rsidP="00962CF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DEX tokens</w:t>
            </w:r>
          </w:p>
        </w:tc>
        <w:tc>
          <w:tcPr>
            <w:tcW w:w="84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B615A70" w14:textId="09650A96" w:rsidR="00962CF0" w:rsidRPr="00E359D7" w:rsidRDefault="00962CF0" w:rsidP="00962CF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CEX tokens</w:t>
            </w:r>
          </w:p>
        </w:tc>
        <w:tc>
          <w:tcPr>
            <w:tcW w:w="282" w:type="pct"/>
            <w:tcBorders>
              <w:top w:val="single" w:sz="4" w:space="0" w:color="auto"/>
              <w:left w:val="single" w:sz="4" w:space="0" w:color="auto"/>
              <w:bottom w:val="single" w:sz="4" w:space="0" w:color="auto"/>
            </w:tcBorders>
            <w:shd w:val="clear" w:color="auto" w:fill="auto"/>
            <w:noWrap/>
            <w:vAlign w:val="center"/>
          </w:tcPr>
          <w:p w14:paraId="40D7556D" w14:textId="77777777" w:rsidR="00962CF0" w:rsidRPr="00E359D7" w:rsidRDefault="00962CF0" w:rsidP="00E063A1">
            <w:pPr>
              <w:spacing w:after="0" w:line="240" w:lineRule="auto"/>
              <w:rPr>
                <w:rFonts w:ascii="Times New Roman" w:eastAsia="Times New Roman" w:hAnsi="Times New Roman" w:cs="Times New Roman"/>
                <w:color w:val="000000"/>
              </w:rPr>
            </w:pPr>
          </w:p>
        </w:tc>
        <w:tc>
          <w:tcPr>
            <w:tcW w:w="279" w:type="pct"/>
            <w:tcBorders>
              <w:top w:val="single" w:sz="4" w:space="0" w:color="auto"/>
              <w:bottom w:val="single" w:sz="4" w:space="0" w:color="auto"/>
            </w:tcBorders>
            <w:shd w:val="clear" w:color="auto" w:fill="auto"/>
            <w:noWrap/>
            <w:vAlign w:val="center"/>
          </w:tcPr>
          <w:p w14:paraId="1FF50F2A" w14:textId="77777777" w:rsidR="00962CF0" w:rsidRPr="00E359D7" w:rsidRDefault="00962CF0" w:rsidP="00E063A1">
            <w:pPr>
              <w:spacing w:after="0" w:line="240" w:lineRule="auto"/>
              <w:rPr>
                <w:rFonts w:ascii="Times New Roman" w:eastAsia="Times New Roman" w:hAnsi="Times New Roman" w:cs="Times New Roman"/>
                <w:color w:val="000000"/>
              </w:rPr>
            </w:pPr>
          </w:p>
        </w:tc>
        <w:tc>
          <w:tcPr>
            <w:tcW w:w="282" w:type="pct"/>
            <w:tcBorders>
              <w:top w:val="single" w:sz="4" w:space="0" w:color="auto"/>
              <w:bottom w:val="single" w:sz="4" w:space="0" w:color="auto"/>
            </w:tcBorders>
            <w:shd w:val="clear" w:color="auto" w:fill="auto"/>
            <w:noWrap/>
            <w:vAlign w:val="center"/>
          </w:tcPr>
          <w:p w14:paraId="17538C90" w14:textId="77777777" w:rsidR="00962CF0" w:rsidRPr="00E359D7" w:rsidRDefault="00962CF0" w:rsidP="00E063A1">
            <w:pPr>
              <w:spacing w:after="0" w:line="240" w:lineRule="auto"/>
              <w:rPr>
                <w:rFonts w:ascii="Times New Roman" w:eastAsia="Times New Roman" w:hAnsi="Times New Roman" w:cs="Times New Roman"/>
                <w:color w:val="000000"/>
              </w:rPr>
            </w:pPr>
          </w:p>
        </w:tc>
        <w:tc>
          <w:tcPr>
            <w:tcW w:w="282" w:type="pct"/>
            <w:tcBorders>
              <w:top w:val="single" w:sz="4" w:space="0" w:color="auto"/>
              <w:bottom w:val="single" w:sz="4" w:space="0" w:color="auto"/>
            </w:tcBorders>
            <w:shd w:val="clear" w:color="auto" w:fill="auto"/>
            <w:noWrap/>
            <w:vAlign w:val="center"/>
          </w:tcPr>
          <w:p w14:paraId="7B441CAB" w14:textId="77777777" w:rsidR="00962CF0" w:rsidRPr="00E359D7" w:rsidRDefault="00962CF0" w:rsidP="00E063A1">
            <w:pPr>
              <w:spacing w:after="0" w:line="240" w:lineRule="auto"/>
              <w:rPr>
                <w:rFonts w:ascii="Times New Roman" w:eastAsia="Times New Roman" w:hAnsi="Times New Roman" w:cs="Times New Roman"/>
                <w:color w:val="000000"/>
              </w:rPr>
            </w:pPr>
          </w:p>
        </w:tc>
        <w:tc>
          <w:tcPr>
            <w:tcW w:w="282" w:type="pct"/>
            <w:tcBorders>
              <w:top w:val="single" w:sz="4" w:space="0" w:color="auto"/>
              <w:bottom w:val="single" w:sz="4" w:space="0" w:color="auto"/>
            </w:tcBorders>
            <w:shd w:val="clear" w:color="auto" w:fill="auto"/>
            <w:noWrap/>
            <w:vAlign w:val="center"/>
          </w:tcPr>
          <w:p w14:paraId="7F0CBA56" w14:textId="77777777" w:rsidR="00962CF0" w:rsidRPr="00E359D7" w:rsidRDefault="00962CF0" w:rsidP="00E063A1">
            <w:pPr>
              <w:spacing w:after="0" w:line="240" w:lineRule="auto"/>
              <w:rPr>
                <w:rFonts w:ascii="Times New Roman" w:eastAsia="Times New Roman" w:hAnsi="Times New Roman" w:cs="Times New Roman"/>
                <w:color w:val="000000"/>
              </w:rPr>
            </w:pPr>
          </w:p>
        </w:tc>
        <w:tc>
          <w:tcPr>
            <w:tcW w:w="282" w:type="pct"/>
            <w:tcBorders>
              <w:top w:val="single" w:sz="4" w:space="0" w:color="auto"/>
              <w:bottom w:val="single" w:sz="4" w:space="0" w:color="auto"/>
            </w:tcBorders>
            <w:shd w:val="clear" w:color="auto" w:fill="auto"/>
            <w:noWrap/>
            <w:vAlign w:val="center"/>
          </w:tcPr>
          <w:p w14:paraId="26557CF0" w14:textId="77777777" w:rsidR="00962CF0" w:rsidRPr="00E359D7" w:rsidRDefault="00962CF0" w:rsidP="00E063A1">
            <w:pPr>
              <w:spacing w:after="0" w:line="240" w:lineRule="auto"/>
              <w:rPr>
                <w:rFonts w:ascii="Times New Roman" w:eastAsia="Times New Roman" w:hAnsi="Times New Roman" w:cs="Times New Roman"/>
                <w:color w:val="000000"/>
              </w:rPr>
            </w:pPr>
          </w:p>
        </w:tc>
        <w:tc>
          <w:tcPr>
            <w:tcW w:w="417" w:type="pct"/>
            <w:tcBorders>
              <w:top w:val="single" w:sz="4" w:space="0" w:color="auto"/>
              <w:bottom w:val="single" w:sz="4" w:space="0" w:color="auto"/>
            </w:tcBorders>
            <w:shd w:val="clear" w:color="auto" w:fill="auto"/>
            <w:noWrap/>
            <w:vAlign w:val="center"/>
          </w:tcPr>
          <w:p w14:paraId="38A6DB3B" w14:textId="77777777" w:rsidR="00962CF0" w:rsidRPr="00E359D7" w:rsidRDefault="00962CF0" w:rsidP="00E063A1">
            <w:pPr>
              <w:spacing w:after="0" w:line="240" w:lineRule="auto"/>
              <w:rPr>
                <w:rFonts w:ascii="Times New Roman" w:eastAsia="Times New Roman" w:hAnsi="Times New Roman" w:cs="Times New Roman"/>
                <w:color w:val="000000"/>
              </w:rPr>
            </w:pPr>
          </w:p>
        </w:tc>
        <w:tc>
          <w:tcPr>
            <w:tcW w:w="379" w:type="pct"/>
            <w:tcBorders>
              <w:top w:val="single" w:sz="4" w:space="0" w:color="auto"/>
              <w:bottom w:val="single" w:sz="4" w:space="0" w:color="auto"/>
            </w:tcBorders>
            <w:shd w:val="clear" w:color="auto" w:fill="auto"/>
            <w:noWrap/>
            <w:vAlign w:val="center"/>
          </w:tcPr>
          <w:p w14:paraId="74352A51" w14:textId="77777777" w:rsidR="00962CF0" w:rsidRPr="00E359D7" w:rsidRDefault="00962CF0" w:rsidP="00E063A1">
            <w:pPr>
              <w:spacing w:after="0" w:line="240" w:lineRule="auto"/>
              <w:rPr>
                <w:rFonts w:ascii="Times New Roman" w:eastAsia="Times New Roman" w:hAnsi="Times New Roman" w:cs="Times New Roman"/>
                <w:color w:val="000000"/>
              </w:rPr>
            </w:pPr>
          </w:p>
        </w:tc>
      </w:tr>
      <w:tr w:rsidR="00962CF0" w:rsidRPr="008E7B4C" w14:paraId="68126DFA" w14:textId="77777777" w:rsidTr="00682ED7">
        <w:trPr>
          <w:trHeight w:val="454"/>
        </w:trPr>
        <w:tc>
          <w:tcPr>
            <w:tcW w:w="417" w:type="pct"/>
            <w:tcBorders>
              <w:top w:val="single" w:sz="4" w:space="0" w:color="auto"/>
              <w:bottom w:val="single" w:sz="4" w:space="0" w:color="auto"/>
              <w:right w:val="nil"/>
            </w:tcBorders>
          </w:tcPr>
          <w:p w14:paraId="7CF6456F" w14:textId="77777777" w:rsidR="00962CF0" w:rsidRPr="00E359D7" w:rsidRDefault="00962CF0" w:rsidP="00E063A1">
            <w:pPr>
              <w:spacing w:after="0" w:line="240" w:lineRule="auto"/>
              <w:rPr>
                <w:rFonts w:ascii="Times New Roman" w:eastAsia="Times New Roman" w:hAnsi="Times New Roman" w:cs="Times New Roman"/>
                <w:sz w:val="24"/>
                <w:szCs w:val="24"/>
              </w:rPr>
            </w:pP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14:paraId="5D6C5A42" w14:textId="03340025" w:rsidR="00962CF0" w:rsidRPr="00E359D7" w:rsidRDefault="00962CF0" w:rsidP="00E063A1">
            <w:pPr>
              <w:spacing w:after="0" w:line="240" w:lineRule="auto"/>
              <w:rPr>
                <w:rFonts w:ascii="Times New Roman" w:eastAsia="Times New Roman" w:hAnsi="Times New Roman" w:cs="Times New Roman"/>
                <w:sz w:val="24"/>
                <w:szCs w:val="24"/>
              </w:rPr>
            </w:pPr>
          </w:p>
        </w:tc>
        <w:tc>
          <w:tcPr>
            <w:tcW w:w="280" w:type="pct"/>
            <w:tcBorders>
              <w:top w:val="single" w:sz="4" w:space="0" w:color="auto"/>
              <w:left w:val="single" w:sz="4" w:space="0" w:color="auto"/>
              <w:bottom w:val="single" w:sz="4" w:space="0" w:color="auto"/>
            </w:tcBorders>
            <w:shd w:val="clear" w:color="auto" w:fill="auto"/>
            <w:noWrap/>
            <w:vAlign w:val="center"/>
            <w:hideMark/>
          </w:tcPr>
          <w:p w14:paraId="20CF7609" w14:textId="77777777" w:rsidR="00962CF0" w:rsidRPr="00E359D7" w:rsidRDefault="00962CF0"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RUNE</w:t>
            </w:r>
          </w:p>
        </w:tc>
        <w:tc>
          <w:tcPr>
            <w:tcW w:w="279" w:type="pct"/>
            <w:tcBorders>
              <w:top w:val="single" w:sz="4" w:space="0" w:color="auto"/>
              <w:bottom w:val="single" w:sz="4" w:space="0" w:color="auto"/>
            </w:tcBorders>
            <w:shd w:val="clear" w:color="auto" w:fill="auto"/>
            <w:noWrap/>
            <w:vAlign w:val="center"/>
            <w:hideMark/>
          </w:tcPr>
          <w:p w14:paraId="51F00BDD" w14:textId="77777777" w:rsidR="00962CF0" w:rsidRPr="00E359D7" w:rsidRDefault="00962CF0"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LRC</w:t>
            </w:r>
          </w:p>
        </w:tc>
        <w:tc>
          <w:tcPr>
            <w:tcW w:w="279" w:type="pct"/>
            <w:tcBorders>
              <w:top w:val="single" w:sz="4" w:space="0" w:color="auto"/>
              <w:bottom w:val="single" w:sz="4" w:space="0" w:color="auto"/>
              <w:right w:val="single" w:sz="4" w:space="0" w:color="auto"/>
            </w:tcBorders>
            <w:shd w:val="clear" w:color="auto" w:fill="auto"/>
            <w:noWrap/>
            <w:vAlign w:val="center"/>
            <w:hideMark/>
          </w:tcPr>
          <w:p w14:paraId="0103F9E7" w14:textId="77777777" w:rsidR="00962CF0" w:rsidRPr="00E359D7" w:rsidRDefault="00962CF0"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GNO</w:t>
            </w:r>
          </w:p>
        </w:tc>
        <w:tc>
          <w:tcPr>
            <w:tcW w:w="279" w:type="pct"/>
            <w:tcBorders>
              <w:top w:val="single" w:sz="4" w:space="0" w:color="auto"/>
              <w:left w:val="single" w:sz="4" w:space="0" w:color="auto"/>
              <w:bottom w:val="single" w:sz="4" w:space="0" w:color="auto"/>
            </w:tcBorders>
            <w:shd w:val="clear" w:color="auto" w:fill="auto"/>
            <w:noWrap/>
            <w:vAlign w:val="center"/>
            <w:hideMark/>
          </w:tcPr>
          <w:p w14:paraId="1096B384" w14:textId="77777777" w:rsidR="00962CF0" w:rsidRPr="00E359D7" w:rsidRDefault="00962CF0"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BNB</w:t>
            </w:r>
          </w:p>
        </w:tc>
        <w:tc>
          <w:tcPr>
            <w:tcW w:w="279" w:type="pct"/>
            <w:tcBorders>
              <w:top w:val="single" w:sz="4" w:space="0" w:color="auto"/>
              <w:bottom w:val="single" w:sz="4" w:space="0" w:color="auto"/>
            </w:tcBorders>
            <w:shd w:val="clear" w:color="auto" w:fill="auto"/>
            <w:noWrap/>
            <w:vAlign w:val="center"/>
            <w:hideMark/>
          </w:tcPr>
          <w:p w14:paraId="007182F5" w14:textId="77777777" w:rsidR="00962CF0" w:rsidRPr="00E359D7" w:rsidRDefault="00962CF0"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LEO</w:t>
            </w:r>
          </w:p>
        </w:tc>
        <w:tc>
          <w:tcPr>
            <w:tcW w:w="282" w:type="pct"/>
            <w:tcBorders>
              <w:top w:val="single" w:sz="4" w:space="0" w:color="auto"/>
              <w:bottom w:val="single" w:sz="4" w:space="0" w:color="auto"/>
              <w:right w:val="single" w:sz="4" w:space="0" w:color="auto"/>
            </w:tcBorders>
            <w:shd w:val="clear" w:color="auto" w:fill="auto"/>
            <w:noWrap/>
            <w:vAlign w:val="center"/>
            <w:hideMark/>
          </w:tcPr>
          <w:p w14:paraId="1DB9B23B" w14:textId="77777777" w:rsidR="00962CF0" w:rsidRPr="00E359D7" w:rsidRDefault="00962CF0"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FTT</w:t>
            </w:r>
          </w:p>
        </w:tc>
        <w:tc>
          <w:tcPr>
            <w:tcW w:w="282" w:type="pct"/>
            <w:tcBorders>
              <w:top w:val="single" w:sz="4" w:space="0" w:color="auto"/>
              <w:left w:val="single" w:sz="4" w:space="0" w:color="auto"/>
              <w:bottom w:val="single" w:sz="4" w:space="0" w:color="auto"/>
            </w:tcBorders>
            <w:shd w:val="clear" w:color="auto" w:fill="auto"/>
            <w:noWrap/>
            <w:vAlign w:val="center"/>
            <w:hideMark/>
          </w:tcPr>
          <w:p w14:paraId="77F74C9F" w14:textId="77777777" w:rsidR="00962CF0" w:rsidRPr="00E359D7" w:rsidRDefault="00962CF0"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Gold</w:t>
            </w:r>
          </w:p>
        </w:tc>
        <w:tc>
          <w:tcPr>
            <w:tcW w:w="279" w:type="pct"/>
            <w:tcBorders>
              <w:top w:val="single" w:sz="4" w:space="0" w:color="auto"/>
              <w:bottom w:val="single" w:sz="4" w:space="0" w:color="auto"/>
            </w:tcBorders>
            <w:shd w:val="clear" w:color="auto" w:fill="auto"/>
            <w:noWrap/>
            <w:vAlign w:val="center"/>
            <w:hideMark/>
          </w:tcPr>
          <w:p w14:paraId="654372E2" w14:textId="77777777" w:rsidR="00962CF0" w:rsidRPr="00E359D7" w:rsidRDefault="00962CF0"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Oil</w:t>
            </w:r>
          </w:p>
        </w:tc>
        <w:tc>
          <w:tcPr>
            <w:tcW w:w="282" w:type="pct"/>
            <w:tcBorders>
              <w:top w:val="single" w:sz="4" w:space="0" w:color="auto"/>
              <w:bottom w:val="single" w:sz="4" w:space="0" w:color="auto"/>
            </w:tcBorders>
            <w:shd w:val="clear" w:color="auto" w:fill="auto"/>
            <w:noWrap/>
            <w:vAlign w:val="center"/>
            <w:hideMark/>
          </w:tcPr>
          <w:p w14:paraId="679B4382" w14:textId="77777777" w:rsidR="00962CF0" w:rsidRPr="00E359D7" w:rsidRDefault="00962CF0"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BTC</w:t>
            </w:r>
          </w:p>
        </w:tc>
        <w:tc>
          <w:tcPr>
            <w:tcW w:w="282" w:type="pct"/>
            <w:tcBorders>
              <w:top w:val="single" w:sz="4" w:space="0" w:color="auto"/>
              <w:bottom w:val="single" w:sz="4" w:space="0" w:color="auto"/>
            </w:tcBorders>
            <w:shd w:val="clear" w:color="auto" w:fill="auto"/>
            <w:noWrap/>
            <w:vAlign w:val="center"/>
            <w:hideMark/>
          </w:tcPr>
          <w:p w14:paraId="4A79B249" w14:textId="77777777" w:rsidR="00962CF0" w:rsidRPr="00E359D7" w:rsidRDefault="00962CF0"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REIT</w:t>
            </w:r>
          </w:p>
        </w:tc>
        <w:tc>
          <w:tcPr>
            <w:tcW w:w="282" w:type="pct"/>
            <w:tcBorders>
              <w:top w:val="single" w:sz="4" w:space="0" w:color="auto"/>
              <w:bottom w:val="single" w:sz="4" w:space="0" w:color="auto"/>
            </w:tcBorders>
            <w:shd w:val="clear" w:color="auto" w:fill="auto"/>
            <w:noWrap/>
            <w:vAlign w:val="center"/>
            <w:hideMark/>
          </w:tcPr>
          <w:p w14:paraId="39B96F1D" w14:textId="77777777" w:rsidR="00962CF0" w:rsidRPr="00E359D7" w:rsidRDefault="00962CF0"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Equity</w:t>
            </w:r>
          </w:p>
        </w:tc>
        <w:tc>
          <w:tcPr>
            <w:tcW w:w="282" w:type="pct"/>
            <w:tcBorders>
              <w:top w:val="single" w:sz="4" w:space="0" w:color="auto"/>
              <w:bottom w:val="single" w:sz="4" w:space="0" w:color="auto"/>
            </w:tcBorders>
            <w:shd w:val="clear" w:color="auto" w:fill="auto"/>
            <w:noWrap/>
            <w:vAlign w:val="center"/>
            <w:hideMark/>
          </w:tcPr>
          <w:p w14:paraId="19E88826" w14:textId="77777777" w:rsidR="00962CF0" w:rsidRPr="00E359D7" w:rsidRDefault="00962CF0"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Bond</w:t>
            </w:r>
          </w:p>
        </w:tc>
        <w:tc>
          <w:tcPr>
            <w:tcW w:w="417" w:type="pct"/>
            <w:tcBorders>
              <w:top w:val="single" w:sz="4" w:space="0" w:color="auto"/>
              <w:bottom w:val="single" w:sz="4" w:space="0" w:color="auto"/>
            </w:tcBorders>
            <w:shd w:val="clear" w:color="auto" w:fill="auto"/>
            <w:noWrap/>
            <w:vAlign w:val="center"/>
            <w:hideMark/>
          </w:tcPr>
          <w:p w14:paraId="08BBE0C4" w14:textId="77777777" w:rsidR="00962CF0" w:rsidRPr="00E359D7" w:rsidRDefault="00962CF0" w:rsidP="00E063A1">
            <w:pPr>
              <w:spacing w:after="0" w:line="240" w:lineRule="auto"/>
              <w:rPr>
                <w:rFonts w:ascii="Times New Roman" w:eastAsia="Times New Roman" w:hAnsi="Times New Roman" w:cs="Times New Roman"/>
                <w:color w:val="000000"/>
              </w:rPr>
            </w:pPr>
            <w:proofErr w:type="spellStart"/>
            <w:r w:rsidRPr="00E359D7">
              <w:rPr>
                <w:rFonts w:ascii="Times New Roman" w:eastAsia="Times New Roman" w:hAnsi="Times New Roman" w:cs="Times New Roman"/>
                <w:color w:val="000000"/>
              </w:rPr>
              <w:t>USD.Index</w:t>
            </w:r>
            <w:proofErr w:type="spellEnd"/>
          </w:p>
        </w:tc>
        <w:tc>
          <w:tcPr>
            <w:tcW w:w="379" w:type="pct"/>
            <w:tcBorders>
              <w:top w:val="single" w:sz="4" w:space="0" w:color="auto"/>
              <w:bottom w:val="single" w:sz="4" w:space="0" w:color="auto"/>
            </w:tcBorders>
            <w:shd w:val="clear" w:color="auto" w:fill="auto"/>
            <w:noWrap/>
            <w:vAlign w:val="center"/>
            <w:hideMark/>
          </w:tcPr>
          <w:p w14:paraId="2AAA7334" w14:textId="1CD3D73F" w:rsidR="00962CF0" w:rsidRPr="00E359D7" w:rsidRDefault="00CC0E8D" w:rsidP="00E063A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From</w:t>
            </w:r>
          </w:p>
        </w:tc>
      </w:tr>
      <w:tr w:rsidR="00962CF0" w:rsidRPr="008E7B4C" w14:paraId="4F5DBE3E" w14:textId="77777777" w:rsidTr="00682ED7">
        <w:trPr>
          <w:trHeight w:val="454"/>
        </w:trPr>
        <w:tc>
          <w:tcPr>
            <w:tcW w:w="417" w:type="pct"/>
            <w:vMerge w:val="restart"/>
            <w:tcBorders>
              <w:top w:val="single" w:sz="4" w:space="0" w:color="auto"/>
              <w:right w:val="nil"/>
            </w:tcBorders>
            <w:textDirection w:val="btLr"/>
          </w:tcPr>
          <w:p w14:paraId="41E285E0" w14:textId="178F8935" w:rsidR="00962CF0" w:rsidRPr="00E359D7" w:rsidRDefault="00962CF0" w:rsidP="00962CF0">
            <w:pPr>
              <w:spacing w:after="0" w:line="240" w:lineRule="auto"/>
              <w:ind w:left="113" w:right="113"/>
              <w:rPr>
                <w:rFonts w:ascii="Times New Roman" w:eastAsia="Times New Roman" w:hAnsi="Times New Roman" w:cs="Times New Roman"/>
                <w:color w:val="000000"/>
              </w:rPr>
            </w:pPr>
            <w:r>
              <w:rPr>
                <w:rFonts w:ascii="Times New Roman" w:eastAsia="Times New Roman" w:hAnsi="Times New Roman" w:cs="Times New Roman"/>
                <w:color w:val="000000"/>
              </w:rPr>
              <w:t>DEX tokens</w:t>
            </w:r>
          </w:p>
        </w:tc>
        <w:tc>
          <w:tcPr>
            <w:tcW w:w="417" w:type="pct"/>
            <w:tcBorders>
              <w:top w:val="single" w:sz="4" w:space="0" w:color="auto"/>
              <w:left w:val="nil"/>
              <w:bottom w:val="nil"/>
              <w:right w:val="single" w:sz="4" w:space="0" w:color="auto"/>
            </w:tcBorders>
            <w:shd w:val="clear" w:color="auto" w:fill="auto"/>
            <w:noWrap/>
            <w:vAlign w:val="center"/>
            <w:hideMark/>
          </w:tcPr>
          <w:p w14:paraId="2611F2BA" w14:textId="0ED2A3CC" w:rsidR="00962CF0" w:rsidRPr="00E359D7" w:rsidRDefault="00962CF0"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RUNE</w:t>
            </w:r>
          </w:p>
        </w:tc>
        <w:tc>
          <w:tcPr>
            <w:tcW w:w="280" w:type="pct"/>
            <w:tcBorders>
              <w:top w:val="single" w:sz="4" w:space="0" w:color="auto"/>
              <w:left w:val="single" w:sz="4" w:space="0" w:color="auto"/>
              <w:bottom w:val="nil"/>
            </w:tcBorders>
            <w:shd w:val="clear" w:color="auto" w:fill="auto"/>
            <w:noWrap/>
            <w:vAlign w:val="center"/>
            <w:hideMark/>
          </w:tcPr>
          <w:p w14:paraId="19999A6C"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9.36</w:t>
            </w:r>
          </w:p>
        </w:tc>
        <w:tc>
          <w:tcPr>
            <w:tcW w:w="279" w:type="pct"/>
            <w:tcBorders>
              <w:top w:val="single" w:sz="4" w:space="0" w:color="auto"/>
              <w:bottom w:val="nil"/>
            </w:tcBorders>
            <w:shd w:val="clear" w:color="auto" w:fill="auto"/>
            <w:noWrap/>
            <w:vAlign w:val="center"/>
            <w:hideMark/>
          </w:tcPr>
          <w:p w14:paraId="34C5D456"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7.18</w:t>
            </w:r>
          </w:p>
        </w:tc>
        <w:tc>
          <w:tcPr>
            <w:tcW w:w="279" w:type="pct"/>
            <w:tcBorders>
              <w:top w:val="single" w:sz="4" w:space="0" w:color="auto"/>
              <w:bottom w:val="nil"/>
              <w:right w:val="single" w:sz="4" w:space="0" w:color="auto"/>
            </w:tcBorders>
            <w:shd w:val="clear" w:color="auto" w:fill="auto"/>
            <w:noWrap/>
            <w:vAlign w:val="center"/>
            <w:hideMark/>
          </w:tcPr>
          <w:p w14:paraId="246FBC70"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7.59</w:t>
            </w:r>
          </w:p>
        </w:tc>
        <w:tc>
          <w:tcPr>
            <w:tcW w:w="279" w:type="pct"/>
            <w:tcBorders>
              <w:top w:val="single" w:sz="4" w:space="0" w:color="auto"/>
              <w:left w:val="single" w:sz="4" w:space="0" w:color="auto"/>
              <w:bottom w:val="nil"/>
            </w:tcBorders>
            <w:shd w:val="clear" w:color="auto" w:fill="auto"/>
            <w:noWrap/>
            <w:vAlign w:val="center"/>
            <w:hideMark/>
          </w:tcPr>
          <w:p w14:paraId="6D9CDC51"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7.62</w:t>
            </w:r>
          </w:p>
        </w:tc>
        <w:tc>
          <w:tcPr>
            <w:tcW w:w="279" w:type="pct"/>
            <w:tcBorders>
              <w:top w:val="single" w:sz="4" w:space="0" w:color="auto"/>
              <w:bottom w:val="nil"/>
            </w:tcBorders>
            <w:shd w:val="clear" w:color="auto" w:fill="auto"/>
            <w:noWrap/>
            <w:vAlign w:val="center"/>
            <w:hideMark/>
          </w:tcPr>
          <w:p w14:paraId="35BD0224"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7.54</w:t>
            </w:r>
          </w:p>
        </w:tc>
        <w:tc>
          <w:tcPr>
            <w:tcW w:w="282" w:type="pct"/>
            <w:tcBorders>
              <w:top w:val="single" w:sz="4" w:space="0" w:color="auto"/>
              <w:bottom w:val="nil"/>
              <w:right w:val="single" w:sz="4" w:space="0" w:color="auto"/>
            </w:tcBorders>
            <w:shd w:val="clear" w:color="auto" w:fill="auto"/>
            <w:noWrap/>
            <w:vAlign w:val="center"/>
            <w:hideMark/>
          </w:tcPr>
          <w:p w14:paraId="2F07FC84"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8.34</w:t>
            </w:r>
          </w:p>
        </w:tc>
        <w:tc>
          <w:tcPr>
            <w:tcW w:w="282" w:type="pct"/>
            <w:tcBorders>
              <w:top w:val="single" w:sz="4" w:space="0" w:color="auto"/>
              <w:left w:val="single" w:sz="4" w:space="0" w:color="auto"/>
              <w:bottom w:val="nil"/>
            </w:tcBorders>
            <w:shd w:val="clear" w:color="auto" w:fill="auto"/>
            <w:noWrap/>
            <w:vAlign w:val="center"/>
            <w:hideMark/>
          </w:tcPr>
          <w:p w14:paraId="606F1AD5"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7.39</w:t>
            </w:r>
          </w:p>
        </w:tc>
        <w:tc>
          <w:tcPr>
            <w:tcW w:w="279" w:type="pct"/>
            <w:tcBorders>
              <w:top w:val="single" w:sz="4" w:space="0" w:color="auto"/>
              <w:bottom w:val="nil"/>
            </w:tcBorders>
            <w:shd w:val="clear" w:color="auto" w:fill="auto"/>
            <w:noWrap/>
            <w:vAlign w:val="center"/>
            <w:hideMark/>
          </w:tcPr>
          <w:p w14:paraId="21655724"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6.64</w:t>
            </w:r>
          </w:p>
        </w:tc>
        <w:tc>
          <w:tcPr>
            <w:tcW w:w="282" w:type="pct"/>
            <w:tcBorders>
              <w:top w:val="single" w:sz="4" w:space="0" w:color="auto"/>
              <w:bottom w:val="nil"/>
            </w:tcBorders>
            <w:shd w:val="clear" w:color="auto" w:fill="auto"/>
            <w:noWrap/>
            <w:vAlign w:val="center"/>
            <w:hideMark/>
          </w:tcPr>
          <w:p w14:paraId="47CCB9EC"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8.12</w:t>
            </w:r>
          </w:p>
        </w:tc>
        <w:tc>
          <w:tcPr>
            <w:tcW w:w="282" w:type="pct"/>
            <w:tcBorders>
              <w:top w:val="single" w:sz="4" w:space="0" w:color="auto"/>
              <w:bottom w:val="nil"/>
            </w:tcBorders>
            <w:shd w:val="clear" w:color="auto" w:fill="auto"/>
            <w:noWrap/>
            <w:vAlign w:val="center"/>
            <w:hideMark/>
          </w:tcPr>
          <w:p w14:paraId="14057545"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7.56</w:t>
            </w:r>
          </w:p>
        </w:tc>
        <w:tc>
          <w:tcPr>
            <w:tcW w:w="282" w:type="pct"/>
            <w:tcBorders>
              <w:top w:val="single" w:sz="4" w:space="0" w:color="auto"/>
              <w:bottom w:val="nil"/>
            </w:tcBorders>
            <w:shd w:val="clear" w:color="auto" w:fill="auto"/>
            <w:noWrap/>
            <w:vAlign w:val="center"/>
            <w:hideMark/>
          </w:tcPr>
          <w:p w14:paraId="30708613"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8.01</w:t>
            </w:r>
          </w:p>
        </w:tc>
        <w:tc>
          <w:tcPr>
            <w:tcW w:w="282" w:type="pct"/>
            <w:tcBorders>
              <w:top w:val="single" w:sz="4" w:space="0" w:color="auto"/>
              <w:bottom w:val="nil"/>
            </w:tcBorders>
            <w:shd w:val="clear" w:color="auto" w:fill="auto"/>
            <w:noWrap/>
            <w:vAlign w:val="center"/>
            <w:hideMark/>
          </w:tcPr>
          <w:p w14:paraId="67D44E9B"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7.38</w:t>
            </w:r>
          </w:p>
        </w:tc>
        <w:tc>
          <w:tcPr>
            <w:tcW w:w="417" w:type="pct"/>
            <w:tcBorders>
              <w:top w:val="single" w:sz="4" w:space="0" w:color="auto"/>
              <w:bottom w:val="nil"/>
            </w:tcBorders>
            <w:shd w:val="clear" w:color="auto" w:fill="auto"/>
            <w:noWrap/>
            <w:vAlign w:val="center"/>
            <w:hideMark/>
          </w:tcPr>
          <w:p w14:paraId="56D889FE"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7.27</w:t>
            </w:r>
          </w:p>
        </w:tc>
        <w:tc>
          <w:tcPr>
            <w:tcW w:w="379" w:type="pct"/>
            <w:tcBorders>
              <w:top w:val="single" w:sz="4" w:space="0" w:color="auto"/>
              <w:bottom w:val="nil"/>
            </w:tcBorders>
            <w:shd w:val="clear" w:color="auto" w:fill="auto"/>
            <w:noWrap/>
            <w:vAlign w:val="center"/>
            <w:hideMark/>
          </w:tcPr>
          <w:p w14:paraId="4C32AE83"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90.64</w:t>
            </w:r>
          </w:p>
        </w:tc>
      </w:tr>
      <w:tr w:rsidR="00962CF0" w:rsidRPr="008E7B4C" w14:paraId="69E0A918" w14:textId="77777777" w:rsidTr="00682ED7">
        <w:trPr>
          <w:trHeight w:val="454"/>
        </w:trPr>
        <w:tc>
          <w:tcPr>
            <w:tcW w:w="417" w:type="pct"/>
            <w:vMerge/>
            <w:tcBorders>
              <w:right w:val="nil"/>
            </w:tcBorders>
            <w:textDirection w:val="btLr"/>
          </w:tcPr>
          <w:p w14:paraId="12A86718" w14:textId="77777777" w:rsidR="00962CF0" w:rsidRPr="00E359D7" w:rsidRDefault="00962CF0" w:rsidP="00962CF0">
            <w:pPr>
              <w:spacing w:after="0" w:line="240" w:lineRule="auto"/>
              <w:ind w:left="113" w:right="113"/>
              <w:rPr>
                <w:rFonts w:ascii="Times New Roman" w:eastAsia="Times New Roman" w:hAnsi="Times New Roman" w:cs="Times New Roman"/>
                <w:color w:val="000000"/>
              </w:rPr>
            </w:pPr>
          </w:p>
        </w:tc>
        <w:tc>
          <w:tcPr>
            <w:tcW w:w="417" w:type="pct"/>
            <w:tcBorders>
              <w:top w:val="nil"/>
              <w:left w:val="nil"/>
              <w:bottom w:val="nil"/>
              <w:right w:val="single" w:sz="4" w:space="0" w:color="auto"/>
            </w:tcBorders>
            <w:shd w:val="clear" w:color="auto" w:fill="auto"/>
            <w:noWrap/>
            <w:vAlign w:val="center"/>
            <w:hideMark/>
          </w:tcPr>
          <w:p w14:paraId="5A582484" w14:textId="2A36C821" w:rsidR="00962CF0" w:rsidRPr="00E359D7" w:rsidRDefault="00962CF0"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LRC</w:t>
            </w:r>
          </w:p>
        </w:tc>
        <w:tc>
          <w:tcPr>
            <w:tcW w:w="280" w:type="pct"/>
            <w:tcBorders>
              <w:top w:val="nil"/>
              <w:left w:val="single" w:sz="4" w:space="0" w:color="auto"/>
              <w:bottom w:val="nil"/>
            </w:tcBorders>
            <w:shd w:val="clear" w:color="auto" w:fill="auto"/>
            <w:noWrap/>
            <w:vAlign w:val="center"/>
            <w:hideMark/>
          </w:tcPr>
          <w:p w14:paraId="027DCD8C"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7.84</w:t>
            </w:r>
          </w:p>
        </w:tc>
        <w:tc>
          <w:tcPr>
            <w:tcW w:w="279" w:type="pct"/>
            <w:tcBorders>
              <w:top w:val="nil"/>
              <w:bottom w:val="nil"/>
            </w:tcBorders>
            <w:shd w:val="clear" w:color="auto" w:fill="auto"/>
            <w:noWrap/>
            <w:vAlign w:val="center"/>
            <w:hideMark/>
          </w:tcPr>
          <w:p w14:paraId="2F43356C"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9.84</w:t>
            </w:r>
          </w:p>
        </w:tc>
        <w:tc>
          <w:tcPr>
            <w:tcW w:w="279" w:type="pct"/>
            <w:tcBorders>
              <w:top w:val="nil"/>
              <w:bottom w:val="nil"/>
              <w:right w:val="single" w:sz="4" w:space="0" w:color="auto"/>
            </w:tcBorders>
            <w:shd w:val="clear" w:color="auto" w:fill="auto"/>
            <w:noWrap/>
            <w:vAlign w:val="center"/>
            <w:hideMark/>
          </w:tcPr>
          <w:p w14:paraId="4065479A"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7.83</w:t>
            </w:r>
          </w:p>
        </w:tc>
        <w:tc>
          <w:tcPr>
            <w:tcW w:w="279" w:type="pct"/>
            <w:tcBorders>
              <w:top w:val="nil"/>
              <w:left w:val="single" w:sz="4" w:space="0" w:color="auto"/>
              <w:bottom w:val="nil"/>
            </w:tcBorders>
            <w:shd w:val="clear" w:color="auto" w:fill="auto"/>
            <w:noWrap/>
            <w:vAlign w:val="center"/>
            <w:hideMark/>
          </w:tcPr>
          <w:p w14:paraId="0878C7D9"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7.55</w:t>
            </w:r>
          </w:p>
        </w:tc>
        <w:tc>
          <w:tcPr>
            <w:tcW w:w="279" w:type="pct"/>
            <w:tcBorders>
              <w:top w:val="nil"/>
              <w:bottom w:val="nil"/>
            </w:tcBorders>
            <w:shd w:val="clear" w:color="auto" w:fill="auto"/>
            <w:noWrap/>
            <w:vAlign w:val="center"/>
            <w:hideMark/>
          </w:tcPr>
          <w:p w14:paraId="1C978EB3"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7.19</w:t>
            </w:r>
          </w:p>
        </w:tc>
        <w:tc>
          <w:tcPr>
            <w:tcW w:w="282" w:type="pct"/>
            <w:tcBorders>
              <w:top w:val="nil"/>
              <w:bottom w:val="nil"/>
              <w:right w:val="single" w:sz="4" w:space="0" w:color="auto"/>
            </w:tcBorders>
            <w:shd w:val="clear" w:color="auto" w:fill="auto"/>
            <w:noWrap/>
            <w:vAlign w:val="center"/>
            <w:hideMark/>
          </w:tcPr>
          <w:p w14:paraId="7D4A2BB6"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8.23</w:t>
            </w:r>
          </w:p>
        </w:tc>
        <w:tc>
          <w:tcPr>
            <w:tcW w:w="282" w:type="pct"/>
            <w:tcBorders>
              <w:top w:val="nil"/>
              <w:left w:val="single" w:sz="4" w:space="0" w:color="auto"/>
              <w:bottom w:val="nil"/>
            </w:tcBorders>
            <w:shd w:val="clear" w:color="auto" w:fill="auto"/>
            <w:noWrap/>
            <w:vAlign w:val="center"/>
            <w:hideMark/>
          </w:tcPr>
          <w:p w14:paraId="217BD849"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7.35</w:t>
            </w:r>
          </w:p>
        </w:tc>
        <w:tc>
          <w:tcPr>
            <w:tcW w:w="279" w:type="pct"/>
            <w:tcBorders>
              <w:top w:val="nil"/>
              <w:bottom w:val="nil"/>
            </w:tcBorders>
            <w:shd w:val="clear" w:color="auto" w:fill="auto"/>
            <w:noWrap/>
            <w:vAlign w:val="center"/>
            <w:hideMark/>
          </w:tcPr>
          <w:p w14:paraId="2725230A"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6.56</w:t>
            </w:r>
          </w:p>
        </w:tc>
        <w:tc>
          <w:tcPr>
            <w:tcW w:w="282" w:type="pct"/>
            <w:tcBorders>
              <w:top w:val="nil"/>
              <w:bottom w:val="nil"/>
            </w:tcBorders>
            <w:shd w:val="clear" w:color="auto" w:fill="auto"/>
            <w:noWrap/>
            <w:vAlign w:val="center"/>
            <w:hideMark/>
          </w:tcPr>
          <w:p w14:paraId="56BE0B27"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8.06</w:t>
            </w:r>
          </w:p>
        </w:tc>
        <w:tc>
          <w:tcPr>
            <w:tcW w:w="282" w:type="pct"/>
            <w:tcBorders>
              <w:top w:val="nil"/>
              <w:bottom w:val="nil"/>
            </w:tcBorders>
            <w:shd w:val="clear" w:color="auto" w:fill="auto"/>
            <w:noWrap/>
            <w:vAlign w:val="center"/>
            <w:hideMark/>
          </w:tcPr>
          <w:p w14:paraId="53BEACCF"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7.44</w:t>
            </w:r>
          </w:p>
        </w:tc>
        <w:tc>
          <w:tcPr>
            <w:tcW w:w="282" w:type="pct"/>
            <w:tcBorders>
              <w:top w:val="nil"/>
              <w:bottom w:val="nil"/>
            </w:tcBorders>
            <w:shd w:val="clear" w:color="auto" w:fill="auto"/>
            <w:noWrap/>
            <w:vAlign w:val="center"/>
            <w:hideMark/>
          </w:tcPr>
          <w:p w14:paraId="54F872A4"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7.8</w:t>
            </w:r>
          </w:p>
        </w:tc>
        <w:tc>
          <w:tcPr>
            <w:tcW w:w="282" w:type="pct"/>
            <w:tcBorders>
              <w:top w:val="nil"/>
              <w:bottom w:val="nil"/>
            </w:tcBorders>
            <w:shd w:val="clear" w:color="auto" w:fill="auto"/>
            <w:noWrap/>
            <w:vAlign w:val="center"/>
            <w:hideMark/>
          </w:tcPr>
          <w:p w14:paraId="5A52D791"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7.3</w:t>
            </w:r>
          </w:p>
        </w:tc>
        <w:tc>
          <w:tcPr>
            <w:tcW w:w="417" w:type="pct"/>
            <w:tcBorders>
              <w:top w:val="nil"/>
              <w:bottom w:val="nil"/>
            </w:tcBorders>
            <w:shd w:val="clear" w:color="auto" w:fill="auto"/>
            <w:noWrap/>
            <w:vAlign w:val="center"/>
            <w:hideMark/>
          </w:tcPr>
          <w:p w14:paraId="3724B549"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w:t>
            </w:r>
          </w:p>
        </w:tc>
        <w:tc>
          <w:tcPr>
            <w:tcW w:w="379" w:type="pct"/>
            <w:tcBorders>
              <w:top w:val="nil"/>
              <w:bottom w:val="nil"/>
            </w:tcBorders>
            <w:shd w:val="clear" w:color="auto" w:fill="auto"/>
            <w:noWrap/>
            <w:vAlign w:val="center"/>
            <w:hideMark/>
          </w:tcPr>
          <w:p w14:paraId="164B82AB"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90.16</w:t>
            </w:r>
          </w:p>
        </w:tc>
      </w:tr>
      <w:tr w:rsidR="00962CF0" w:rsidRPr="008E7B4C" w14:paraId="3608661E" w14:textId="77777777" w:rsidTr="00682ED7">
        <w:trPr>
          <w:trHeight w:val="454"/>
        </w:trPr>
        <w:tc>
          <w:tcPr>
            <w:tcW w:w="417" w:type="pct"/>
            <w:vMerge/>
            <w:tcBorders>
              <w:bottom w:val="single" w:sz="4" w:space="0" w:color="auto"/>
              <w:right w:val="nil"/>
            </w:tcBorders>
            <w:textDirection w:val="btLr"/>
          </w:tcPr>
          <w:p w14:paraId="2E04B0EA" w14:textId="77777777" w:rsidR="00962CF0" w:rsidRPr="00E359D7" w:rsidRDefault="00962CF0" w:rsidP="00962CF0">
            <w:pPr>
              <w:spacing w:after="0" w:line="240" w:lineRule="auto"/>
              <w:ind w:left="113" w:right="113"/>
              <w:rPr>
                <w:rFonts w:ascii="Times New Roman" w:eastAsia="Times New Roman" w:hAnsi="Times New Roman" w:cs="Times New Roman"/>
                <w:color w:val="000000"/>
              </w:rPr>
            </w:pPr>
          </w:p>
        </w:tc>
        <w:tc>
          <w:tcPr>
            <w:tcW w:w="417" w:type="pct"/>
            <w:tcBorders>
              <w:top w:val="nil"/>
              <w:left w:val="nil"/>
              <w:bottom w:val="single" w:sz="4" w:space="0" w:color="auto"/>
              <w:right w:val="single" w:sz="4" w:space="0" w:color="auto"/>
            </w:tcBorders>
            <w:shd w:val="clear" w:color="auto" w:fill="auto"/>
            <w:noWrap/>
            <w:vAlign w:val="center"/>
            <w:hideMark/>
          </w:tcPr>
          <w:p w14:paraId="6AC3E8CA" w14:textId="6187B3AC" w:rsidR="00962CF0" w:rsidRPr="00E359D7" w:rsidRDefault="00962CF0"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GNO</w:t>
            </w:r>
          </w:p>
        </w:tc>
        <w:tc>
          <w:tcPr>
            <w:tcW w:w="280" w:type="pct"/>
            <w:tcBorders>
              <w:top w:val="nil"/>
              <w:left w:val="single" w:sz="4" w:space="0" w:color="auto"/>
              <w:bottom w:val="single" w:sz="4" w:space="0" w:color="auto"/>
            </w:tcBorders>
            <w:shd w:val="clear" w:color="auto" w:fill="auto"/>
            <w:noWrap/>
            <w:vAlign w:val="center"/>
            <w:hideMark/>
          </w:tcPr>
          <w:p w14:paraId="78C67CDF"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7.77</w:t>
            </w:r>
          </w:p>
        </w:tc>
        <w:tc>
          <w:tcPr>
            <w:tcW w:w="279" w:type="pct"/>
            <w:tcBorders>
              <w:top w:val="nil"/>
              <w:bottom w:val="single" w:sz="4" w:space="0" w:color="auto"/>
            </w:tcBorders>
            <w:shd w:val="clear" w:color="auto" w:fill="auto"/>
            <w:noWrap/>
            <w:vAlign w:val="center"/>
            <w:hideMark/>
          </w:tcPr>
          <w:p w14:paraId="71B18200"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7.18</w:t>
            </w:r>
          </w:p>
        </w:tc>
        <w:tc>
          <w:tcPr>
            <w:tcW w:w="279" w:type="pct"/>
            <w:tcBorders>
              <w:top w:val="nil"/>
              <w:bottom w:val="single" w:sz="4" w:space="0" w:color="auto"/>
              <w:right w:val="single" w:sz="4" w:space="0" w:color="auto"/>
            </w:tcBorders>
            <w:shd w:val="clear" w:color="auto" w:fill="auto"/>
            <w:noWrap/>
            <w:vAlign w:val="center"/>
            <w:hideMark/>
          </w:tcPr>
          <w:p w14:paraId="41D5381B"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9.63</w:t>
            </w:r>
          </w:p>
        </w:tc>
        <w:tc>
          <w:tcPr>
            <w:tcW w:w="279" w:type="pct"/>
            <w:tcBorders>
              <w:top w:val="nil"/>
              <w:left w:val="single" w:sz="4" w:space="0" w:color="auto"/>
              <w:bottom w:val="single" w:sz="4" w:space="0" w:color="auto"/>
            </w:tcBorders>
            <w:shd w:val="clear" w:color="auto" w:fill="auto"/>
            <w:noWrap/>
            <w:vAlign w:val="center"/>
            <w:hideMark/>
          </w:tcPr>
          <w:p w14:paraId="2BD63243"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7.52</w:t>
            </w:r>
          </w:p>
        </w:tc>
        <w:tc>
          <w:tcPr>
            <w:tcW w:w="279" w:type="pct"/>
            <w:tcBorders>
              <w:top w:val="nil"/>
              <w:bottom w:val="single" w:sz="4" w:space="0" w:color="auto"/>
            </w:tcBorders>
            <w:shd w:val="clear" w:color="auto" w:fill="auto"/>
            <w:noWrap/>
            <w:vAlign w:val="center"/>
            <w:hideMark/>
          </w:tcPr>
          <w:p w14:paraId="5352EEA2"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7.55</w:t>
            </w:r>
          </w:p>
        </w:tc>
        <w:tc>
          <w:tcPr>
            <w:tcW w:w="282" w:type="pct"/>
            <w:tcBorders>
              <w:top w:val="nil"/>
              <w:bottom w:val="single" w:sz="4" w:space="0" w:color="auto"/>
              <w:right w:val="single" w:sz="4" w:space="0" w:color="auto"/>
            </w:tcBorders>
            <w:shd w:val="clear" w:color="auto" w:fill="auto"/>
            <w:noWrap/>
            <w:vAlign w:val="center"/>
            <w:hideMark/>
          </w:tcPr>
          <w:p w14:paraId="2F99A2D5"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8.2</w:t>
            </w:r>
          </w:p>
        </w:tc>
        <w:tc>
          <w:tcPr>
            <w:tcW w:w="282" w:type="pct"/>
            <w:tcBorders>
              <w:top w:val="nil"/>
              <w:left w:val="single" w:sz="4" w:space="0" w:color="auto"/>
              <w:bottom w:val="single" w:sz="4" w:space="0" w:color="auto"/>
            </w:tcBorders>
            <w:shd w:val="clear" w:color="auto" w:fill="auto"/>
            <w:noWrap/>
            <w:vAlign w:val="center"/>
            <w:hideMark/>
          </w:tcPr>
          <w:p w14:paraId="34088106"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7.29</w:t>
            </w:r>
          </w:p>
        </w:tc>
        <w:tc>
          <w:tcPr>
            <w:tcW w:w="279" w:type="pct"/>
            <w:tcBorders>
              <w:top w:val="nil"/>
              <w:bottom w:val="single" w:sz="4" w:space="0" w:color="auto"/>
            </w:tcBorders>
            <w:shd w:val="clear" w:color="auto" w:fill="auto"/>
            <w:noWrap/>
            <w:vAlign w:val="center"/>
            <w:hideMark/>
          </w:tcPr>
          <w:p w14:paraId="454A8D22"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6.59</w:t>
            </w:r>
          </w:p>
        </w:tc>
        <w:tc>
          <w:tcPr>
            <w:tcW w:w="282" w:type="pct"/>
            <w:tcBorders>
              <w:top w:val="nil"/>
              <w:bottom w:val="single" w:sz="4" w:space="0" w:color="auto"/>
            </w:tcBorders>
            <w:shd w:val="clear" w:color="auto" w:fill="auto"/>
            <w:noWrap/>
            <w:vAlign w:val="center"/>
            <w:hideMark/>
          </w:tcPr>
          <w:p w14:paraId="581535E7"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8.11</w:t>
            </w:r>
          </w:p>
        </w:tc>
        <w:tc>
          <w:tcPr>
            <w:tcW w:w="282" w:type="pct"/>
            <w:tcBorders>
              <w:top w:val="nil"/>
              <w:bottom w:val="single" w:sz="4" w:space="0" w:color="auto"/>
            </w:tcBorders>
            <w:shd w:val="clear" w:color="auto" w:fill="auto"/>
            <w:noWrap/>
            <w:vAlign w:val="center"/>
            <w:hideMark/>
          </w:tcPr>
          <w:p w14:paraId="40C1D5FB"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7.51</w:t>
            </w:r>
          </w:p>
        </w:tc>
        <w:tc>
          <w:tcPr>
            <w:tcW w:w="282" w:type="pct"/>
            <w:tcBorders>
              <w:top w:val="nil"/>
              <w:bottom w:val="single" w:sz="4" w:space="0" w:color="auto"/>
            </w:tcBorders>
            <w:shd w:val="clear" w:color="auto" w:fill="auto"/>
            <w:noWrap/>
            <w:vAlign w:val="center"/>
            <w:hideMark/>
          </w:tcPr>
          <w:p w14:paraId="673AC9B6"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7.95</w:t>
            </w:r>
          </w:p>
        </w:tc>
        <w:tc>
          <w:tcPr>
            <w:tcW w:w="282" w:type="pct"/>
            <w:tcBorders>
              <w:top w:val="nil"/>
              <w:bottom w:val="single" w:sz="4" w:space="0" w:color="auto"/>
            </w:tcBorders>
            <w:shd w:val="clear" w:color="auto" w:fill="auto"/>
            <w:noWrap/>
            <w:vAlign w:val="center"/>
            <w:hideMark/>
          </w:tcPr>
          <w:p w14:paraId="5559288D"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7.48</w:t>
            </w:r>
          </w:p>
        </w:tc>
        <w:tc>
          <w:tcPr>
            <w:tcW w:w="417" w:type="pct"/>
            <w:tcBorders>
              <w:top w:val="nil"/>
              <w:bottom w:val="single" w:sz="4" w:space="0" w:color="auto"/>
            </w:tcBorders>
            <w:shd w:val="clear" w:color="auto" w:fill="auto"/>
            <w:noWrap/>
            <w:vAlign w:val="center"/>
            <w:hideMark/>
          </w:tcPr>
          <w:p w14:paraId="58759678"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7.22</w:t>
            </w:r>
          </w:p>
        </w:tc>
        <w:tc>
          <w:tcPr>
            <w:tcW w:w="379" w:type="pct"/>
            <w:tcBorders>
              <w:top w:val="nil"/>
              <w:bottom w:val="single" w:sz="4" w:space="0" w:color="auto"/>
            </w:tcBorders>
            <w:shd w:val="clear" w:color="auto" w:fill="auto"/>
            <w:noWrap/>
            <w:vAlign w:val="center"/>
            <w:hideMark/>
          </w:tcPr>
          <w:p w14:paraId="321A4CFD"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90.37</w:t>
            </w:r>
          </w:p>
        </w:tc>
      </w:tr>
      <w:tr w:rsidR="00962CF0" w:rsidRPr="008E7B4C" w14:paraId="1EE6524E" w14:textId="77777777" w:rsidTr="00682ED7">
        <w:trPr>
          <w:trHeight w:val="454"/>
        </w:trPr>
        <w:tc>
          <w:tcPr>
            <w:tcW w:w="417" w:type="pct"/>
            <w:vMerge w:val="restart"/>
            <w:tcBorders>
              <w:top w:val="single" w:sz="4" w:space="0" w:color="auto"/>
              <w:right w:val="nil"/>
            </w:tcBorders>
            <w:textDirection w:val="btLr"/>
          </w:tcPr>
          <w:p w14:paraId="0026260D" w14:textId="5FECDD08" w:rsidR="00962CF0" w:rsidRPr="00E359D7" w:rsidRDefault="00962CF0" w:rsidP="00962CF0">
            <w:pPr>
              <w:spacing w:after="0" w:line="240" w:lineRule="auto"/>
              <w:ind w:left="113" w:right="113"/>
              <w:rPr>
                <w:rFonts w:ascii="Times New Roman" w:eastAsia="Times New Roman" w:hAnsi="Times New Roman" w:cs="Times New Roman"/>
                <w:color w:val="000000"/>
              </w:rPr>
            </w:pPr>
            <w:r>
              <w:rPr>
                <w:rFonts w:ascii="Times New Roman" w:eastAsia="Times New Roman" w:hAnsi="Times New Roman" w:cs="Times New Roman"/>
                <w:color w:val="000000"/>
              </w:rPr>
              <w:t>CEX tokens</w:t>
            </w:r>
          </w:p>
        </w:tc>
        <w:tc>
          <w:tcPr>
            <w:tcW w:w="417" w:type="pct"/>
            <w:tcBorders>
              <w:top w:val="single" w:sz="4" w:space="0" w:color="auto"/>
              <w:left w:val="nil"/>
              <w:bottom w:val="nil"/>
              <w:right w:val="single" w:sz="4" w:space="0" w:color="auto"/>
            </w:tcBorders>
            <w:shd w:val="clear" w:color="auto" w:fill="auto"/>
            <w:noWrap/>
            <w:vAlign w:val="center"/>
            <w:hideMark/>
          </w:tcPr>
          <w:p w14:paraId="7B426F6D" w14:textId="0503DC46" w:rsidR="00962CF0" w:rsidRPr="00E359D7" w:rsidRDefault="00962CF0"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BNB</w:t>
            </w:r>
          </w:p>
        </w:tc>
        <w:tc>
          <w:tcPr>
            <w:tcW w:w="280" w:type="pct"/>
            <w:tcBorders>
              <w:top w:val="single" w:sz="4" w:space="0" w:color="auto"/>
              <w:left w:val="single" w:sz="4" w:space="0" w:color="auto"/>
              <w:bottom w:val="nil"/>
            </w:tcBorders>
            <w:shd w:val="clear" w:color="auto" w:fill="auto"/>
            <w:noWrap/>
            <w:vAlign w:val="center"/>
            <w:hideMark/>
          </w:tcPr>
          <w:p w14:paraId="3EB9A355"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7.72</w:t>
            </w:r>
          </w:p>
        </w:tc>
        <w:tc>
          <w:tcPr>
            <w:tcW w:w="279" w:type="pct"/>
            <w:tcBorders>
              <w:top w:val="single" w:sz="4" w:space="0" w:color="auto"/>
              <w:bottom w:val="nil"/>
            </w:tcBorders>
            <w:shd w:val="clear" w:color="auto" w:fill="auto"/>
            <w:noWrap/>
            <w:vAlign w:val="center"/>
            <w:hideMark/>
          </w:tcPr>
          <w:p w14:paraId="72BBBBBB"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7.13</w:t>
            </w:r>
          </w:p>
        </w:tc>
        <w:tc>
          <w:tcPr>
            <w:tcW w:w="279" w:type="pct"/>
            <w:tcBorders>
              <w:top w:val="single" w:sz="4" w:space="0" w:color="auto"/>
              <w:bottom w:val="nil"/>
              <w:right w:val="single" w:sz="4" w:space="0" w:color="auto"/>
            </w:tcBorders>
            <w:shd w:val="clear" w:color="auto" w:fill="auto"/>
            <w:noWrap/>
            <w:vAlign w:val="center"/>
            <w:hideMark/>
          </w:tcPr>
          <w:p w14:paraId="271DFC8E"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7.65</w:t>
            </w:r>
          </w:p>
        </w:tc>
        <w:tc>
          <w:tcPr>
            <w:tcW w:w="279" w:type="pct"/>
            <w:tcBorders>
              <w:top w:val="single" w:sz="4" w:space="0" w:color="auto"/>
              <w:left w:val="single" w:sz="4" w:space="0" w:color="auto"/>
              <w:bottom w:val="nil"/>
            </w:tcBorders>
            <w:shd w:val="clear" w:color="auto" w:fill="auto"/>
            <w:noWrap/>
            <w:vAlign w:val="center"/>
            <w:hideMark/>
          </w:tcPr>
          <w:p w14:paraId="446EA4BC"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9.28</w:t>
            </w:r>
          </w:p>
        </w:tc>
        <w:tc>
          <w:tcPr>
            <w:tcW w:w="279" w:type="pct"/>
            <w:tcBorders>
              <w:top w:val="single" w:sz="4" w:space="0" w:color="auto"/>
              <w:bottom w:val="nil"/>
            </w:tcBorders>
            <w:shd w:val="clear" w:color="auto" w:fill="auto"/>
            <w:noWrap/>
            <w:vAlign w:val="center"/>
            <w:hideMark/>
          </w:tcPr>
          <w:p w14:paraId="63B28F45"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7.68</w:t>
            </w:r>
          </w:p>
        </w:tc>
        <w:tc>
          <w:tcPr>
            <w:tcW w:w="282" w:type="pct"/>
            <w:tcBorders>
              <w:top w:val="single" w:sz="4" w:space="0" w:color="auto"/>
              <w:bottom w:val="nil"/>
              <w:right w:val="single" w:sz="4" w:space="0" w:color="auto"/>
            </w:tcBorders>
            <w:shd w:val="clear" w:color="auto" w:fill="auto"/>
            <w:noWrap/>
            <w:vAlign w:val="center"/>
            <w:hideMark/>
          </w:tcPr>
          <w:p w14:paraId="542F3523"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8.71</w:t>
            </w:r>
          </w:p>
        </w:tc>
        <w:tc>
          <w:tcPr>
            <w:tcW w:w="282" w:type="pct"/>
            <w:tcBorders>
              <w:top w:val="single" w:sz="4" w:space="0" w:color="auto"/>
              <w:left w:val="single" w:sz="4" w:space="0" w:color="auto"/>
              <w:bottom w:val="nil"/>
            </w:tcBorders>
            <w:shd w:val="clear" w:color="auto" w:fill="auto"/>
            <w:noWrap/>
            <w:vAlign w:val="center"/>
            <w:hideMark/>
          </w:tcPr>
          <w:p w14:paraId="32166F36"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7.04</w:t>
            </w:r>
          </w:p>
        </w:tc>
        <w:tc>
          <w:tcPr>
            <w:tcW w:w="279" w:type="pct"/>
            <w:tcBorders>
              <w:top w:val="single" w:sz="4" w:space="0" w:color="auto"/>
              <w:bottom w:val="nil"/>
            </w:tcBorders>
            <w:shd w:val="clear" w:color="auto" w:fill="auto"/>
            <w:noWrap/>
            <w:vAlign w:val="center"/>
            <w:hideMark/>
          </w:tcPr>
          <w:p w14:paraId="21B528E3"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6.54</w:t>
            </w:r>
          </w:p>
        </w:tc>
        <w:tc>
          <w:tcPr>
            <w:tcW w:w="282" w:type="pct"/>
            <w:tcBorders>
              <w:top w:val="single" w:sz="4" w:space="0" w:color="auto"/>
              <w:bottom w:val="nil"/>
            </w:tcBorders>
            <w:shd w:val="clear" w:color="auto" w:fill="auto"/>
            <w:noWrap/>
            <w:vAlign w:val="center"/>
            <w:hideMark/>
          </w:tcPr>
          <w:p w14:paraId="3DEE3DC5"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8.14</w:t>
            </w:r>
          </w:p>
        </w:tc>
        <w:tc>
          <w:tcPr>
            <w:tcW w:w="282" w:type="pct"/>
            <w:tcBorders>
              <w:top w:val="single" w:sz="4" w:space="0" w:color="auto"/>
              <w:bottom w:val="nil"/>
            </w:tcBorders>
            <w:shd w:val="clear" w:color="auto" w:fill="auto"/>
            <w:noWrap/>
            <w:vAlign w:val="center"/>
            <w:hideMark/>
          </w:tcPr>
          <w:p w14:paraId="77C475F8"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7.5</w:t>
            </w:r>
          </w:p>
        </w:tc>
        <w:tc>
          <w:tcPr>
            <w:tcW w:w="282" w:type="pct"/>
            <w:tcBorders>
              <w:top w:val="single" w:sz="4" w:space="0" w:color="auto"/>
              <w:bottom w:val="nil"/>
            </w:tcBorders>
            <w:shd w:val="clear" w:color="auto" w:fill="auto"/>
            <w:noWrap/>
            <w:vAlign w:val="center"/>
            <w:hideMark/>
          </w:tcPr>
          <w:p w14:paraId="46EEAF44"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8.06</w:t>
            </w:r>
          </w:p>
        </w:tc>
        <w:tc>
          <w:tcPr>
            <w:tcW w:w="282" w:type="pct"/>
            <w:tcBorders>
              <w:top w:val="single" w:sz="4" w:space="0" w:color="auto"/>
              <w:bottom w:val="nil"/>
            </w:tcBorders>
            <w:shd w:val="clear" w:color="auto" w:fill="auto"/>
            <w:noWrap/>
            <w:vAlign w:val="center"/>
            <w:hideMark/>
          </w:tcPr>
          <w:p w14:paraId="4DC6AD6D"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7.3</w:t>
            </w:r>
          </w:p>
        </w:tc>
        <w:tc>
          <w:tcPr>
            <w:tcW w:w="417" w:type="pct"/>
            <w:tcBorders>
              <w:top w:val="single" w:sz="4" w:space="0" w:color="auto"/>
              <w:bottom w:val="nil"/>
            </w:tcBorders>
            <w:shd w:val="clear" w:color="auto" w:fill="auto"/>
            <w:noWrap/>
            <w:vAlign w:val="center"/>
            <w:hideMark/>
          </w:tcPr>
          <w:p w14:paraId="59F813C0"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7.26</w:t>
            </w:r>
          </w:p>
        </w:tc>
        <w:tc>
          <w:tcPr>
            <w:tcW w:w="379" w:type="pct"/>
            <w:tcBorders>
              <w:top w:val="single" w:sz="4" w:space="0" w:color="auto"/>
              <w:bottom w:val="nil"/>
            </w:tcBorders>
            <w:shd w:val="clear" w:color="auto" w:fill="auto"/>
            <w:noWrap/>
            <w:vAlign w:val="center"/>
            <w:hideMark/>
          </w:tcPr>
          <w:p w14:paraId="1D1A8ED5"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90.72</w:t>
            </w:r>
          </w:p>
        </w:tc>
      </w:tr>
      <w:tr w:rsidR="00962CF0" w:rsidRPr="008E7B4C" w14:paraId="5A70F778" w14:textId="77777777" w:rsidTr="00682ED7">
        <w:trPr>
          <w:trHeight w:val="454"/>
        </w:trPr>
        <w:tc>
          <w:tcPr>
            <w:tcW w:w="417" w:type="pct"/>
            <w:vMerge/>
            <w:tcBorders>
              <w:right w:val="nil"/>
            </w:tcBorders>
          </w:tcPr>
          <w:p w14:paraId="3DBEFDB1" w14:textId="77777777" w:rsidR="00962CF0" w:rsidRPr="00E359D7" w:rsidRDefault="00962CF0" w:rsidP="00E063A1">
            <w:pPr>
              <w:spacing w:after="0" w:line="240" w:lineRule="auto"/>
              <w:rPr>
                <w:rFonts w:ascii="Times New Roman" w:eastAsia="Times New Roman" w:hAnsi="Times New Roman" w:cs="Times New Roman"/>
                <w:color w:val="000000"/>
              </w:rPr>
            </w:pPr>
          </w:p>
        </w:tc>
        <w:tc>
          <w:tcPr>
            <w:tcW w:w="417" w:type="pct"/>
            <w:tcBorders>
              <w:top w:val="nil"/>
              <w:left w:val="nil"/>
              <w:bottom w:val="nil"/>
              <w:right w:val="single" w:sz="4" w:space="0" w:color="auto"/>
            </w:tcBorders>
            <w:shd w:val="clear" w:color="auto" w:fill="auto"/>
            <w:noWrap/>
            <w:vAlign w:val="center"/>
            <w:hideMark/>
          </w:tcPr>
          <w:p w14:paraId="04F03469" w14:textId="528E722D" w:rsidR="00962CF0" w:rsidRPr="00E359D7" w:rsidRDefault="00962CF0"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LEO</w:t>
            </w:r>
          </w:p>
        </w:tc>
        <w:tc>
          <w:tcPr>
            <w:tcW w:w="280" w:type="pct"/>
            <w:tcBorders>
              <w:top w:val="nil"/>
              <w:left w:val="single" w:sz="4" w:space="0" w:color="auto"/>
              <w:bottom w:val="nil"/>
            </w:tcBorders>
            <w:shd w:val="clear" w:color="auto" w:fill="auto"/>
            <w:noWrap/>
            <w:vAlign w:val="center"/>
            <w:hideMark/>
          </w:tcPr>
          <w:p w14:paraId="0E174ADB"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7.31</w:t>
            </w:r>
          </w:p>
        </w:tc>
        <w:tc>
          <w:tcPr>
            <w:tcW w:w="279" w:type="pct"/>
            <w:tcBorders>
              <w:top w:val="nil"/>
              <w:bottom w:val="nil"/>
            </w:tcBorders>
            <w:shd w:val="clear" w:color="auto" w:fill="auto"/>
            <w:noWrap/>
            <w:vAlign w:val="center"/>
            <w:hideMark/>
          </w:tcPr>
          <w:p w14:paraId="2E9F7B91"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6.57</w:t>
            </w:r>
          </w:p>
        </w:tc>
        <w:tc>
          <w:tcPr>
            <w:tcW w:w="279" w:type="pct"/>
            <w:tcBorders>
              <w:top w:val="nil"/>
              <w:bottom w:val="nil"/>
              <w:right w:val="single" w:sz="4" w:space="0" w:color="auto"/>
            </w:tcBorders>
            <w:shd w:val="clear" w:color="auto" w:fill="auto"/>
            <w:noWrap/>
            <w:vAlign w:val="center"/>
            <w:hideMark/>
          </w:tcPr>
          <w:p w14:paraId="37543282"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7.35</w:t>
            </w:r>
          </w:p>
        </w:tc>
        <w:tc>
          <w:tcPr>
            <w:tcW w:w="279" w:type="pct"/>
            <w:tcBorders>
              <w:top w:val="nil"/>
              <w:left w:val="single" w:sz="4" w:space="0" w:color="auto"/>
              <w:bottom w:val="nil"/>
            </w:tcBorders>
            <w:shd w:val="clear" w:color="auto" w:fill="auto"/>
            <w:noWrap/>
            <w:vAlign w:val="center"/>
            <w:hideMark/>
          </w:tcPr>
          <w:p w14:paraId="34226DFC"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7.1</w:t>
            </w:r>
          </w:p>
        </w:tc>
        <w:tc>
          <w:tcPr>
            <w:tcW w:w="279" w:type="pct"/>
            <w:tcBorders>
              <w:top w:val="nil"/>
              <w:bottom w:val="nil"/>
            </w:tcBorders>
            <w:shd w:val="clear" w:color="auto" w:fill="auto"/>
            <w:noWrap/>
            <w:vAlign w:val="center"/>
            <w:hideMark/>
          </w:tcPr>
          <w:p w14:paraId="27E21E56"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10.9</w:t>
            </w:r>
          </w:p>
        </w:tc>
        <w:tc>
          <w:tcPr>
            <w:tcW w:w="282" w:type="pct"/>
            <w:tcBorders>
              <w:top w:val="nil"/>
              <w:bottom w:val="nil"/>
              <w:right w:val="single" w:sz="4" w:space="0" w:color="auto"/>
            </w:tcBorders>
            <w:shd w:val="clear" w:color="auto" w:fill="auto"/>
            <w:noWrap/>
            <w:vAlign w:val="center"/>
            <w:hideMark/>
          </w:tcPr>
          <w:p w14:paraId="28B28F27"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7.82</w:t>
            </w:r>
          </w:p>
        </w:tc>
        <w:tc>
          <w:tcPr>
            <w:tcW w:w="282" w:type="pct"/>
            <w:tcBorders>
              <w:top w:val="nil"/>
              <w:left w:val="single" w:sz="4" w:space="0" w:color="auto"/>
              <w:bottom w:val="nil"/>
            </w:tcBorders>
            <w:shd w:val="clear" w:color="auto" w:fill="auto"/>
            <w:noWrap/>
            <w:vAlign w:val="center"/>
            <w:hideMark/>
          </w:tcPr>
          <w:p w14:paraId="652A90B3"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7.61</w:t>
            </w:r>
          </w:p>
        </w:tc>
        <w:tc>
          <w:tcPr>
            <w:tcW w:w="279" w:type="pct"/>
            <w:tcBorders>
              <w:top w:val="nil"/>
              <w:bottom w:val="nil"/>
            </w:tcBorders>
            <w:shd w:val="clear" w:color="auto" w:fill="auto"/>
            <w:noWrap/>
            <w:vAlign w:val="center"/>
            <w:hideMark/>
          </w:tcPr>
          <w:p w14:paraId="2CFE1272"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6.73</w:t>
            </w:r>
          </w:p>
        </w:tc>
        <w:tc>
          <w:tcPr>
            <w:tcW w:w="282" w:type="pct"/>
            <w:tcBorders>
              <w:top w:val="nil"/>
              <w:bottom w:val="nil"/>
            </w:tcBorders>
            <w:shd w:val="clear" w:color="auto" w:fill="auto"/>
            <w:noWrap/>
            <w:vAlign w:val="center"/>
            <w:hideMark/>
          </w:tcPr>
          <w:p w14:paraId="2A167D13"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7.43</w:t>
            </w:r>
          </w:p>
        </w:tc>
        <w:tc>
          <w:tcPr>
            <w:tcW w:w="282" w:type="pct"/>
            <w:tcBorders>
              <w:top w:val="nil"/>
              <w:bottom w:val="nil"/>
            </w:tcBorders>
            <w:shd w:val="clear" w:color="auto" w:fill="auto"/>
            <w:noWrap/>
            <w:vAlign w:val="center"/>
            <w:hideMark/>
          </w:tcPr>
          <w:p w14:paraId="3BC91DB1"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7.66</w:t>
            </w:r>
          </w:p>
        </w:tc>
        <w:tc>
          <w:tcPr>
            <w:tcW w:w="282" w:type="pct"/>
            <w:tcBorders>
              <w:top w:val="nil"/>
              <w:bottom w:val="nil"/>
            </w:tcBorders>
            <w:shd w:val="clear" w:color="auto" w:fill="auto"/>
            <w:noWrap/>
            <w:vAlign w:val="center"/>
            <w:hideMark/>
          </w:tcPr>
          <w:p w14:paraId="2D84D656"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8.23</w:t>
            </w:r>
          </w:p>
        </w:tc>
        <w:tc>
          <w:tcPr>
            <w:tcW w:w="282" w:type="pct"/>
            <w:tcBorders>
              <w:top w:val="nil"/>
              <w:bottom w:val="nil"/>
            </w:tcBorders>
            <w:shd w:val="clear" w:color="auto" w:fill="auto"/>
            <w:noWrap/>
            <w:vAlign w:val="center"/>
            <w:hideMark/>
          </w:tcPr>
          <w:p w14:paraId="5C1F5C36"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7.71</w:t>
            </w:r>
          </w:p>
        </w:tc>
        <w:tc>
          <w:tcPr>
            <w:tcW w:w="417" w:type="pct"/>
            <w:tcBorders>
              <w:top w:val="nil"/>
              <w:bottom w:val="nil"/>
            </w:tcBorders>
            <w:shd w:val="clear" w:color="auto" w:fill="auto"/>
            <w:noWrap/>
            <w:vAlign w:val="center"/>
            <w:hideMark/>
          </w:tcPr>
          <w:p w14:paraId="3A215B95"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7.55</w:t>
            </w:r>
          </w:p>
        </w:tc>
        <w:tc>
          <w:tcPr>
            <w:tcW w:w="379" w:type="pct"/>
            <w:tcBorders>
              <w:top w:val="nil"/>
              <w:bottom w:val="nil"/>
            </w:tcBorders>
            <w:shd w:val="clear" w:color="auto" w:fill="auto"/>
            <w:noWrap/>
            <w:vAlign w:val="center"/>
            <w:hideMark/>
          </w:tcPr>
          <w:p w14:paraId="2CC34669"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89.1</w:t>
            </w:r>
          </w:p>
        </w:tc>
      </w:tr>
      <w:tr w:rsidR="00962CF0" w:rsidRPr="008E7B4C" w14:paraId="64B4336F" w14:textId="77777777" w:rsidTr="00682ED7">
        <w:trPr>
          <w:trHeight w:val="454"/>
        </w:trPr>
        <w:tc>
          <w:tcPr>
            <w:tcW w:w="417" w:type="pct"/>
            <w:vMerge/>
            <w:tcBorders>
              <w:bottom w:val="single" w:sz="4" w:space="0" w:color="auto"/>
              <w:right w:val="nil"/>
            </w:tcBorders>
          </w:tcPr>
          <w:p w14:paraId="10E1CA4B" w14:textId="77777777" w:rsidR="00962CF0" w:rsidRPr="00E359D7" w:rsidRDefault="00962CF0" w:rsidP="00E063A1">
            <w:pPr>
              <w:spacing w:after="0" w:line="240" w:lineRule="auto"/>
              <w:rPr>
                <w:rFonts w:ascii="Times New Roman" w:eastAsia="Times New Roman" w:hAnsi="Times New Roman" w:cs="Times New Roman"/>
                <w:color w:val="000000"/>
              </w:rPr>
            </w:pPr>
          </w:p>
        </w:tc>
        <w:tc>
          <w:tcPr>
            <w:tcW w:w="417" w:type="pct"/>
            <w:tcBorders>
              <w:top w:val="nil"/>
              <w:left w:val="nil"/>
              <w:bottom w:val="single" w:sz="4" w:space="0" w:color="auto"/>
              <w:right w:val="single" w:sz="4" w:space="0" w:color="auto"/>
            </w:tcBorders>
            <w:shd w:val="clear" w:color="auto" w:fill="auto"/>
            <w:noWrap/>
            <w:vAlign w:val="center"/>
            <w:hideMark/>
          </w:tcPr>
          <w:p w14:paraId="3AD2A1D1" w14:textId="63175341" w:rsidR="00962CF0" w:rsidRPr="00E359D7" w:rsidRDefault="00962CF0"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FTT</w:t>
            </w:r>
          </w:p>
        </w:tc>
        <w:tc>
          <w:tcPr>
            <w:tcW w:w="280" w:type="pct"/>
            <w:tcBorders>
              <w:top w:val="nil"/>
              <w:left w:val="single" w:sz="4" w:space="0" w:color="auto"/>
              <w:bottom w:val="single" w:sz="4" w:space="0" w:color="auto"/>
            </w:tcBorders>
            <w:shd w:val="clear" w:color="auto" w:fill="auto"/>
            <w:noWrap/>
            <w:vAlign w:val="center"/>
            <w:hideMark/>
          </w:tcPr>
          <w:p w14:paraId="3D96A5FE"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7.58</w:t>
            </w:r>
          </w:p>
        </w:tc>
        <w:tc>
          <w:tcPr>
            <w:tcW w:w="279" w:type="pct"/>
            <w:tcBorders>
              <w:top w:val="nil"/>
              <w:bottom w:val="single" w:sz="4" w:space="0" w:color="auto"/>
            </w:tcBorders>
            <w:shd w:val="clear" w:color="auto" w:fill="auto"/>
            <w:noWrap/>
            <w:vAlign w:val="center"/>
            <w:hideMark/>
          </w:tcPr>
          <w:p w14:paraId="576ADDA9"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7.11</w:t>
            </w:r>
          </w:p>
        </w:tc>
        <w:tc>
          <w:tcPr>
            <w:tcW w:w="279" w:type="pct"/>
            <w:tcBorders>
              <w:top w:val="nil"/>
              <w:bottom w:val="single" w:sz="4" w:space="0" w:color="auto"/>
              <w:right w:val="single" w:sz="4" w:space="0" w:color="auto"/>
            </w:tcBorders>
            <w:shd w:val="clear" w:color="auto" w:fill="auto"/>
            <w:noWrap/>
            <w:vAlign w:val="center"/>
            <w:hideMark/>
          </w:tcPr>
          <w:p w14:paraId="39C674D0"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7.63</w:t>
            </w:r>
          </w:p>
        </w:tc>
        <w:tc>
          <w:tcPr>
            <w:tcW w:w="279" w:type="pct"/>
            <w:tcBorders>
              <w:top w:val="nil"/>
              <w:left w:val="single" w:sz="4" w:space="0" w:color="auto"/>
              <w:bottom w:val="single" w:sz="4" w:space="0" w:color="auto"/>
            </w:tcBorders>
            <w:shd w:val="clear" w:color="auto" w:fill="auto"/>
            <w:noWrap/>
            <w:vAlign w:val="center"/>
            <w:hideMark/>
          </w:tcPr>
          <w:p w14:paraId="0D7C0FEE"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7.92</w:t>
            </w:r>
          </w:p>
        </w:tc>
        <w:tc>
          <w:tcPr>
            <w:tcW w:w="279" w:type="pct"/>
            <w:tcBorders>
              <w:top w:val="nil"/>
              <w:bottom w:val="single" w:sz="4" w:space="0" w:color="auto"/>
            </w:tcBorders>
            <w:shd w:val="clear" w:color="auto" w:fill="auto"/>
            <w:noWrap/>
            <w:vAlign w:val="center"/>
            <w:hideMark/>
          </w:tcPr>
          <w:p w14:paraId="6B7BD20F"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7.35</w:t>
            </w:r>
          </w:p>
        </w:tc>
        <w:tc>
          <w:tcPr>
            <w:tcW w:w="282" w:type="pct"/>
            <w:tcBorders>
              <w:top w:val="nil"/>
              <w:bottom w:val="single" w:sz="4" w:space="0" w:color="auto"/>
              <w:right w:val="single" w:sz="4" w:space="0" w:color="auto"/>
            </w:tcBorders>
            <w:shd w:val="clear" w:color="auto" w:fill="auto"/>
            <w:noWrap/>
            <w:vAlign w:val="center"/>
            <w:hideMark/>
          </w:tcPr>
          <w:p w14:paraId="083676EC"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9.82</w:t>
            </w:r>
          </w:p>
        </w:tc>
        <w:tc>
          <w:tcPr>
            <w:tcW w:w="282" w:type="pct"/>
            <w:tcBorders>
              <w:top w:val="nil"/>
              <w:left w:val="single" w:sz="4" w:space="0" w:color="auto"/>
              <w:bottom w:val="single" w:sz="4" w:space="0" w:color="auto"/>
            </w:tcBorders>
            <w:shd w:val="clear" w:color="auto" w:fill="auto"/>
            <w:noWrap/>
            <w:vAlign w:val="center"/>
            <w:hideMark/>
          </w:tcPr>
          <w:p w14:paraId="2C7CFDBF"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7.19</w:t>
            </w:r>
          </w:p>
        </w:tc>
        <w:tc>
          <w:tcPr>
            <w:tcW w:w="279" w:type="pct"/>
            <w:tcBorders>
              <w:top w:val="nil"/>
              <w:bottom w:val="single" w:sz="4" w:space="0" w:color="auto"/>
            </w:tcBorders>
            <w:shd w:val="clear" w:color="auto" w:fill="auto"/>
            <w:noWrap/>
            <w:vAlign w:val="center"/>
            <w:hideMark/>
          </w:tcPr>
          <w:p w14:paraId="521F6333"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6.62</w:t>
            </w:r>
          </w:p>
        </w:tc>
        <w:tc>
          <w:tcPr>
            <w:tcW w:w="282" w:type="pct"/>
            <w:tcBorders>
              <w:top w:val="nil"/>
              <w:bottom w:val="single" w:sz="4" w:space="0" w:color="auto"/>
            </w:tcBorders>
            <w:shd w:val="clear" w:color="auto" w:fill="auto"/>
            <w:noWrap/>
            <w:vAlign w:val="center"/>
            <w:hideMark/>
          </w:tcPr>
          <w:p w14:paraId="192D7B10"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8.53</w:t>
            </w:r>
          </w:p>
        </w:tc>
        <w:tc>
          <w:tcPr>
            <w:tcW w:w="282" w:type="pct"/>
            <w:tcBorders>
              <w:top w:val="nil"/>
              <w:bottom w:val="single" w:sz="4" w:space="0" w:color="auto"/>
            </w:tcBorders>
            <w:shd w:val="clear" w:color="auto" w:fill="auto"/>
            <w:noWrap/>
            <w:vAlign w:val="center"/>
            <w:hideMark/>
          </w:tcPr>
          <w:p w14:paraId="00D6DEFF"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7.65</w:t>
            </w:r>
          </w:p>
        </w:tc>
        <w:tc>
          <w:tcPr>
            <w:tcW w:w="282" w:type="pct"/>
            <w:tcBorders>
              <w:top w:val="nil"/>
              <w:bottom w:val="single" w:sz="4" w:space="0" w:color="auto"/>
            </w:tcBorders>
            <w:shd w:val="clear" w:color="auto" w:fill="auto"/>
            <w:noWrap/>
            <w:vAlign w:val="center"/>
            <w:hideMark/>
          </w:tcPr>
          <w:p w14:paraId="4E35895E"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7.92</w:t>
            </w:r>
          </w:p>
        </w:tc>
        <w:tc>
          <w:tcPr>
            <w:tcW w:w="282" w:type="pct"/>
            <w:tcBorders>
              <w:top w:val="nil"/>
              <w:bottom w:val="single" w:sz="4" w:space="0" w:color="auto"/>
            </w:tcBorders>
            <w:shd w:val="clear" w:color="auto" w:fill="auto"/>
            <w:noWrap/>
            <w:vAlign w:val="center"/>
            <w:hideMark/>
          </w:tcPr>
          <w:p w14:paraId="76E3C5D8"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7.46</w:t>
            </w:r>
          </w:p>
        </w:tc>
        <w:tc>
          <w:tcPr>
            <w:tcW w:w="417" w:type="pct"/>
            <w:tcBorders>
              <w:top w:val="nil"/>
              <w:bottom w:val="single" w:sz="4" w:space="0" w:color="auto"/>
            </w:tcBorders>
            <w:shd w:val="clear" w:color="auto" w:fill="auto"/>
            <w:noWrap/>
            <w:vAlign w:val="center"/>
            <w:hideMark/>
          </w:tcPr>
          <w:p w14:paraId="1B29EDF3"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7.22</w:t>
            </w:r>
          </w:p>
        </w:tc>
        <w:tc>
          <w:tcPr>
            <w:tcW w:w="379" w:type="pct"/>
            <w:tcBorders>
              <w:top w:val="nil"/>
              <w:bottom w:val="single" w:sz="4" w:space="0" w:color="auto"/>
            </w:tcBorders>
            <w:shd w:val="clear" w:color="auto" w:fill="auto"/>
            <w:noWrap/>
            <w:vAlign w:val="center"/>
            <w:hideMark/>
          </w:tcPr>
          <w:p w14:paraId="329A4E22"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90.18</w:t>
            </w:r>
          </w:p>
        </w:tc>
      </w:tr>
      <w:tr w:rsidR="00962CF0" w:rsidRPr="008E7B4C" w14:paraId="49B6B73A" w14:textId="77777777" w:rsidTr="00682ED7">
        <w:trPr>
          <w:trHeight w:val="454"/>
        </w:trPr>
        <w:tc>
          <w:tcPr>
            <w:tcW w:w="417" w:type="pct"/>
            <w:tcBorders>
              <w:top w:val="single" w:sz="4" w:space="0" w:color="auto"/>
              <w:right w:val="nil"/>
            </w:tcBorders>
          </w:tcPr>
          <w:p w14:paraId="2CB014AE" w14:textId="77777777" w:rsidR="00962CF0" w:rsidRPr="00E359D7" w:rsidRDefault="00962CF0" w:rsidP="00E063A1">
            <w:pPr>
              <w:spacing w:after="0" w:line="240" w:lineRule="auto"/>
              <w:rPr>
                <w:rFonts w:ascii="Times New Roman" w:eastAsia="Times New Roman" w:hAnsi="Times New Roman" w:cs="Times New Roman"/>
                <w:color w:val="000000"/>
              </w:rPr>
            </w:pPr>
          </w:p>
        </w:tc>
        <w:tc>
          <w:tcPr>
            <w:tcW w:w="417" w:type="pct"/>
            <w:tcBorders>
              <w:top w:val="single" w:sz="4" w:space="0" w:color="auto"/>
              <w:left w:val="nil"/>
              <w:right w:val="single" w:sz="4" w:space="0" w:color="auto"/>
            </w:tcBorders>
            <w:shd w:val="clear" w:color="auto" w:fill="auto"/>
            <w:noWrap/>
            <w:vAlign w:val="center"/>
            <w:hideMark/>
          </w:tcPr>
          <w:p w14:paraId="7026154B" w14:textId="411A6561" w:rsidR="00962CF0" w:rsidRPr="00E359D7" w:rsidRDefault="00962CF0"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Gold</w:t>
            </w:r>
          </w:p>
        </w:tc>
        <w:tc>
          <w:tcPr>
            <w:tcW w:w="280" w:type="pct"/>
            <w:tcBorders>
              <w:top w:val="single" w:sz="4" w:space="0" w:color="auto"/>
              <w:left w:val="single" w:sz="4" w:space="0" w:color="auto"/>
            </w:tcBorders>
            <w:shd w:val="clear" w:color="auto" w:fill="auto"/>
            <w:noWrap/>
            <w:vAlign w:val="center"/>
            <w:hideMark/>
          </w:tcPr>
          <w:p w14:paraId="000BD4A3"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7.36</w:t>
            </w:r>
          </w:p>
        </w:tc>
        <w:tc>
          <w:tcPr>
            <w:tcW w:w="279" w:type="pct"/>
            <w:tcBorders>
              <w:top w:val="single" w:sz="4" w:space="0" w:color="auto"/>
            </w:tcBorders>
            <w:shd w:val="clear" w:color="auto" w:fill="auto"/>
            <w:noWrap/>
            <w:vAlign w:val="center"/>
            <w:hideMark/>
          </w:tcPr>
          <w:p w14:paraId="60E92464"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6.8</w:t>
            </w:r>
          </w:p>
        </w:tc>
        <w:tc>
          <w:tcPr>
            <w:tcW w:w="279" w:type="pct"/>
            <w:tcBorders>
              <w:top w:val="single" w:sz="4" w:space="0" w:color="auto"/>
              <w:right w:val="single" w:sz="4" w:space="0" w:color="auto"/>
            </w:tcBorders>
            <w:shd w:val="clear" w:color="auto" w:fill="auto"/>
            <w:noWrap/>
            <w:vAlign w:val="center"/>
            <w:hideMark/>
          </w:tcPr>
          <w:p w14:paraId="6B25EC7D"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7.1</w:t>
            </w:r>
          </w:p>
        </w:tc>
        <w:tc>
          <w:tcPr>
            <w:tcW w:w="279" w:type="pct"/>
            <w:tcBorders>
              <w:top w:val="single" w:sz="4" w:space="0" w:color="auto"/>
              <w:left w:val="single" w:sz="4" w:space="0" w:color="auto"/>
            </w:tcBorders>
            <w:shd w:val="clear" w:color="auto" w:fill="auto"/>
            <w:noWrap/>
            <w:vAlign w:val="center"/>
            <w:hideMark/>
          </w:tcPr>
          <w:p w14:paraId="28EE6EEC"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7.04</w:t>
            </w:r>
          </w:p>
        </w:tc>
        <w:tc>
          <w:tcPr>
            <w:tcW w:w="279" w:type="pct"/>
            <w:tcBorders>
              <w:top w:val="single" w:sz="4" w:space="0" w:color="auto"/>
            </w:tcBorders>
            <w:shd w:val="clear" w:color="auto" w:fill="auto"/>
            <w:noWrap/>
            <w:vAlign w:val="center"/>
            <w:hideMark/>
          </w:tcPr>
          <w:p w14:paraId="5E2222C8"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7.23</w:t>
            </w:r>
          </w:p>
        </w:tc>
        <w:tc>
          <w:tcPr>
            <w:tcW w:w="282" w:type="pct"/>
            <w:tcBorders>
              <w:top w:val="single" w:sz="4" w:space="0" w:color="auto"/>
              <w:right w:val="single" w:sz="4" w:space="0" w:color="auto"/>
            </w:tcBorders>
            <w:shd w:val="clear" w:color="auto" w:fill="auto"/>
            <w:noWrap/>
            <w:vAlign w:val="center"/>
            <w:hideMark/>
          </w:tcPr>
          <w:p w14:paraId="5E9D44B2"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7.66</w:t>
            </w:r>
          </w:p>
        </w:tc>
        <w:tc>
          <w:tcPr>
            <w:tcW w:w="282" w:type="pct"/>
            <w:tcBorders>
              <w:top w:val="single" w:sz="4" w:space="0" w:color="auto"/>
              <w:left w:val="single" w:sz="4" w:space="0" w:color="auto"/>
            </w:tcBorders>
            <w:shd w:val="clear" w:color="auto" w:fill="auto"/>
            <w:noWrap/>
            <w:vAlign w:val="center"/>
            <w:hideMark/>
          </w:tcPr>
          <w:p w14:paraId="52614C09"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10.47</w:t>
            </w:r>
          </w:p>
        </w:tc>
        <w:tc>
          <w:tcPr>
            <w:tcW w:w="279" w:type="pct"/>
            <w:tcBorders>
              <w:top w:val="single" w:sz="4" w:space="0" w:color="auto"/>
            </w:tcBorders>
            <w:shd w:val="clear" w:color="auto" w:fill="auto"/>
            <w:noWrap/>
            <w:vAlign w:val="center"/>
            <w:hideMark/>
          </w:tcPr>
          <w:p w14:paraId="79AEDA45"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7.17</w:t>
            </w:r>
          </w:p>
        </w:tc>
        <w:tc>
          <w:tcPr>
            <w:tcW w:w="282" w:type="pct"/>
            <w:tcBorders>
              <w:top w:val="single" w:sz="4" w:space="0" w:color="auto"/>
            </w:tcBorders>
            <w:shd w:val="clear" w:color="auto" w:fill="auto"/>
            <w:noWrap/>
            <w:vAlign w:val="center"/>
            <w:hideMark/>
          </w:tcPr>
          <w:p w14:paraId="43F88393"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7.49</w:t>
            </w:r>
          </w:p>
        </w:tc>
        <w:tc>
          <w:tcPr>
            <w:tcW w:w="282" w:type="pct"/>
            <w:tcBorders>
              <w:top w:val="single" w:sz="4" w:space="0" w:color="auto"/>
            </w:tcBorders>
            <w:shd w:val="clear" w:color="auto" w:fill="auto"/>
            <w:noWrap/>
            <w:vAlign w:val="center"/>
            <w:hideMark/>
          </w:tcPr>
          <w:p w14:paraId="2FDC77A5"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7.86</w:t>
            </w:r>
          </w:p>
        </w:tc>
        <w:tc>
          <w:tcPr>
            <w:tcW w:w="282" w:type="pct"/>
            <w:tcBorders>
              <w:top w:val="single" w:sz="4" w:space="0" w:color="auto"/>
            </w:tcBorders>
            <w:shd w:val="clear" w:color="auto" w:fill="auto"/>
            <w:noWrap/>
            <w:vAlign w:val="center"/>
            <w:hideMark/>
          </w:tcPr>
          <w:p w14:paraId="37E6B53B"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8.11</w:t>
            </w:r>
          </w:p>
        </w:tc>
        <w:tc>
          <w:tcPr>
            <w:tcW w:w="282" w:type="pct"/>
            <w:tcBorders>
              <w:top w:val="single" w:sz="4" w:space="0" w:color="auto"/>
            </w:tcBorders>
            <w:shd w:val="clear" w:color="auto" w:fill="auto"/>
            <w:noWrap/>
            <w:vAlign w:val="center"/>
            <w:hideMark/>
          </w:tcPr>
          <w:p w14:paraId="28C36C6E"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8.6</w:t>
            </w:r>
          </w:p>
        </w:tc>
        <w:tc>
          <w:tcPr>
            <w:tcW w:w="417" w:type="pct"/>
            <w:tcBorders>
              <w:top w:val="single" w:sz="4" w:space="0" w:color="auto"/>
            </w:tcBorders>
            <w:shd w:val="clear" w:color="auto" w:fill="auto"/>
            <w:noWrap/>
            <w:vAlign w:val="center"/>
            <w:hideMark/>
          </w:tcPr>
          <w:p w14:paraId="6C238330"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7.11</w:t>
            </w:r>
          </w:p>
        </w:tc>
        <w:tc>
          <w:tcPr>
            <w:tcW w:w="379" w:type="pct"/>
            <w:tcBorders>
              <w:top w:val="single" w:sz="4" w:space="0" w:color="auto"/>
            </w:tcBorders>
            <w:shd w:val="clear" w:color="auto" w:fill="auto"/>
            <w:noWrap/>
            <w:vAlign w:val="center"/>
            <w:hideMark/>
          </w:tcPr>
          <w:p w14:paraId="296CB05D"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89.53</w:t>
            </w:r>
          </w:p>
        </w:tc>
      </w:tr>
      <w:tr w:rsidR="00962CF0" w:rsidRPr="008E7B4C" w14:paraId="27EADF25" w14:textId="77777777" w:rsidTr="00682ED7">
        <w:trPr>
          <w:trHeight w:val="454"/>
        </w:trPr>
        <w:tc>
          <w:tcPr>
            <w:tcW w:w="417" w:type="pct"/>
            <w:tcBorders>
              <w:right w:val="nil"/>
            </w:tcBorders>
          </w:tcPr>
          <w:p w14:paraId="3C0663B4" w14:textId="77777777" w:rsidR="00962CF0" w:rsidRPr="00E359D7" w:rsidRDefault="00962CF0" w:rsidP="00E063A1">
            <w:pPr>
              <w:spacing w:after="0" w:line="240" w:lineRule="auto"/>
              <w:rPr>
                <w:rFonts w:ascii="Times New Roman" w:eastAsia="Times New Roman" w:hAnsi="Times New Roman" w:cs="Times New Roman"/>
                <w:color w:val="000000"/>
              </w:rPr>
            </w:pPr>
          </w:p>
        </w:tc>
        <w:tc>
          <w:tcPr>
            <w:tcW w:w="417" w:type="pct"/>
            <w:tcBorders>
              <w:left w:val="nil"/>
              <w:right w:val="single" w:sz="4" w:space="0" w:color="auto"/>
            </w:tcBorders>
            <w:shd w:val="clear" w:color="auto" w:fill="auto"/>
            <w:noWrap/>
            <w:vAlign w:val="center"/>
            <w:hideMark/>
          </w:tcPr>
          <w:p w14:paraId="01A004F0" w14:textId="7A1613E6" w:rsidR="00962CF0" w:rsidRPr="00E359D7" w:rsidRDefault="00962CF0"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Oil</w:t>
            </w:r>
          </w:p>
        </w:tc>
        <w:tc>
          <w:tcPr>
            <w:tcW w:w="280" w:type="pct"/>
            <w:tcBorders>
              <w:left w:val="single" w:sz="4" w:space="0" w:color="auto"/>
            </w:tcBorders>
            <w:shd w:val="clear" w:color="auto" w:fill="auto"/>
            <w:noWrap/>
            <w:vAlign w:val="center"/>
            <w:hideMark/>
          </w:tcPr>
          <w:p w14:paraId="72EA2EFF"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7.3</w:t>
            </w:r>
          </w:p>
        </w:tc>
        <w:tc>
          <w:tcPr>
            <w:tcW w:w="279" w:type="pct"/>
            <w:shd w:val="clear" w:color="auto" w:fill="auto"/>
            <w:noWrap/>
            <w:vAlign w:val="center"/>
            <w:hideMark/>
          </w:tcPr>
          <w:p w14:paraId="1D19D53E"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6.78</w:t>
            </w:r>
          </w:p>
        </w:tc>
        <w:tc>
          <w:tcPr>
            <w:tcW w:w="279" w:type="pct"/>
            <w:tcBorders>
              <w:right w:val="single" w:sz="4" w:space="0" w:color="auto"/>
            </w:tcBorders>
            <w:shd w:val="clear" w:color="auto" w:fill="auto"/>
            <w:noWrap/>
            <w:vAlign w:val="center"/>
            <w:hideMark/>
          </w:tcPr>
          <w:p w14:paraId="03165A0F"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7.18</w:t>
            </w:r>
          </w:p>
        </w:tc>
        <w:tc>
          <w:tcPr>
            <w:tcW w:w="279" w:type="pct"/>
            <w:tcBorders>
              <w:left w:val="single" w:sz="4" w:space="0" w:color="auto"/>
            </w:tcBorders>
            <w:shd w:val="clear" w:color="auto" w:fill="auto"/>
            <w:noWrap/>
            <w:vAlign w:val="center"/>
            <w:hideMark/>
          </w:tcPr>
          <w:p w14:paraId="0B899D36"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6.8</w:t>
            </w:r>
          </w:p>
        </w:tc>
        <w:tc>
          <w:tcPr>
            <w:tcW w:w="279" w:type="pct"/>
            <w:shd w:val="clear" w:color="auto" w:fill="auto"/>
            <w:noWrap/>
            <w:vAlign w:val="center"/>
            <w:hideMark/>
          </w:tcPr>
          <w:p w14:paraId="3960D718"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7.24</w:t>
            </w:r>
          </w:p>
        </w:tc>
        <w:tc>
          <w:tcPr>
            <w:tcW w:w="282" w:type="pct"/>
            <w:tcBorders>
              <w:right w:val="single" w:sz="4" w:space="0" w:color="auto"/>
            </w:tcBorders>
            <w:shd w:val="clear" w:color="auto" w:fill="auto"/>
            <w:noWrap/>
            <w:vAlign w:val="center"/>
            <w:hideMark/>
          </w:tcPr>
          <w:p w14:paraId="53288036"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7.55</w:t>
            </w:r>
          </w:p>
        </w:tc>
        <w:tc>
          <w:tcPr>
            <w:tcW w:w="282" w:type="pct"/>
            <w:tcBorders>
              <w:left w:val="single" w:sz="4" w:space="0" w:color="auto"/>
            </w:tcBorders>
            <w:shd w:val="clear" w:color="auto" w:fill="auto"/>
            <w:noWrap/>
            <w:vAlign w:val="center"/>
            <w:hideMark/>
          </w:tcPr>
          <w:p w14:paraId="53CB73A1"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7.74</w:t>
            </w:r>
          </w:p>
        </w:tc>
        <w:tc>
          <w:tcPr>
            <w:tcW w:w="279" w:type="pct"/>
            <w:shd w:val="clear" w:color="auto" w:fill="auto"/>
            <w:noWrap/>
            <w:vAlign w:val="center"/>
            <w:hideMark/>
          </w:tcPr>
          <w:p w14:paraId="3F1FC36D"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10.31</w:t>
            </w:r>
          </w:p>
        </w:tc>
        <w:tc>
          <w:tcPr>
            <w:tcW w:w="282" w:type="pct"/>
            <w:shd w:val="clear" w:color="auto" w:fill="auto"/>
            <w:noWrap/>
            <w:vAlign w:val="center"/>
            <w:hideMark/>
          </w:tcPr>
          <w:p w14:paraId="40990191"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7.29</w:t>
            </w:r>
          </w:p>
        </w:tc>
        <w:tc>
          <w:tcPr>
            <w:tcW w:w="282" w:type="pct"/>
            <w:shd w:val="clear" w:color="auto" w:fill="auto"/>
            <w:noWrap/>
            <w:vAlign w:val="center"/>
            <w:hideMark/>
          </w:tcPr>
          <w:p w14:paraId="48DDF0C4"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7.85</w:t>
            </w:r>
          </w:p>
        </w:tc>
        <w:tc>
          <w:tcPr>
            <w:tcW w:w="282" w:type="pct"/>
            <w:shd w:val="clear" w:color="auto" w:fill="auto"/>
            <w:noWrap/>
            <w:vAlign w:val="center"/>
            <w:hideMark/>
          </w:tcPr>
          <w:p w14:paraId="056A67EC"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8.83</w:t>
            </w:r>
          </w:p>
        </w:tc>
        <w:tc>
          <w:tcPr>
            <w:tcW w:w="282" w:type="pct"/>
            <w:shd w:val="clear" w:color="auto" w:fill="auto"/>
            <w:noWrap/>
            <w:vAlign w:val="center"/>
            <w:hideMark/>
          </w:tcPr>
          <w:p w14:paraId="5E217E9B"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7.79</w:t>
            </w:r>
          </w:p>
        </w:tc>
        <w:tc>
          <w:tcPr>
            <w:tcW w:w="417" w:type="pct"/>
            <w:shd w:val="clear" w:color="auto" w:fill="auto"/>
            <w:noWrap/>
            <w:vAlign w:val="center"/>
            <w:hideMark/>
          </w:tcPr>
          <w:p w14:paraId="4602F127"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7.34</w:t>
            </w:r>
          </w:p>
        </w:tc>
        <w:tc>
          <w:tcPr>
            <w:tcW w:w="379" w:type="pct"/>
            <w:shd w:val="clear" w:color="auto" w:fill="auto"/>
            <w:noWrap/>
            <w:vAlign w:val="center"/>
            <w:hideMark/>
          </w:tcPr>
          <w:p w14:paraId="79EA2DC5"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89.69</w:t>
            </w:r>
          </w:p>
        </w:tc>
      </w:tr>
      <w:tr w:rsidR="00962CF0" w:rsidRPr="008E7B4C" w14:paraId="4EAA0D78" w14:textId="77777777" w:rsidTr="00682ED7">
        <w:trPr>
          <w:trHeight w:val="454"/>
        </w:trPr>
        <w:tc>
          <w:tcPr>
            <w:tcW w:w="417" w:type="pct"/>
            <w:tcBorders>
              <w:right w:val="nil"/>
            </w:tcBorders>
          </w:tcPr>
          <w:p w14:paraId="15B259DA" w14:textId="77777777" w:rsidR="00962CF0" w:rsidRPr="00E359D7" w:rsidRDefault="00962CF0" w:rsidP="00E063A1">
            <w:pPr>
              <w:spacing w:after="0" w:line="240" w:lineRule="auto"/>
              <w:rPr>
                <w:rFonts w:ascii="Times New Roman" w:eastAsia="Times New Roman" w:hAnsi="Times New Roman" w:cs="Times New Roman"/>
                <w:color w:val="000000"/>
              </w:rPr>
            </w:pPr>
          </w:p>
        </w:tc>
        <w:tc>
          <w:tcPr>
            <w:tcW w:w="417" w:type="pct"/>
            <w:tcBorders>
              <w:left w:val="nil"/>
              <w:right w:val="single" w:sz="4" w:space="0" w:color="auto"/>
            </w:tcBorders>
            <w:shd w:val="clear" w:color="auto" w:fill="auto"/>
            <w:noWrap/>
            <w:vAlign w:val="center"/>
            <w:hideMark/>
          </w:tcPr>
          <w:p w14:paraId="787F5C97" w14:textId="5C2BC1B0" w:rsidR="00962CF0" w:rsidRPr="00E359D7" w:rsidRDefault="00962CF0"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BTC</w:t>
            </w:r>
          </w:p>
        </w:tc>
        <w:tc>
          <w:tcPr>
            <w:tcW w:w="280" w:type="pct"/>
            <w:tcBorders>
              <w:left w:val="single" w:sz="4" w:space="0" w:color="auto"/>
            </w:tcBorders>
            <w:shd w:val="clear" w:color="auto" w:fill="auto"/>
            <w:noWrap/>
            <w:vAlign w:val="center"/>
            <w:hideMark/>
          </w:tcPr>
          <w:p w14:paraId="490FF801"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7.74</w:t>
            </w:r>
          </w:p>
        </w:tc>
        <w:tc>
          <w:tcPr>
            <w:tcW w:w="279" w:type="pct"/>
            <w:shd w:val="clear" w:color="auto" w:fill="auto"/>
            <w:noWrap/>
            <w:vAlign w:val="center"/>
            <w:hideMark/>
          </w:tcPr>
          <w:p w14:paraId="04AA0E9E"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7.08</w:t>
            </w:r>
          </w:p>
        </w:tc>
        <w:tc>
          <w:tcPr>
            <w:tcW w:w="279" w:type="pct"/>
            <w:tcBorders>
              <w:right w:val="single" w:sz="4" w:space="0" w:color="auto"/>
            </w:tcBorders>
            <w:shd w:val="clear" w:color="auto" w:fill="auto"/>
            <w:noWrap/>
            <w:vAlign w:val="center"/>
            <w:hideMark/>
          </w:tcPr>
          <w:p w14:paraId="0AFF651F"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7.59</w:t>
            </w:r>
          </w:p>
        </w:tc>
        <w:tc>
          <w:tcPr>
            <w:tcW w:w="279" w:type="pct"/>
            <w:tcBorders>
              <w:left w:val="single" w:sz="4" w:space="0" w:color="auto"/>
            </w:tcBorders>
            <w:shd w:val="clear" w:color="auto" w:fill="auto"/>
            <w:noWrap/>
            <w:vAlign w:val="center"/>
            <w:hideMark/>
          </w:tcPr>
          <w:p w14:paraId="02D6FFB3"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7.86</w:t>
            </w:r>
          </w:p>
        </w:tc>
        <w:tc>
          <w:tcPr>
            <w:tcW w:w="279" w:type="pct"/>
            <w:shd w:val="clear" w:color="auto" w:fill="auto"/>
            <w:noWrap/>
            <w:vAlign w:val="center"/>
            <w:hideMark/>
          </w:tcPr>
          <w:p w14:paraId="0D1C3AAA"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7.5</w:t>
            </w:r>
          </w:p>
        </w:tc>
        <w:tc>
          <w:tcPr>
            <w:tcW w:w="282" w:type="pct"/>
            <w:tcBorders>
              <w:right w:val="single" w:sz="4" w:space="0" w:color="auto"/>
            </w:tcBorders>
            <w:shd w:val="clear" w:color="auto" w:fill="auto"/>
            <w:noWrap/>
            <w:vAlign w:val="center"/>
            <w:hideMark/>
          </w:tcPr>
          <w:p w14:paraId="0F034DED"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8.75</w:t>
            </w:r>
          </w:p>
        </w:tc>
        <w:tc>
          <w:tcPr>
            <w:tcW w:w="282" w:type="pct"/>
            <w:tcBorders>
              <w:left w:val="single" w:sz="4" w:space="0" w:color="auto"/>
            </w:tcBorders>
            <w:shd w:val="clear" w:color="auto" w:fill="auto"/>
            <w:noWrap/>
            <w:vAlign w:val="center"/>
            <w:hideMark/>
          </w:tcPr>
          <w:p w14:paraId="0CD1301E"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7.18</w:t>
            </w:r>
          </w:p>
        </w:tc>
        <w:tc>
          <w:tcPr>
            <w:tcW w:w="279" w:type="pct"/>
            <w:shd w:val="clear" w:color="auto" w:fill="auto"/>
            <w:noWrap/>
            <w:vAlign w:val="center"/>
            <w:hideMark/>
          </w:tcPr>
          <w:p w14:paraId="502FADE0"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6.53</w:t>
            </w:r>
          </w:p>
        </w:tc>
        <w:tc>
          <w:tcPr>
            <w:tcW w:w="282" w:type="pct"/>
            <w:shd w:val="clear" w:color="auto" w:fill="auto"/>
            <w:noWrap/>
            <w:vAlign w:val="center"/>
            <w:hideMark/>
          </w:tcPr>
          <w:p w14:paraId="502E4AB2"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9.46</w:t>
            </w:r>
          </w:p>
        </w:tc>
        <w:tc>
          <w:tcPr>
            <w:tcW w:w="282" w:type="pct"/>
            <w:shd w:val="clear" w:color="auto" w:fill="auto"/>
            <w:noWrap/>
            <w:vAlign w:val="center"/>
            <w:hideMark/>
          </w:tcPr>
          <w:p w14:paraId="1AF4686E"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7.34</w:t>
            </w:r>
          </w:p>
        </w:tc>
        <w:tc>
          <w:tcPr>
            <w:tcW w:w="282" w:type="pct"/>
            <w:shd w:val="clear" w:color="auto" w:fill="auto"/>
            <w:noWrap/>
            <w:vAlign w:val="center"/>
            <w:hideMark/>
          </w:tcPr>
          <w:p w14:paraId="2D570EAA"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8.18</w:t>
            </w:r>
          </w:p>
        </w:tc>
        <w:tc>
          <w:tcPr>
            <w:tcW w:w="282" w:type="pct"/>
            <w:shd w:val="clear" w:color="auto" w:fill="auto"/>
            <w:noWrap/>
            <w:vAlign w:val="center"/>
            <w:hideMark/>
          </w:tcPr>
          <w:p w14:paraId="7FDA6D44"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7.48</w:t>
            </w:r>
          </w:p>
        </w:tc>
        <w:tc>
          <w:tcPr>
            <w:tcW w:w="417" w:type="pct"/>
            <w:shd w:val="clear" w:color="auto" w:fill="auto"/>
            <w:noWrap/>
            <w:vAlign w:val="center"/>
            <w:hideMark/>
          </w:tcPr>
          <w:p w14:paraId="799EBDEA"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7.29</w:t>
            </w:r>
          </w:p>
        </w:tc>
        <w:tc>
          <w:tcPr>
            <w:tcW w:w="379" w:type="pct"/>
            <w:shd w:val="clear" w:color="auto" w:fill="auto"/>
            <w:noWrap/>
            <w:vAlign w:val="center"/>
            <w:hideMark/>
          </w:tcPr>
          <w:p w14:paraId="59E8AFB8"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90.54</w:t>
            </w:r>
          </w:p>
        </w:tc>
      </w:tr>
      <w:tr w:rsidR="00962CF0" w:rsidRPr="008E7B4C" w14:paraId="6C477ECF" w14:textId="77777777" w:rsidTr="00682ED7">
        <w:trPr>
          <w:trHeight w:val="454"/>
        </w:trPr>
        <w:tc>
          <w:tcPr>
            <w:tcW w:w="417" w:type="pct"/>
            <w:tcBorders>
              <w:right w:val="nil"/>
            </w:tcBorders>
          </w:tcPr>
          <w:p w14:paraId="53AB8FA3" w14:textId="77777777" w:rsidR="00962CF0" w:rsidRPr="00E359D7" w:rsidRDefault="00962CF0" w:rsidP="00E063A1">
            <w:pPr>
              <w:spacing w:after="0" w:line="240" w:lineRule="auto"/>
              <w:rPr>
                <w:rFonts w:ascii="Times New Roman" w:eastAsia="Times New Roman" w:hAnsi="Times New Roman" w:cs="Times New Roman"/>
                <w:color w:val="000000"/>
              </w:rPr>
            </w:pPr>
          </w:p>
        </w:tc>
        <w:tc>
          <w:tcPr>
            <w:tcW w:w="417" w:type="pct"/>
            <w:tcBorders>
              <w:left w:val="nil"/>
              <w:right w:val="single" w:sz="4" w:space="0" w:color="auto"/>
            </w:tcBorders>
            <w:shd w:val="clear" w:color="auto" w:fill="auto"/>
            <w:noWrap/>
            <w:vAlign w:val="center"/>
            <w:hideMark/>
          </w:tcPr>
          <w:p w14:paraId="6CD39673" w14:textId="762DBCA9" w:rsidR="00962CF0" w:rsidRPr="00E359D7" w:rsidRDefault="00962CF0"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REIT</w:t>
            </w:r>
          </w:p>
        </w:tc>
        <w:tc>
          <w:tcPr>
            <w:tcW w:w="280" w:type="pct"/>
            <w:tcBorders>
              <w:left w:val="single" w:sz="4" w:space="0" w:color="auto"/>
            </w:tcBorders>
            <w:shd w:val="clear" w:color="auto" w:fill="auto"/>
            <w:noWrap/>
            <w:vAlign w:val="center"/>
            <w:hideMark/>
          </w:tcPr>
          <w:p w14:paraId="0C3F9C29"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7.09</w:t>
            </w:r>
          </w:p>
        </w:tc>
        <w:tc>
          <w:tcPr>
            <w:tcW w:w="279" w:type="pct"/>
            <w:shd w:val="clear" w:color="auto" w:fill="auto"/>
            <w:noWrap/>
            <w:vAlign w:val="center"/>
            <w:hideMark/>
          </w:tcPr>
          <w:p w14:paraId="7F569766"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6.78</w:t>
            </w:r>
          </w:p>
        </w:tc>
        <w:tc>
          <w:tcPr>
            <w:tcW w:w="279" w:type="pct"/>
            <w:tcBorders>
              <w:right w:val="single" w:sz="4" w:space="0" w:color="auto"/>
            </w:tcBorders>
            <w:shd w:val="clear" w:color="auto" w:fill="auto"/>
            <w:noWrap/>
            <w:vAlign w:val="center"/>
            <w:hideMark/>
          </w:tcPr>
          <w:p w14:paraId="37FB2156"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7.2</w:t>
            </w:r>
          </w:p>
        </w:tc>
        <w:tc>
          <w:tcPr>
            <w:tcW w:w="279" w:type="pct"/>
            <w:tcBorders>
              <w:left w:val="single" w:sz="4" w:space="0" w:color="auto"/>
            </w:tcBorders>
            <w:shd w:val="clear" w:color="auto" w:fill="auto"/>
            <w:noWrap/>
            <w:vAlign w:val="center"/>
            <w:hideMark/>
          </w:tcPr>
          <w:p w14:paraId="383AAEB1"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7.05</w:t>
            </w:r>
          </w:p>
        </w:tc>
        <w:tc>
          <w:tcPr>
            <w:tcW w:w="279" w:type="pct"/>
            <w:shd w:val="clear" w:color="auto" w:fill="auto"/>
            <w:noWrap/>
            <w:vAlign w:val="center"/>
            <w:hideMark/>
          </w:tcPr>
          <w:p w14:paraId="3E4C9CF5"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7.32</w:t>
            </w:r>
          </w:p>
        </w:tc>
        <w:tc>
          <w:tcPr>
            <w:tcW w:w="282" w:type="pct"/>
            <w:tcBorders>
              <w:right w:val="single" w:sz="4" w:space="0" w:color="auto"/>
            </w:tcBorders>
            <w:shd w:val="clear" w:color="auto" w:fill="auto"/>
            <w:noWrap/>
            <w:vAlign w:val="center"/>
            <w:hideMark/>
          </w:tcPr>
          <w:p w14:paraId="1C2E48FC"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7.71</w:t>
            </w:r>
          </w:p>
        </w:tc>
        <w:tc>
          <w:tcPr>
            <w:tcW w:w="282" w:type="pct"/>
            <w:tcBorders>
              <w:left w:val="single" w:sz="4" w:space="0" w:color="auto"/>
            </w:tcBorders>
            <w:shd w:val="clear" w:color="auto" w:fill="auto"/>
            <w:noWrap/>
            <w:vAlign w:val="center"/>
            <w:hideMark/>
          </w:tcPr>
          <w:p w14:paraId="36B2A731"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7.65</w:t>
            </w:r>
          </w:p>
        </w:tc>
        <w:tc>
          <w:tcPr>
            <w:tcW w:w="279" w:type="pct"/>
            <w:shd w:val="clear" w:color="auto" w:fill="auto"/>
            <w:noWrap/>
            <w:vAlign w:val="center"/>
            <w:hideMark/>
          </w:tcPr>
          <w:p w14:paraId="7EC4CCC0"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6.96</w:t>
            </w:r>
          </w:p>
        </w:tc>
        <w:tc>
          <w:tcPr>
            <w:tcW w:w="282" w:type="pct"/>
            <w:shd w:val="clear" w:color="auto" w:fill="auto"/>
            <w:noWrap/>
            <w:vAlign w:val="center"/>
            <w:hideMark/>
          </w:tcPr>
          <w:p w14:paraId="5EEFECAA"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7.6</w:t>
            </w:r>
          </w:p>
        </w:tc>
        <w:tc>
          <w:tcPr>
            <w:tcW w:w="282" w:type="pct"/>
            <w:shd w:val="clear" w:color="auto" w:fill="auto"/>
            <w:noWrap/>
            <w:vAlign w:val="center"/>
            <w:hideMark/>
          </w:tcPr>
          <w:p w14:paraId="35572CF8"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10.2</w:t>
            </w:r>
          </w:p>
        </w:tc>
        <w:tc>
          <w:tcPr>
            <w:tcW w:w="282" w:type="pct"/>
            <w:shd w:val="clear" w:color="auto" w:fill="auto"/>
            <w:noWrap/>
            <w:vAlign w:val="center"/>
            <w:hideMark/>
          </w:tcPr>
          <w:p w14:paraId="6C64FF8E"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9.03</w:t>
            </w:r>
          </w:p>
        </w:tc>
        <w:tc>
          <w:tcPr>
            <w:tcW w:w="282" w:type="pct"/>
            <w:shd w:val="clear" w:color="auto" w:fill="auto"/>
            <w:noWrap/>
            <w:vAlign w:val="center"/>
            <w:hideMark/>
          </w:tcPr>
          <w:p w14:paraId="79ACE624"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8.25</w:t>
            </w:r>
          </w:p>
        </w:tc>
        <w:tc>
          <w:tcPr>
            <w:tcW w:w="417" w:type="pct"/>
            <w:shd w:val="clear" w:color="auto" w:fill="auto"/>
            <w:noWrap/>
            <w:vAlign w:val="center"/>
            <w:hideMark/>
          </w:tcPr>
          <w:p w14:paraId="7905E125"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7.16</w:t>
            </w:r>
          </w:p>
        </w:tc>
        <w:tc>
          <w:tcPr>
            <w:tcW w:w="379" w:type="pct"/>
            <w:shd w:val="clear" w:color="auto" w:fill="auto"/>
            <w:noWrap/>
            <w:vAlign w:val="center"/>
            <w:hideMark/>
          </w:tcPr>
          <w:p w14:paraId="719B4232"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89.8</w:t>
            </w:r>
          </w:p>
        </w:tc>
      </w:tr>
      <w:tr w:rsidR="00962CF0" w:rsidRPr="008E7B4C" w14:paraId="6280E12B" w14:textId="77777777" w:rsidTr="00682ED7">
        <w:trPr>
          <w:trHeight w:val="454"/>
        </w:trPr>
        <w:tc>
          <w:tcPr>
            <w:tcW w:w="417" w:type="pct"/>
            <w:tcBorders>
              <w:right w:val="nil"/>
            </w:tcBorders>
          </w:tcPr>
          <w:p w14:paraId="0BFF7609" w14:textId="77777777" w:rsidR="00962CF0" w:rsidRPr="00E359D7" w:rsidRDefault="00962CF0" w:rsidP="00E063A1">
            <w:pPr>
              <w:spacing w:after="0" w:line="240" w:lineRule="auto"/>
              <w:rPr>
                <w:rFonts w:ascii="Times New Roman" w:eastAsia="Times New Roman" w:hAnsi="Times New Roman" w:cs="Times New Roman"/>
                <w:color w:val="000000"/>
              </w:rPr>
            </w:pPr>
          </w:p>
        </w:tc>
        <w:tc>
          <w:tcPr>
            <w:tcW w:w="417" w:type="pct"/>
            <w:tcBorders>
              <w:left w:val="nil"/>
              <w:right w:val="single" w:sz="4" w:space="0" w:color="auto"/>
            </w:tcBorders>
            <w:shd w:val="clear" w:color="auto" w:fill="auto"/>
            <w:noWrap/>
            <w:vAlign w:val="center"/>
            <w:hideMark/>
          </w:tcPr>
          <w:p w14:paraId="0DD8B4C7" w14:textId="77B23DF2" w:rsidR="00962CF0" w:rsidRPr="00E359D7" w:rsidRDefault="00962CF0"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Equity</w:t>
            </w:r>
          </w:p>
        </w:tc>
        <w:tc>
          <w:tcPr>
            <w:tcW w:w="280" w:type="pct"/>
            <w:tcBorders>
              <w:left w:val="single" w:sz="4" w:space="0" w:color="auto"/>
            </w:tcBorders>
            <w:shd w:val="clear" w:color="auto" w:fill="auto"/>
            <w:noWrap/>
            <w:vAlign w:val="center"/>
            <w:hideMark/>
          </w:tcPr>
          <w:p w14:paraId="4D9BE738"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7.06</w:t>
            </w:r>
          </w:p>
        </w:tc>
        <w:tc>
          <w:tcPr>
            <w:tcW w:w="279" w:type="pct"/>
            <w:shd w:val="clear" w:color="auto" w:fill="auto"/>
            <w:noWrap/>
            <w:vAlign w:val="center"/>
            <w:hideMark/>
          </w:tcPr>
          <w:p w14:paraId="710240A2"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6.71</w:t>
            </w:r>
          </w:p>
        </w:tc>
        <w:tc>
          <w:tcPr>
            <w:tcW w:w="279" w:type="pct"/>
            <w:tcBorders>
              <w:right w:val="single" w:sz="4" w:space="0" w:color="auto"/>
            </w:tcBorders>
            <w:shd w:val="clear" w:color="auto" w:fill="auto"/>
            <w:noWrap/>
            <w:vAlign w:val="center"/>
            <w:hideMark/>
          </w:tcPr>
          <w:p w14:paraId="7E767943"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7.14</w:t>
            </w:r>
          </w:p>
        </w:tc>
        <w:tc>
          <w:tcPr>
            <w:tcW w:w="279" w:type="pct"/>
            <w:tcBorders>
              <w:left w:val="single" w:sz="4" w:space="0" w:color="auto"/>
            </w:tcBorders>
            <w:shd w:val="clear" w:color="auto" w:fill="auto"/>
            <w:noWrap/>
            <w:vAlign w:val="center"/>
            <w:hideMark/>
          </w:tcPr>
          <w:p w14:paraId="22170DA1"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7.16</w:t>
            </w:r>
          </w:p>
        </w:tc>
        <w:tc>
          <w:tcPr>
            <w:tcW w:w="279" w:type="pct"/>
            <w:shd w:val="clear" w:color="auto" w:fill="auto"/>
            <w:noWrap/>
            <w:vAlign w:val="center"/>
            <w:hideMark/>
          </w:tcPr>
          <w:p w14:paraId="6972B0ED"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7.68</w:t>
            </w:r>
          </w:p>
        </w:tc>
        <w:tc>
          <w:tcPr>
            <w:tcW w:w="282" w:type="pct"/>
            <w:tcBorders>
              <w:right w:val="single" w:sz="4" w:space="0" w:color="auto"/>
            </w:tcBorders>
            <w:shd w:val="clear" w:color="auto" w:fill="auto"/>
            <w:noWrap/>
            <w:vAlign w:val="center"/>
            <w:hideMark/>
          </w:tcPr>
          <w:p w14:paraId="6FFA7353"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7.8</w:t>
            </w:r>
          </w:p>
        </w:tc>
        <w:tc>
          <w:tcPr>
            <w:tcW w:w="282" w:type="pct"/>
            <w:tcBorders>
              <w:left w:val="single" w:sz="4" w:space="0" w:color="auto"/>
            </w:tcBorders>
            <w:shd w:val="clear" w:color="auto" w:fill="auto"/>
            <w:noWrap/>
            <w:vAlign w:val="center"/>
            <w:hideMark/>
          </w:tcPr>
          <w:p w14:paraId="76272153"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7.77</w:t>
            </w:r>
          </w:p>
        </w:tc>
        <w:tc>
          <w:tcPr>
            <w:tcW w:w="279" w:type="pct"/>
            <w:shd w:val="clear" w:color="auto" w:fill="auto"/>
            <w:noWrap/>
            <w:vAlign w:val="center"/>
            <w:hideMark/>
          </w:tcPr>
          <w:p w14:paraId="563655D3"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7.03</w:t>
            </w:r>
          </w:p>
        </w:tc>
        <w:tc>
          <w:tcPr>
            <w:tcW w:w="282" w:type="pct"/>
            <w:shd w:val="clear" w:color="auto" w:fill="auto"/>
            <w:noWrap/>
            <w:vAlign w:val="center"/>
            <w:hideMark/>
          </w:tcPr>
          <w:p w14:paraId="7D877669"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7.59</w:t>
            </w:r>
          </w:p>
        </w:tc>
        <w:tc>
          <w:tcPr>
            <w:tcW w:w="282" w:type="pct"/>
            <w:shd w:val="clear" w:color="auto" w:fill="auto"/>
            <w:noWrap/>
            <w:vAlign w:val="center"/>
            <w:hideMark/>
          </w:tcPr>
          <w:p w14:paraId="50D69686"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8.29</w:t>
            </w:r>
          </w:p>
        </w:tc>
        <w:tc>
          <w:tcPr>
            <w:tcW w:w="282" w:type="pct"/>
            <w:shd w:val="clear" w:color="auto" w:fill="auto"/>
            <w:noWrap/>
            <w:vAlign w:val="center"/>
            <w:hideMark/>
          </w:tcPr>
          <w:p w14:paraId="53598099"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10.63</w:t>
            </w:r>
          </w:p>
        </w:tc>
        <w:tc>
          <w:tcPr>
            <w:tcW w:w="282" w:type="pct"/>
            <w:shd w:val="clear" w:color="auto" w:fill="auto"/>
            <w:noWrap/>
            <w:vAlign w:val="center"/>
            <w:hideMark/>
          </w:tcPr>
          <w:p w14:paraId="2BA75955"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8.02</w:t>
            </w:r>
          </w:p>
        </w:tc>
        <w:tc>
          <w:tcPr>
            <w:tcW w:w="417" w:type="pct"/>
            <w:shd w:val="clear" w:color="auto" w:fill="auto"/>
            <w:noWrap/>
            <w:vAlign w:val="center"/>
            <w:hideMark/>
          </w:tcPr>
          <w:p w14:paraId="4E1ACCFF"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7.12</w:t>
            </w:r>
          </w:p>
        </w:tc>
        <w:tc>
          <w:tcPr>
            <w:tcW w:w="379" w:type="pct"/>
            <w:shd w:val="clear" w:color="auto" w:fill="auto"/>
            <w:noWrap/>
            <w:vAlign w:val="center"/>
            <w:hideMark/>
          </w:tcPr>
          <w:p w14:paraId="75373889"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89.37</w:t>
            </w:r>
          </w:p>
        </w:tc>
      </w:tr>
      <w:tr w:rsidR="00962CF0" w:rsidRPr="008E7B4C" w14:paraId="6758CB1D" w14:textId="77777777" w:rsidTr="00682ED7">
        <w:trPr>
          <w:trHeight w:val="454"/>
        </w:trPr>
        <w:tc>
          <w:tcPr>
            <w:tcW w:w="417" w:type="pct"/>
            <w:tcBorders>
              <w:right w:val="nil"/>
            </w:tcBorders>
          </w:tcPr>
          <w:p w14:paraId="17135829" w14:textId="77777777" w:rsidR="00962CF0" w:rsidRPr="00E359D7" w:rsidRDefault="00962CF0" w:rsidP="00E063A1">
            <w:pPr>
              <w:spacing w:after="0" w:line="240" w:lineRule="auto"/>
              <w:rPr>
                <w:rFonts w:ascii="Times New Roman" w:eastAsia="Times New Roman" w:hAnsi="Times New Roman" w:cs="Times New Roman"/>
                <w:color w:val="000000"/>
              </w:rPr>
            </w:pPr>
          </w:p>
        </w:tc>
        <w:tc>
          <w:tcPr>
            <w:tcW w:w="417" w:type="pct"/>
            <w:tcBorders>
              <w:left w:val="nil"/>
              <w:right w:val="single" w:sz="4" w:space="0" w:color="auto"/>
            </w:tcBorders>
            <w:shd w:val="clear" w:color="auto" w:fill="auto"/>
            <w:noWrap/>
            <w:vAlign w:val="center"/>
            <w:hideMark/>
          </w:tcPr>
          <w:p w14:paraId="054B2323" w14:textId="625FFA54" w:rsidR="00962CF0" w:rsidRPr="00E359D7" w:rsidRDefault="00962CF0"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Bond</w:t>
            </w:r>
          </w:p>
        </w:tc>
        <w:tc>
          <w:tcPr>
            <w:tcW w:w="280" w:type="pct"/>
            <w:tcBorders>
              <w:left w:val="single" w:sz="4" w:space="0" w:color="auto"/>
            </w:tcBorders>
            <w:shd w:val="clear" w:color="auto" w:fill="auto"/>
            <w:noWrap/>
            <w:vAlign w:val="center"/>
            <w:hideMark/>
          </w:tcPr>
          <w:p w14:paraId="2E8FBA80"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7.18</w:t>
            </w:r>
          </w:p>
        </w:tc>
        <w:tc>
          <w:tcPr>
            <w:tcW w:w="279" w:type="pct"/>
            <w:shd w:val="clear" w:color="auto" w:fill="auto"/>
            <w:noWrap/>
            <w:vAlign w:val="center"/>
            <w:hideMark/>
          </w:tcPr>
          <w:p w14:paraId="5AF29099"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6.65</w:t>
            </w:r>
          </w:p>
        </w:tc>
        <w:tc>
          <w:tcPr>
            <w:tcW w:w="279" w:type="pct"/>
            <w:tcBorders>
              <w:right w:val="single" w:sz="4" w:space="0" w:color="auto"/>
            </w:tcBorders>
            <w:shd w:val="clear" w:color="auto" w:fill="auto"/>
            <w:noWrap/>
            <w:vAlign w:val="center"/>
            <w:hideMark/>
          </w:tcPr>
          <w:p w14:paraId="26A21E17"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7.23</w:t>
            </w:r>
          </w:p>
        </w:tc>
        <w:tc>
          <w:tcPr>
            <w:tcW w:w="279" w:type="pct"/>
            <w:tcBorders>
              <w:left w:val="single" w:sz="4" w:space="0" w:color="auto"/>
            </w:tcBorders>
            <w:shd w:val="clear" w:color="auto" w:fill="auto"/>
            <w:noWrap/>
            <w:vAlign w:val="center"/>
            <w:hideMark/>
          </w:tcPr>
          <w:p w14:paraId="34693066"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7.05</w:t>
            </w:r>
          </w:p>
        </w:tc>
        <w:tc>
          <w:tcPr>
            <w:tcW w:w="279" w:type="pct"/>
            <w:shd w:val="clear" w:color="auto" w:fill="auto"/>
            <w:noWrap/>
            <w:vAlign w:val="center"/>
            <w:hideMark/>
          </w:tcPr>
          <w:p w14:paraId="42727CF1"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7.2</w:t>
            </w:r>
          </w:p>
        </w:tc>
        <w:tc>
          <w:tcPr>
            <w:tcW w:w="282" w:type="pct"/>
            <w:tcBorders>
              <w:right w:val="single" w:sz="4" w:space="0" w:color="auto"/>
            </w:tcBorders>
            <w:shd w:val="clear" w:color="auto" w:fill="auto"/>
            <w:noWrap/>
            <w:vAlign w:val="center"/>
            <w:hideMark/>
          </w:tcPr>
          <w:p w14:paraId="3D2FF2C2"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7.57</w:t>
            </w:r>
          </w:p>
        </w:tc>
        <w:tc>
          <w:tcPr>
            <w:tcW w:w="282" w:type="pct"/>
            <w:tcBorders>
              <w:left w:val="single" w:sz="4" w:space="0" w:color="auto"/>
            </w:tcBorders>
            <w:shd w:val="clear" w:color="auto" w:fill="auto"/>
            <w:noWrap/>
            <w:vAlign w:val="center"/>
            <w:hideMark/>
          </w:tcPr>
          <w:p w14:paraId="7380C1B5"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8.17</w:t>
            </w:r>
          </w:p>
        </w:tc>
        <w:tc>
          <w:tcPr>
            <w:tcW w:w="279" w:type="pct"/>
            <w:shd w:val="clear" w:color="auto" w:fill="auto"/>
            <w:noWrap/>
            <w:vAlign w:val="center"/>
            <w:hideMark/>
          </w:tcPr>
          <w:p w14:paraId="2D9436AA"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6.9</w:t>
            </w:r>
          </w:p>
        </w:tc>
        <w:tc>
          <w:tcPr>
            <w:tcW w:w="282" w:type="pct"/>
            <w:shd w:val="clear" w:color="auto" w:fill="auto"/>
            <w:noWrap/>
            <w:vAlign w:val="center"/>
            <w:hideMark/>
          </w:tcPr>
          <w:p w14:paraId="2A01DF9E"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7.45</w:t>
            </w:r>
          </w:p>
        </w:tc>
        <w:tc>
          <w:tcPr>
            <w:tcW w:w="282" w:type="pct"/>
            <w:shd w:val="clear" w:color="auto" w:fill="auto"/>
            <w:noWrap/>
            <w:vAlign w:val="center"/>
            <w:hideMark/>
          </w:tcPr>
          <w:p w14:paraId="24EC6B4B"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8.05</w:t>
            </w:r>
          </w:p>
        </w:tc>
        <w:tc>
          <w:tcPr>
            <w:tcW w:w="282" w:type="pct"/>
            <w:shd w:val="clear" w:color="auto" w:fill="auto"/>
            <w:noWrap/>
            <w:vAlign w:val="center"/>
            <w:hideMark/>
          </w:tcPr>
          <w:p w14:paraId="1CDCED3F"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8.61</w:t>
            </w:r>
          </w:p>
        </w:tc>
        <w:tc>
          <w:tcPr>
            <w:tcW w:w="282" w:type="pct"/>
            <w:shd w:val="clear" w:color="auto" w:fill="auto"/>
            <w:noWrap/>
            <w:vAlign w:val="center"/>
            <w:hideMark/>
          </w:tcPr>
          <w:p w14:paraId="62864AEC"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10.71</w:t>
            </w:r>
          </w:p>
        </w:tc>
        <w:tc>
          <w:tcPr>
            <w:tcW w:w="417" w:type="pct"/>
            <w:shd w:val="clear" w:color="auto" w:fill="auto"/>
            <w:noWrap/>
            <w:vAlign w:val="center"/>
            <w:hideMark/>
          </w:tcPr>
          <w:p w14:paraId="54F5330C"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7.22</w:t>
            </w:r>
          </w:p>
        </w:tc>
        <w:tc>
          <w:tcPr>
            <w:tcW w:w="379" w:type="pct"/>
            <w:shd w:val="clear" w:color="auto" w:fill="auto"/>
            <w:noWrap/>
            <w:vAlign w:val="center"/>
            <w:hideMark/>
          </w:tcPr>
          <w:p w14:paraId="5DB4421A"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89.29</w:t>
            </w:r>
          </w:p>
        </w:tc>
      </w:tr>
      <w:tr w:rsidR="00962CF0" w:rsidRPr="008E7B4C" w14:paraId="63004ED6" w14:textId="77777777" w:rsidTr="00682ED7">
        <w:trPr>
          <w:trHeight w:val="454"/>
        </w:trPr>
        <w:tc>
          <w:tcPr>
            <w:tcW w:w="417" w:type="pct"/>
            <w:tcBorders>
              <w:right w:val="nil"/>
            </w:tcBorders>
          </w:tcPr>
          <w:p w14:paraId="4EE03381" w14:textId="77777777" w:rsidR="00962CF0" w:rsidRPr="00E359D7" w:rsidRDefault="00962CF0" w:rsidP="00E063A1">
            <w:pPr>
              <w:spacing w:after="0" w:line="240" w:lineRule="auto"/>
              <w:rPr>
                <w:rFonts w:ascii="Times New Roman" w:eastAsia="Times New Roman" w:hAnsi="Times New Roman" w:cs="Times New Roman"/>
                <w:color w:val="000000"/>
              </w:rPr>
            </w:pPr>
          </w:p>
        </w:tc>
        <w:tc>
          <w:tcPr>
            <w:tcW w:w="417" w:type="pct"/>
            <w:tcBorders>
              <w:left w:val="nil"/>
              <w:right w:val="single" w:sz="4" w:space="0" w:color="auto"/>
            </w:tcBorders>
            <w:shd w:val="clear" w:color="auto" w:fill="auto"/>
            <w:noWrap/>
            <w:vAlign w:val="center"/>
            <w:hideMark/>
          </w:tcPr>
          <w:p w14:paraId="54751869" w14:textId="5C29E918" w:rsidR="00962CF0" w:rsidRPr="00E359D7" w:rsidRDefault="00962CF0" w:rsidP="00E063A1">
            <w:pPr>
              <w:spacing w:after="0" w:line="240" w:lineRule="auto"/>
              <w:rPr>
                <w:rFonts w:ascii="Times New Roman" w:eastAsia="Times New Roman" w:hAnsi="Times New Roman" w:cs="Times New Roman"/>
                <w:color w:val="000000"/>
              </w:rPr>
            </w:pPr>
            <w:proofErr w:type="spellStart"/>
            <w:r w:rsidRPr="00E359D7">
              <w:rPr>
                <w:rFonts w:ascii="Times New Roman" w:eastAsia="Times New Roman" w:hAnsi="Times New Roman" w:cs="Times New Roman"/>
                <w:color w:val="000000"/>
              </w:rPr>
              <w:t>USD.Index</w:t>
            </w:r>
            <w:proofErr w:type="spellEnd"/>
          </w:p>
        </w:tc>
        <w:tc>
          <w:tcPr>
            <w:tcW w:w="280" w:type="pct"/>
            <w:tcBorders>
              <w:left w:val="single" w:sz="4" w:space="0" w:color="auto"/>
            </w:tcBorders>
            <w:shd w:val="clear" w:color="auto" w:fill="auto"/>
            <w:noWrap/>
            <w:vAlign w:val="center"/>
            <w:hideMark/>
          </w:tcPr>
          <w:p w14:paraId="2B365E2B"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7.19</w:t>
            </w:r>
          </w:p>
        </w:tc>
        <w:tc>
          <w:tcPr>
            <w:tcW w:w="279" w:type="pct"/>
            <w:shd w:val="clear" w:color="auto" w:fill="auto"/>
            <w:noWrap/>
            <w:vAlign w:val="center"/>
            <w:hideMark/>
          </w:tcPr>
          <w:p w14:paraId="5FC77248"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6.54</w:t>
            </w:r>
          </w:p>
        </w:tc>
        <w:tc>
          <w:tcPr>
            <w:tcW w:w="279" w:type="pct"/>
            <w:tcBorders>
              <w:right w:val="single" w:sz="4" w:space="0" w:color="auto"/>
            </w:tcBorders>
            <w:shd w:val="clear" w:color="auto" w:fill="auto"/>
            <w:noWrap/>
            <w:vAlign w:val="center"/>
            <w:hideMark/>
          </w:tcPr>
          <w:p w14:paraId="01782C1F"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7.3</w:t>
            </w:r>
          </w:p>
        </w:tc>
        <w:tc>
          <w:tcPr>
            <w:tcW w:w="279" w:type="pct"/>
            <w:tcBorders>
              <w:left w:val="single" w:sz="4" w:space="0" w:color="auto"/>
            </w:tcBorders>
            <w:shd w:val="clear" w:color="auto" w:fill="auto"/>
            <w:noWrap/>
            <w:vAlign w:val="center"/>
            <w:hideMark/>
          </w:tcPr>
          <w:p w14:paraId="7A414D51"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7.14</w:t>
            </w:r>
          </w:p>
        </w:tc>
        <w:tc>
          <w:tcPr>
            <w:tcW w:w="279" w:type="pct"/>
            <w:shd w:val="clear" w:color="auto" w:fill="auto"/>
            <w:noWrap/>
            <w:vAlign w:val="center"/>
            <w:hideMark/>
          </w:tcPr>
          <w:p w14:paraId="36401523"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7.71</w:t>
            </w:r>
          </w:p>
        </w:tc>
        <w:tc>
          <w:tcPr>
            <w:tcW w:w="282" w:type="pct"/>
            <w:tcBorders>
              <w:right w:val="single" w:sz="4" w:space="0" w:color="auto"/>
            </w:tcBorders>
            <w:shd w:val="clear" w:color="auto" w:fill="auto"/>
            <w:noWrap/>
            <w:vAlign w:val="center"/>
            <w:hideMark/>
          </w:tcPr>
          <w:p w14:paraId="5377B6B5"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7.52</w:t>
            </w:r>
          </w:p>
        </w:tc>
        <w:tc>
          <w:tcPr>
            <w:tcW w:w="282" w:type="pct"/>
            <w:tcBorders>
              <w:left w:val="single" w:sz="4" w:space="0" w:color="auto"/>
            </w:tcBorders>
            <w:shd w:val="clear" w:color="auto" w:fill="auto"/>
            <w:noWrap/>
            <w:vAlign w:val="center"/>
            <w:hideMark/>
          </w:tcPr>
          <w:p w14:paraId="32A9132C"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7.57</w:t>
            </w:r>
          </w:p>
        </w:tc>
        <w:tc>
          <w:tcPr>
            <w:tcW w:w="279" w:type="pct"/>
            <w:shd w:val="clear" w:color="auto" w:fill="auto"/>
            <w:noWrap/>
            <w:vAlign w:val="center"/>
            <w:hideMark/>
          </w:tcPr>
          <w:p w14:paraId="1B515B86"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w:t>
            </w:r>
          </w:p>
        </w:tc>
        <w:tc>
          <w:tcPr>
            <w:tcW w:w="282" w:type="pct"/>
            <w:shd w:val="clear" w:color="auto" w:fill="auto"/>
            <w:noWrap/>
            <w:vAlign w:val="center"/>
            <w:hideMark/>
          </w:tcPr>
          <w:p w14:paraId="1B30E3AC"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7.46</w:t>
            </w:r>
          </w:p>
        </w:tc>
        <w:tc>
          <w:tcPr>
            <w:tcW w:w="282" w:type="pct"/>
            <w:shd w:val="clear" w:color="auto" w:fill="auto"/>
            <w:noWrap/>
            <w:vAlign w:val="center"/>
            <w:hideMark/>
          </w:tcPr>
          <w:p w14:paraId="3D9AF59B"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7.71</w:t>
            </w:r>
          </w:p>
        </w:tc>
        <w:tc>
          <w:tcPr>
            <w:tcW w:w="282" w:type="pct"/>
            <w:shd w:val="clear" w:color="auto" w:fill="auto"/>
            <w:noWrap/>
            <w:vAlign w:val="center"/>
            <w:hideMark/>
          </w:tcPr>
          <w:p w14:paraId="7CCD1704"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8.47</w:t>
            </w:r>
          </w:p>
        </w:tc>
        <w:tc>
          <w:tcPr>
            <w:tcW w:w="282" w:type="pct"/>
            <w:shd w:val="clear" w:color="auto" w:fill="auto"/>
            <w:noWrap/>
            <w:vAlign w:val="center"/>
            <w:hideMark/>
          </w:tcPr>
          <w:p w14:paraId="62F9013E"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7.99</w:t>
            </w:r>
          </w:p>
        </w:tc>
        <w:tc>
          <w:tcPr>
            <w:tcW w:w="417" w:type="pct"/>
            <w:shd w:val="clear" w:color="auto" w:fill="auto"/>
            <w:noWrap/>
            <w:vAlign w:val="center"/>
            <w:hideMark/>
          </w:tcPr>
          <w:p w14:paraId="05B18D0E"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10.39</w:t>
            </w:r>
          </w:p>
        </w:tc>
        <w:tc>
          <w:tcPr>
            <w:tcW w:w="379" w:type="pct"/>
            <w:shd w:val="clear" w:color="auto" w:fill="auto"/>
            <w:noWrap/>
            <w:vAlign w:val="center"/>
            <w:hideMark/>
          </w:tcPr>
          <w:p w14:paraId="077D0A49"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89.61</w:t>
            </w:r>
          </w:p>
        </w:tc>
      </w:tr>
      <w:tr w:rsidR="00962CF0" w:rsidRPr="008E7B4C" w14:paraId="07CCBA4C" w14:textId="77777777" w:rsidTr="00682ED7">
        <w:trPr>
          <w:trHeight w:val="454"/>
        </w:trPr>
        <w:tc>
          <w:tcPr>
            <w:tcW w:w="417" w:type="pct"/>
            <w:tcBorders>
              <w:right w:val="nil"/>
            </w:tcBorders>
          </w:tcPr>
          <w:p w14:paraId="4074E85E" w14:textId="77777777" w:rsidR="00962CF0" w:rsidRPr="00E359D7" w:rsidRDefault="00962CF0" w:rsidP="00E063A1">
            <w:pPr>
              <w:spacing w:after="0" w:line="240" w:lineRule="auto"/>
              <w:rPr>
                <w:rFonts w:ascii="Times New Roman" w:eastAsia="Times New Roman" w:hAnsi="Times New Roman" w:cs="Times New Roman"/>
                <w:color w:val="000000"/>
              </w:rPr>
            </w:pPr>
          </w:p>
        </w:tc>
        <w:tc>
          <w:tcPr>
            <w:tcW w:w="417" w:type="pct"/>
            <w:tcBorders>
              <w:left w:val="nil"/>
              <w:right w:val="single" w:sz="4" w:space="0" w:color="auto"/>
            </w:tcBorders>
            <w:shd w:val="clear" w:color="auto" w:fill="auto"/>
            <w:noWrap/>
            <w:vAlign w:val="center"/>
            <w:hideMark/>
          </w:tcPr>
          <w:p w14:paraId="1DDD4A0D" w14:textId="061C83E3" w:rsidR="00962CF0" w:rsidRPr="00E359D7" w:rsidRDefault="00AD4771" w:rsidP="00E063A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To Others</w:t>
            </w:r>
          </w:p>
        </w:tc>
        <w:tc>
          <w:tcPr>
            <w:tcW w:w="280" w:type="pct"/>
            <w:tcBorders>
              <w:left w:val="single" w:sz="4" w:space="0" w:color="auto"/>
            </w:tcBorders>
            <w:shd w:val="clear" w:color="auto" w:fill="auto"/>
            <w:noWrap/>
            <w:vAlign w:val="center"/>
            <w:hideMark/>
          </w:tcPr>
          <w:p w14:paraId="4D6E9430"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89.15</w:t>
            </w:r>
          </w:p>
        </w:tc>
        <w:tc>
          <w:tcPr>
            <w:tcW w:w="279" w:type="pct"/>
            <w:shd w:val="clear" w:color="auto" w:fill="auto"/>
            <w:noWrap/>
            <w:vAlign w:val="center"/>
            <w:hideMark/>
          </w:tcPr>
          <w:p w14:paraId="2637C982"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82.53</w:t>
            </w:r>
          </w:p>
        </w:tc>
        <w:tc>
          <w:tcPr>
            <w:tcW w:w="279" w:type="pct"/>
            <w:tcBorders>
              <w:right w:val="single" w:sz="4" w:space="0" w:color="auto"/>
            </w:tcBorders>
            <w:shd w:val="clear" w:color="auto" w:fill="auto"/>
            <w:noWrap/>
            <w:vAlign w:val="center"/>
            <w:hideMark/>
          </w:tcPr>
          <w:p w14:paraId="453A526C"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88.79</w:t>
            </w:r>
          </w:p>
        </w:tc>
        <w:tc>
          <w:tcPr>
            <w:tcW w:w="279" w:type="pct"/>
            <w:tcBorders>
              <w:left w:val="single" w:sz="4" w:space="0" w:color="auto"/>
            </w:tcBorders>
            <w:shd w:val="clear" w:color="auto" w:fill="auto"/>
            <w:noWrap/>
            <w:vAlign w:val="center"/>
            <w:hideMark/>
          </w:tcPr>
          <w:p w14:paraId="6978DD09"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87.82</w:t>
            </w:r>
          </w:p>
        </w:tc>
        <w:tc>
          <w:tcPr>
            <w:tcW w:w="279" w:type="pct"/>
            <w:shd w:val="clear" w:color="auto" w:fill="auto"/>
            <w:noWrap/>
            <w:vAlign w:val="center"/>
            <w:hideMark/>
          </w:tcPr>
          <w:p w14:paraId="5CC4A05F"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89.2</w:t>
            </w:r>
          </w:p>
        </w:tc>
        <w:tc>
          <w:tcPr>
            <w:tcW w:w="282" w:type="pct"/>
            <w:tcBorders>
              <w:right w:val="single" w:sz="4" w:space="0" w:color="auto"/>
            </w:tcBorders>
            <w:shd w:val="clear" w:color="auto" w:fill="auto"/>
            <w:noWrap/>
            <w:vAlign w:val="center"/>
            <w:hideMark/>
          </w:tcPr>
          <w:p w14:paraId="7E49513F"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95.86</w:t>
            </w:r>
          </w:p>
        </w:tc>
        <w:tc>
          <w:tcPr>
            <w:tcW w:w="282" w:type="pct"/>
            <w:tcBorders>
              <w:left w:val="single" w:sz="4" w:space="0" w:color="auto"/>
            </w:tcBorders>
            <w:shd w:val="clear" w:color="auto" w:fill="auto"/>
            <w:noWrap/>
            <w:vAlign w:val="center"/>
            <w:hideMark/>
          </w:tcPr>
          <w:p w14:paraId="5DBEDDF0"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89.96</w:t>
            </w:r>
          </w:p>
        </w:tc>
        <w:tc>
          <w:tcPr>
            <w:tcW w:w="279" w:type="pct"/>
            <w:shd w:val="clear" w:color="auto" w:fill="auto"/>
            <w:noWrap/>
            <w:vAlign w:val="center"/>
            <w:hideMark/>
          </w:tcPr>
          <w:p w14:paraId="7E552A5B"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81.26</w:t>
            </w:r>
          </w:p>
        </w:tc>
        <w:tc>
          <w:tcPr>
            <w:tcW w:w="282" w:type="pct"/>
            <w:shd w:val="clear" w:color="auto" w:fill="auto"/>
            <w:noWrap/>
            <w:vAlign w:val="center"/>
            <w:hideMark/>
          </w:tcPr>
          <w:p w14:paraId="2446F406"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93.27</w:t>
            </w:r>
          </w:p>
        </w:tc>
        <w:tc>
          <w:tcPr>
            <w:tcW w:w="282" w:type="pct"/>
            <w:shd w:val="clear" w:color="auto" w:fill="auto"/>
            <w:noWrap/>
            <w:vAlign w:val="center"/>
            <w:hideMark/>
          </w:tcPr>
          <w:p w14:paraId="510C5389"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92.44</w:t>
            </w:r>
          </w:p>
        </w:tc>
        <w:tc>
          <w:tcPr>
            <w:tcW w:w="282" w:type="pct"/>
            <w:shd w:val="clear" w:color="auto" w:fill="auto"/>
            <w:noWrap/>
            <w:vAlign w:val="center"/>
            <w:hideMark/>
          </w:tcPr>
          <w:p w14:paraId="60ED81F0"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99.21</w:t>
            </w:r>
          </w:p>
        </w:tc>
        <w:tc>
          <w:tcPr>
            <w:tcW w:w="282" w:type="pct"/>
            <w:shd w:val="clear" w:color="auto" w:fill="auto"/>
            <w:noWrap/>
            <w:vAlign w:val="center"/>
            <w:hideMark/>
          </w:tcPr>
          <w:p w14:paraId="129EC5DB"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92.77</w:t>
            </w:r>
          </w:p>
        </w:tc>
        <w:tc>
          <w:tcPr>
            <w:tcW w:w="417" w:type="pct"/>
            <w:shd w:val="clear" w:color="auto" w:fill="auto"/>
            <w:noWrap/>
            <w:vAlign w:val="center"/>
            <w:hideMark/>
          </w:tcPr>
          <w:p w14:paraId="70192B16"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86.75</w:t>
            </w:r>
          </w:p>
        </w:tc>
        <w:tc>
          <w:tcPr>
            <w:tcW w:w="379" w:type="pct"/>
            <w:shd w:val="clear" w:color="auto" w:fill="auto"/>
            <w:noWrap/>
            <w:vAlign w:val="center"/>
            <w:hideMark/>
          </w:tcPr>
          <w:p w14:paraId="1096E49B"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1169.01</w:t>
            </w:r>
          </w:p>
        </w:tc>
      </w:tr>
      <w:tr w:rsidR="00962CF0" w:rsidRPr="008E7B4C" w14:paraId="12CCA6AB" w14:textId="77777777" w:rsidTr="00682ED7">
        <w:trPr>
          <w:trHeight w:val="454"/>
        </w:trPr>
        <w:tc>
          <w:tcPr>
            <w:tcW w:w="417" w:type="pct"/>
            <w:tcBorders>
              <w:right w:val="nil"/>
            </w:tcBorders>
          </w:tcPr>
          <w:p w14:paraId="787BE014" w14:textId="77777777" w:rsidR="00962CF0" w:rsidRPr="00E359D7" w:rsidRDefault="00962CF0" w:rsidP="00E063A1">
            <w:pPr>
              <w:spacing w:after="0" w:line="240" w:lineRule="auto"/>
              <w:rPr>
                <w:rFonts w:ascii="Times New Roman" w:eastAsia="Times New Roman" w:hAnsi="Times New Roman" w:cs="Times New Roman"/>
                <w:color w:val="000000"/>
              </w:rPr>
            </w:pPr>
          </w:p>
        </w:tc>
        <w:tc>
          <w:tcPr>
            <w:tcW w:w="417" w:type="pct"/>
            <w:tcBorders>
              <w:left w:val="nil"/>
              <w:right w:val="single" w:sz="4" w:space="0" w:color="auto"/>
            </w:tcBorders>
            <w:shd w:val="clear" w:color="auto" w:fill="auto"/>
            <w:noWrap/>
            <w:vAlign w:val="center"/>
            <w:hideMark/>
          </w:tcPr>
          <w:p w14:paraId="54139AA0" w14:textId="60034506" w:rsidR="00962CF0" w:rsidRPr="00E359D7" w:rsidRDefault="00962CF0" w:rsidP="00E063A1">
            <w:pPr>
              <w:spacing w:after="0" w:line="240" w:lineRule="auto"/>
              <w:rPr>
                <w:rFonts w:ascii="Times New Roman" w:eastAsia="Times New Roman" w:hAnsi="Times New Roman" w:cs="Times New Roman"/>
                <w:color w:val="000000"/>
              </w:rPr>
            </w:pPr>
            <w:proofErr w:type="spellStart"/>
            <w:r w:rsidRPr="00E359D7">
              <w:rPr>
                <w:rFonts w:ascii="Times New Roman" w:eastAsia="Times New Roman" w:hAnsi="Times New Roman" w:cs="Times New Roman"/>
                <w:color w:val="000000"/>
              </w:rPr>
              <w:t>Inc.Own</w:t>
            </w:r>
            <w:proofErr w:type="spellEnd"/>
          </w:p>
        </w:tc>
        <w:tc>
          <w:tcPr>
            <w:tcW w:w="280" w:type="pct"/>
            <w:tcBorders>
              <w:left w:val="single" w:sz="4" w:space="0" w:color="auto"/>
            </w:tcBorders>
            <w:shd w:val="clear" w:color="auto" w:fill="auto"/>
            <w:noWrap/>
            <w:vAlign w:val="center"/>
            <w:hideMark/>
          </w:tcPr>
          <w:p w14:paraId="0F1FBBA1"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98.51</w:t>
            </w:r>
          </w:p>
        </w:tc>
        <w:tc>
          <w:tcPr>
            <w:tcW w:w="279" w:type="pct"/>
            <w:shd w:val="clear" w:color="auto" w:fill="auto"/>
            <w:noWrap/>
            <w:vAlign w:val="center"/>
            <w:hideMark/>
          </w:tcPr>
          <w:p w14:paraId="4F6DB840"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92.37</w:t>
            </w:r>
          </w:p>
        </w:tc>
        <w:tc>
          <w:tcPr>
            <w:tcW w:w="279" w:type="pct"/>
            <w:tcBorders>
              <w:right w:val="single" w:sz="4" w:space="0" w:color="auto"/>
            </w:tcBorders>
            <w:shd w:val="clear" w:color="auto" w:fill="auto"/>
            <w:noWrap/>
            <w:vAlign w:val="center"/>
            <w:hideMark/>
          </w:tcPr>
          <w:p w14:paraId="3F4241E5"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98.42</w:t>
            </w:r>
          </w:p>
        </w:tc>
        <w:tc>
          <w:tcPr>
            <w:tcW w:w="279" w:type="pct"/>
            <w:tcBorders>
              <w:left w:val="single" w:sz="4" w:space="0" w:color="auto"/>
            </w:tcBorders>
            <w:shd w:val="clear" w:color="auto" w:fill="auto"/>
            <w:noWrap/>
            <w:vAlign w:val="center"/>
            <w:hideMark/>
          </w:tcPr>
          <w:p w14:paraId="6BE6D571"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97.1</w:t>
            </w:r>
          </w:p>
        </w:tc>
        <w:tc>
          <w:tcPr>
            <w:tcW w:w="279" w:type="pct"/>
            <w:shd w:val="clear" w:color="auto" w:fill="auto"/>
            <w:noWrap/>
            <w:vAlign w:val="center"/>
            <w:hideMark/>
          </w:tcPr>
          <w:p w14:paraId="1197356F"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100.1</w:t>
            </w:r>
          </w:p>
        </w:tc>
        <w:tc>
          <w:tcPr>
            <w:tcW w:w="282" w:type="pct"/>
            <w:tcBorders>
              <w:right w:val="single" w:sz="4" w:space="0" w:color="auto"/>
            </w:tcBorders>
            <w:shd w:val="clear" w:color="auto" w:fill="auto"/>
            <w:noWrap/>
            <w:vAlign w:val="center"/>
            <w:hideMark/>
          </w:tcPr>
          <w:p w14:paraId="70E98DA8"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105.68</w:t>
            </w:r>
          </w:p>
        </w:tc>
        <w:tc>
          <w:tcPr>
            <w:tcW w:w="282" w:type="pct"/>
            <w:tcBorders>
              <w:left w:val="single" w:sz="4" w:space="0" w:color="auto"/>
            </w:tcBorders>
            <w:shd w:val="clear" w:color="auto" w:fill="auto"/>
            <w:noWrap/>
            <w:vAlign w:val="center"/>
            <w:hideMark/>
          </w:tcPr>
          <w:p w14:paraId="4AEC57EC"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100.43</w:t>
            </w:r>
          </w:p>
        </w:tc>
        <w:tc>
          <w:tcPr>
            <w:tcW w:w="279" w:type="pct"/>
            <w:shd w:val="clear" w:color="auto" w:fill="auto"/>
            <w:noWrap/>
            <w:vAlign w:val="center"/>
            <w:hideMark/>
          </w:tcPr>
          <w:p w14:paraId="67F5D62B"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91.57</w:t>
            </w:r>
          </w:p>
        </w:tc>
        <w:tc>
          <w:tcPr>
            <w:tcW w:w="282" w:type="pct"/>
            <w:shd w:val="clear" w:color="auto" w:fill="auto"/>
            <w:noWrap/>
            <w:vAlign w:val="center"/>
            <w:hideMark/>
          </w:tcPr>
          <w:p w14:paraId="5D261CDD"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102.73</w:t>
            </w:r>
          </w:p>
        </w:tc>
        <w:tc>
          <w:tcPr>
            <w:tcW w:w="282" w:type="pct"/>
            <w:shd w:val="clear" w:color="auto" w:fill="auto"/>
            <w:noWrap/>
            <w:vAlign w:val="center"/>
            <w:hideMark/>
          </w:tcPr>
          <w:p w14:paraId="1A2E440C"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102.64</w:t>
            </w:r>
          </w:p>
        </w:tc>
        <w:tc>
          <w:tcPr>
            <w:tcW w:w="282" w:type="pct"/>
            <w:shd w:val="clear" w:color="auto" w:fill="auto"/>
            <w:noWrap/>
            <w:vAlign w:val="center"/>
            <w:hideMark/>
          </w:tcPr>
          <w:p w14:paraId="7BF53A33"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109.84</w:t>
            </w:r>
          </w:p>
        </w:tc>
        <w:tc>
          <w:tcPr>
            <w:tcW w:w="282" w:type="pct"/>
            <w:shd w:val="clear" w:color="auto" w:fill="auto"/>
            <w:noWrap/>
            <w:vAlign w:val="center"/>
            <w:hideMark/>
          </w:tcPr>
          <w:p w14:paraId="09C6BF6D"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103.48</w:t>
            </w:r>
          </w:p>
        </w:tc>
        <w:tc>
          <w:tcPr>
            <w:tcW w:w="417" w:type="pct"/>
            <w:shd w:val="clear" w:color="auto" w:fill="auto"/>
            <w:noWrap/>
            <w:vAlign w:val="center"/>
            <w:hideMark/>
          </w:tcPr>
          <w:p w14:paraId="28AA66AE"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97.13</w:t>
            </w:r>
          </w:p>
        </w:tc>
        <w:tc>
          <w:tcPr>
            <w:tcW w:w="379" w:type="pct"/>
            <w:shd w:val="clear" w:color="auto" w:fill="auto"/>
            <w:noWrap/>
            <w:vAlign w:val="center"/>
            <w:hideMark/>
          </w:tcPr>
          <w:p w14:paraId="2C31EFE3"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TCI</w:t>
            </w:r>
          </w:p>
        </w:tc>
      </w:tr>
      <w:tr w:rsidR="00962CF0" w:rsidRPr="008E7B4C" w14:paraId="2929A89F" w14:textId="77777777" w:rsidTr="00682ED7">
        <w:trPr>
          <w:trHeight w:val="454"/>
        </w:trPr>
        <w:tc>
          <w:tcPr>
            <w:tcW w:w="417" w:type="pct"/>
            <w:tcBorders>
              <w:bottom w:val="single" w:sz="4" w:space="0" w:color="auto"/>
              <w:right w:val="nil"/>
            </w:tcBorders>
          </w:tcPr>
          <w:p w14:paraId="79607EE5" w14:textId="77777777" w:rsidR="00962CF0" w:rsidRPr="00E359D7" w:rsidRDefault="00962CF0" w:rsidP="00E063A1">
            <w:pPr>
              <w:spacing w:after="0" w:line="240" w:lineRule="auto"/>
              <w:rPr>
                <w:rFonts w:ascii="Times New Roman" w:eastAsia="Times New Roman" w:hAnsi="Times New Roman" w:cs="Times New Roman"/>
                <w:color w:val="000000"/>
              </w:rPr>
            </w:pPr>
          </w:p>
        </w:tc>
        <w:tc>
          <w:tcPr>
            <w:tcW w:w="417" w:type="pct"/>
            <w:tcBorders>
              <w:left w:val="nil"/>
              <w:right w:val="single" w:sz="4" w:space="0" w:color="auto"/>
            </w:tcBorders>
            <w:shd w:val="clear" w:color="auto" w:fill="auto"/>
            <w:noWrap/>
            <w:vAlign w:val="center"/>
            <w:hideMark/>
          </w:tcPr>
          <w:p w14:paraId="5022A15F" w14:textId="1B43C4B2" w:rsidR="00962CF0" w:rsidRPr="00E359D7" w:rsidRDefault="00D97C9B" w:rsidP="00E063A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Net</w:t>
            </w:r>
          </w:p>
        </w:tc>
        <w:tc>
          <w:tcPr>
            <w:tcW w:w="280" w:type="pct"/>
            <w:tcBorders>
              <w:left w:val="single" w:sz="4" w:space="0" w:color="auto"/>
              <w:bottom w:val="single" w:sz="4" w:space="0" w:color="auto"/>
            </w:tcBorders>
            <w:shd w:val="clear" w:color="auto" w:fill="auto"/>
            <w:noWrap/>
            <w:vAlign w:val="center"/>
            <w:hideMark/>
          </w:tcPr>
          <w:p w14:paraId="5B959CA4"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-1.49</w:t>
            </w:r>
          </w:p>
        </w:tc>
        <w:tc>
          <w:tcPr>
            <w:tcW w:w="279" w:type="pct"/>
            <w:tcBorders>
              <w:bottom w:val="single" w:sz="4" w:space="0" w:color="auto"/>
            </w:tcBorders>
            <w:shd w:val="clear" w:color="auto" w:fill="auto"/>
            <w:noWrap/>
            <w:vAlign w:val="center"/>
            <w:hideMark/>
          </w:tcPr>
          <w:p w14:paraId="15A72555"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-7.63</w:t>
            </w:r>
          </w:p>
        </w:tc>
        <w:tc>
          <w:tcPr>
            <w:tcW w:w="279" w:type="pct"/>
            <w:tcBorders>
              <w:bottom w:val="single" w:sz="4" w:space="0" w:color="auto"/>
              <w:right w:val="single" w:sz="4" w:space="0" w:color="auto"/>
            </w:tcBorders>
            <w:shd w:val="clear" w:color="auto" w:fill="auto"/>
            <w:noWrap/>
            <w:vAlign w:val="center"/>
            <w:hideMark/>
          </w:tcPr>
          <w:p w14:paraId="484FFAFB"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-1.58</w:t>
            </w:r>
          </w:p>
        </w:tc>
        <w:tc>
          <w:tcPr>
            <w:tcW w:w="279" w:type="pct"/>
            <w:tcBorders>
              <w:left w:val="single" w:sz="4" w:space="0" w:color="auto"/>
              <w:bottom w:val="single" w:sz="4" w:space="0" w:color="auto"/>
            </w:tcBorders>
            <w:shd w:val="clear" w:color="auto" w:fill="auto"/>
            <w:noWrap/>
            <w:vAlign w:val="center"/>
            <w:hideMark/>
          </w:tcPr>
          <w:p w14:paraId="3F5C4580"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-2.9</w:t>
            </w:r>
          </w:p>
        </w:tc>
        <w:tc>
          <w:tcPr>
            <w:tcW w:w="279" w:type="pct"/>
            <w:tcBorders>
              <w:bottom w:val="single" w:sz="4" w:space="0" w:color="auto"/>
            </w:tcBorders>
            <w:shd w:val="clear" w:color="auto" w:fill="auto"/>
            <w:noWrap/>
            <w:vAlign w:val="center"/>
            <w:hideMark/>
          </w:tcPr>
          <w:p w14:paraId="51E322EE"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0.1</w:t>
            </w:r>
          </w:p>
        </w:tc>
        <w:tc>
          <w:tcPr>
            <w:tcW w:w="282" w:type="pct"/>
            <w:tcBorders>
              <w:bottom w:val="single" w:sz="4" w:space="0" w:color="auto"/>
              <w:right w:val="single" w:sz="4" w:space="0" w:color="auto"/>
            </w:tcBorders>
            <w:shd w:val="clear" w:color="auto" w:fill="auto"/>
            <w:noWrap/>
            <w:vAlign w:val="center"/>
            <w:hideMark/>
          </w:tcPr>
          <w:p w14:paraId="11BFDFBA"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5.68</w:t>
            </w:r>
          </w:p>
        </w:tc>
        <w:tc>
          <w:tcPr>
            <w:tcW w:w="282" w:type="pct"/>
            <w:tcBorders>
              <w:left w:val="single" w:sz="4" w:space="0" w:color="auto"/>
            </w:tcBorders>
            <w:shd w:val="clear" w:color="auto" w:fill="auto"/>
            <w:noWrap/>
            <w:vAlign w:val="center"/>
            <w:hideMark/>
          </w:tcPr>
          <w:p w14:paraId="08F69F31"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0.43</w:t>
            </w:r>
          </w:p>
        </w:tc>
        <w:tc>
          <w:tcPr>
            <w:tcW w:w="279" w:type="pct"/>
            <w:shd w:val="clear" w:color="auto" w:fill="auto"/>
            <w:noWrap/>
            <w:vAlign w:val="center"/>
            <w:hideMark/>
          </w:tcPr>
          <w:p w14:paraId="7845CC40"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-8.43</w:t>
            </w:r>
          </w:p>
        </w:tc>
        <w:tc>
          <w:tcPr>
            <w:tcW w:w="282" w:type="pct"/>
            <w:shd w:val="clear" w:color="auto" w:fill="auto"/>
            <w:noWrap/>
            <w:vAlign w:val="center"/>
            <w:hideMark/>
          </w:tcPr>
          <w:p w14:paraId="28B9AEF5"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2.73</w:t>
            </w:r>
          </w:p>
        </w:tc>
        <w:tc>
          <w:tcPr>
            <w:tcW w:w="282" w:type="pct"/>
            <w:shd w:val="clear" w:color="auto" w:fill="auto"/>
            <w:noWrap/>
            <w:vAlign w:val="center"/>
            <w:hideMark/>
          </w:tcPr>
          <w:p w14:paraId="7679C2A5"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2.64</w:t>
            </w:r>
          </w:p>
        </w:tc>
        <w:tc>
          <w:tcPr>
            <w:tcW w:w="282" w:type="pct"/>
            <w:shd w:val="clear" w:color="auto" w:fill="auto"/>
            <w:noWrap/>
            <w:vAlign w:val="center"/>
            <w:hideMark/>
          </w:tcPr>
          <w:p w14:paraId="382D2562"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9.84</w:t>
            </w:r>
          </w:p>
        </w:tc>
        <w:tc>
          <w:tcPr>
            <w:tcW w:w="282" w:type="pct"/>
            <w:shd w:val="clear" w:color="auto" w:fill="auto"/>
            <w:noWrap/>
            <w:vAlign w:val="center"/>
            <w:hideMark/>
          </w:tcPr>
          <w:p w14:paraId="36FFFABE"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3.48</w:t>
            </w:r>
          </w:p>
        </w:tc>
        <w:tc>
          <w:tcPr>
            <w:tcW w:w="417" w:type="pct"/>
            <w:shd w:val="clear" w:color="auto" w:fill="auto"/>
            <w:noWrap/>
            <w:vAlign w:val="center"/>
            <w:hideMark/>
          </w:tcPr>
          <w:p w14:paraId="15431235"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-2.87</w:t>
            </w:r>
          </w:p>
        </w:tc>
        <w:tc>
          <w:tcPr>
            <w:tcW w:w="379" w:type="pct"/>
            <w:shd w:val="clear" w:color="auto" w:fill="auto"/>
            <w:noWrap/>
            <w:vAlign w:val="center"/>
            <w:hideMark/>
          </w:tcPr>
          <w:p w14:paraId="491E4429" w14:textId="77777777" w:rsidR="00962CF0" w:rsidRPr="00962CF0" w:rsidRDefault="00962CF0" w:rsidP="00E063A1">
            <w:pPr>
              <w:spacing w:after="0" w:line="240" w:lineRule="auto"/>
              <w:rPr>
                <w:rFonts w:ascii="Times New Roman" w:eastAsia="Times New Roman" w:hAnsi="Times New Roman" w:cs="Times New Roman"/>
                <w:color w:val="000000"/>
                <w:sz w:val="20"/>
              </w:rPr>
            </w:pPr>
            <w:r w:rsidRPr="00962CF0">
              <w:rPr>
                <w:rFonts w:ascii="Times New Roman" w:eastAsia="Times New Roman" w:hAnsi="Times New Roman" w:cs="Times New Roman"/>
                <w:color w:val="000000"/>
                <w:sz w:val="20"/>
              </w:rPr>
              <w:t>89.92</w:t>
            </w:r>
          </w:p>
        </w:tc>
      </w:tr>
    </w:tbl>
    <w:p w14:paraId="3E36996E" w14:textId="2683546F" w:rsidR="004F242A" w:rsidRPr="00AF531A" w:rsidRDefault="004F242A" w:rsidP="004F242A">
      <w:pPr>
        <w:jc w:val="both"/>
        <w:rPr>
          <w:rFonts w:ascii="Times New Roman" w:hAnsi="Times New Roman" w:cs="Times New Roman"/>
          <w:sz w:val="18"/>
          <w:szCs w:val="18"/>
        </w:rPr>
      </w:pPr>
      <w:r w:rsidRPr="00AF531A">
        <w:rPr>
          <w:rFonts w:ascii="Times New Roman" w:hAnsi="Times New Roman" w:cs="Times New Roman"/>
          <w:sz w:val="18"/>
          <w:szCs w:val="18"/>
        </w:rPr>
        <w:lastRenderedPageBreak/>
        <w:t>Notes: DEX- Decentralized Exchange, CEX- Centralized Exchange, RUNE-</w:t>
      </w:r>
      <w:r w:rsidR="00233DAE">
        <w:rPr>
          <w:rFonts w:ascii="Times New Roman" w:hAnsi="Times New Roman" w:cs="Times New Roman"/>
          <w:sz w:val="18"/>
          <w:szCs w:val="18"/>
        </w:rPr>
        <w:t xml:space="preserve"> </w:t>
      </w:r>
      <w:proofErr w:type="spellStart"/>
      <w:r w:rsidRPr="00AF531A">
        <w:rPr>
          <w:rFonts w:ascii="Times New Roman" w:hAnsi="Times New Roman" w:cs="Times New Roman"/>
          <w:sz w:val="18"/>
          <w:szCs w:val="18"/>
        </w:rPr>
        <w:t>THORChain</w:t>
      </w:r>
      <w:proofErr w:type="spellEnd"/>
      <w:r w:rsidRPr="00AF531A">
        <w:rPr>
          <w:rFonts w:ascii="Times New Roman" w:hAnsi="Times New Roman" w:cs="Times New Roman"/>
          <w:sz w:val="18"/>
          <w:szCs w:val="18"/>
        </w:rPr>
        <w:t>, LRC-</w:t>
      </w:r>
      <w:r w:rsidR="00233DAE">
        <w:rPr>
          <w:rFonts w:ascii="Times New Roman" w:hAnsi="Times New Roman" w:cs="Times New Roman"/>
          <w:sz w:val="18"/>
          <w:szCs w:val="18"/>
        </w:rPr>
        <w:t xml:space="preserve"> </w:t>
      </w:r>
      <w:proofErr w:type="spellStart"/>
      <w:proofErr w:type="gramStart"/>
      <w:r w:rsidRPr="00AF531A">
        <w:rPr>
          <w:rFonts w:ascii="Times New Roman" w:hAnsi="Times New Roman" w:cs="Times New Roman"/>
          <w:sz w:val="18"/>
          <w:szCs w:val="18"/>
        </w:rPr>
        <w:t>Loopring</w:t>
      </w:r>
      <w:proofErr w:type="spellEnd"/>
      <w:r w:rsidRPr="00AF531A">
        <w:rPr>
          <w:rFonts w:ascii="Times New Roman" w:hAnsi="Times New Roman" w:cs="Times New Roman"/>
          <w:sz w:val="18"/>
          <w:szCs w:val="18"/>
        </w:rPr>
        <w:t> ,</w:t>
      </w:r>
      <w:proofErr w:type="gramEnd"/>
      <w:r w:rsidRPr="00AF531A">
        <w:rPr>
          <w:rFonts w:ascii="Times New Roman" w:hAnsi="Times New Roman" w:cs="Times New Roman"/>
          <w:sz w:val="18"/>
          <w:szCs w:val="18"/>
        </w:rPr>
        <w:t xml:space="preserve"> GNO-</w:t>
      </w:r>
      <w:r w:rsidR="00233DAE">
        <w:rPr>
          <w:rFonts w:ascii="Times New Roman" w:hAnsi="Times New Roman" w:cs="Times New Roman"/>
          <w:sz w:val="18"/>
          <w:szCs w:val="18"/>
        </w:rPr>
        <w:t xml:space="preserve"> </w:t>
      </w:r>
      <w:r w:rsidRPr="00AF531A">
        <w:rPr>
          <w:rFonts w:ascii="Times New Roman" w:hAnsi="Times New Roman" w:cs="Times New Roman"/>
          <w:sz w:val="18"/>
          <w:szCs w:val="18"/>
        </w:rPr>
        <w:t>Gnosis, BNB-</w:t>
      </w:r>
      <w:r w:rsidR="00233DAE">
        <w:rPr>
          <w:rFonts w:ascii="Times New Roman" w:hAnsi="Times New Roman" w:cs="Times New Roman"/>
          <w:sz w:val="18"/>
          <w:szCs w:val="18"/>
        </w:rPr>
        <w:t xml:space="preserve"> </w:t>
      </w:r>
      <w:proofErr w:type="spellStart"/>
      <w:r w:rsidRPr="00AF531A">
        <w:rPr>
          <w:rFonts w:ascii="Times New Roman" w:hAnsi="Times New Roman" w:cs="Times New Roman"/>
          <w:sz w:val="18"/>
          <w:szCs w:val="18"/>
        </w:rPr>
        <w:t>Binance</w:t>
      </w:r>
      <w:proofErr w:type="spellEnd"/>
      <w:r w:rsidRPr="00AF531A">
        <w:rPr>
          <w:rFonts w:ascii="Times New Roman" w:hAnsi="Times New Roman" w:cs="Times New Roman"/>
          <w:sz w:val="18"/>
          <w:szCs w:val="18"/>
        </w:rPr>
        <w:t xml:space="preserve"> Coin, LEO-</w:t>
      </w:r>
      <w:r w:rsidR="00233DAE">
        <w:rPr>
          <w:rFonts w:ascii="Times New Roman" w:hAnsi="Times New Roman" w:cs="Times New Roman"/>
          <w:sz w:val="18"/>
          <w:szCs w:val="18"/>
        </w:rPr>
        <w:t xml:space="preserve"> </w:t>
      </w:r>
      <w:r w:rsidRPr="00AF531A">
        <w:rPr>
          <w:rFonts w:ascii="Times New Roman" w:hAnsi="Times New Roman" w:cs="Times New Roman"/>
          <w:sz w:val="18"/>
          <w:szCs w:val="18"/>
        </w:rPr>
        <w:t>UNUS SED LEO, FTT-</w:t>
      </w:r>
      <w:r w:rsidR="00233DAE">
        <w:rPr>
          <w:rFonts w:ascii="Times New Roman" w:hAnsi="Times New Roman" w:cs="Times New Roman"/>
          <w:sz w:val="18"/>
          <w:szCs w:val="18"/>
        </w:rPr>
        <w:t xml:space="preserve"> </w:t>
      </w:r>
      <w:r w:rsidRPr="00AF531A">
        <w:rPr>
          <w:rFonts w:ascii="Times New Roman" w:hAnsi="Times New Roman" w:cs="Times New Roman"/>
          <w:sz w:val="18"/>
          <w:szCs w:val="18"/>
        </w:rPr>
        <w:t>FTX Token, BTC-</w:t>
      </w:r>
      <w:r w:rsidR="00233DAE">
        <w:rPr>
          <w:rFonts w:ascii="Times New Roman" w:hAnsi="Times New Roman" w:cs="Times New Roman"/>
          <w:sz w:val="18"/>
          <w:szCs w:val="18"/>
        </w:rPr>
        <w:t xml:space="preserve"> </w:t>
      </w:r>
      <w:r w:rsidRPr="00AF531A">
        <w:rPr>
          <w:rFonts w:ascii="Times New Roman" w:hAnsi="Times New Roman" w:cs="Times New Roman"/>
          <w:sz w:val="18"/>
          <w:szCs w:val="18"/>
        </w:rPr>
        <w:t>Bitcoin.</w:t>
      </w:r>
    </w:p>
    <w:p w14:paraId="4FA8D73E" w14:textId="6715C037" w:rsidR="004F242A" w:rsidRPr="008E7B4C" w:rsidRDefault="004F242A" w:rsidP="004F242A">
      <w:pPr>
        <w:rPr>
          <w:rFonts w:ascii="Times New Roman" w:hAnsi="Times New Roman" w:cs="Times New Roman"/>
        </w:rPr>
      </w:pPr>
      <w:r w:rsidRPr="008E7B4C">
        <w:rPr>
          <w:rFonts w:ascii="Times New Roman" w:hAnsi="Times New Roman" w:cs="Times New Roman"/>
        </w:rPr>
        <w:t xml:space="preserve">Table A4. </w:t>
      </w:r>
      <w:r w:rsidRPr="009D49D1">
        <w:rPr>
          <w:rFonts w:ascii="Times New Roman" w:hAnsi="Times New Roman" w:cs="Times New Roman"/>
          <w:sz w:val="24"/>
          <w:szCs w:val="24"/>
        </w:rPr>
        <w:t xml:space="preserve">Static return spillover at </w:t>
      </w:r>
      <w:r w:rsidR="006B43E8">
        <w:rPr>
          <w:rFonts w:ascii="Times New Roman" w:hAnsi="Times New Roman" w:cs="Times New Roman"/>
          <w:sz w:val="24"/>
          <w:szCs w:val="24"/>
        </w:rPr>
        <w:t xml:space="preserve">the </w:t>
      </w:r>
      <w:r w:rsidRPr="009D49D1">
        <w:rPr>
          <w:rFonts w:ascii="Times New Roman" w:hAnsi="Times New Roman" w:cs="Times New Roman"/>
          <w:sz w:val="24"/>
          <w:szCs w:val="24"/>
        </w:rPr>
        <w:t xml:space="preserve">extreme </w:t>
      </w:r>
      <w:r>
        <w:rPr>
          <w:rFonts w:ascii="Times New Roman" w:hAnsi="Times New Roman" w:cs="Times New Roman"/>
          <w:sz w:val="24"/>
          <w:szCs w:val="24"/>
        </w:rPr>
        <w:t>upper</w:t>
      </w:r>
      <w:r w:rsidRPr="009D49D1">
        <w:rPr>
          <w:rFonts w:ascii="Times New Roman" w:hAnsi="Times New Roman" w:cs="Times New Roman"/>
          <w:sz w:val="24"/>
          <w:szCs w:val="24"/>
        </w:rPr>
        <w:t xml:space="preserve"> quantile</w:t>
      </w:r>
      <w:r>
        <w:rPr>
          <w:rFonts w:ascii="Times New Roman" w:hAnsi="Times New Roman" w:cs="Times New Roman"/>
          <w:sz w:val="24"/>
          <w:szCs w:val="24"/>
        </w:rPr>
        <w:t xml:space="preserve"> </w:t>
      </w:r>
      <w:r w:rsidRPr="009D49D1">
        <w:rPr>
          <w:rFonts w:ascii="Times New Roman" w:hAnsi="Times New Roman" w:cs="Times New Roman"/>
          <w:sz w:val="24"/>
          <w:szCs w:val="24"/>
        </w:rPr>
        <w:t>(Q=0.</w:t>
      </w:r>
      <w:r>
        <w:rPr>
          <w:rFonts w:ascii="Times New Roman" w:hAnsi="Times New Roman" w:cs="Times New Roman"/>
          <w:sz w:val="24"/>
          <w:szCs w:val="24"/>
        </w:rPr>
        <w:t>9</w:t>
      </w:r>
      <w:r w:rsidRPr="009D49D1">
        <w:rPr>
          <w:rFonts w:ascii="Times New Roman" w:hAnsi="Times New Roman" w:cs="Times New Roman"/>
          <w:sz w:val="24"/>
          <w:szCs w:val="24"/>
        </w:rPr>
        <w:t>5)</w:t>
      </w:r>
      <w:r>
        <w:rPr>
          <w:rFonts w:ascii="Times New Roman" w:hAnsi="Times New Roman" w:cs="Times New Roman"/>
          <w:sz w:val="24"/>
          <w:szCs w:val="24"/>
        </w:rPr>
        <w:t xml:space="preserve"> </w:t>
      </w:r>
      <w:r>
        <w:rPr>
          <w:rFonts w:ascii="Times New Roman" w:hAnsi="Times New Roman" w:cs="Times New Roman"/>
        </w:rPr>
        <w:t xml:space="preserve">[Sample period: </w:t>
      </w:r>
      <w:r w:rsidR="006B43E8">
        <w:rPr>
          <w:rFonts w:ascii="Times New Roman" w:hAnsi="Times New Roman" w:cs="Times New Roman"/>
        </w:rPr>
        <w:t xml:space="preserve">31 </w:t>
      </w:r>
      <w:r>
        <w:rPr>
          <w:rFonts w:ascii="Times New Roman" w:hAnsi="Times New Roman" w:cs="Times New Roman"/>
          <w:sz w:val="24"/>
          <w:szCs w:val="24"/>
        </w:rPr>
        <w:t xml:space="preserve">July 2019 to </w:t>
      </w:r>
      <w:r w:rsidR="006B43E8">
        <w:rPr>
          <w:rFonts w:ascii="Times New Roman" w:hAnsi="Times New Roman" w:cs="Times New Roman"/>
          <w:sz w:val="24"/>
          <w:szCs w:val="24"/>
        </w:rPr>
        <w:t xml:space="preserve">30 </w:t>
      </w:r>
      <w:r>
        <w:rPr>
          <w:rFonts w:ascii="Times New Roman" w:hAnsi="Times New Roman" w:cs="Times New Roman"/>
          <w:sz w:val="24"/>
          <w:szCs w:val="24"/>
        </w:rPr>
        <w:t>January 2023]</w:t>
      </w:r>
    </w:p>
    <w:tbl>
      <w:tblPr>
        <w:tblW w:w="5000" w:type="pct"/>
        <w:tblBorders>
          <w:top w:val="single" w:sz="4" w:space="0" w:color="auto"/>
          <w:bottom w:val="single" w:sz="4" w:space="0" w:color="auto"/>
        </w:tblBorders>
        <w:tblLook w:val="04A0" w:firstRow="1" w:lastRow="0" w:firstColumn="1" w:lastColumn="0" w:noHBand="0" w:noVBand="1"/>
      </w:tblPr>
      <w:tblGrid>
        <w:gridCol w:w="757"/>
        <w:gridCol w:w="1213"/>
        <w:gridCol w:w="815"/>
        <w:gridCol w:w="766"/>
        <w:gridCol w:w="766"/>
        <w:gridCol w:w="766"/>
        <w:gridCol w:w="666"/>
        <w:gridCol w:w="766"/>
        <w:gridCol w:w="666"/>
        <w:gridCol w:w="733"/>
        <w:gridCol w:w="766"/>
        <w:gridCol w:w="705"/>
        <w:gridCol w:w="803"/>
        <w:gridCol w:w="693"/>
        <w:gridCol w:w="1213"/>
        <w:gridCol w:w="866"/>
      </w:tblGrid>
      <w:tr w:rsidR="00EB416E" w:rsidRPr="008E7B4C" w14:paraId="1AA4A9AD" w14:textId="77777777" w:rsidTr="00EB416E">
        <w:trPr>
          <w:trHeight w:val="419"/>
        </w:trPr>
        <w:tc>
          <w:tcPr>
            <w:tcW w:w="409" w:type="pct"/>
            <w:tcBorders>
              <w:top w:val="single" w:sz="4" w:space="0" w:color="auto"/>
              <w:bottom w:val="single" w:sz="4" w:space="0" w:color="auto"/>
              <w:right w:val="nil"/>
            </w:tcBorders>
          </w:tcPr>
          <w:p w14:paraId="408C2173" w14:textId="77777777" w:rsidR="00EB416E" w:rsidRPr="00E359D7" w:rsidRDefault="00EB416E" w:rsidP="00E063A1">
            <w:pPr>
              <w:spacing w:after="0" w:line="240" w:lineRule="auto"/>
              <w:rPr>
                <w:rFonts w:ascii="Times New Roman" w:eastAsia="Times New Roman" w:hAnsi="Times New Roman" w:cs="Times New Roman"/>
                <w:sz w:val="24"/>
                <w:szCs w:val="24"/>
              </w:rPr>
            </w:pPr>
          </w:p>
        </w:tc>
        <w:tc>
          <w:tcPr>
            <w:tcW w:w="409" w:type="pct"/>
            <w:tcBorders>
              <w:top w:val="single" w:sz="4" w:space="0" w:color="auto"/>
              <w:left w:val="nil"/>
              <w:bottom w:val="single" w:sz="4" w:space="0" w:color="auto"/>
              <w:right w:val="single" w:sz="4" w:space="0" w:color="auto"/>
            </w:tcBorders>
            <w:shd w:val="clear" w:color="auto" w:fill="auto"/>
            <w:noWrap/>
            <w:vAlign w:val="center"/>
          </w:tcPr>
          <w:p w14:paraId="5316EE8B" w14:textId="300EBD97" w:rsidR="00EB416E" w:rsidRPr="00E359D7" w:rsidRDefault="00EB416E" w:rsidP="00E063A1">
            <w:pPr>
              <w:spacing w:after="0" w:line="240" w:lineRule="auto"/>
              <w:rPr>
                <w:rFonts w:ascii="Times New Roman" w:eastAsia="Times New Roman" w:hAnsi="Times New Roman" w:cs="Times New Roman"/>
                <w:sz w:val="24"/>
                <w:szCs w:val="24"/>
              </w:rPr>
            </w:pPr>
          </w:p>
        </w:tc>
        <w:tc>
          <w:tcPr>
            <w:tcW w:w="84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D831CDB" w14:textId="46D86D56" w:rsidR="00EB416E" w:rsidRPr="00E359D7" w:rsidRDefault="00EB416E" w:rsidP="00EB416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DEX tokens</w:t>
            </w:r>
          </w:p>
        </w:tc>
        <w:tc>
          <w:tcPr>
            <w:tcW w:w="84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432C92A" w14:textId="3738EB14" w:rsidR="00EB416E" w:rsidRPr="00E359D7" w:rsidRDefault="00EB416E" w:rsidP="00EB416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CEX tokens</w:t>
            </w:r>
          </w:p>
        </w:tc>
        <w:tc>
          <w:tcPr>
            <w:tcW w:w="282" w:type="pct"/>
            <w:tcBorders>
              <w:top w:val="single" w:sz="4" w:space="0" w:color="auto"/>
              <w:left w:val="single" w:sz="4" w:space="0" w:color="auto"/>
              <w:bottom w:val="single" w:sz="4" w:space="0" w:color="auto"/>
            </w:tcBorders>
            <w:shd w:val="clear" w:color="auto" w:fill="auto"/>
            <w:noWrap/>
            <w:vAlign w:val="center"/>
          </w:tcPr>
          <w:p w14:paraId="5B5C3F4D" w14:textId="77777777" w:rsidR="00EB416E" w:rsidRPr="00E359D7" w:rsidRDefault="00EB416E" w:rsidP="00E063A1">
            <w:pPr>
              <w:spacing w:after="0" w:line="240" w:lineRule="auto"/>
              <w:rPr>
                <w:rFonts w:ascii="Times New Roman" w:eastAsia="Times New Roman" w:hAnsi="Times New Roman" w:cs="Times New Roman"/>
                <w:color w:val="000000"/>
              </w:rPr>
            </w:pPr>
          </w:p>
        </w:tc>
        <w:tc>
          <w:tcPr>
            <w:tcW w:w="282" w:type="pct"/>
            <w:tcBorders>
              <w:top w:val="single" w:sz="4" w:space="0" w:color="auto"/>
              <w:bottom w:val="single" w:sz="4" w:space="0" w:color="auto"/>
            </w:tcBorders>
            <w:shd w:val="clear" w:color="auto" w:fill="auto"/>
            <w:noWrap/>
            <w:vAlign w:val="center"/>
          </w:tcPr>
          <w:p w14:paraId="7CF54E4D" w14:textId="77777777" w:rsidR="00EB416E" w:rsidRPr="00E359D7" w:rsidRDefault="00EB416E" w:rsidP="00E063A1">
            <w:pPr>
              <w:spacing w:after="0" w:line="240" w:lineRule="auto"/>
              <w:rPr>
                <w:rFonts w:ascii="Times New Roman" w:eastAsia="Times New Roman" w:hAnsi="Times New Roman" w:cs="Times New Roman"/>
                <w:color w:val="000000"/>
              </w:rPr>
            </w:pPr>
          </w:p>
        </w:tc>
        <w:tc>
          <w:tcPr>
            <w:tcW w:w="282" w:type="pct"/>
            <w:tcBorders>
              <w:top w:val="single" w:sz="4" w:space="0" w:color="auto"/>
              <w:bottom w:val="single" w:sz="4" w:space="0" w:color="auto"/>
            </w:tcBorders>
            <w:shd w:val="clear" w:color="auto" w:fill="auto"/>
            <w:noWrap/>
            <w:vAlign w:val="center"/>
          </w:tcPr>
          <w:p w14:paraId="69C9DE4D" w14:textId="77777777" w:rsidR="00EB416E" w:rsidRPr="00E359D7" w:rsidRDefault="00EB416E" w:rsidP="00E063A1">
            <w:pPr>
              <w:spacing w:after="0" w:line="240" w:lineRule="auto"/>
              <w:rPr>
                <w:rFonts w:ascii="Times New Roman" w:eastAsia="Times New Roman" w:hAnsi="Times New Roman" w:cs="Times New Roman"/>
                <w:color w:val="000000"/>
              </w:rPr>
            </w:pPr>
          </w:p>
        </w:tc>
        <w:tc>
          <w:tcPr>
            <w:tcW w:w="282" w:type="pct"/>
            <w:tcBorders>
              <w:top w:val="single" w:sz="4" w:space="0" w:color="auto"/>
              <w:bottom w:val="single" w:sz="4" w:space="0" w:color="auto"/>
            </w:tcBorders>
            <w:shd w:val="clear" w:color="auto" w:fill="auto"/>
            <w:noWrap/>
            <w:vAlign w:val="center"/>
          </w:tcPr>
          <w:p w14:paraId="00621368" w14:textId="77777777" w:rsidR="00EB416E" w:rsidRPr="00E359D7" w:rsidRDefault="00EB416E" w:rsidP="00E063A1">
            <w:pPr>
              <w:spacing w:after="0" w:line="240" w:lineRule="auto"/>
              <w:rPr>
                <w:rFonts w:ascii="Times New Roman" w:eastAsia="Times New Roman" w:hAnsi="Times New Roman" w:cs="Times New Roman"/>
                <w:color w:val="000000"/>
              </w:rPr>
            </w:pPr>
          </w:p>
        </w:tc>
        <w:tc>
          <w:tcPr>
            <w:tcW w:w="282" w:type="pct"/>
            <w:tcBorders>
              <w:top w:val="single" w:sz="4" w:space="0" w:color="auto"/>
              <w:bottom w:val="single" w:sz="4" w:space="0" w:color="auto"/>
            </w:tcBorders>
            <w:shd w:val="clear" w:color="auto" w:fill="auto"/>
            <w:noWrap/>
            <w:vAlign w:val="center"/>
          </w:tcPr>
          <w:p w14:paraId="4D8F31AE" w14:textId="77777777" w:rsidR="00EB416E" w:rsidRPr="00E359D7" w:rsidRDefault="00EB416E" w:rsidP="00E063A1">
            <w:pPr>
              <w:spacing w:after="0" w:line="240" w:lineRule="auto"/>
              <w:rPr>
                <w:rFonts w:ascii="Times New Roman" w:eastAsia="Times New Roman" w:hAnsi="Times New Roman" w:cs="Times New Roman"/>
                <w:color w:val="000000"/>
              </w:rPr>
            </w:pPr>
          </w:p>
        </w:tc>
        <w:tc>
          <w:tcPr>
            <w:tcW w:w="282" w:type="pct"/>
            <w:tcBorders>
              <w:top w:val="single" w:sz="4" w:space="0" w:color="auto"/>
              <w:bottom w:val="single" w:sz="4" w:space="0" w:color="auto"/>
            </w:tcBorders>
            <w:shd w:val="clear" w:color="auto" w:fill="auto"/>
            <w:noWrap/>
            <w:vAlign w:val="center"/>
          </w:tcPr>
          <w:p w14:paraId="0971C332" w14:textId="77777777" w:rsidR="00EB416E" w:rsidRPr="00E359D7" w:rsidRDefault="00EB416E" w:rsidP="00E063A1">
            <w:pPr>
              <w:spacing w:after="0" w:line="240" w:lineRule="auto"/>
              <w:rPr>
                <w:rFonts w:ascii="Times New Roman" w:eastAsia="Times New Roman" w:hAnsi="Times New Roman" w:cs="Times New Roman"/>
                <w:color w:val="000000"/>
              </w:rPr>
            </w:pPr>
          </w:p>
        </w:tc>
        <w:tc>
          <w:tcPr>
            <w:tcW w:w="409" w:type="pct"/>
            <w:tcBorders>
              <w:top w:val="single" w:sz="4" w:space="0" w:color="auto"/>
              <w:bottom w:val="single" w:sz="4" w:space="0" w:color="auto"/>
            </w:tcBorders>
            <w:shd w:val="clear" w:color="auto" w:fill="auto"/>
            <w:noWrap/>
            <w:vAlign w:val="center"/>
          </w:tcPr>
          <w:p w14:paraId="6C5A1500" w14:textId="77777777" w:rsidR="00EB416E" w:rsidRPr="00E359D7" w:rsidRDefault="00EB416E" w:rsidP="00E063A1">
            <w:pPr>
              <w:spacing w:after="0" w:line="240" w:lineRule="auto"/>
              <w:rPr>
                <w:rFonts w:ascii="Times New Roman" w:eastAsia="Times New Roman" w:hAnsi="Times New Roman" w:cs="Times New Roman"/>
                <w:color w:val="000000"/>
              </w:rPr>
            </w:pPr>
          </w:p>
        </w:tc>
        <w:tc>
          <w:tcPr>
            <w:tcW w:w="384" w:type="pct"/>
            <w:tcBorders>
              <w:top w:val="single" w:sz="4" w:space="0" w:color="auto"/>
              <w:bottom w:val="single" w:sz="4" w:space="0" w:color="auto"/>
            </w:tcBorders>
            <w:shd w:val="clear" w:color="auto" w:fill="auto"/>
            <w:noWrap/>
            <w:vAlign w:val="center"/>
          </w:tcPr>
          <w:p w14:paraId="56E497E9" w14:textId="77777777" w:rsidR="00EB416E" w:rsidRPr="00E359D7" w:rsidRDefault="00EB416E" w:rsidP="00E063A1">
            <w:pPr>
              <w:spacing w:after="0" w:line="240" w:lineRule="auto"/>
              <w:rPr>
                <w:rFonts w:ascii="Times New Roman" w:eastAsia="Times New Roman" w:hAnsi="Times New Roman" w:cs="Times New Roman"/>
                <w:color w:val="000000"/>
              </w:rPr>
            </w:pPr>
          </w:p>
        </w:tc>
      </w:tr>
      <w:tr w:rsidR="00EB416E" w:rsidRPr="008E7B4C" w14:paraId="62CE75D2" w14:textId="77777777" w:rsidTr="00EB416E">
        <w:trPr>
          <w:trHeight w:val="419"/>
        </w:trPr>
        <w:tc>
          <w:tcPr>
            <w:tcW w:w="409" w:type="pct"/>
            <w:tcBorders>
              <w:top w:val="single" w:sz="4" w:space="0" w:color="auto"/>
              <w:bottom w:val="single" w:sz="4" w:space="0" w:color="auto"/>
              <w:right w:val="nil"/>
            </w:tcBorders>
          </w:tcPr>
          <w:p w14:paraId="2D370D36" w14:textId="77777777" w:rsidR="00EB416E" w:rsidRPr="00E359D7" w:rsidRDefault="00EB416E" w:rsidP="00E063A1">
            <w:pPr>
              <w:spacing w:after="0" w:line="240" w:lineRule="auto"/>
              <w:rPr>
                <w:rFonts w:ascii="Times New Roman" w:eastAsia="Times New Roman" w:hAnsi="Times New Roman" w:cs="Times New Roman"/>
                <w:sz w:val="24"/>
                <w:szCs w:val="24"/>
              </w:rPr>
            </w:pP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14:paraId="1B564DE7" w14:textId="5AEC1038" w:rsidR="00EB416E" w:rsidRPr="00E359D7" w:rsidRDefault="00EB416E" w:rsidP="00E063A1">
            <w:pPr>
              <w:spacing w:after="0" w:line="240" w:lineRule="auto"/>
              <w:rPr>
                <w:rFonts w:ascii="Times New Roman" w:eastAsia="Times New Roman" w:hAnsi="Times New Roman" w:cs="Times New Roman"/>
                <w:sz w:val="24"/>
                <w:szCs w:val="24"/>
              </w:rPr>
            </w:pPr>
          </w:p>
        </w:tc>
        <w:tc>
          <w:tcPr>
            <w:tcW w:w="282" w:type="pct"/>
            <w:tcBorders>
              <w:top w:val="single" w:sz="4" w:space="0" w:color="auto"/>
              <w:left w:val="single" w:sz="4" w:space="0" w:color="auto"/>
              <w:bottom w:val="single" w:sz="4" w:space="0" w:color="auto"/>
            </w:tcBorders>
            <w:shd w:val="clear" w:color="auto" w:fill="auto"/>
            <w:noWrap/>
            <w:vAlign w:val="center"/>
            <w:hideMark/>
          </w:tcPr>
          <w:p w14:paraId="58F74B5E" w14:textId="77777777" w:rsidR="00EB416E" w:rsidRPr="00E359D7" w:rsidRDefault="00EB416E"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RUNE</w:t>
            </w:r>
          </w:p>
        </w:tc>
        <w:tc>
          <w:tcPr>
            <w:tcW w:w="282" w:type="pct"/>
            <w:tcBorders>
              <w:top w:val="single" w:sz="4" w:space="0" w:color="auto"/>
              <w:bottom w:val="single" w:sz="4" w:space="0" w:color="auto"/>
            </w:tcBorders>
            <w:shd w:val="clear" w:color="auto" w:fill="auto"/>
            <w:noWrap/>
            <w:vAlign w:val="center"/>
            <w:hideMark/>
          </w:tcPr>
          <w:p w14:paraId="221334AF" w14:textId="77777777" w:rsidR="00EB416E" w:rsidRPr="00E359D7" w:rsidRDefault="00EB416E"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LRC</w:t>
            </w:r>
          </w:p>
        </w:tc>
        <w:tc>
          <w:tcPr>
            <w:tcW w:w="282" w:type="pct"/>
            <w:tcBorders>
              <w:top w:val="single" w:sz="4" w:space="0" w:color="auto"/>
              <w:bottom w:val="single" w:sz="4" w:space="0" w:color="auto"/>
              <w:right w:val="single" w:sz="4" w:space="0" w:color="auto"/>
            </w:tcBorders>
            <w:shd w:val="clear" w:color="auto" w:fill="auto"/>
            <w:noWrap/>
            <w:vAlign w:val="center"/>
            <w:hideMark/>
          </w:tcPr>
          <w:p w14:paraId="55D8E7C1" w14:textId="77777777" w:rsidR="00EB416E" w:rsidRPr="00E359D7" w:rsidRDefault="00EB416E"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GNO</w:t>
            </w:r>
          </w:p>
        </w:tc>
        <w:tc>
          <w:tcPr>
            <w:tcW w:w="282" w:type="pct"/>
            <w:tcBorders>
              <w:top w:val="single" w:sz="4" w:space="0" w:color="auto"/>
              <w:left w:val="single" w:sz="4" w:space="0" w:color="auto"/>
              <w:bottom w:val="single" w:sz="4" w:space="0" w:color="auto"/>
            </w:tcBorders>
            <w:shd w:val="clear" w:color="auto" w:fill="auto"/>
            <w:noWrap/>
            <w:vAlign w:val="center"/>
            <w:hideMark/>
          </w:tcPr>
          <w:p w14:paraId="7D3FAA35" w14:textId="77777777" w:rsidR="00EB416E" w:rsidRPr="00E359D7" w:rsidRDefault="00EB416E"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BNB</w:t>
            </w:r>
          </w:p>
        </w:tc>
        <w:tc>
          <w:tcPr>
            <w:tcW w:w="282" w:type="pct"/>
            <w:tcBorders>
              <w:top w:val="single" w:sz="4" w:space="0" w:color="auto"/>
              <w:bottom w:val="single" w:sz="4" w:space="0" w:color="auto"/>
            </w:tcBorders>
            <w:shd w:val="clear" w:color="auto" w:fill="auto"/>
            <w:noWrap/>
            <w:vAlign w:val="center"/>
            <w:hideMark/>
          </w:tcPr>
          <w:p w14:paraId="0E719DF5" w14:textId="77777777" w:rsidR="00EB416E" w:rsidRPr="00E359D7" w:rsidRDefault="00EB416E"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LEO</w:t>
            </w:r>
          </w:p>
        </w:tc>
        <w:tc>
          <w:tcPr>
            <w:tcW w:w="282" w:type="pct"/>
            <w:tcBorders>
              <w:top w:val="single" w:sz="4" w:space="0" w:color="auto"/>
              <w:bottom w:val="single" w:sz="4" w:space="0" w:color="auto"/>
              <w:right w:val="single" w:sz="4" w:space="0" w:color="auto"/>
            </w:tcBorders>
            <w:shd w:val="clear" w:color="auto" w:fill="auto"/>
            <w:noWrap/>
            <w:vAlign w:val="center"/>
            <w:hideMark/>
          </w:tcPr>
          <w:p w14:paraId="37C5664B" w14:textId="77777777" w:rsidR="00EB416E" w:rsidRPr="00E359D7" w:rsidRDefault="00EB416E"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FTT</w:t>
            </w:r>
          </w:p>
        </w:tc>
        <w:tc>
          <w:tcPr>
            <w:tcW w:w="282" w:type="pct"/>
            <w:tcBorders>
              <w:top w:val="single" w:sz="4" w:space="0" w:color="auto"/>
              <w:left w:val="single" w:sz="4" w:space="0" w:color="auto"/>
              <w:bottom w:val="single" w:sz="4" w:space="0" w:color="auto"/>
            </w:tcBorders>
            <w:shd w:val="clear" w:color="auto" w:fill="auto"/>
            <w:noWrap/>
            <w:vAlign w:val="center"/>
            <w:hideMark/>
          </w:tcPr>
          <w:p w14:paraId="2AF21E1E" w14:textId="77777777" w:rsidR="00EB416E" w:rsidRPr="00E359D7" w:rsidRDefault="00EB416E"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Gold</w:t>
            </w:r>
          </w:p>
        </w:tc>
        <w:tc>
          <w:tcPr>
            <w:tcW w:w="282" w:type="pct"/>
            <w:tcBorders>
              <w:top w:val="single" w:sz="4" w:space="0" w:color="auto"/>
              <w:bottom w:val="single" w:sz="4" w:space="0" w:color="auto"/>
            </w:tcBorders>
            <w:shd w:val="clear" w:color="auto" w:fill="auto"/>
            <w:noWrap/>
            <w:vAlign w:val="center"/>
            <w:hideMark/>
          </w:tcPr>
          <w:p w14:paraId="257A3AB1" w14:textId="77777777" w:rsidR="00EB416E" w:rsidRPr="00E359D7" w:rsidRDefault="00EB416E"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Oil</w:t>
            </w:r>
          </w:p>
        </w:tc>
        <w:tc>
          <w:tcPr>
            <w:tcW w:w="282" w:type="pct"/>
            <w:tcBorders>
              <w:top w:val="single" w:sz="4" w:space="0" w:color="auto"/>
              <w:bottom w:val="single" w:sz="4" w:space="0" w:color="auto"/>
            </w:tcBorders>
            <w:shd w:val="clear" w:color="auto" w:fill="auto"/>
            <w:noWrap/>
            <w:vAlign w:val="center"/>
            <w:hideMark/>
          </w:tcPr>
          <w:p w14:paraId="5D2A7150" w14:textId="77777777" w:rsidR="00EB416E" w:rsidRPr="00E359D7" w:rsidRDefault="00EB416E"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BTC</w:t>
            </w:r>
          </w:p>
        </w:tc>
        <w:tc>
          <w:tcPr>
            <w:tcW w:w="282" w:type="pct"/>
            <w:tcBorders>
              <w:top w:val="single" w:sz="4" w:space="0" w:color="auto"/>
              <w:bottom w:val="single" w:sz="4" w:space="0" w:color="auto"/>
            </w:tcBorders>
            <w:shd w:val="clear" w:color="auto" w:fill="auto"/>
            <w:noWrap/>
            <w:vAlign w:val="center"/>
            <w:hideMark/>
          </w:tcPr>
          <w:p w14:paraId="404A022C" w14:textId="77777777" w:rsidR="00EB416E" w:rsidRPr="00E359D7" w:rsidRDefault="00EB416E"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REIT</w:t>
            </w:r>
          </w:p>
        </w:tc>
        <w:tc>
          <w:tcPr>
            <w:tcW w:w="282" w:type="pct"/>
            <w:tcBorders>
              <w:top w:val="single" w:sz="4" w:space="0" w:color="auto"/>
              <w:bottom w:val="single" w:sz="4" w:space="0" w:color="auto"/>
            </w:tcBorders>
            <w:shd w:val="clear" w:color="auto" w:fill="auto"/>
            <w:noWrap/>
            <w:vAlign w:val="center"/>
            <w:hideMark/>
          </w:tcPr>
          <w:p w14:paraId="72423257" w14:textId="77777777" w:rsidR="00EB416E" w:rsidRPr="00E359D7" w:rsidRDefault="00EB416E"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Equity</w:t>
            </w:r>
          </w:p>
        </w:tc>
        <w:tc>
          <w:tcPr>
            <w:tcW w:w="282" w:type="pct"/>
            <w:tcBorders>
              <w:top w:val="single" w:sz="4" w:space="0" w:color="auto"/>
              <w:bottom w:val="single" w:sz="4" w:space="0" w:color="auto"/>
            </w:tcBorders>
            <w:shd w:val="clear" w:color="auto" w:fill="auto"/>
            <w:noWrap/>
            <w:vAlign w:val="center"/>
            <w:hideMark/>
          </w:tcPr>
          <w:p w14:paraId="70922412" w14:textId="77777777" w:rsidR="00EB416E" w:rsidRPr="00E359D7" w:rsidRDefault="00EB416E"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Bond</w:t>
            </w:r>
          </w:p>
        </w:tc>
        <w:tc>
          <w:tcPr>
            <w:tcW w:w="409" w:type="pct"/>
            <w:tcBorders>
              <w:top w:val="single" w:sz="4" w:space="0" w:color="auto"/>
              <w:bottom w:val="single" w:sz="4" w:space="0" w:color="auto"/>
            </w:tcBorders>
            <w:shd w:val="clear" w:color="auto" w:fill="auto"/>
            <w:noWrap/>
            <w:vAlign w:val="center"/>
            <w:hideMark/>
          </w:tcPr>
          <w:p w14:paraId="317EB91B" w14:textId="77777777" w:rsidR="00EB416E" w:rsidRPr="00E359D7" w:rsidRDefault="00EB416E" w:rsidP="00E063A1">
            <w:pPr>
              <w:spacing w:after="0" w:line="240" w:lineRule="auto"/>
              <w:rPr>
                <w:rFonts w:ascii="Times New Roman" w:eastAsia="Times New Roman" w:hAnsi="Times New Roman" w:cs="Times New Roman"/>
                <w:color w:val="000000"/>
              </w:rPr>
            </w:pPr>
            <w:proofErr w:type="spellStart"/>
            <w:r w:rsidRPr="00E359D7">
              <w:rPr>
                <w:rFonts w:ascii="Times New Roman" w:eastAsia="Times New Roman" w:hAnsi="Times New Roman" w:cs="Times New Roman"/>
                <w:color w:val="000000"/>
              </w:rPr>
              <w:t>USD.Index</w:t>
            </w:r>
            <w:proofErr w:type="spellEnd"/>
          </w:p>
        </w:tc>
        <w:tc>
          <w:tcPr>
            <w:tcW w:w="384" w:type="pct"/>
            <w:tcBorders>
              <w:top w:val="single" w:sz="4" w:space="0" w:color="auto"/>
              <w:bottom w:val="single" w:sz="4" w:space="0" w:color="auto"/>
            </w:tcBorders>
            <w:shd w:val="clear" w:color="auto" w:fill="auto"/>
            <w:noWrap/>
            <w:vAlign w:val="center"/>
            <w:hideMark/>
          </w:tcPr>
          <w:p w14:paraId="6590104E" w14:textId="693516C1" w:rsidR="00EB416E" w:rsidRPr="00E359D7" w:rsidRDefault="00CC0E8D" w:rsidP="00E063A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From</w:t>
            </w:r>
          </w:p>
        </w:tc>
      </w:tr>
      <w:tr w:rsidR="00EB416E" w:rsidRPr="00EB416E" w14:paraId="08DC00BF" w14:textId="77777777" w:rsidTr="00EB416E">
        <w:trPr>
          <w:trHeight w:val="419"/>
        </w:trPr>
        <w:tc>
          <w:tcPr>
            <w:tcW w:w="409" w:type="pct"/>
            <w:vMerge w:val="restart"/>
            <w:tcBorders>
              <w:top w:val="single" w:sz="4" w:space="0" w:color="auto"/>
              <w:right w:val="nil"/>
            </w:tcBorders>
            <w:textDirection w:val="btLr"/>
          </w:tcPr>
          <w:p w14:paraId="62050232" w14:textId="7DBF1C6E" w:rsidR="00EB416E" w:rsidRPr="00E359D7" w:rsidRDefault="00EB416E" w:rsidP="00EB416E">
            <w:pPr>
              <w:spacing w:after="0" w:line="240" w:lineRule="auto"/>
              <w:ind w:left="113" w:right="113"/>
              <w:rPr>
                <w:rFonts w:ascii="Times New Roman" w:eastAsia="Times New Roman" w:hAnsi="Times New Roman" w:cs="Times New Roman"/>
                <w:color w:val="000000"/>
              </w:rPr>
            </w:pPr>
            <w:r>
              <w:rPr>
                <w:rFonts w:ascii="Times New Roman" w:eastAsia="Times New Roman" w:hAnsi="Times New Roman" w:cs="Times New Roman"/>
                <w:color w:val="000000"/>
              </w:rPr>
              <w:t>DEX tokens</w:t>
            </w:r>
          </w:p>
        </w:tc>
        <w:tc>
          <w:tcPr>
            <w:tcW w:w="409" w:type="pct"/>
            <w:tcBorders>
              <w:top w:val="single" w:sz="4" w:space="0" w:color="auto"/>
              <w:left w:val="nil"/>
              <w:bottom w:val="nil"/>
              <w:right w:val="single" w:sz="4" w:space="0" w:color="auto"/>
            </w:tcBorders>
            <w:shd w:val="clear" w:color="auto" w:fill="auto"/>
            <w:noWrap/>
            <w:vAlign w:val="center"/>
            <w:hideMark/>
          </w:tcPr>
          <w:p w14:paraId="258AF24D" w14:textId="3402946E" w:rsidR="00EB416E" w:rsidRPr="00E359D7" w:rsidRDefault="00EB416E"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RUNE</w:t>
            </w:r>
          </w:p>
        </w:tc>
        <w:tc>
          <w:tcPr>
            <w:tcW w:w="282" w:type="pct"/>
            <w:tcBorders>
              <w:top w:val="single" w:sz="4" w:space="0" w:color="auto"/>
              <w:left w:val="single" w:sz="4" w:space="0" w:color="auto"/>
              <w:bottom w:val="nil"/>
            </w:tcBorders>
            <w:shd w:val="clear" w:color="auto" w:fill="auto"/>
            <w:noWrap/>
            <w:vAlign w:val="center"/>
            <w:hideMark/>
          </w:tcPr>
          <w:p w14:paraId="5E7E34DC"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9.43</w:t>
            </w:r>
          </w:p>
        </w:tc>
        <w:tc>
          <w:tcPr>
            <w:tcW w:w="282" w:type="pct"/>
            <w:tcBorders>
              <w:top w:val="single" w:sz="4" w:space="0" w:color="auto"/>
              <w:bottom w:val="nil"/>
            </w:tcBorders>
            <w:shd w:val="clear" w:color="auto" w:fill="auto"/>
            <w:noWrap/>
            <w:vAlign w:val="center"/>
            <w:hideMark/>
          </w:tcPr>
          <w:p w14:paraId="2ABEC14D"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7.99</w:t>
            </w:r>
          </w:p>
        </w:tc>
        <w:tc>
          <w:tcPr>
            <w:tcW w:w="282" w:type="pct"/>
            <w:tcBorders>
              <w:top w:val="single" w:sz="4" w:space="0" w:color="auto"/>
              <w:bottom w:val="nil"/>
              <w:right w:val="single" w:sz="4" w:space="0" w:color="auto"/>
            </w:tcBorders>
            <w:shd w:val="clear" w:color="auto" w:fill="auto"/>
            <w:noWrap/>
            <w:vAlign w:val="center"/>
            <w:hideMark/>
          </w:tcPr>
          <w:p w14:paraId="730A7798"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7.8</w:t>
            </w:r>
          </w:p>
        </w:tc>
        <w:tc>
          <w:tcPr>
            <w:tcW w:w="282" w:type="pct"/>
            <w:tcBorders>
              <w:top w:val="single" w:sz="4" w:space="0" w:color="auto"/>
              <w:left w:val="single" w:sz="4" w:space="0" w:color="auto"/>
              <w:bottom w:val="nil"/>
            </w:tcBorders>
            <w:shd w:val="clear" w:color="auto" w:fill="auto"/>
            <w:noWrap/>
            <w:vAlign w:val="center"/>
            <w:hideMark/>
          </w:tcPr>
          <w:p w14:paraId="739AED23"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8.78</w:t>
            </w:r>
          </w:p>
        </w:tc>
        <w:tc>
          <w:tcPr>
            <w:tcW w:w="282" w:type="pct"/>
            <w:tcBorders>
              <w:top w:val="single" w:sz="4" w:space="0" w:color="auto"/>
              <w:bottom w:val="nil"/>
            </w:tcBorders>
            <w:shd w:val="clear" w:color="auto" w:fill="auto"/>
            <w:noWrap/>
            <w:vAlign w:val="center"/>
            <w:hideMark/>
          </w:tcPr>
          <w:p w14:paraId="19885FB6"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7.64</w:t>
            </w:r>
          </w:p>
        </w:tc>
        <w:tc>
          <w:tcPr>
            <w:tcW w:w="282" w:type="pct"/>
            <w:tcBorders>
              <w:top w:val="single" w:sz="4" w:space="0" w:color="auto"/>
              <w:bottom w:val="nil"/>
              <w:right w:val="single" w:sz="4" w:space="0" w:color="auto"/>
            </w:tcBorders>
            <w:shd w:val="clear" w:color="auto" w:fill="auto"/>
            <w:noWrap/>
            <w:vAlign w:val="center"/>
            <w:hideMark/>
          </w:tcPr>
          <w:p w14:paraId="1FCC96AC"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8.39</w:t>
            </w:r>
          </w:p>
        </w:tc>
        <w:tc>
          <w:tcPr>
            <w:tcW w:w="282" w:type="pct"/>
            <w:tcBorders>
              <w:top w:val="single" w:sz="4" w:space="0" w:color="auto"/>
              <w:left w:val="single" w:sz="4" w:space="0" w:color="auto"/>
              <w:bottom w:val="nil"/>
            </w:tcBorders>
            <w:shd w:val="clear" w:color="auto" w:fill="auto"/>
            <w:noWrap/>
            <w:vAlign w:val="center"/>
            <w:hideMark/>
          </w:tcPr>
          <w:p w14:paraId="06BCF7E4"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7.01</w:t>
            </w:r>
          </w:p>
        </w:tc>
        <w:tc>
          <w:tcPr>
            <w:tcW w:w="282" w:type="pct"/>
            <w:tcBorders>
              <w:top w:val="single" w:sz="4" w:space="0" w:color="auto"/>
              <w:bottom w:val="nil"/>
            </w:tcBorders>
            <w:shd w:val="clear" w:color="auto" w:fill="auto"/>
            <w:noWrap/>
            <w:vAlign w:val="center"/>
            <w:hideMark/>
          </w:tcPr>
          <w:p w14:paraId="1A7E8A2C"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6.25</w:t>
            </w:r>
          </w:p>
        </w:tc>
        <w:tc>
          <w:tcPr>
            <w:tcW w:w="282" w:type="pct"/>
            <w:tcBorders>
              <w:top w:val="single" w:sz="4" w:space="0" w:color="auto"/>
              <w:bottom w:val="nil"/>
            </w:tcBorders>
            <w:shd w:val="clear" w:color="auto" w:fill="auto"/>
            <w:noWrap/>
            <w:vAlign w:val="center"/>
            <w:hideMark/>
          </w:tcPr>
          <w:p w14:paraId="03877123"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7.64</w:t>
            </w:r>
          </w:p>
        </w:tc>
        <w:tc>
          <w:tcPr>
            <w:tcW w:w="282" w:type="pct"/>
            <w:tcBorders>
              <w:top w:val="single" w:sz="4" w:space="0" w:color="auto"/>
              <w:bottom w:val="nil"/>
            </w:tcBorders>
            <w:shd w:val="clear" w:color="auto" w:fill="auto"/>
            <w:noWrap/>
            <w:vAlign w:val="center"/>
            <w:hideMark/>
          </w:tcPr>
          <w:p w14:paraId="7E0BF333"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7.32</w:t>
            </w:r>
          </w:p>
        </w:tc>
        <w:tc>
          <w:tcPr>
            <w:tcW w:w="282" w:type="pct"/>
            <w:tcBorders>
              <w:top w:val="single" w:sz="4" w:space="0" w:color="auto"/>
              <w:bottom w:val="nil"/>
            </w:tcBorders>
            <w:shd w:val="clear" w:color="auto" w:fill="auto"/>
            <w:noWrap/>
            <w:vAlign w:val="center"/>
            <w:hideMark/>
          </w:tcPr>
          <w:p w14:paraId="2B7DE12B"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7.21</w:t>
            </w:r>
          </w:p>
        </w:tc>
        <w:tc>
          <w:tcPr>
            <w:tcW w:w="282" w:type="pct"/>
            <w:tcBorders>
              <w:top w:val="single" w:sz="4" w:space="0" w:color="auto"/>
              <w:bottom w:val="nil"/>
            </w:tcBorders>
            <w:shd w:val="clear" w:color="auto" w:fill="auto"/>
            <w:noWrap/>
            <w:vAlign w:val="center"/>
            <w:hideMark/>
          </w:tcPr>
          <w:p w14:paraId="1733E8FE"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6.95</w:t>
            </w:r>
          </w:p>
        </w:tc>
        <w:tc>
          <w:tcPr>
            <w:tcW w:w="409" w:type="pct"/>
            <w:tcBorders>
              <w:top w:val="single" w:sz="4" w:space="0" w:color="auto"/>
              <w:bottom w:val="nil"/>
            </w:tcBorders>
            <w:shd w:val="clear" w:color="auto" w:fill="auto"/>
            <w:noWrap/>
            <w:vAlign w:val="center"/>
            <w:hideMark/>
          </w:tcPr>
          <w:p w14:paraId="3D7E1EDB"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7.60</w:t>
            </w:r>
          </w:p>
        </w:tc>
        <w:tc>
          <w:tcPr>
            <w:tcW w:w="384" w:type="pct"/>
            <w:tcBorders>
              <w:top w:val="single" w:sz="4" w:space="0" w:color="auto"/>
              <w:bottom w:val="nil"/>
            </w:tcBorders>
            <w:shd w:val="clear" w:color="auto" w:fill="auto"/>
            <w:noWrap/>
            <w:vAlign w:val="center"/>
            <w:hideMark/>
          </w:tcPr>
          <w:p w14:paraId="2A729572"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90.57</w:t>
            </w:r>
          </w:p>
        </w:tc>
      </w:tr>
      <w:tr w:rsidR="00EB416E" w:rsidRPr="00EB416E" w14:paraId="37DC26A2" w14:textId="77777777" w:rsidTr="00EB416E">
        <w:trPr>
          <w:trHeight w:val="419"/>
        </w:trPr>
        <w:tc>
          <w:tcPr>
            <w:tcW w:w="409" w:type="pct"/>
            <w:vMerge/>
            <w:tcBorders>
              <w:right w:val="nil"/>
            </w:tcBorders>
            <w:textDirection w:val="btLr"/>
          </w:tcPr>
          <w:p w14:paraId="2030DC46" w14:textId="77777777" w:rsidR="00EB416E" w:rsidRPr="00E359D7" w:rsidRDefault="00EB416E" w:rsidP="00EB416E">
            <w:pPr>
              <w:spacing w:after="0" w:line="240" w:lineRule="auto"/>
              <w:ind w:left="113" w:right="113"/>
              <w:rPr>
                <w:rFonts w:ascii="Times New Roman" w:eastAsia="Times New Roman" w:hAnsi="Times New Roman" w:cs="Times New Roman"/>
                <w:color w:val="000000"/>
              </w:rPr>
            </w:pPr>
          </w:p>
        </w:tc>
        <w:tc>
          <w:tcPr>
            <w:tcW w:w="409" w:type="pct"/>
            <w:tcBorders>
              <w:top w:val="nil"/>
              <w:left w:val="nil"/>
              <w:bottom w:val="nil"/>
              <w:right w:val="single" w:sz="4" w:space="0" w:color="auto"/>
            </w:tcBorders>
            <w:shd w:val="clear" w:color="auto" w:fill="auto"/>
            <w:noWrap/>
            <w:vAlign w:val="center"/>
            <w:hideMark/>
          </w:tcPr>
          <w:p w14:paraId="7B155A0D" w14:textId="753227E1" w:rsidR="00EB416E" w:rsidRPr="00E359D7" w:rsidRDefault="00EB416E"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LRC</w:t>
            </w:r>
          </w:p>
        </w:tc>
        <w:tc>
          <w:tcPr>
            <w:tcW w:w="282" w:type="pct"/>
            <w:tcBorders>
              <w:top w:val="nil"/>
              <w:left w:val="single" w:sz="4" w:space="0" w:color="auto"/>
              <w:bottom w:val="nil"/>
            </w:tcBorders>
            <w:shd w:val="clear" w:color="auto" w:fill="auto"/>
            <w:noWrap/>
            <w:vAlign w:val="center"/>
            <w:hideMark/>
          </w:tcPr>
          <w:p w14:paraId="7D2CAD8A"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7.54</w:t>
            </w:r>
          </w:p>
        </w:tc>
        <w:tc>
          <w:tcPr>
            <w:tcW w:w="282" w:type="pct"/>
            <w:tcBorders>
              <w:top w:val="nil"/>
              <w:bottom w:val="nil"/>
            </w:tcBorders>
            <w:shd w:val="clear" w:color="auto" w:fill="auto"/>
            <w:noWrap/>
            <w:vAlign w:val="center"/>
            <w:hideMark/>
          </w:tcPr>
          <w:p w14:paraId="360A7B0C"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9.7</w:t>
            </w:r>
          </w:p>
        </w:tc>
        <w:tc>
          <w:tcPr>
            <w:tcW w:w="282" w:type="pct"/>
            <w:tcBorders>
              <w:top w:val="nil"/>
              <w:bottom w:val="nil"/>
              <w:right w:val="single" w:sz="4" w:space="0" w:color="auto"/>
            </w:tcBorders>
            <w:shd w:val="clear" w:color="auto" w:fill="auto"/>
            <w:noWrap/>
            <w:vAlign w:val="center"/>
            <w:hideMark/>
          </w:tcPr>
          <w:p w14:paraId="4B1F5533"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8.12</w:t>
            </w:r>
          </w:p>
        </w:tc>
        <w:tc>
          <w:tcPr>
            <w:tcW w:w="282" w:type="pct"/>
            <w:tcBorders>
              <w:top w:val="nil"/>
              <w:left w:val="single" w:sz="4" w:space="0" w:color="auto"/>
              <w:bottom w:val="nil"/>
            </w:tcBorders>
            <w:shd w:val="clear" w:color="auto" w:fill="auto"/>
            <w:noWrap/>
            <w:vAlign w:val="center"/>
            <w:hideMark/>
          </w:tcPr>
          <w:p w14:paraId="0C145734"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8.57</w:t>
            </w:r>
          </w:p>
        </w:tc>
        <w:tc>
          <w:tcPr>
            <w:tcW w:w="282" w:type="pct"/>
            <w:tcBorders>
              <w:top w:val="nil"/>
              <w:bottom w:val="nil"/>
            </w:tcBorders>
            <w:shd w:val="clear" w:color="auto" w:fill="auto"/>
            <w:noWrap/>
            <w:vAlign w:val="center"/>
            <w:hideMark/>
          </w:tcPr>
          <w:p w14:paraId="036218EC"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7.3</w:t>
            </w:r>
          </w:p>
        </w:tc>
        <w:tc>
          <w:tcPr>
            <w:tcW w:w="282" w:type="pct"/>
            <w:tcBorders>
              <w:top w:val="nil"/>
              <w:bottom w:val="nil"/>
              <w:right w:val="single" w:sz="4" w:space="0" w:color="auto"/>
            </w:tcBorders>
            <w:shd w:val="clear" w:color="auto" w:fill="auto"/>
            <w:noWrap/>
            <w:vAlign w:val="center"/>
            <w:hideMark/>
          </w:tcPr>
          <w:p w14:paraId="6562BD98"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8.58</w:t>
            </w:r>
          </w:p>
        </w:tc>
        <w:tc>
          <w:tcPr>
            <w:tcW w:w="282" w:type="pct"/>
            <w:tcBorders>
              <w:top w:val="nil"/>
              <w:left w:val="single" w:sz="4" w:space="0" w:color="auto"/>
              <w:bottom w:val="nil"/>
            </w:tcBorders>
            <w:shd w:val="clear" w:color="auto" w:fill="auto"/>
            <w:noWrap/>
            <w:vAlign w:val="center"/>
            <w:hideMark/>
          </w:tcPr>
          <w:p w14:paraId="18106256"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6.98</w:t>
            </w:r>
          </w:p>
        </w:tc>
        <w:tc>
          <w:tcPr>
            <w:tcW w:w="282" w:type="pct"/>
            <w:tcBorders>
              <w:top w:val="nil"/>
              <w:bottom w:val="nil"/>
            </w:tcBorders>
            <w:shd w:val="clear" w:color="auto" w:fill="auto"/>
            <w:noWrap/>
            <w:vAlign w:val="center"/>
            <w:hideMark/>
          </w:tcPr>
          <w:p w14:paraId="47994938"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6.39</w:t>
            </w:r>
          </w:p>
        </w:tc>
        <w:tc>
          <w:tcPr>
            <w:tcW w:w="282" w:type="pct"/>
            <w:tcBorders>
              <w:top w:val="nil"/>
              <w:bottom w:val="nil"/>
            </w:tcBorders>
            <w:shd w:val="clear" w:color="auto" w:fill="auto"/>
            <w:noWrap/>
            <w:vAlign w:val="center"/>
            <w:hideMark/>
          </w:tcPr>
          <w:p w14:paraId="5E9ACA39"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7.9</w:t>
            </w:r>
          </w:p>
        </w:tc>
        <w:tc>
          <w:tcPr>
            <w:tcW w:w="282" w:type="pct"/>
            <w:tcBorders>
              <w:top w:val="nil"/>
              <w:bottom w:val="nil"/>
            </w:tcBorders>
            <w:shd w:val="clear" w:color="auto" w:fill="auto"/>
            <w:noWrap/>
            <w:vAlign w:val="center"/>
            <w:hideMark/>
          </w:tcPr>
          <w:p w14:paraId="734CE796"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7.22</w:t>
            </w:r>
          </w:p>
        </w:tc>
        <w:tc>
          <w:tcPr>
            <w:tcW w:w="282" w:type="pct"/>
            <w:tcBorders>
              <w:top w:val="nil"/>
              <w:bottom w:val="nil"/>
            </w:tcBorders>
            <w:shd w:val="clear" w:color="auto" w:fill="auto"/>
            <w:noWrap/>
            <w:vAlign w:val="center"/>
            <w:hideMark/>
          </w:tcPr>
          <w:p w14:paraId="685D617F"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7.12</w:t>
            </w:r>
          </w:p>
        </w:tc>
        <w:tc>
          <w:tcPr>
            <w:tcW w:w="282" w:type="pct"/>
            <w:tcBorders>
              <w:top w:val="nil"/>
              <w:bottom w:val="nil"/>
            </w:tcBorders>
            <w:shd w:val="clear" w:color="auto" w:fill="auto"/>
            <w:noWrap/>
            <w:vAlign w:val="center"/>
            <w:hideMark/>
          </w:tcPr>
          <w:p w14:paraId="617236A7"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7.00</w:t>
            </w:r>
          </w:p>
        </w:tc>
        <w:tc>
          <w:tcPr>
            <w:tcW w:w="409" w:type="pct"/>
            <w:tcBorders>
              <w:top w:val="nil"/>
              <w:bottom w:val="nil"/>
            </w:tcBorders>
            <w:shd w:val="clear" w:color="auto" w:fill="auto"/>
            <w:noWrap/>
            <w:vAlign w:val="center"/>
            <w:hideMark/>
          </w:tcPr>
          <w:p w14:paraId="75A7859F"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7.58</w:t>
            </w:r>
          </w:p>
        </w:tc>
        <w:tc>
          <w:tcPr>
            <w:tcW w:w="384" w:type="pct"/>
            <w:tcBorders>
              <w:top w:val="nil"/>
              <w:bottom w:val="nil"/>
            </w:tcBorders>
            <w:shd w:val="clear" w:color="auto" w:fill="auto"/>
            <w:noWrap/>
            <w:vAlign w:val="center"/>
            <w:hideMark/>
          </w:tcPr>
          <w:p w14:paraId="36BE269D"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90.3</w:t>
            </w:r>
          </w:p>
        </w:tc>
      </w:tr>
      <w:tr w:rsidR="00EB416E" w:rsidRPr="00EB416E" w14:paraId="3A56AFCF" w14:textId="77777777" w:rsidTr="00EB416E">
        <w:trPr>
          <w:trHeight w:val="419"/>
        </w:trPr>
        <w:tc>
          <w:tcPr>
            <w:tcW w:w="409" w:type="pct"/>
            <w:vMerge/>
            <w:tcBorders>
              <w:bottom w:val="single" w:sz="4" w:space="0" w:color="auto"/>
              <w:right w:val="nil"/>
            </w:tcBorders>
            <w:textDirection w:val="btLr"/>
          </w:tcPr>
          <w:p w14:paraId="641C9891" w14:textId="77777777" w:rsidR="00EB416E" w:rsidRPr="00E359D7" w:rsidRDefault="00EB416E" w:rsidP="00EB416E">
            <w:pPr>
              <w:spacing w:after="0" w:line="240" w:lineRule="auto"/>
              <w:ind w:left="113" w:right="113"/>
              <w:rPr>
                <w:rFonts w:ascii="Times New Roman" w:eastAsia="Times New Roman" w:hAnsi="Times New Roman" w:cs="Times New Roman"/>
                <w:color w:val="000000"/>
              </w:rPr>
            </w:pPr>
          </w:p>
        </w:tc>
        <w:tc>
          <w:tcPr>
            <w:tcW w:w="409" w:type="pct"/>
            <w:tcBorders>
              <w:top w:val="nil"/>
              <w:left w:val="nil"/>
              <w:bottom w:val="single" w:sz="4" w:space="0" w:color="auto"/>
              <w:right w:val="single" w:sz="4" w:space="0" w:color="auto"/>
            </w:tcBorders>
            <w:shd w:val="clear" w:color="auto" w:fill="auto"/>
            <w:noWrap/>
            <w:vAlign w:val="center"/>
            <w:hideMark/>
          </w:tcPr>
          <w:p w14:paraId="13C2E747" w14:textId="0D7F34E3" w:rsidR="00EB416E" w:rsidRPr="00E359D7" w:rsidRDefault="00EB416E"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GNO</w:t>
            </w:r>
          </w:p>
        </w:tc>
        <w:tc>
          <w:tcPr>
            <w:tcW w:w="282" w:type="pct"/>
            <w:tcBorders>
              <w:top w:val="nil"/>
              <w:left w:val="single" w:sz="4" w:space="0" w:color="auto"/>
              <w:bottom w:val="single" w:sz="4" w:space="0" w:color="auto"/>
            </w:tcBorders>
            <w:shd w:val="clear" w:color="auto" w:fill="auto"/>
            <w:noWrap/>
            <w:vAlign w:val="center"/>
            <w:hideMark/>
          </w:tcPr>
          <w:p w14:paraId="372F3AC7"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7.46</w:t>
            </w:r>
          </w:p>
        </w:tc>
        <w:tc>
          <w:tcPr>
            <w:tcW w:w="282" w:type="pct"/>
            <w:tcBorders>
              <w:top w:val="nil"/>
              <w:bottom w:val="single" w:sz="4" w:space="0" w:color="auto"/>
            </w:tcBorders>
            <w:shd w:val="clear" w:color="auto" w:fill="auto"/>
            <w:noWrap/>
            <w:vAlign w:val="center"/>
            <w:hideMark/>
          </w:tcPr>
          <w:p w14:paraId="29EEAFAC"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8.06</w:t>
            </w:r>
          </w:p>
        </w:tc>
        <w:tc>
          <w:tcPr>
            <w:tcW w:w="282" w:type="pct"/>
            <w:tcBorders>
              <w:top w:val="nil"/>
              <w:bottom w:val="single" w:sz="4" w:space="0" w:color="auto"/>
              <w:right w:val="single" w:sz="4" w:space="0" w:color="auto"/>
            </w:tcBorders>
            <w:shd w:val="clear" w:color="auto" w:fill="auto"/>
            <w:noWrap/>
            <w:vAlign w:val="center"/>
            <w:hideMark/>
          </w:tcPr>
          <w:p w14:paraId="44D628FC"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10.01</w:t>
            </w:r>
          </w:p>
        </w:tc>
        <w:tc>
          <w:tcPr>
            <w:tcW w:w="282" w:type="pct"/>
            <w:tcBorders>
              <w:top w:val="nil"/>
              <w:left w:val="single" w:sz="4" w:space="0" w:color="auto"/>
              <w:bottom w:val="single" w:sz="4" w:space="0" w:color="auto"/>
            </w:tcBorders>
            <w:shd w:val="clear" w:color="auto" w:fill="auto"/>
            <w:noWrap/>
            <w:vAlign w:val="center"/>
            <w:hideMark/>
          </w:tcPr>
          <w:p w14:paraId="66EF1AAB"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9.08</w:t>
            </w:r>
          </w:p>
        </w:tc>
        <w:tc>
          <w:tcPr>
            <w:tcW w:w="282" w:type="pct"/>
            <w:tcBorders>
              <w:top w:val="nil"/>
              <w:bottom w:val="single" w:sz="4" w:space="0" w:color="auto"/>
            </w:tcBorders>
            <w:shd w:val="clear" w:color="auto" w:fill="auto"/>
            <w:noWrap/>
            <w:vAlign w:val="center"/>
            <w:hideMark/>
          </w:tcPr>
          <w:p w14:paraId="7DDF0B20"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6.98</w:t>
            </w:r>
          </w:p>
        </w:tc>
        <w:tc>
          <w:tcPr>
            <w:tcW w:w="282" w:type="pct"/>
            <w:tcBorders>
              <w:top w:val="nil"/>
              <w:bottom w:val="single" w:sz="4" w:space="0" w:color="auto"/>
              <w:right w:val="single" w:sz="4" w:space="0" w:color="auto"/>
            </w:tcBorders>
            <w:shd w:val="clear" w:color="auto" w:fill="auto"/>
            <w:noWrap/>
            <w:vAlign w:val="center"/>
            <w:hideMark/>
          </w:tcPr>
          <w:p w14:paraId="70BAD83D"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8.94</w:t>
            </w:r>
          </w:p>
        </w:tc>
        <w:tc>
          <w:tcPr>
            <w:tcW w:w="282" w:type="pct"/>
            <w:tcBorders>
              <w:top w:val="nil"/>
              <w:left w:val="single" w:sz="4" w:space="0" w:color="auto"/>
              <w:bottom w:val="single" w:sz="4" w:space="0" w:color="auto"/>
            </w:tcBorders>
            <w:shd w:val="clear" w:color="auto" w:fill="auto"/>
            <w:noWrap/>
            <w:vAlign w:val="center"/>
            <w:hideMark/>
          </w:tcPr>
          <w:p w14:paraId="4B0681B0"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6.91</w:t>
            </w:r>
          </w:p>
        </w:tc>
        <w:tc>
          <w:tcPr>
            <w:tcW w:w="282" w:type="pct"/>
            <w:tcBorders>
              <w:top w:val="nil"/>
              <w:bottom w:val="single" w:sz="4" w:space="0" w:color="auto"/>
            </w:tcBorders>
            <w:shd w:val="clear" w:color="auto" w:fill="auto"/>
            <w:noWrap/>
            <w:vAlign w:val="center"/>
            <w:hideMark/>
          </w:tcPr>
          <w:p w14:paraId="53AA1B92"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6.16</w:t>
            </w:r>
          </w:p>
        </w:tc>
        <w:tc>
          <w:tcPr>
            <w:tcW w:w="282" w:type="pct"/>
            <w:tcBorders>
              <w:top w:val="nil"/>
              <w:bottom w:val="single" w:sz="4" w:space="0" w:color="auto"/>
            </w:tcBorders>
            <w:shd w:val="clear" w:color="auto" w:fill="auto"/>
            <w:noWrap/>
            <w:vAlign w:val="center"/>
            <w:hideMark/>
          </w:tcPr>
          <w:p w14:paraId="3FF099B0"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8.02</w:t>
            </w:r>
          </w:p>
        </w:tc>
        <w:tc>
          <w:tcPr>
            <w:tcW w:w="282" w:type="pct"/>
            <w:tcBorders>
              <w:top w:val="nil"/>
              <w:bottom w:val="single" w:sz="4" w:space="0" w:color="auto"/>
            </w:tcBorders>
            <w:shd w:val="clear" w:color="auto" w:fill="auto"/>
            <w:noWrap/>
            <w:vAlign w:val="center"/>
            <w:hideMark/>
          </w:tcPr>
          <w:p w14:paraId="0C44D320"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7.26</w:t>
            </w:r>
          </w:p>
        </w:tc>
        <w:tc>
          <w:tcPr>
            <w:tcW w:w="282" w:type="pct"/>
            <w:tcBorders>
              <w:top w:val="nil"/>
              <w:bottom w:val="single" w:sz="4" w:space="0" w:color="auto"/>
            </w:tcBorders>
            <w:shd w:val="clear" w:color="auto" w:fill="auto"/>
            <w:noWrap/>
            <w:vAlign w:val="center"/>
            <w:hideMark/>
          </w:tcPr>
          <w:p w14:paraId="47643277"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7.12</w:t>
            </w:r>
          </w:p>
        </w:tc>
        <w:tc>
          <w:tcPr>
            <w:tcW w:w="282" w:type="pct"/>
            <w:tcBorders>
              <w:top w:val="nil"/>
              <w:bottom w:val="single" w:sz="4" w:space="0" w:color="auto"/>
            </w:tcBorders>
            <w:shd w:val="clear" w:color="auto" w:fill="auto"/>
            <w:noWrap/>
            <w:vAlign w:val="center"/>
            <w:hideMark/>
          </w:tcPr>
          <w:p w14:paraId="69F0CFC7"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6.61</w:t>
            </w:r>
          </w:p>
        </w:tc>
        <w:tc>
          <w:tcPr>
            <w:tcW w:w="409" w:type="pct"/>
            <w:tcBorders>
              <w:top w:val="nil"/>
              <w:bottom w:val="single" w:sz="4" w:space="0" w:color="auto"/>
            </w:tcBorders>
            <w:shd w:val="clear" w:color="auto" w:fill="auto"/>
            <w:noWrap/>
            <w:vAlign w:val="center"/>
            <w:hideMark/>
          </w:tcPr>
          <w:p w14:paraId="565FE93F"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7.40</w:t>
            </w:r>
          </w:p>
        </w:tc>
        <w:tc>
          <w:tcPr>
            <w:tcW w:w="384" w:type="pct"/>
            <w:tcBorders>
              <w:top w:val="nil"/>
              <w:bottom w:val="single" w:sz="4" w:space="0" w:color="auto"/>
            </w:tcBorders>
            <w:shd w:val="clear" w:color="auto" w:fill="auto"/>
            <w:noWrap/>
            <w:vAlign w:val="center"/>
            <w:hideMark/>
          </w:tcPr>
          <w:p w14:paraId="3883FB91"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89.99</w:t>
            </w:r>
          </w:p>
        </w:tc>
      </w:tr>
      <w:tr w:rsidR="00EB416E" w:rsidRPr="00EB416E" w14:paraId="3109652A" w14:textId="77777777" w:rsidTr="00EB416E">
        <w:trPr>
          <w:trHeight w:val="419"/>
        </w:trPr>
        <w:tc>
          <w:tcPr>
            <w:tcW w:w="409" w:type="pct"/>
            <w:vMerge w:val="restart"/>
            <w:tcBorders>
              <w:top w:val="single" w:sz="4" w:space="0" w:color="auto"/>
              <w:right w:val="nil"/>
            </w:tcBorders>
            <w:textDirection w:val="btLr"/>
          </w:tcPr>
          <w:p w14:paraId="3ADA4D04" w14:textId="65C57B92" w:rsidR="00EB416E" w:rsidRPr="00E359D7" w:rsidRDefault="00EB416E" w:rsidP="00EB416E">
            <w:pPr>
              <w:spacing w:after="0" w:line="240" w:lineRule="auto"/>
              <w:ind w:left="113" w:right="113"/>
              <w:rPr>
                <w:rFonts w:ascii="Times New Roman" w:eastAsia="Times New Roman" w:hAnsi="Times New Roman" w:cs="Times New Roman"/>
                <w:color w:val="000000"/>
              </w:rPr>
            </w:pPr>
            <w:r>
              <w:rPr>
                <w:rFonts w:ascii="Times New Roman" w:eastAsia="Times New Roman" w:hAnsi="Times New Roman" w:cs="Times New Roman"/>
                <w:color w:val="000000"/>
              </w:rPr>
              <w:t>CEX tokens</w:t>
            </w:r>
          </w:p>
        </w:tc>
        <w:tc>
          <w:tcPr>
            <w:tcW w:w="409" w:type="pct"/>
            <w:tcBorders>
              <w:top w:val="single" w:sz="4" w:space="0" w:color="auto"/>
              <w:left w:val="nil"/>
              <w:bottom w:val="nil"/>
              <w:right w:val="single" w:sz="4" w:space="0" w:color="auto"/>
            </w:tcBorders>
            <w:shd w:val="clear" w:color="auto" w:fill="auto"/>
            <w:noWrap/>
            <w:vAlign w:val="center"/>
            <w:hideMark/>
          </w:tcPr>
          <w:p w14:paraId="2AA372A4" w14:textId="3815E40B" w:rsidR="00EB416E" w:rsidRPr="00E359D7" w:rsidRDefault="00EB416E"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BNB</w:t>
            </w:r>
          </w:p>
        </w:tc>
        <w:tc>
          <w:tcPr>
            <w:tcW w:w="282" w:type="pct"/>
            <w:tcBorders>
              <w:top w:val="single" w:sz="4" w:space="0" w:color="auto"/>
              <w:left w:val="single" w:sz="4" w:space="0" w:color="auto"/>
              <w:bottom w:val="nil"/>
            </w:tcBorders>
            <w:shd w:val="clear" w:color="auto" w:fill="auto"/>
            <w:noWrap/>
            <w:vAlign w:val="center"/>
            <w:hideMark/>
          </w:tcPr>
          <w:p w14:paraId="5B71BA45"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7.21</w:t>
            </w:r>
          </w:p>
        </w:tc>
        <w:tc>
          <w:tcPr>
            <w:tcW w:w="282" w:type="pct"/>
            <w:tcBorders>
              <w:top w:val="single" w:sz="4" w:space="0" w:color="auto"/>
              <w:bottom w:val="nil"/>
            </w:tcBorders>
            <w:shd w:val="clear" w:color="auto" w:fill="auto"/>
            <w:noWrap/>
            <w:vAlign w:val="center"/>
            <w:hideMark/>
          </w:tcPr>
          <w:p w14:paraId="3503C7DA"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7.93</w:t>
            </w:r>
          </w:p>
        </w:tc>
        <w:tc>
          <w:tcPr>
            <w:tcW w:w="282" w:type="pct"/>
            <w:tcBorders>
              <w:top w:val="single" w:sz="4" w:space="0" w:color="auto"/>
              <w:bottom w:val="nil"/>
              <w:right w:val="single" w:sz="4" w:space="0" w:color="auto"/>
            </w:tcBorders>
            <w:shd w:val="clear" w:color="auto" w:fill="auto"/>
            <w:noWrap/>
            <w:vAlign w:val="center"/>
            <w:hideMark/>
          </w:tcPr>
          <w:p w14:paraId="6D16C76A"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w:t>
            </w:r>
          </w:p>
        </w:tc>
        <w:tc>
          <w:tcPr>
            <w:tcW w:w="282" w:type="pct"/>
            <w:tcBorders>
              <w:top w:val="single" w:sz="4" w:space="0" w:color="auto"/>
              <w:left w:val="single" w:sz="4" w:space="0" w:color="auto"/>
              <w:bottom w:val="nil"/>
            </w:tcBorders>
            <w:shd w:val="clear" w:color="auto" w:fill="auto"/>
            <w:noWrap/>
            <w:vAlign w:val="center"/>
            <w:hideMark/>
          </w:tcPr>
          <w:p w14:paraId="1DED29D1"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12.24</w:t>
            </w:r>
          </w:p>
        </w:tc>
        <w:tc>
          <w:tcPr>
            <w:tcW w:w="282" w:type="pct"/>
            <w:tcBorders>
              <w:top w:val="single" w:sz="4" w:space="0" w:color="auto"/>
              <w:bottom w:val="nil"/>
            </w:tcBorders>
            <w:shd w:val="clear" w:color="auto" w:fill="auto"/>
            <w:noWrap/>
            <w:vAlign w:val="center"/>
            <w:hideMark/>
          </w:tcPr>
          <w:p w14:paraId="2E69F797"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7.19</w:t>
            </w:r>
          </w:p>
        </w:tc>
        <w:tc>
          <w:tcPr>
            <w:tcW w:w="282" w:type="pct"/>
            <w:tcBorders>
              <w:top w:val="single" w:sz="4" w:space="0" w:color="auto"/>
              <w:bottom w:val="nil"/>
              <w:right w:val="single" w:sz="4" w:space="0" w:color="auto"/>
            </w:tcBorders>
            <w:shd w:val="clear" w:color="auto" w:fill="auto"/>
            <w:noWrap/>
            <w:vAlign w:val="center"/>
            <w:hideMark/>
          </w:tcPr>
          <w:p w14:paraId="324C2C54"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8.98</w:t>
            </w:r>
          </w:p>
        </w:tc>
        <w:tc>
          <w:tcPr>
            <w:tcW w:w="282" w:type="pct"/>
            <w:tcBorders>
              <w:top w:val="single" w:sz="4" w:space="0" w:color="auto"/>
              <w:left w:val="single" w:sz="4" w:space="0" w:color="auto"/>
              <w:bottom w:val="nil"/>
            </w:tcBorders>
            <w:shd w:val="clear" w:color="auto" w:fill="auto"/>
            <w:noWrap/>
            <w:vAlign w:val="center"/>
            <w:hideMark/>
          </w:tcPr>
          <w:p w14:paraId="2F4D6F81"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6.81</w:t>
            </w:r>
          </w:p>
        </w:tc>
        <w:tc>
          <w:tcPr>
            <w:tcW w:w="282" w:type="pct"/>
            <w:tcBorders>
              <w:top w:val="single" w:sz="4" w:space="0" w:color="auto"/>
              <w:bottom w:val="nil"/>
            </w:tcBorders>
            <w:shd w:val="clear" w:color="auto" w:fill="auto"/>
            <w:noWrap/>
            <w:vAlign w:val="center"/>
            <w:hideMark/>
          </w:tcPr>
          <w:p w14:paraId="48BB6B4C"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6.32</w:t>
            </w:r>
          </w:p>
        </w:tc>
        <w:tc>
          <w:tcPr>
            <w:tcW w:w="282" w:type="pct"/>
            <w:tcBorders>
              <w:top w:val="single" w:sz="4" w:space="0" w:color="auto"/>
              <w:bottom w:val="nil"/>
            </w:tcBorders>
            <w:shd w:val="clear" w:color="auto" w:fill="auto"/>
            <w:noWrap/>
            <w:vAlign w:val="center"/>
            <w:hideMark/>
          </w:tcPr>
          <w:p w14:paraId="59102EBB"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7.85</w:t>
            </w:r>
          </w:p>
        </w:tc>
        <w:tc>
          <w:tcPr>
            <w:tcW w:w="282" w:type="pct"/>
            <w:tcBorders>
              <w:top w:val="single" w:sz="4" w:space="0" w:color="auto"/>
              <w:bottom w:val="nil"/>
            </w:tcBorders>
            <w:shd w:val="clear" w:color="auto" w:fill="auto"/>
            <w:noWrap/>
            <w:vAlign w:val="center"/>
            <w:hideMark/>
          </w:tcPr>
          <w:p w14:paraId="5CDD99E4"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7.21</w:t>
            </w:r>
          </w:p>
        </w:tc>
        <w:tc>
          <w:tcPr>
            <w:tcW w:w="282" w:type="pct"/>
            <w:tcBorders>
              <w:top w:val="single" w:sz="4" w:space="0" w:color="auto"/>
              <w:bottom w:val="nil"/>
            </w:tcBorders>
            <w:shd w:val="clear" w:color="auto" w:fill="auto"/>
            <w:noWrap/>
            <w:vAlign w:val="center"/>
            <w:hideMark/>
          </w:tcPr>
          <w:p w14:paraId="3C65B77D"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7.02</w:t>
            </w:r>
          </w:p>
        </w:tc>
        <w:tc>
          <w:tcPr>
            <w:tcW w:w="282" w:type="pct"/>
            <w:tcBorders>
              <w:top w:val="single" w:sz="4" w:space="0" w:color="auto"/>
              <w:bottom w:val="nil"/>
            </w:tcBorders>
            <w:shd w:val="clear" w:color="auto" w:fill="auto"/>
            <w:noWrap/>
            <w:vAlign w:val="center"/>
            <w:hideMark/>
          </w:tcPr>
          <w:p w14:paraId="253D1353"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6.48</w:t>
            </w:r>
          </w:p>
        </w:tc>
        <w:tc>
          <w:tcPr>
            <w:tcW w:w="409" w:type="pct"/>
            <w:tcBorders>
              <w:top w:val="single" w:sz="4" w:space="0" w:color="auto"/>
              <w:bottom w:val="nil"/>
            </w:tcBorders>
            <w:shd w:val="clear" w:color="auto" w:fill="auto"/>
            <w:noWrap/>
            <w:vAlign w:val="center"/>
            <w:hideMark/>
          </w:tcPr>
          <w:p w14:paraId="331B139F"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6.76</w:t>
            </w:r>
          </w:p>
        </w:tc>
        <w:tc>
          <w:tcPr>
            <w:tcW w:w="384" w:type="pct"/>
            <w:tcBorders>
              <w:top w:val="single" w:sz="4" w:space="0" w:color="auto"/>
              <w:bottom w:val="nil"/>
            </w:tcBorders>
            <w:shd w:val="clear" w:color="auto" w:fill="auto"/>
            <w:noWrap/>
            <w:vAlign w:val="center"/>
            <w:hideMark/>
          </w:tcPr>
          <w:p w14:paraId="30CC84A4"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87.76</w:t>
            </w:r>
          </w:p>
        </w:tc>
      </w:tr>
      <w:tr w:rsidR="00EB416E" w:rsidRPr="00EB416E" w14:paraId="66492CBE" w14:textId="77777777" w:rsidTr="00EB416E">
        <w:trPr>
          <w:trHeight w:val="419"/>
        </w:trPr>
        <w:tc>
          <w:tcPr>
            <w:tcW w:w="409" w:type="pct"/>
            <w:vMerge/>
            <w:tcBorders>
              <w:right w:val="nil"/>
            </w:tcBorders>
          </w:tcPr>
          <w:p w14:paraId="42C7B9D9" w14:textId="77777777" w:rsidR="00EB416E" w:rsidRPr="00E359D7" w:rsidRDefault="00EB416E" w:rsidP="00E063A1">
            <w:pPr>
              <w:spacing w:after="0" w:line="240" w:lineRule="auto"/>
              <w:rPr>
                <w:rFonts w:ascii="Times New Roman" w:eastAsia="Times New Roman" w:hAnsi="Times New Roman" w:cs="Times New Roman"/>
                <w:color w:val="000000"/>
              </w:rPr>
            </w:pPr>
          </w:p>
        </w:tc>
        <w:tc>
          <w:tcPr>
            <w:tcW w:w="409" w:type="pct"/>
            <w:tcBorders>
              <w:top w:val="nil"/>
              <w:left w:val="nil"/>
              <w:bottom w:val="nil"/>
              <w:right w:val="single" w:sz="4" w:space="0" w:color="auto"/>
            </w:tcBorders>
            <w:shd w:val="clear" w:color="auto" w:fill="auto"/>
            <w:noWrap/>
            <w:vAlign w:val="center"/>
            <w:hideMark/>
          </w:tcPr>
          <w:p w14:paraId="507AD113" w14:textId="63C9762E" w:rsidR="00EB416E" w:rsidRPr="00E359D7" w:rsidRDefault="00EB416E"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LEO</w:t>
            </w:r>
          </w:p>
        </w:tc>
        <w:tc>
          <w:tcPr>
            <w:tcW w:w="282" w:type="pct"/>
            <w:tcBorders>
              <w:top w:val="nil"/>
              <w:left w:val="single" w:sz="4" w:space="0" w:color="auto"/>
              <w:bottom w:val="nil"/>
            </w:tcBorders>
            <w:shd w:val="clear" w:color="auto" w:fill="auto"/>
            <w:noWrap/>
            <w:vAlign w:val="center"/>
            <w:hideMark/>
          </w:tcPr>
          <w:p w14:paraId="12B3B76C"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7.17</w:t>
            </w:r>
          </w:p>
        </w:tc>
        <w:tc>
          <w:tcPr>
            <w:tcW w:w="282" w:type="pct"/>
            <w:tcBorders>
              <w:top w:val="nil"/>
              <w:bottom w:val="nil"/>
            </w:tcBorders>
            <w:shd w:val="clear" w:color="auto" w:fill="auto"/>
            <w:noWrap/>
            <w:vAlign w:val="center"/>
            <w:hideMark/>
          </w:tcPr>
          <w:p w14:paraId="139064D5"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7.89</w:t>
            </w:r>
          </w:p>
        </w:tc>
        <w:tc>
          <w:tcPr>
            <w:tcW w:w="282" w:type="pct"/>
            <w:tcBorders>
              <w:top w:val="nil"/>
              <w:bottom w:val="nil"/>
              <w:right w:val="single" w:sz="4" w:space="0" w:color="auto"/>
            </w:tcBorders>
            <w:shd w:val="clear" w:color="auto" w:fill="auto"/>
            <w:noWrap/>
            <w:vAlign w:val="center"/>
            <w:hideMark/>
          </w:tcPr>
          <w:p w14:paraId="2578F481"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7.6</w:t>
            </w:r>
          </w:p>
        </w:tc>
        <w:tc>
          <w:tcPr>
            <w:tcW w:w="282" w:type="pct"/>
            <w:tcBorders>
              <w:top w:val="nil"/>
              <w:left w:val="single" w:sz="4" w:space="0" w:color="auto"/>
              <w:bottom w:val="nil"/>
            </w:tcBorders>
            <w:shd w:val="clear" w:color="auto" w:fill="auto"/>
            <w:noWrap/>
            <w:vAlign w:val="center"/>
            <w:hideMark/>
          </w:tcPr>
          <w:p w14:paraId="2C48CA63"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7.7</w:t>
            </w:r>
          </w:p>
        </w:tc>
        <w:tc>
          <w:tcPr>
            <w:tcW w:w="282" w:type="pct"/>
            <w:tcBorders>
              <w:top w:val="nil"/>
              <w:bottom w:val="nil"/>
            </w:tcBorders>
            <w:shd w:val="clear" w:color="auto" w:fill="auto"/>
            <w:noWrap/>
            <w:vAlign w:val="center"/>
            <w:hideMark/>
          </w:tcPr>
          <w:p w14:paraId="7F89036A"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10.1</w:t>
            </w:r>
          </w:p>
        </w:tc>
        <w:tc>
          <w:tcPr>
            <w:tcW w:w="282" w:type="pct"/>
            <w:tcBorders>
              <w:top w:val="nil"/>
              <w:bottom w:val="nil"/>
              <w:right w:val="single" w:sz="4" w:space="0" w:color="auto"/>
            </w:tcBorders>
            <w:shd w:val="clear" w:color="auto" w:fill="auto"/>
            <w:noWrap/>
            <w:vAlign w:val="center"/>
            <w:hideMark/>
          </w:tcPr>
          <w:p w14:paraId="4654F657"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7.92</w:t>
            </w:r>
          </w:p>
        </w:tc>
        <w:tc>
          <w:tcPr>
            <w:tcW w:w="282" w:type="pct"/>
            <w:tcBorders>
              <w:top w:val="nil"/>
              <w:left w:val="single" w:sz="4" w:space="0" w:color="auto"/>
              <w:bottom w:val="nil"/>
            </w:tcBorders>
            <w:shd w:val="clear" w:color="auto" w:fill="auto"/>
            <w:noWrap/>
            <w:vAlign w:val="center"/>
            <w:hideMark/>
          </w:tcPr>
          <w:p w14:paraId="447B32C2"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7.32</w:t>
            </w:r>
          </w:p>
        </w:tc>
        <w:tc>
          <w:tcPr>
            <w:tcW w:w="282" w:type="pct"/>
            <w:tcBorders>
              <w:top w:val="nil"/>
              <w:bottom w:val="nil"/>
            </w:tcBorders>
            <w:shd w:val="clear" w:color="auto" w:fill="auto"/>
            <w:noWrap/>
            <w:vAlign w:val="center"/>
            <w:hideMark/>
          </w:tcPr>
          <w:p w14:paraId="45571D6F"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6.56</w:t>
            </w:r>
          </w:p>
        </w:tc>
        <w:tc>
          <w:tcPr>
            <w:tcW w:w="282" w:type="pct"/>
            <w:tcBorders>
              <w:top w:val="nil"/>
              <w:bottom w:val="nil"/>
            </w:tcBorders>
            <w:shd w:val="clear" w:color="auto" w:fill="auto"/>
            <w:noWrap/>
            <w:vAlign w:val="center"/>
            <w:hideMark/>
          </w:tcPr>
          <w:p w14:paraId="3A1106D0"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7.48</w:t>
            </w:r>
          </w:p>
        </w:tc>
        <w:tc>
          <w:tcPr>
            <w:tcW w:w="282" w:type="pct"/>
            <w:tcBorders>
              <w:top w:val="nil"/>
              <w:bottom w:val="nil"/>
            </w:tcBorders>
            <w:shd w:val="clear" w:color="auto" w:fill="auto"/>
            <w:noWrap/>
            <w:vAlign w:val="center"/>
            <w:hideMark/>
          </w:tcPr>
          <w:p w14:paraId="3A3F2B16"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7.44</w:t>
            </w:r>
          </w:p>
        </w:tc>
        <w:tc>
          <w:tcPr>
            <w:tcW w:w="282" w:type="pct"/>
            <w:tcBorders>
              <w:top w:val="nil"/>
              <w:bottom w:val="nil"/>
            </w:tcBorders>
            <w:shd w:val="clear" w:color="auto" w:fill="auto"/>
            <w:noWrap/>
            <w:vAlign w:val="center"/>
            <w:hideMark/>
          </w:tcPr>
          <w:p w14:paraId="2464B672"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7.23</w:t>
            </w:r>
          </w:p>
        </w:tc>
        <w:tc>
          <w:tcPr>
            <w:tcW w:w="282" w:type="pct"/>
            <w:tcBorders>
              <w:top w:val="nil"/>
              <w:bottom w:val="nil"/>
            </w:tcBorders>
            <w:shd w:val="clear" w:color="auto" w:fill="auto"/>
            <w:noWrap/>
            <w:vAlign w:val="center"/>
            <w:hideMark/>
          </w:tcPr>
          <w:p w14:paraId="46B809E2"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7.4</w:t>
            </w:r>
          </w:p>
        </w:tc>
        <w:tc>
          <w:tcPr>
            <w:tcW w:w="409" w:type="pct"/>
            <w:tcBorders>
              <w:top w:val="nil"/>
              <w:bottom w:val="nil"/>
            </w:tcBorders>
            <w:shd w:val="clear" w:color="auto" w:fill="auto"/>
            <w:noWrap/>
            <w:vAlign w:val="center"/>
            <w:hideMark/>
          </w:tcPr>
          <w:p w14:paraId="1D5FEE1B"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8.20</w:t>
            </w:r>
          </w:p>
        </w:tc>
        <w:tc>
          <w:tcPr>
            <w:tcW w:w="384" w:type="pct"/>
            <w:tcBorders>
              <w:top w:val="nil"/>
              <w:bottom w:val="nil"/>
            </w:tcBorders>
            <w:shd w:val="clear" w:color="auto" w:fill="auto"/>
            <w:noWrap/>
            <w:vAlign w:val="center"/>
            <w:hideMark/>
          </w:tcPr>
          <w:p w14:paraId="043E54D5"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89.9</w:t>
            </w:r>
          </w:p>
        </w:tc>
      </w:tr>
      <w:tr w:rsidR="00EB416E" w:rsidRPr="00EB416E" w14:paraId="19F291A6" w14:textId="77777777" w:rsidTr="00EB416E">
        <w:trPr>
          <w:trHeight w:val="419"/>
        </w:trPr>
        <w:tc>
          <w:tcPr>
            <w:tcW w:w="409" w:type="pct"/>
            <w:vMerge/>
            <w:tcBorders>
              <w:bottom w:val="single" w:sz="4" w:space="0" w:color="auto"/>
              <w:right w:val="nil"/>
            </w:tcBorders>
          </w:tcPr>
          <w:p w14:paraId="1EE14BD5" w14:textId="77777777" w:rsidR="00EB416E" w:rsidRPr="00E359D7" w:rsidRDefault="00EB416E" w:rsidP="00E063A1">
            <w:pPr>
              <w:spacing w:after="0" w:line="240" w:lineRule="auto"/>
              <w:rPr>
                <w:rFonts w:ascii="Times New Roman" w:eastAsia="Times New Roman" w:hAnsi="Times New Roman" w:cs="Times New Roman"/>
                <w:color w:val="000000"/>
              </w:rPr>
            </w:pPr>
          </w:p>
        </w:tc>
        <w:tc>
          <w:tcPr>
            <w:tcW w:w="409" w:type="pct"/>
            <w:tcBorders>
              <w:top w:val="nil"/>
              <w:left w:val="nil"/>
              <w:bottom w:val="single" w:sz="4" w:space="0" w:color="auto"/>
              <w:right w:val="single" w:sz="4" w:space="0" w:color="auto"/>
            </w:tcBorders>
            <w:shd w:val="clear" w:color="auto" w:fill="auto"/>
            <w:noWrap/>
            <w:vAlign w:val="center"/>
            <w:hideMark/>
          </w:tcPr>
          <w:p w14:paraId="20466C29" w14:textId="03318C55" w:rsidR="00EB416E" w:rsidRPr="00E359D7" w:rsidRDefault="00EB416E"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FTT</w:t>
            </w:r>
          </w:p>
        </w:tc>
        <w:tc>
          <w:tcPr>
            <w:tcW w:w="282" w:type="pct"/>
            <w:tcBorders>
              <w:top w:val="nil"/>
              <w:left w:val="single" w:sz="4" w:space="0" w:color="auto"/>
              <w:bottom w:val="single" w:sz="4" w:space="0" w:color="auto"/>
            </w:tcBorders>
            <w:shd w:val="clear" w:color="auto" w:fill="auto"/>
            <w:noWrap/>
            <w:vAlign w:val="center"/>
            <w:hideMark/>
          </w:tcPr>
          <w:p w14:paraId="48B03364"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7.1</w:t>
            </w:r>
          </w:p>
        </w:tc>
        <w:tc>
          <w:tcPr>
            <w:tcW w:w="282" w:type="pct"/>
            <w:tcBorders>
              <w:top w:val="nil"/>
              <w:bottom w:val="single" w:sz="4" w:space="0" w:color="auto"/>
            </w:tcBorders>
            <w:shd w:val="clear" w:color="auto" w:fill="auto"/>
            <w:noWrap/>
            <w:vAlign w:val="center"/>
            <w:hideMark/>
          </w:tcPr>
          <w:p w14:paraId="2AB05CA5"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7.78</w:t>
            </w:r>
          </w:p>
        </w:tc>
        <w:tc>
          <w:tcPr>
            <w:tcW w:w="282" w:type="pct"/>
            <w:tcBorders>
              <w:top w:val="nil"/>
              <w:bottom w:val="single" w:sz="4" w:space="0" w:color="auto"/>
              <w:right w:val="single" w:sz="4" w:space="0" w:color="auto"/>
            </w:tcBorders>
            <w:shd w:val="clear" w:color="auto" w:fill="auto"/>
            <w:noWrap/>
            <w:vAlign w:val="center"/>
            <w:hideMark/>
          </w:tcPr>
          <w:p w14:paraId="4ADEED33"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8.03</w:t>
            </w:r>
          </w:p>
        </w:tc>
        <w:tc>
          <w:tcPr>
            <w:tcW w:w="282" w:type="pct"/>
            <w:tcBorders>
              <w:top w:val="nil"/>
              <w:left w:val="single" w:sz="4" w:space="0" w:color="auto"/>
              <w:bottom w:val="single" w:sz="4" w:space="0" w:color="auto"/>
            </w:tcBorders>
            <w:shd w:val="clear" w:color="auto" w:fill="auto"/>
            <w:noWrap/>
            <w:vAlign w:val="center"/>
            <w:hideMark/>
          </w:tcPr>
          <w:p w14:paraId="653E8D66"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10.05</w:t>
            </w:r>
          </w:p>
        </w:tc>
        <w:tc>
          <w:tcPr>
            <w:tcW w:w="282" w:type="pct"/>
            <w:tcBorders>
              <w:top w:val="nil"/>
              <w:bottom w:val="single" w:sz="4" w:space="0" w:color="auto"/>
            </w:tcBorders>
            <w:shd w:val="clear" w:color="auto" w:fill="auto"/>
            <w:noWrap/>
            <w:vAlign w:val="center"/>
            <w:hideMark/>
          </w:tcPr>
          <w:p w14:paraId="2BC37406"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7.05</w:t>
            </w:r>
          </w:p>
        </w:tc>
        <w:tc>
          <w:tcPr>
            <w:tcW w:w="282" w:type="pct"/>
            <w:tcBorders>
              <w:top w:val="nil"/>
              <w:bottom w:val="single" w:sz="4" w:space="0" w:color="auto"/>
              <w:right w:val="single" w:sz="4" w:space="0" w:color="auto"/>
            </w:tcBorders>
            <w:shd w:val="clear" w:color="auto" w:fill="auto"/>
            <w:noWrap/>
            <w:vAlign w:val="center"/>
            <w:hideMark/>
          </w:tcPr>
          <w:p w14:paraId="0446C839"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10.73</w:t>
            </w:r>
          </w:p>
        </w:tc>
        <w:tc>
          <w:tcPr>
            <w:tcW w:w="282" w:type="pct"/>
            <w:tcBorders>
              <w:top w:val="nil"/>
              <w:left w:val="single" w:sz="4" w:space="0" w:color="auto"/>
              <w:bottom w:val="single" w:sz="4" w:space="0" w:color="auto"/>
            </w:tcBorders>
            <w:shd w:val="clear" w:color="auto" w:fill="auto"/>
            <w:noWrap/>
            <w:vAlign w:val="center"/>
            <w:hideMark/>
          </w:tcPr>
          <w:p w14:paraId="2A7BF578"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6.86</w:t>
            </w:r>
          </w:p>
        </w:tc>
        <w:tc>
          <w:tcPr>
            <w:tcW w:w="282" w:type="pct"/>
            <w:tcBorders>
              <w:top w:val="nil"/>
              <w:bottom w:val="single" w:sz="4" w:space="0" w:color="auto"/>
            </w:tcBorders>
            <w:shd w:val="clear" w:color="auto" w:fill="auto"/>
            <w:noWrap/>
            <w:vAlign w:val="center"/>
            <w:hideMark/>
          </w:tcPr>
          <w:p w14:paraId="7084D05C"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6.29</w:t>
            </w:r>
          </w:p>
        </w:tc>
        <w:tc>
          <w:tcPr>
            <w:tcW w:w="282" w:type="pct"/>
            <w:tcBorders>
              <w:top w:val="nil"/>
              <w:bottom w:val="single" w:sz="4" w:space="0" w:color="auto"/>
            </w:tcBorders>
            <w:shd w:val="clear" w:color="auto" w:fill="auto"/>
            <w:noWrap/>
            <w:vAlign w:val="center"/>
            <w:hideMark/>
          </w:tcPr>
          <w:p w14:paraId="323A5C79"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8.14</w:t>
            </w:r>
          </w:p>
        </w:tc>
        <w:tc>
          <w:tcPr>
            <w:tcW w:w="282" w:type="pct"/>
            <w:tcBorders>
              <w:top w:val="nil"/>
              <w:bottom w:val="single" w:sz="4" w:space="0" w:color="auto"/>
            </w:tcBorders>
            <w:shd w:val="clear" w:color="auto" w:fill="auto"/>
            <w:noWrap/>
            <w:vAlign w:val="center"/>
            <w:hideMark/>
          </w:tcPr>
          <w:p w14:paraId="03FA5BF6"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6.95</w:t>
            </w:r>
          </w:p>
        </w:tc>
        <w:tc>
          <w:tcPr>
            <w:tcW w:w="282" w:type="pct"/>
            <w:tcBorders>
              <w:top w:val="nil"/>
              <w:bottom w:val="single" w:sz="4" w:space="0" w:color="auto"/>
            </w:tcBorders>
            <w:shd w:val="clear" w:color="auto" w:fill="auto"/>
            <w:noWrap/>
            <w:vAlign w:val="center"/>
            <w:hideMark/>
          </w:tcPr>
          <w:p w14:paraId="36A6A337"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7.13</w:t>
            </w:r>
          </w:p>
        </w:tc>
        <w:tc>
          <w:tcPr>
            <w:tcW w:w="282" w:type="pct"/>
            <w:tcBorders>
              <w:top w:val="nil"/>
              <w:bottom w:val="single" w:sz="4" w:space="0" w:color="auto"/>
            </w:tcBorders>
            <w:shd w:val="clear" w:color="auto" w:fill="auto"/>
            <w:noWrap/>
            <w:vAlign w:val="center"/>
            <w:hideMark/>
          </w:tcPr>
          <w:p w14:paraId="31D04D52"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6.78</w:t>
            </w:r>
          </w:p>
        </w:tc>
        <w:tc>
          <w:tcPr>
            <w:tcW w:w="409" w:type="pct"/>
            <w:tcBorders>
              <w:top w:val="nil"/>
              <w:bottom w:val="single" w:sz="4" w:space="0" w:color="auto"/>
            </w:tcBorders>
            <w:shd w:val="clear" w:color="auto" w:fill="auto"/>
            <w:noWrap/>
            <w:vAlign w:val="center"/>
            <w:hideMark/>
          </w:tcPr>
          <w:p w14:paraId="1F33228D"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7.11</w:t>
            </w:r>
          </w:p>
        </w:tc>
        <w:tc>
          <w:tcPr>
            <w:tcW w:w="384" w:type="pct"/>
            <w:tcBorders>
              <w:top w:val="nil"/>
              <w:bottom w:val="single" w:sz="4" w:space="0" w:color="auto"/>
            </w:tcBorders>
            <w:shd w:val="clear" w:color="auto" w:fill="auto"/>
            <w:noWrap/>
            <w:vAlign w:val="center"/>
            <w:hideMark/>
          </w:tcPr>
          <w:p w14:paraId="07C133F2"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89.27</w:t>
            </w:r>
          </w:p>
        </w:tc>
      </w:tr>
      <w:tr w:rsidR="00EB416E" w:rsidRPr="00EB416E" w14:paraId="4B767C13" w14:textId="77777777" w:rsidTr="00EB416E">
        <w:trPr>
          <w:trHeight w:val="419"/>
        </w:trPr>
        <w:tc>
          <w:tcPr>
            <w:tcW w:w="409" w:type="pct"/>
            <w:tcBorders>
              <w:top w:val="single" w:sz="4" w:space="0" w:color="auto"/>
              <w:right w:val="nil"/>
            </w:tcBorders>
          </w:tcPr>
          <w:p w14:paraId="2510E118" w14:textId="77777777" w:rsidR="00EB416E" w:rsidRPr="00E359D7" w:rsidRDefault="00EB416E" w:rsidP="00E063A1">
            <w:pPr>
              <w:spacing w:after="0" w:line="240" w:lineRule="auto"/>
              <w:rPr>
                <w:rFonts w:ascii="Times New Roman" w:eastAsia="Times New Roman" w:hAnsi="Times New Roman" w:cs="Times New Roman"/>
                <w:color w:val="000000"/>
              </w:rPr>
            </w:pPr>
          </w:p>
        </w:tc>
        <w:tc>
          <w:tcPr>
            <w:tcW w:w="409" w:type="pct"/>
            <w:tcBorders>
              <w:top w:val="single" w:sz="4" w:space="0" w:color="auto"/>
              <w:left w:val="nil"/>
              <w:right w:val="single" w:sz="4" w:space="0" w:color="auto"/>
            </w:tcBorders>
            <w:shd w:val="clear" w:color="auto" w:fill="auto"/>
            <w:noWrap/>
            <w:vAlign w:val="center"/>
            <w:hideMark/>
          </w:tcPr>
          <w:p w14:paraId="09CA52C4" w14:textId="4426F1A3" w:rsidR="00EB416E" w:rsidRPr="00E359D7" w:rsidRDefault="00EB416E"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Gold</w:t>
            </w:r>
          </w:p>
        </w:tc>
        <w:tc>
          <w:tcPr>
            <w:tcW w:w="282" w:type="pct"/>
            <w:tcBorders>
              <w:top w:val="single" w:sz="4" w:space="0" w:color="auto"/>
              <w:left w:val="single" w:sz="4" w:space="0" w:color="auto"/>
            </w:tcBorders>
            <w:shd w:val="clear" w:color="auto" w:fill="auto"/>
            <w:noWrap/>
            <w:vAlign w:val="center"/>
            <w:hideMark/>
          </w:tcPr>
          <w:p w14:paraId="31D5EB4B"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6.95</w:t>
            </w:r>
          </w:p>
        </w:tc>
        <w:tc>
          <w:tcPr>
            <w:tcW w:w="282" w:type="pct"/>
            <w:tcBorders>
              <w:top w:val="single" w:sz="4" w:space="0" w:color="auto"/>
            </w:tcBorders>
            <w:shd w:val="clear" w:color="auto" w:fill="auto"/>
            <w:noWrap/>
            <w:vAlign w:val="center"/>
            <w:hideMark/>
          </w:tcPr>
          <w:p w14:paraId="76B057A9"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7.47</w:t>
            </w:r>
          </w:p>
        </w:tc>
        <w:tc>
          <w:tcPr>
            <w:tcW w:w="282" w:type="pct"/>
            <w:tcBorders>
              <w:top w:val="single" w:sz="4" w:space="0" w:color="auto"/>
              <w:right w:val="single" w:sz="4" w:space="0" w:color="auto"/>
            </w:tcBorders>
            <w:shd w:val="clear" w:color="auto" w:fill="auto"/>
            <w:noWrap/>
            <w:vAlign w:val="center"/>
            <w:hideMark/>
          </w:tcPr>
          <w:p w14:paraId="661FF02B"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7.23</w:t>
            </w:r>
          </w:p>
        </w:tc>
        <w:tc>
          <w:tcPr>
            <w:tcW w:w="282" w:type="pct"/>
            <w:tcBorders>
              <w:top w:val="single" w:sz="4" w:space="0" w:color="auto"/>
              <w:left w:val="single" w:sz="4" w:space="0" w:color="auto"/>
            </w:tcBorders>
            <w:shd w:val="clear" w:color="auto" w:fill="auto"/>
            <w:noWrap/>
            <w:vAlign w:val="center"/>
            <w:hideMark/>
          </w:tcPr>
          <w:p w14:paraId="724D9289"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8.61</w:t>
            </w:r>
          </w:p>
        </w:tc>
        <w:tc>
          <w:tcPr>
            <w:tcW w:w="282" w:type="pct"/>
            <w:tcBorders>
              <w:top w:val="single" w:sz="4" w:space="0" w:color="auto"/>
            </w:tcBorders>
            <w:shd w:val="clear" w:color="auto" w:fill="auto"/>
            <w:noWrap/>
            <w:vAlign w:val="center"/>
            <w:hideMark/>
          </w:tcPr>
          <w:p w14:paraId="24FB87B5"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7.1</w:t>
            </w:r>
          </w:p>
        </w:tc>
        <w:tc>
          <w:tcPr>
            <w:tcW w:w="282" w:type="pct"/>
            <w:tcBorders>
              <w:top w:val="single" w:sz="4" w:space="0" w:color="auto"/>
              <w:right w:val="single" w:sz="4" w:space="0" w:color="auto"/>
            </w:tcBorders>
            <w:shd w:val="clear" w:color="auto" w:fill="auto"/>
            <w:noWrap/>
            <w:vAlign w:val="center"/>
            <w:hideMark/>
          </w:tcPr>
          <w:p w14:paraId="609200FF"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7.93</w:t>
            </w:r>
          </w:p>
        </w:tc>
        <w:tc>
          <w:tcPr>
            <w:tcW w:w="282" w:type="pct"/>
            <w:tcBorders>
              <w:top w:val="single" w:sz="4" w:space="0" w:color="auto"/>
              <w:left w:val="single" w:sz="4" w:space="0" w:color="auto"/>
            </w:tcBorders>
            <w:shd w:val="clear" w:color="auto" w:fill="auto"/>
            <w:noWrap/>
            <w:vAlign w:val="center"/>
            <w:hideMark/>
          </w:tcPr>
          <w:p w14:paraId="5C3D1319"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10.95</w:t>
            </w:r>
          </w:p>
        </w:tc>
        <w:tc>
          <w:tcPr>
            <w:tcW w:w="282" w:type="pct"/>
            <w:tcBorders>
              <w:top w:val="single" w:sz="4" w:space="0" w:color="auto"/>
            </w:tcBorders>
            <w:shd w:val="clear" w:color="auto" w:fill="auto"/>
            <w:noWrap/>
            <w:vAlign w:val="center"/>
            <w:hideMark/>
          </w:tcPr>
          <w:p w14:paraId="2E128578"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6.71</w:t>
            </w:r>
          </w:p>
        </w:tc>
        <w:tc>
          <w:tcPr>
            <w:tcW w:w="282" w:type="pct"/>
            <w:tcBorders>
              <w:top w:val="single" w:sz="4" w:space="0" w:color="auto"/>
            </w:tcBorders>
            <w:shd w:val="clear" w:color="auto" w:fill="auto"/>
            <w:noWrap/>
            <w:vAlign w:val="center"/>
            <w:hideMark/>
          </w:tcPr>
          <w:p w14:paraId="179708D7"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7.28</w:t>
            </w:r>
          </w:p>
        </w:tc>
        <w:tc>
          <w:tcPr>
            <w:tcW w:w="282" w:type="pct"/>
            <w:tcBorders>
              <w:top w:val="single" w:sz="4" w:space="0" w:color="auto"/>
            </w:tcBorders>
            <w:shd w:val="clear" w:color="auto" w:fill="auto"/>
            <w:noWrap/>
            <w:vAlign w:val="center"/>
            <w:hideMark/>
          </w:tcPr>
          <w:p w14:paraId="183AD515"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7.55</w:t>
            </w:r>
          </w:p>
        </w:tc>
        <w:tc>
          <w:tcPr>
            <w:tcW w:w="282" w:type="pct"/>
            <w:tcBorders>
              <w:top w:val="single" w:sz="4" w:space="0" w:color="auto"/>
            </w:tcBorders>
            <w:shd w:val="clear" w:color="auto" w:fill="auto"/>
            <w:noWrap/>
            <w:vAlign w:val="center"/>
            <w:hideMark/>
          </w:tcPr>
          <w:p w14:paraId="240D4A37"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7.43</w:t>
            </w:r>
          </w:p>
        </w:tc>
        <w:tc>
          <w:tcPr>
            <w:tcW w:w="282" w:type="pct"/>
            <w:tcBorders>
              <w:top w:val="single" w:sz="4" w:space="0" w:color="auto"/>
            </w:tcBorders>
            <w:shd w:val="clear" w:color="auto" w:fill="auto"/>
            <w:noWrap/>
            <w:vAlign w:val="center"/>
            <w:hideMark/>
          </w:tcPr>
          <w:p w14:paraId="2CE4F3AD"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7.77</w:t>
            </w:r>
          </w:p>
        </w:tc>
        <w:tc>
          <w:tcPr>
            <w:tcW w:w="409" w:type="pct"/>
            <w:tcBorders>
              <w:top w:val="single" w:sz="4" w:space="0" w:color="auto"/>
            </w:tcBorders>
            <w:shd w:val="clear" w:color="auto" w:fill="auto"/>
            <w:noWrap/>
            <w:vAlign w:val="center"/>
            <w:hideMark/>
          </w:tcPr>
          <w:p w14:paraId="66650990"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7.02</w:t>
            </w:r>
          </w:p>
        </w:tc>
        <w:tc>
          <w:tcPr>
            <w:tcW w:w="384" w:type="pct"/>
            <w:tcBorders>
              <w:top w:val="single" w:sz="4" w:space="0" w:color="auto"/>
            </w:tcBorders>
            <w:shd w:val="clear" w:color="auto" w:fill="auto"/>
            <w:noWrap/>
            <w:vAlign w:val="center"/>
            <w:hideMark/>
          </w:tcPr>
          <w:p w14:paraId="4D2CD1B9"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89.05</w:t>
            </w:r>
          </w:p>
        </w:tc>
      </w:tr>
      <w:tr w:rsidR="00EB416E" w:rsidRPr="00EB416E" w14:paraId="4C651700" w14:textId="77777777" w:rsidTr="00EB416E">
        <w:trPr>
          <w:trHeight w:val="419"/>
        </w:trPr>
        <w:tc>
          <w:tcPr>
            <w:tcW w:w="409" w:type="pct"/>
            <w:tcBorders>
              <w:right w:val="nil"/>
            </w:tcBorders>
          </w:tcPr>
          <w:p w14:paraId="4CE75AD7" w14:textId="77777777" w:rsidR="00EB416E" w:rsidRPr="00E359D7" w:rsidRDefault="00EB416E" w:rsidP="00E063A1">
            <w:pPr>
              <w:spacing w:after="0" w:line="240" w:lineRule="auto"/>
              <w:rPr>
                <w:rFonts w:ascii="Times New Roman" w:eastAsia="Times New Roman" w:hAnsi="Times New Roman" w:cs="Times New Roman"/>
                <w:color w:val="000000"/>
              </w:rPr>
            </w:pPr>
          </w:p>
        </w:tc>
        <w:tc>
          <w:tcPr>
            <w:tcW w:w="409" w:type="pct"/>
            <w:tcBorders>
              <w:left w:val="nil"/>
              <w:right w:val="single" w:sz="4" w:space="0" w:color="auto"/>
            </w:tcBorders>
            <w:shd w:val="clear" w:color="auto" w:fill="auto"/>
            <w:noWrap/>
            <w:vAlign w:val="center"/>
            <w:hideMark/>
          </w:tcPr>
          <w:p w14:paraId="1B82C4E3" w14:textId="13981842" w:rsidR="00EB416E" w:rsidRPr="00E359D7" w:rsidRDefault="00EB416E"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Oil</w:t>
            </w:r>
          </w:p>
        </w:tc>
        <w:tc>
          <w:tcPr>
            <w:tcW w:w="282" w:type="pct"/>
            <w:tcBorders>
              <w:left w:val="single" w:sz="4" w:space="0" w:color="auto"/>
            </w:tcBorders>
            <w:shd w:val="clear" w:color="auto" w:fill="auto"/>
            <w:noWrap/>
            <w:vAlign w:val="center"/>
            <w:hideMark/>
          </w:tcPr>
          <w:p w14:paraId="02C80618"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6.84</w:t>
            </w:r>
          </w:p>
        </w:tc>
        <w:tc>
          <w:tcPr>
            <w:tcW w:w="282" w:type="pct"/>
            <w:shd w:val="clear" w:color="auto" w:fill="auto"/>
            <w:noWrap/>
            <w:vAlign w:val="center"/>
            <w:hideMark/>
          </w:tcPr>
          <w:p w14:paraId="4E9E8116"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7.72</w:t>
            </w:r>
          </w:p>
        </w:tc>
        <w:tc>
          <w:tcPr>
            <w:tcW w:w="282" w:type="pct"/>
            <w:tcBorders>
              <w:right w:val="single" w:sz="4" w:space="0" w:color="auto"/>
            </w:tcBorders>
            <w:shd w:val="clear" w:color="auto" w:fill="auto"/>
            <w:noWrap/>
            <w:vAlign w:val="center"/>
            <w:hideMark/>
          </w:tcPr>
          <w:p w14:paraId="31CB15F1"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7.14</w:t>
            </w:r>
          </w:p>
        </w:tc>
        <w:tc>
          <w:tcPr>
            <w:tcW w:w="282" w:type="pct"/>
            <w:tcBorders>
              <w:left w:val="single" w:sz="4" w:space="0" w:color="auto"/>
            </w:tcBorders>
            <w:shd w:val="clear" w:color="auto" w:fill="auto"/>
            <w:noWrap/>
            <w:vAlign w:val="center"/>
            <w:hideMark/>
          </w:tcPr>
          <w:p w14:paraId="57158D13"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7.74</w:t>
            </w:r>
          </w:p>
        </w:tc>
        <w:tc>
          <w:tcPr>
            <w:tcW w:w="282" w:type="pct"/>
            <w:shd w:val="clear" w:color="auto" w:fill="auto"/>
            <w:noWrap/>
            <w:vAlign w:val="center"/>
            <w:hideMark/>
          </w:tcPr>
          <w:p w14:paraId="70D1F987"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6.9</w:t>
            </w:r>
          </w:p>
        </w:tc>
        <w:tc>
          <w:tcPr>
            <w:tcW w:w="282" w:type="pct"/>
            <w:tcBorders>
              <w:right w:val="single" w:sz="4" w:space="0" w:color="auto"/>
            </w:tcBorders>
            <w:shd w:val="clear" w:color="auto" w:fill="auto"/>
            <w:noWrap/>
            <w:vAlign w:val="center"/>
            <w:hideMark/>
          </w:tcPr>
          <w:p w14:paraId="425E91E6"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7.9</w:t>
            </w:r>
          </w:p>
        </w:tc>
        <w:tc>
          <w:tcPr>
            <w:tcW w:w="282" w:type="pct"/>
            <w:tcBorders>
              <w:left w:val="single" w:sz="4" w:space="0" w:color="auto"/>
            </w:tcBorders>
            <w:shd w:val="clear" w:color="auto" w:fill="auto"/>
            <w:noWrap/>
            <w:vAlign w:val="center"/>
            <w:hideMark/>
          </w:tcPr>
          <w:p w14:paraId="41100716"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7.22</w:t>
            </w:r>
          </w:p>
        </w:tc>
        <w:tc>
          <w:tcPr>
            <w:tcW w:w="282" w:type="pct"/>
            <w:shd w:val="clear" w:color="auto" w:fill="auto"/>
            <w:noWrap/>
            <w:vAlign w:val="center"/>
            <w:hideMark/>
          </w:tcPr>
          <w:p w14:paraId="1EECAB5D"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10.93</w:t>
            </w:r>
          </w:p>
        </w:tc>
        <w:tc>
          <w:tcPr>
            <w:tcW w:w="282" w:type="pct"/>
            <w:shd w:val="clear" w:color="auto" w:fill="auto"/>
            <w:noWrap/>
            <w:vAlign w:val="center"/>
            <w:hideMark/>
          </w:tcPr>
          <w:p w14:paraId="7876D67D"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7.51</w:t>
            </w:r>
          </w:p>
        </w:tc>
        <w:tc>
          <w:tcPr>
            <w:tcW w:w="282" w:type="pct"/>
            <w:shd w:val="clear" w:color="auto" w:fill="auto"/>
            <w:noWrap/>
            <w:vAlign w:val="center"/>
            <w:hideMark/>
          </w:tcPr>
          <w:p w14:paraId="020F7319"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7.51</w:t>
            </w:r>
          </w:p>
        </w:tc>
        <w:tc>
          <w:tcPr>
            <w:tcW w:w="282" w:type="pct"/>
            <w:shd w:val="clear" w:color="auto" w:fill="auto"/>
            <w:noWrap/>
            <w:vAlign w:val="center"/>
            <w:hideMark/>
          </w:tcPr>
          <w:p w14:paraId="25BF38F6"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7.7</w:t>
            </w:r>
          </w:p>
        </w:tc>
        <w:tc>
          <w:tcPr>
            <w:tcW w:w="282" w:type="pct"/>
            <w:shd w:val="clear" w:color="auto" w:fill="auto"/>
            <w:noWrap/>
            <w:vAlign w:val="center"/>
            <w:hideMark/>
          </w:tcPr>
          <w:p w14:paraId="33F8F5A9"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7.24</w:t>
            </w:r>
          </w:p>
        </w:tc>
        <w:tc>
          <w:tcPr>
            <w:tcW w:w="409" w:type="pct"/>
            <w:shd w:val="clear" w:color="auto" w:fill="auto"/>
            <w:noWrap/>
            <w:vAlign w:val="center"/>
            <w:hideMark/>
          </w:tcPr>
          <w:p w14:paraId="70F51907"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7.66</w:t>
            </w:r>
          </w:p>
        </w:tc>
        <w:tc>
          <w:tcPr>
            <w:tcW w:w="384" w:type="pct"/>
            <w:shd w:val="clear" w:color="auto" w:fill="auto"/>
            <w:noWrap/>
            <w:vAlign w:val="center"/>
            <w:hideMark/>
          </w:tcPr>
          <w:p w14:paraId="05CE0A12"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89.07</w:t>
            </w:r>
          </w:p>
        </w:tc>
      </w:tr>
      <w:tr w:rsidR="00EB416E" w:rsidRPr="00EB416E" w14:paraId="41E1A9EB" w14:textId="77777777" w:rsidTr="00EB416E">
        <w:trPr>
          <w:trHeight w:val="419"/>
        </w:trPr>
        <w:tc>
          <w:tcPr>
            <w:tcW w:w="409" w:type="pct"/>
            <w:tcBorders>
              <w:right w:val="nil"/>
            </w:tcBorders>
          </w:tcPr>
          <w:p w14:paraId="02757256" w14:textId="77777777" w:rsidR="00EB416E" w:rsidRPr="00E359D7" w:rsidRDefault="00EB416E" w:rsidP="00E063A1">
            <w:pPr>
              <w:spacing w:after="0" w:line="240" w:lineRule="auto"/>
              <w:rPr>
                <w:rFonts w:ascii="Times New Roman" w:eastAsia="Times New Roman" w:hAnsi="Times New Roman" w:cs="Times New Roman"/>
                <w:color w:val="000000"/>
              </w:rPr>
            </w:pPr>
          </w:p>
        </w:tc>
        <w:tc>
          <w:tcPr>
            <w:tcW w:w="409" w:type="pct"/>
            <w:tcBorders>
              <w:left w:val="nil"/>
              <w:right w:val="single" w:sz="4" w:space="0" w:color="auto"/>
            </w:tcBorders>
            <w:shd w:val="clear" w:color="auto" w:fill="auto"/>
            <w:noWrap/>
            <w:vAlign w:val="center"/>
            <w:hideMark/>
          </w:tcPr>
          <w:p w14:paraId="5D303942" w14:textId="6294D327" w:rsidR="00EB416E" w:rsidRPr="00E359D7" w:rsidRDefault="00EB416E"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BTC</w:t>
            </w:r>
          </w:p>
        </w:tc>
        <w:tc>
          <w:tcPr>
            <w:tcW w:w="282" w:type="pct"/>
            <w:tcBorders>
              <w:left w:val="single" w:sz="4" w:space="0" w:color="auto"/>
            </w:tcBorders>
            <w:shd w:val="clear" w:color="auto" w:fill="auto"/>
            <w:noWrap/>
            <w:vAlign w:val="center"/>
            <w:hideMark/>
          </w:tcPr>
          <w:p w14:paraId="1E118626"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7.27</w:t>
            </w:r>
          </w:p>
        </w:tc>
        <w:tc>
          <w:tcPr>
            <w:tcW w:w="282" w:type="pct"/>
            <w:shd w:val="clear" w:color="auto" w:fill="auto"/>
            <w:noWrap/>
            <w:vAlign w:val="center"/>
            <w:hideMark/>
          </w:tcPr>
          <w:p w14:paraId="21542C3C"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8.07</w:t>
            </w:r>
          </w:p>
        </w:tc>
        <w:tc>
          <w:tcPr>
            <w:tcW w:w="282" w:type="pct"/>
            <w:tcBorders>
              <w:right w:val="single" w:sz="4" w:space="0" w:color="auto"/>
            </w:tcBorders>
            <w:shd w:val="clear" w:color="auto" w:fill="auto"/>
            <w:noWrap/>
            <w:vAlign w:val="center"/>
            <w:hideMark/>
          </w:tcPr>
          <w:p w14:paraId="3531B7C3"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7.67</w:t>
            </w:r>
          </w:p>
        </w:tc>
        <w:tc>
          <w:tcPr>
            <w:tcW w:w="282" w:type="pct"/>
            <w:tcBorders>
              <w:left w:val="single" w:sz="4" w:space="0" w:color="auto"/>
            </w:tcBorders>
            <w:shd w:val="clear" w:color="auto" w:fill="auto"/>
            <w:noWrap/>
            <w:vAlign w:val="center"/>
            <w:hideMark/>
          </w:tcPr>
          <w:p w14:paraId="4F6395FF"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9.14</w:t>
            </w:r>
          </w:p>
        </w:tc>
        <w:tc>
          <w:tcPr>
            <w:tcW w:w="282" w:type="pct"/>
            <w:shd w:val="clear" w:color="auto" w:fill="auto"/>
            <w:noWrap/>
            <w:vAlign w:val="center"/>
            <w:hideMark/>
          </w:tcPr>
          <w:p w14:paraId="3A7E2F87"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7.15</w:t>
            </w:r>
          </w:p>
        </w:tc>
        <w:tc>
          <w:tcPr>
            <w:tcW w:w="282" w:type="pct"/>
            <w:tcBorders>
              <w:right w:val="single" w:sz="4" w:space="0" w:color="auto"/>
            </w:tcBorders>
            <w:shd w:val="clear" w:color="auto" w:fill="auto"/>
            <w:noWrap/>
            <w:vAlign w:val="center"/>
            <w:hideMark/>
          </w:tcPr>
          <w:p w14:paraId="15F22A5C"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8.82</w:t>
            </w:r>
          </w:p>
        </w:tc>
        <w:tc>
          <w:tcPr>
            <w:tcW w:w="282" w:type="pct"/>
            <w:tcBorders>
              <w:left w:val="single" w:sz="4" w:space="0" w:color="auto"/>
            </w:tcBorders>
            <w:shd w:val="clear" w:color="auto" w:fill="auto"/>
            <w:noWrap/>
            <w:vAlign w:val="center"/>
            <w:hideMark/>
          </w:tcPr>
          <w:p w14:paraId="064FB682"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7.05</w:t>
            </w:r>
          </w:p>
        </w:tc>
        <w:tc>
          <w:tcPr>
            <w:tcW w:w="282" w:type="pct"/>
            <w:shd w:val="clear" w:color="auto" w:fill="auto"/>
            <w:noWrap/>
            <w:vAlign w:val="center"/>
            <w:hideMark/>
          </w:tcPr>
          <w:p w14:paraId="3B195DB6"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6.2</w:t>
            </w:r>
          </w:p>
        </w:tc>
        <w:tc>
          <w:tcPr>
            <w:tcW w:w="282" w:type="pct"/>
            <w:shd w:val="clear" w:color="auto" w:fill="auto"/>
            <w:noWrap/>
            <w:vAlign w:val="center"/>
            <w:hideMark/>
          </w:tcPr>
          <w:p w14:paraId="572CE9B4"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9.58</w:t>
            </w:r>
          </w:p>
        </w:tc>
        <w:tc>
          <w:tcPr>
            <w:tcW w:w="282" w:type="pct"/>
            <w:shd w:val="clear" w:color="auto" w:fill="auto"/>
            <w:noWrap/>
            <w:vAlign w:val="center"/>
            <w:hideMark/>
          </w:tcPr>
          <w:p w14:paraId="710E8F61"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7.28</w:t>
            </w:r>
          </w:p>
        </w:tc>
        <w:tc>
          <w:tcPr>
            <w:tcW w:w="282" w:type="pct"/>
            <w:shd w:val="clear" w:color="auto" w:fill="auto"/>
            <w:noWrap/>
            <w:vAlign w:val="center"/>
            <w:hideMark/>
          </w:tcPr>
          <w:p w14:paraId="569F7925"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7.35</w:t>
            </w:r>
          </w:p>
        </w:tc>
        <w:tc>
          <w:tcPr>
            <w:tcW w:w="282" w:type="pct"/>
            <w:shd w:val="clear" w:color="auto" w:fill="auto"/>
            <w:noWrap/>
            <w:vAlign w:val="center"/>
            <w:hideMark/>
          </w:tcPr>
          <w:p w14:paraId="3EF7527D"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7.12</w:t>
            </w:r>
          </w:p>
        </w:tc>
        <w:tc>
          <w:tcPr>
            <w:tcW w:w="409" w:type="pct"/>
            <w:shd w:val="clear" w:color="auto" w:fill="auto"/>
            <w:noWrap/>
            <w:vAlign w:val="center"/>
            <w:hideMark/>
          </w:tcPr>
          <w:p w14:paraId="31245B47"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7.30</w:t>
            </w:r>
          </w:p>
        </w:tc>
        <w:tc>
          <w:tcPr>
            <w:tcW w:w="384" w:type="pct"/>
            <w:shd w:val="clear" w:color="auto" w:fill="auto"/>
            <w:noWrap/>
            <w:vAlign w:val="center"/>
            <w:hideMark/>
          </w:tcPr>
          <w:p w14:paraId="5ACE92C6"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90.42</w:t>
            </w:r>
          </w:p>
        </w:tc>
      </w:tr>
      <w:tr w:rsidR="00EB416E" w:rsidRPr="00EB416E" w14:paraId="059049C9" w14:textId="77777777" w:rsidTr="00EB416E">
        <w:trPr>
          <w:trHeight w:val="419"/>
        </w:trPr>
        <w:tc>
          <w:tcPr>
            <w:tcW w:w="409" w:type="pct"/>
            <w:tcBorders>
              <w:right w:val="nil"/>
            </w:tcBorders>
          </w:tcPr>
          <w:p w14:paraId="7223B87D" w14:textId="77777777" w:rsidR="00EB416E" w:rsidRPr="00E359D7" w:rsidRDefault="00EB416E" w:rsidP="00E063A1">
            <w:pPr>
              <w:spacing w:after="0" w:line="240" w:lineRule="auto"/>
              <w:rPr>
                <w:rFonts w:ascii="Times New Roman" w:eastAsia="Times New Roman" w:hAnsi="Times New Roman" w:cs="Times New Roman"/>
                <w:color w:val="000000"/>
              </w:rPr>
            </w:pPr>
          </w:p>
        </w:tc>
        <w:tc>
          <w:tcPr>
            <w:tcW w:w="409" w:type="pct"/>
            <w:tcBorders>
              <w:left w:val="nil"/>
              <w:right w:val="single" w:sz="4" w:space="0" w:color="auto"/>
            </w:tcBorders>
            <w:shd w:val="clear" w:color="auto" w:fill="auto"/>
            <w:noWrap/>
            <w:vAlign w:val="center"/>
            <w:hideMark/>
          </w:tcPr>
          <w:p w14:paraId="09407D1B" w14:textId="6EB007AF" w:rsidR="00EB416E" w:rsidRPr="00E359D7" w:rsidRDefault="00EB416E"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REIT</w:t>
            </w:r>
          </w:p>
        </w:tc>
        <w:tc>
          <w:tcPr>
            <w:tcW w:w="282" w:type="pct"/>
            <w:tcBorders>
              <w:left w:val="single" w:sz="4" w:space="0" w:color="auto"/>
            </w:tcBorders>
            <w:shd w:val="clear" w:color="auto" w:fill="auto"/>
            <w:noWrap/>
            <w:vAlign w:val="center"/>
            <w:hideMark/>
          </w:tcPr>
          <w:p w14:paraId="0A0C3B65"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6.88</w:t>
            </w:r>
          </w:p>
        </w:tc>
        <w:tc>
          <w:tcPr>
            <w:tcW w:w="282" w:type="pct"/>
            <w:shd w:val="clear" w:color="auto" w:fill="auto"/>
            <w:noWrap/>
            <w:vAlign w:val="center"/>
            <w:hideMark/>
          </w:tcPr>
          <w:p w14:paraId="124F4937"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7.47</w:t>
            </w:r>
          </w:p>
        </w:tc>
        <w:tc>
          <w:tcPr>
            <w:tcW w:w="282" w:type="pct"/>
            <w:tcBorders>
              <w:right w:val="single" w:sz="4" w:space="0" w:color="auto"/>
            </w:tcBorders>
            <w:shd w:val="clear" w:color="auto" w:fill="auto"/>
            <w:noWrap/>
            <w:vAlign w:val="center"/>
            <w:hideMark/>
          </w:tcPr>
          <w:p w14:paraId="06B88D50"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7.3</w:t>
            </w:r>
          </w:p>
        </w:tc>
        <w:tc>
          <w:tcPr>
            <w:tcW w:w="282" w:type="pct"/>
            <w:tcBorders>
              <w:left w:val="single" w:sz="4" w:space="0" w:color="auto"/>
            </w:tcBorders>
            <w:shd w:val="clear" w:color="auto" w:fill="auto"/>
            <w:noWrap/>
            <w:vAlign w:val="center"/>
            <w:hideMark/>
          </w:tcPr>
          <w:p w14:paraId="7111F0BB"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8.93</w:t>
            </w:r>
          </w:p>
        </w:tc>
        <w:tc>
          <w:tcPr>
            <w:tcW w:w="282" w:type="pct"/>
            <w:shd w:val="clear" w:color="auto" w:fill="auto"/>
            <w:noWrap/>
            <w:vAlign w:val="center"/>
            <w:hideMark/>
          </w:tcPr>
          <w:p w14:paraId="584D1863"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7.16</w:t>
            </w:r>
          </w:p>
        </w:tc>
        <w:tc>
          <w:tcPr>
            <w:tcW w:w="282" w:type="pct"/>
            <w:tcBorders>
              <w:right w:val="single" w:sz="4" w:space="0" w:color="auto"/>
            </w:tcBorders>
            <w:shd w:val="clear" w:color="auto" w:fill="auto"/>
            <w:noWrap/>
            <w:vAlign w:val="center"/>
            <w:hideMark/>
          </w:tcPr>
          <w:p w14:paraId="20AD81E2"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8.19</w:t>
            </w:r>
          </w:p>
        </w:tc>
        <w:tc>
          <w:tcPr>
            <w:tcW w:w="282" w:type="pct"/>
            <w:tcBorders>
              <w:left w:val="single" w:sz="4" w:space="0" w:color="auto"/>
            </w:tcBorders>
            <w:shd w:val="clear" w:color="auto" w:fill="auto"/>
            <w:noWrap/>
            <w:vAlign w:val="center"/>
            <w:hideMark/>
          </w:tcPr>
          <w:p w14:paraId="3B5C6E81"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7.13</w:t>
            </w:r>
          </w:p>
        </w:tc>
        <w:tc>
          <w:tcPr>
            <w:tcW w:w="282" w:type="pct"/>
            <w:shd w:val="clear" w:color="auto" w:fill="auto"/>
            <w:noWrap/>
            <w:vAlign w:val="center"/>
            <w:hideMark/>
          </w:tcPr>
          <w:p w14:paraId="64081591"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6.46</w:t>
            </w:r>
          </w:p>
        </w:tc>
        <w:tc>
          <w:tcPr>
            <w:tcW w:w="282" w:type="pct"/>
            <w:shd w:val="clear" w:color="auto" w:fill="auto"/>
            <w:noWrap/>
            <w:vAlign w:val="center"/>
            <w:hideMark/>
          </w:tcPr>
          <w:p w14:paraId="25303930"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7.25</w:t>
            </w:r>
          </w:p>
        </w:tc>
        <w:tc>
          <w:tcPr>
            <w:tcW w:w="282" w:type="pct"/>
            <w:shd w:val="clear" w:color="auto" w:fill="auto"/>
            <w:noWrap/>
            <w:vAlign w:val="center"/>
            <w:hideMark/>
          </w:tcPr>
          <w:p w14:paraId="460EB44A"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10.18</w:t>
            </w:r>
          </w:p>
        </w:tc>
        <w:tc>
          <w:tcPr>
            <w:tcW w:w="282" w:type="pct"/>
            <w:shd w:val="clear" w:color="auto" w:fill="auto"/>
            <w:noWrap/>
            <w:vAlign w:val="center"/>
            <w:hideMark/>
          </w:tcPr>
          <w:p w14:paraId="3D274A28"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8.43</w:t>
            </w:r>
          </w:p>
        </w:tc>
        <w:tc>
          <w:tcPr>
            <w:tcW w:w="282" w:type="pct"/>
            <w:shd w:val="clear" w:color="auto" w:fill="auto"/>
            <w:noWrap/>
            <w:vAlign w:val="center"/>
            <w:hideMark/>
          </w:tcPr>
          <w:p w14:paraId="2754C11E"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7.39</w:t>
            </w:r>
          </w:p>
        </w:tc>
        <w:tc>
          <w:tcPr>
            <w:tcW w:w="409" w:type="pct"/>
            <w:shd w:val="clear" w:color="auto" w:fill="auto"/>
            <w:noWrap/>
            <w:vAlign w:val="center"/>
            <w:hideMark/>
          </w:tcPr>
          <w:p w14:paraId="7981548B"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7.23</w:t>
            </w:r>
          </w:p>
        </w:tc>
        <w:tc>
          <w:tcPr>
            <w:tcW w:w="384" w:type="pct"/>
            <w:shd w:val="clear" w:color="auto" w:fill="auto"/>
            <w:noWrap/>
            <w:vAlign w:val="center"/>
            <w:hideMark/>
          </w:tcPr>
          <w:p w14:paraId="71953E9F"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89.82</w:t>
            </w:r>
          </w:p>
        </w:tc>
      </w:tr>
      <w:tr w:rsidR="00EB416E" w:rsidRPr="00EB416E" w14:paraId="08F290AE" w14:textId="77777777" w:rsidTr="00EB416E">
        <w:trPr>
          <w:trHeight w:val="419"/>
        </w:trPr>
        <w:tc>
          <w:tcPr>
            <w:tcW w:w="409" w:type="pct"/>
            <w:tcBorders>
              <w:right w:val="nil"/>
            </w:tcBorders>
          </w:tcPr>
          <w:p w14:paraId="6E009A6C" w14:textId="77777777" w:rsidR="00EB416E" w:rsidRPr="00E359D7" w:rsidRDefault="00EB416E" w:rsidP="00E063A1">
            <w:pPr>
              <w:spacing w:after="0" w:line="240" w:lineRule="auto"/>
              <w:rPr>
                <w:rFonts w:ascii="Times New Roman" w:eastAsia="Times New Roman" w:hAnsi="Times New Roman" w:cs="Times New Roman"/>
                <w:color w:val="000000"/>
              </w:rPr>
            </w:pPr>
          </w:p>
        </w:tc>
        <w:tc>
          <w:tcPr>
            <w:tcW w:w="409" w:type="pct"/>
            <w:tcBorders>
              <w:left w:val="nil"/>
              <w:right w:val="single" w:sz="4" w:space="0" w:color="auto"/>
            </w:tcBorders>
            <w:shd w:val="clear" w:color="auto" w:fill="auto"/>
            <w:noWrap/>
            <w:vAlign w:val="center"/>
            <w:hideMark/>
          </w:tcPr>
          <w:p w14:paraId="0B6B466A" w14:textId="5F69842D" w:rsidR="00EB416E" w:rsidRPr="00E359D7" w:rsidRDefault="00EB416E"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Equity</w:t>
            </w:r>
          </w:p>
        </w:tc>
        <w:tc>
          <w:tcPr>
            <w:tcW w:w="282" w:type="pct"/>
            <w:tcBorders>
              <w:left w:val="single" w:sz="4" w:space="0" w:color="auto"/>
            </w:tcBorders>
            <w:shd w:val="clear" w:color="auto" w:fill="auto"/>
            <w:noWrap/>
            <w:vAlign w:val="center"/>
            <w:hideMark/>
          </w:tcPr>
          <w:p w14:paraId="2D79124C"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6.92</w:t>
            </w:r>
          </w:p>
        </w:tc>
        <w:tc>
          <w:tcPr>
            <w:tcW w:w="282" w:type="pct"/>
            <w:shd w:val="clear" w:color="auto" w:fill="auto"/>
            <w:noWrap/>
            <w:vAlign w:val="center"/>
            <w:hideMark/>
          </w:tcPr>
          <w:p w14:paraId="18BFB385"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7.54</w:t>
            </w:r>
          </w:p>
        </w:tc>
        <w:tc>
          <w:tcPr>
            <w:tcW w:w="282" w:type="pct"/>
            <w:tcBorders>
              <w:right w:val="single" w:sz="4" w:space="0" w:color="auto"/>
            </w:tcBorders>
            <w:shd w:val="clear" w:color="auto" w:fill="auto"/>
            <w:noWrap/>
            <w:vAlign w:val="center"/>
            <w:hideMark/>
          </w:tcPr>
          <w:p w14:paraId="0D56BADA"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7.63</w:t>
            </w:r>
          </w:p>
        </w:tc>
        <w:tc>
          <w:tcPr>
            <w:tcW w:w="282" w:type="pct"/>
            <w:tcBorders>
              <w:left w:val="single" w:sz="4" w:space="0" w:color="auto"/>
            </w:tcBorders>
            <w:shd w:val="clear" w:color="auto" w:fill="auto"/>
            <w:noWrap/>
            <w:vAlign w:val="center"/>
            <w:hideMark/>
          </w:tcPr>
          <w:p w14:paraId="534B0640"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9.09</w:t>
            </w:r>
          </w:p>
        </w:tc>
        <w:tc>
          <w:tcPr>
            <w:tcW w:w="282" w:type="pct"/>
            <w:shd w:val="clear" w:color="auto" w:fill="auto"/>
            <w:noWrap/>
            <w:vAlign w:val="center"/>
            <w:hideMark/>
          </w:tcPr>
          <w:p w14:paraId="003BA2EA"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6.78</w:t>
            </w:r>
          </w:p>
        </w:tc>
        <w:tc>
          <w:tcPr>
            <w:tcW w:w="282" w:type="pct"/>
            <w:tcBorders>
              <w:right w:val="single" w:sz="4" w:space="0" w:color="auto"/>
            </w:tcBorders>
            <w:shd w:val="clear" w:color="auto" w:fill="auto"/>
            <w:noWrap/>
            <w:vAlign w:val="center"/>
            <w:hideMark/>
          </w:tcPr>
          <w:p w14:paraId="0AE5A06F"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8.37</w:t>
            </w:r>
          </w:p>
        </w:tc>
        <w:tc>
          <w:tcPr>
            <w:tcW w:w="282" w:type="pct"/>
            <w:tcBorders>
              <w:left w:val="single" w:sz="4" w:space="0" w:color="auto"/>
            </w:tcBorders>
            <w:shd w:val="clear" w:color="auto" w:fill="auto"/>
            <w:noWrap/>
            <w:vAlign w:val="center"/>
            <w:hideMark/>
          </w:tcPr>
          <w:p w14:paraId="2648895C"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6.93</w:t>
            </w:r>
          </w:p>
        </w:tc>
        <w:tc>
          <w:tcPr>
            <w:tcW w:w="282" w:type="pct"/>
            <w:shd w:val="clear" w:color="auto" w:fill="auto"/>
            <w:noWrap/>
            <w:vAlign w:val="center"/>
            <w:hideMark/>
          </w:tcPr>
          <w:p w14:paraId="47CA57C4"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6.72</w:t>
            </w:r>
          </w:p>
        </w:tc>
        <w:tc>
          <w:tcPr>
            <w:tcW w:w="282" w:type="pct"/>
            <w:shd w:val="clear" w:color="auto" w:fill="auto"/>
            <w:noWrap/>
            <w:vAlign w:val="center"/>
            <w:hideMark/>
          </w:tcPr>
          <w:p w14:paraId="3895E47D"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7.46</w:t>
            </w:r>
          </w:p>
        </w:tc>
        <w:tc>
          <w:tcPr>
            <w:tcW w:w="282" w:type="pct"/>
            <w:shd w:val="clear" w:color="auto" w:fill="auto"/>
            <w:noWrap/>
            <w:vAlign w:val="center"/>
            <w:hideMark/>
          </w:tcPr>
          <w:p w14:paraId="696B6F51"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8.59</w:t>
            </w:r>
          </w:p>
        </w:tc>
        <w:tc>
          <w:tcPr>
            <w:tcW w:w="282" w:type="pct"/>
            <w:shd w:val="clear" w:color="auto" w:fill="auto"/>
            <w:noWrap/>
            <w:vAlign w:val="center"/>
            <w:hideMark/>
          </w:tcPr>
          <w:p w14:paraId="599A6372"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9.83</w:t>
            </w:r>
          </w:p>
        </w:tc>
        <w:tc>
          <w:tcPr>
            <w:tcW w:w="282" w:type="pct"/>
            <w:shd w:val="clear" w:color="auto" w:fill="auto"/>
            <w:noWrap/>
            <w:vAlign w:val="center"/>
            <w:hideMark/>
          </w:tcPr>
          <w:p w14:paraId="12E5F145"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7.05</w:t>
            </w:r>
          </w:p>
        </w:tc>
        <w:tc>
          <w:tcPr>
            <w:tcW w:w="409" w:type="pct"/>
            <w:shd w:val="clear" w:color="auto" w:fill="auto"/>
            <w:noWrap/>
            <w:vAlign w:val="center"/>
            <w:hideMark/>
          </w:tcPr>
          <w:p w14:paraId="1A65AA47"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7.09</w:t>
            </w:r>
          </w:p>
        </w:tc>
        <w:tc>
          <w:tcPr>
            <w:tcW w:w="384" w:type="pct"/>
            <w:shd w:val="clear" w:color="auto" w:fill="auto"/>
            <w:noWrap/>
            <w:vAlign w:val="center"/>
            <w:hideMark/>
          </w:tcPr>
          <w:p w14:paraId="494220D6"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90.17</w:t>
            </w:r>
          </w:p>
        </w:tc>
      </w:tr>
      <w:tr w:rsidR="00EB416E" w:rsidRPr="00EB416E" w14:paraId="122C3AD3" w14:textId="77777777" w:rsidTr="00EB416E">
        <w:trPr>
          <w:trHeight w:val="419"/>
        </w:trPr>
        <w:tc>
          <w:tcPr>
            <w:tcW w:w="409" w:type="pct"/>
            <w:tcBorders>
              <w:right w:val="nil"/>
            </w:tcBorders>
          </w:tcPr>
          <w:p w14:paraId="7BD4A5C9" w14:textId="77777777" w:rsidR="00EB416E" w:rsidRPr="00E359D7" w:rsidRDefault="00EB416E" w:rsidP="00E063A1">
            <w:pPr>
              <w:spacing w:after="0" w:line="240" w:lineRule="auto"/>
              <w:rPr>
                <w:rFonts w:ascii="Times New Roman" w:eastAsia="Times New Roman" w:hAnsi="Times New Roman" w:cs="Times New Roman"/>
                <w:color w:val="000000"/>
              </w:rPr>
            </w:pPr>
          </w:p>
        </w:tc>
        <w:tc>
          <w:tcPr>
            <w:tcW w:w="409" w:type="pct"/>
            <w:tcBorders>
              <w:left w:val="nil"/>
              <w:right w:val="single" w:sz="4" w:space="0" w:color="auto"/>
            </w:tcBorders>
            <w:shd w:val="clear" w:color="auto" w:fill="auto"/>
            <w:noWrap/>
            <w:vAlign w:val="center"/>
            <w:hideMark/>
          </w:tcPr>
          <w:p w14:paraId="5CA51C01" w14:textId="2831068A" w:rsidR="00EB416E" w:rsidRPr="00E359D7" w:rsidRDefault="00EB416E" w:rsidP="00E063A1">
            <w:pPr>
              <w:spacing w:after="0" w:line="240" w:lineRule="auto"/>
              <w:rPr>
                <w:rFonts w:ascii="Times New Roman" w:eastAsia="Times New Roman" w:hAnsi="Times New Roman" w:cs="Times New Roman"/>
                <w:color w:val="000000"/>
              </w:rPr>
            </w:pPr>
            <w:r w:rsidRPr="00E359D7">
              <w:rPr>
                <w:rFonts w:ascii="Times New Roman" w:eastAsia="Times New Roman" w:hAnsi="Times New Roman" w:cs="Times New Roman"/>
                <w:color w:val="000000"/>
              </w:rPr>
              <w:t>Bond</w:t>
            </w:r>
          </w:p>
        </w:tc>
        <w:tc>
          <w:tcPr>
            <w:tcW w:w="282" w:type="pct"/>
            <w:tcBorders>
              <w:left w:val="single" w:sz="4" w:space="0" w:color="auto"/>
            </w:tcBorders>
            <w:shd w:val="clear" w:color="auto" w:fill="auto"/>
            <w:noWrap/>
            <w:vAlign w:val="center"/>
            <w:hideMark/>
          </w:tcPr>
          <w:p w14:paraId="4530466D"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7.06</w:t>
            </w:r>
          </w:p>
        </w:tc>
        <w:tc>
          <w:tcPr>
            <w:tcW w:w="282" w:type="pct"/>
            <w:shd w:val="clear" w:color="auto" w:fill="auto"/>
            <w:noWrap/>
            <w:vAlign w:val="center"/>
            <w:hideMark/>
          </w:tcPr>
          <w:p w14:paraId="680AAB4C"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7.51</w:t>
            </w:r>
          </w:p>
        </w:tc>
        <w:tc>
          <w:tcPr>
            <w:tcW w:w="282" w:type="pct"/>
            <w:tcBorders>
              <w:right w:val="single" w:sz="4" w:space="0" w:color="auto"/>
            </w:tcBorders>
            <w:shd w:val="clear" w:color="auto" w:fill="auto"/>
            <w:noWrap/>
            <w:vAlign w:val="center"/>
            <w:hideMark/>
          </w:tcPr>
          <w:p w14:paraId="7C5A6B6E"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7.38</w:t>
            </w:r>
          </w:p>
        </w:tc>
        <w:tc>
          <w:tcPr>
            <w:tcW w:w="282" w:type="pct"/>
            <w:tcBorders>
              <w:left w:val="single" w:sz="4" w:space="0" w:color="auto"/>
            </w:tcBorders>
            <w:shd w:val="clear" w:color="auto" w:fill="auto"/>
            <w:noWrap/>
            <w:vAlign w:val="center"/>
            <w:hideMark/>
          </w:tcPr>
          <w:p w14:paraId="33D85F96"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7.8</w:t>
            </w:r>
          </w:p>
        </w:tc>
        <w:tc>
          <w:tcPr>
            <w:tcW w:w="282" w:type="pct"/>
            <w:shd w:val="clear" w:color="auto" w:fill="auto"/>
            <w:noWrap/>
            <w:vAlign w:val="center"/>
            <w:hideMark/>
          </w:tcPr>
          <w:p w14:paraId="0ED7C474"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7.03</w:t>
            </w:r>
          </w:p>
        </w:tc>
        <w:tc>
          <w:tcPr>
            <w:tcW w:w="282" w:type="pct"/>
            <w:tcBorders>
              <w:right w:val="single" w:sz="4" w:space="0" w:color="auto"/>
            </w:tcBorders>
            <w:shd w:val="clear" w:color="auto" w:fill="auto"/>
            <w:noWrap/>
            <w:vAlign w:val="center"/>
            <w:hideMark/>
          </w:tcPr>
          <w:p w14:paraId="06984A25"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7.7</w:t>
            </w:r>
          </w:p>
        </w:tc>
        <w:tc>
          <w:tcPr>
            <w:tcW w:w="282" w:type="pct"/>
            <w:tcBorders>
              <w:left w:val="single" w:sz="4" w:space="0" w:color="auto"/>
            </w:tcBorders>
            <w:shd w:val="clear" w:color="auto" w:fill="auto"/>
            <w:noWrap/>
            <w:vAlign w:val="center"/>
            <w:hideMark/>
          </w:tcPr>
          <w:p w14:paraId="1B61232B"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8.08</w:t>
            </w:r>
          </w:p>
        </w:tc>
        <w:tc>
          <w:tcPr>
            <w:tcW w:w="282" w:type="pct"/>
            <w:shd w:val="clear" w:color="auto" w:fill="auto"/>
            <w:noWrap/>
            <w:vAlign w:val="center"/>
            <w:hideMark/>
          </w:tcPr>
          <w:p w14:paraId="788EE529"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6.8</w:t>
            </w:r>
          </w:p>
        </w:tc>
        <w:tc>
          <w:tcPr>
            <w:tcW w:w="282" w:type="pct"/>
            <w:shd w:val="clear" w:color="auto" w:fill="auto"/>
            <w:noWrap/>
            <w:vAlign w:val="center"/>
            <w:hideMark/>
          </w:tcPr>
          <w:p w14:paraId="1CFA4D1C"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7.49</w:t>
            </w:r>
          </w:p>
        </w:tc>
        <w:tc>
          <w:tcPr>
            <w:tcW w:w="282" w:type="pct"/>
            <w:shd w:val="clear" w:color="auto" w:fill="auto"/>
            <w:noWrap/>
            <w:vAlign w:val="center"/>
            <w:hideMark/>
          </w:tcPr>
          <w:p w14:paraId="496CDE59"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7.81</w:t>
            </w:r>
          </w:p>
        </w:tc>
        <w:tc>
          <w:tcPr>
            <w:tcW w:w="282" w:type="pct"/>
            <w:shd w:val="clear" w:color="auto" w:fill="auto"/>
            <w:noWrap/>
            <w:vAlign w:val="center"/>
            <w:hideMark/>
          </w:tcPr>
          <w:p w14:paraId="709AD87E"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7.36</w:t>
            </w:r>
          </w:p>
        </w:tc>
        <w:tc>
          <w:tcPr>
            <w:tcW w:w="282" w:type="pct"/>
            <w:shd w:val="clear" w:color="auto" w:fill="auto"/>
            <w:noWrap/>
            <w:vAlign w:val="center"/>
            <w:hideMark/>
          </w:tcPr>
          <w:p w14:paraId="7F7043A5"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10.75</w:t>
            </w:r>
          </w:p>
        </w:tc>
        <w:tc>
          <w:tcPr>
            <w:tcW w:w="409" w:type="pct"/>
            <w:shd w:val="clear" w:color="auto" w:fill="auto"/>
            <w:noWrap/>
            <w:vAlign w:val="center"/>
            <w:hideMark/>
          </w:tcPr>
          <w:p w14:paraId="10E0041C"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7.23</w:t>
            </w:r>
          </w:p>
        </w:tc>
        <w:tc>
          <w:tcPr>
            <w:tcW w:w="384" w:type="pct"/>
            <w:shd w:val="clear" w:color="auto" w:fill="auto"/>
            <w:noWrap/>
            <w:vAlign w:val="center"/>
            <w:hideMark/>
          </w:tcPr>
          <w:p w14:paraId="7D0A60B0"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89.25</w:t>
            </w:r>
          </w:p>
        </w:tc>
      </w:tr>
      <w:tr w:rsidR="00EB416E" w:rsidRPr="00EB416E" w14:paraId="46991401" w14:textId="77777777" w:rsidTr="00EB416E">
        <w:trPr>
          <w:trHeight w:val="419"/>
        </w:trPr>
        <w:tc>
          <w:tcPr>
            <w:tcW w:w="409" w:type="pct"/>
            <w:tcBorders>
              <w:right w:val="nil"/>
            </w:tcBorders>
          </w:tcPr>
          <w:p w14:paraId="308DEA25" w14:textId="77777777" w:rsidR="00EB416E" w:rsidRPr="00E359D7" w:rsidRDefault="00EB416E" w:rsidP="00E063A1">
            <w:pPr>
              <w:spacing w:after="0" w:line="240" w:lineRule="auto"/>
              <w:rPr>
                <w:rFonts w:ascii="Times New Roman" w:eastAsia="Times New Roman" w:hAnsi="Times New Roman" w:cs="Times New Roman"/>
                <w:color w:val="000000"/>
              </w:rPr>
            </w:pPr>
          </w:p>
        </w:tc>
        <w:tc>
          <w:tcPr>
            <w:tcW w:w="409" w:type="pct"/>
            <w:tcBorders>
              <w:left w:val="nil"/>
              <w:right w:val="single" w:sz="4" w:space="0" w:color="auto"/>
            </w:tcBorders>
            <w:shd w:val="clear" w:color="auto" w:fill="auto"/>
            <w:noWrap/>
            <w:vAlign w:val="center"/>
            <w:hideMark/>
          </w:tcPr>
          <w:p w14:paraId="45D95FEF" w14:textId="27E8FF11" w:rsidR="00EB416E" w:rsidRPr="00E359D7" w:rsidRDefault="00EB416E" w:rsidP="00E063A1">
            <w:pPr>
              <w:spacing w:after="0" w:line="240" w:lineRule="auto"/>
              <w:rPr>
                <w:rFonts w:ascii="Times New Roman" w:eastAsia="Times New Roman" w:hAnsi="Times New Roman" w:cs="Times New Roman"/>
                <w:color w:val="000000"/>
              </w:rPr>
            </w:pPr>
            <w:proofErr w:type="spellStart"/>
            <w:r w:rsidRPr="00E359D7">
              <w:rPr>
                <w:rFonts w:ascii="Times New Roman" w:eastAsia="Times New Roman" w:hAnsi="Times New Roman" w:cs="Times New Roman"/>
                <w:color w:val="000000"/>
              </w:rPr>
              <w:t>USD.Index</w:t>
            </w:r>
            <w:proofErr w:type="spellEnd"/>
          </w:p>
        </w:tc>
        <w:tc>
          <w:tcPr>
            <w:tcW w:w="282" w:type="pct"/>
            <w:tcBorders>
              <w:left w:val="single" w:sz="4" w:space="0" w:color="auto"/>
            </w:tcBorders>
            <w:shd w:val="clear" w:color="auto" w:fill="auto"/>
            <w:noWrap/>
            <w:vAlign w:val="center"/>
            <w:hideMark/>
          </w:tcPr>
          <w:p w14:paraId="3F421EE7"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7.16</w:t>
            </w:r>
          </w:p>
        </w:tc>
        <w:tc>
          <w:tcPr>
            <w:tcW w:w="282" w:type="pct"/>
            <w:shd w:val="clear" w:color="auto" w:fill="auto"/>
            <w:noWrap/>
            <w:vAlign w:val="center"/>
            <w:hideMark/>
          </w:tcPr>
          <w:p w14:paraId="66A85DE8"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7.67</w:t>
            </w:r>
          </w:p>
        </w:tc>
        <w:tc>
          <w:tcPr>
            <w:tcW w:w="282" w:type="pct"/>
            <w:tcBorders>
              <w:right w:val="single" w:sz="4" w:space="0" w:color="auto"/>
            </w:tcBorders>
            <w:shd w:val="clear" w:color="auto" w:fill="auto"/>
            <w:noWrap/>
            <w:vAlign w:val="center"/>
            <w:hideMark/>
          </w:tcPr>
          <w:p w14:paraId="64276CE3"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7.51</w:t>
            </w:r>
          </w:p>
        </w:tc>
        <w:tc>
          <w:tcPr>
            <w:tcW w:w="282" w:type="pct"/>
            <w:tcBorders>
              <w:left w:val="single" w:sz="4" w:space="0" w:color="auto"/>
            </w:tcBorders>
            <w:shd w:val="clear" w:color="auto" w:fill="auto"/>
            <w:noWrap/>
            <w:vAlign w:val="center"/>
            <w:hideMark/>
          </w:tcPr>
          <w:p w14:paraId="578937F9"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7.7</w:t>
            </w:r>
          </w:p>
        </w:tc>
        <w:tc>
          <w:tcPr>
            <w:tcW w:w="282" w:type="pct"/>
            <w:shd w:val="clear" w:color="auto" w:fill="auto"/>
            <w:noWrap/>
            <w:vAlign w:val="center"/>
            <w:hideMark/>
          </w:tcPr>
          <w:p w14:paraId="463540CB"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7.82</w:t>
            </w:r>
          </w:p>
        </w:tc>
        <w:tc>
          <w:tcPr>
            <w:tcW w:w="282" w:type="pct"/>
            <w:tcBorders>
              <w:right w:val="single" w:sz="4" w:space="0" w:color="auto"/>
            </w:tcBorders>
            <w:shd w:val="clear" w:color="auto" w:fill="auto"/>
            <w:noWrap/>
            <w:vAlign w:val="center"/>
            <w:hideMark/>
          </w:tcPr>
          <w:p w14:paraId="040396D3"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7.69</w:t>
            </w:r>
          </w:p>
        </w:tc>
        <w:tc>
          <w:tcPr>
            <w:tcW w:w="282" w:type="pct"/>
            <w:tcBorders>
              <w:left w:val="single" w:sz="4" w:space="0" w:color="auto"/>
            </w:tcBorders>
            <w:shd w:val="clear" w:color="auto" w:fill="auto"/>
            <w:noWrap/>
            <w:vAlign w:val="center"/>
            <w:hideMark/>
          </w:tcPr>
          <w:p w14:paraId="18BDBF6C"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7.21</w:t>
            </w:r>
          </w:p>
        </w:tc>
        <w:tc>
          <w:tcPr>
            <w:tcW w:w="282" w:type="pct"/>
            <w:shd w:val="clear" w:color="auto" w:fill="auto"/>
            <w:noWrap/>
            <w:vAlign w:val="center"/>
            <w:hideMark/>
          </w:tcPr>
          <w:p w14:paraId="42655080"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6.52</w:t>
            </w:r>
          </w:p>
        </w:tc>
        <w:tc>
          <w:tcPr>
            <w:tcW w:w="282" w:type="pct"/>
            <w:shd w:val="clear" w:color="auto" w:fill="auto"/>
            <w:noWrap/>
            <w:vAlign w:val="center"/>
            <w:hideMark/>
          </w:tcPr>
          <w:p w14:paraId="43CE162B"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7.48</w:t>
            </w:r>
          </w:p>
        </w:tc>
        <w:tc>
          <w:tcPr>
            <w:tcW w:w="282" w:type="pct"/>
            <w:shd w:val="clear" w:color="auto" w:fill="auto"/>
            <w:noWrap/>
            <w:vAlign w:val="center"/>
            <w:hideMark/>
          </w:tcPr>
          <w:p w14:paraId="54353707"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7.44</w:t>
            </w:r>
          </w:p>
        </w:tc>
        <w:tc>
          <w:tcPr>
            <w:tcW w:w="282" w:type="pct"/>
            <w:shd w:val="clear" w:color="auto" w:fill="auto"/>
            <w:noWrap/>
            <w:vAlign w:val="center"/>
            <w:hideMark/>
          </w:tcPr>
          <w:p w14:paraId="188CE55B"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7.51</w:t>
            </w:r>
          </w:p>
        </w:tc>
        <w:tc>
          <w:tcPr>
            <w:tcW w:w="282" w:type="pct"/>
            <w:shd w:val="clear" w:color="auto" w:fill="auto"/>
            <w:noWrap/>
            <w:vAlign w:val="center"/>
            <w:hideMark/>
          </w:tcPr>
          <w:p w14:paraId="7047976B"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7.49</w:t>
            </w:r>
          </w:p>
        </w:tc>
        <w:tc>
          <w:tcPr>
            <w:tcW w:w="409" w:type="pct"/>
            <w:shd w:val="clear" w:color="auto" w:fill="auto"/>
            <w:noWrap/>
            <w:vAlign w:val="center"/>
            <w:hideMark/>
          </w:tcPr>
          <w:p w14:paraId="0588C907"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10.81</w:t>
            </w:r>
          </w:p>
        </w:tc>
        <w:tc>
          <w:tcPr>
            <w:tcW w:w="384" w:type="pct"/>
            <w:shd w:val="clear" w:color="auto" w:fill="auto"/>
            <w:noWrap/>
            <w:vAlign w:val="center"/>
            <w:hideMark/>
          </w:tcPr>
          <w:p w14:paraId="6B94CD69"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89.19</w:t>
            </w:r>
          </w:p>
        </w:tc>
      </w:tr>
      <w:tr w:rsidR="00EB416E" w:rsidRPr="00EB416E" w14:paraId="290B67A9" w14:textId="77777777" w:rsidTr="00EB416E">
        <w:trPr>
          <w:trHeight w:val="419"/>
        </w:trPr>
        <w:tc>
          <w:tcPr>
            <w:tcW w:w="409" w:type="pct"/>
            <w:tcBorders>
              <w:right w:val="nil"/>
            </w:tcBorders>
          </w:tcPr>
          <w:p w14:paraId="26AB2A10" w14:textId="77777777" w:rsidR="00EB416E" w:rsidRPr="00E359D7" w:rsidRDefault="00EB416E" w:rsidP="00E063A1">
            <w:pPr>
              <w:spacing w:after="0" w:line="240" w:lineRule="auto"/>
              <w:rPr>
                <w:rFonts w:ascii="Times New Roman" w:eastAsia="Times New Roman" w:hAnsi="Times New Roman" w:cs="Times New Roman"/>
                <w:color w:val="000000"/>
              </w:rPr>
            </w:pPr>
          </w:p>
        </w:tc>
        <w:tc>
          <w:tcPr>
            <w:tcW w:w="409" w:type="pct"/>
            <w:tcBorders>
              <w:left w:val="nil"/>
              <w:right w:val="single" w:sz="4" w:space="0" w:color="auto"/>
            </w:tcBorders>
            <w:shd w:val="clear" w:color="auto" w:fill="auto"/>
            <w:noWrap/>
            <w:vAlign w:val="center"/>
            <w:hideMark/>
          </w:tcPr>
          <w:p w14:paraId="79A142B3" w14:textId="10E0D8C3" w:rsidR="00EB416E" w:rsidRPr="00E359D7" w:rsidRDefault="00AD4771" w:rsidP="00E063A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To Others</w:t>
            </w:r>
          </w:p>
        </w:tc>
        <w:tc>
          <w:tcPr>
            <w:tcW w:w="282" w:type="pct"/>
            <w:tcBorders>
              <w:left w:val="single" w:sz="4" w:space="0" w:color="auto"/>
            </w:tcBorders>
            <w:shd w:val="clear" w:color="auto" w:fill="auto"/>
            <w:noWrap/>
            <w:vAlign w:val="center"/>
            <w:hideMark/>
          </w:tcPr>
          <w:p w14:paraId="3A88D326"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85.53</w:t>
            </w:r>
          </w:p>
        </w:tc>
        <w:tc>
          <w:tcPr>
            <w:tcW w:w="282" w:type="pct"/>
            <w:shd w:val="clear" w:color="auto" w:fill="auto"/>
            <w:noWrap/>
            <w:vAlign w:val="center"/>
            <w:hideMark/>
          </w:tcPr>
          <w:p w14:paraId="2E19380A"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93.09</w:t>
            </w:r>
          </w:p>
        </w:tc>
        <w:tc>
          <w:tcPr>
            <w:tcW w:w="282" w:type="pct"/>
            <w:tcBorders>
              <w:right w:val="single" w:sz="4" w:space="0" w:color="auto"/>
            </w:tcBorders>
            <w:shd w:val="clear" w:color="auto" w:fill="auto"/>
            <w:noWrap/>
            <w:vAlign w:val="center"/>
            <w:hideMark/>
          </w:tcPr>
          <w:p w14:paraId="1887AC4E"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91.41</w:t>
            </w:r>
          </w:p>
        </w:tc>
        <w:tc>
          <w:tcPr>
            <w:tcW w:w="282" w:type="pct"/>
            <w:tcBorders>
              <w:left w:val="single" w:sz="4" w:space="0" w:color="auto"/>
            </w:tcBorders>
            <w:shd w:val="clear" w:color="auto" w:fill="auto"/>
            <w:noWrap/>
            <w:vAlign w:val="center"/>
            <w:hideMark/>
          </w:tcPr>
          <w:p w14:paraId="27E9E98E"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103.18</w:t>
            </w:r>
          </w:p>
        </w:tc>
        <w:tc>
          <w:tcPr>
            <w:tcW w:w="282" w:type="pct"/>
            <w:shd w:val="clear" w:color="auto" w:fill="auto"/>
            <w:noWrap/>
            <w:vAlign w:val="center"/>
            <w:hideMark/>
          </w:tcPr>
          <w:p w14:paraId="53B1AF6C"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86.11</w:t>
            </w:r>
          </w:p>
        </w:tc>
        <w:tc>
          <w:tcPr>
            <w:tcW w:w="282" w:type="pct"/>
            <w:tcBorders>
              <w:right w:val="single" w:sz="4" w:space="0" w:color="auto"/>
            </w:tcBorders>
            <w:shd w:val="clear" w:color="auto" w:fill="auto"/>
            <w:noWrap/>
            <w:vAlign w:val="center"/>
            <w:hideMark/>
          </w:tcPr>
          <w:p w14:paraId="62A39CF9"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99.41</w:t>
            </w:r>
          </w:p>
        </w:tc>
        <w:tc>
          <w:tcPr>
            <w:tcW w:w="282" w:type="pct"/>
            <w:tcBorders>
              <w:left w:val="single" w:sz="4" w:space="0" w:color="auto"/>
            </w:tcBorders>
            <w:shd w:val="clear" w:color="auto" w:fill="auto"/>
            <w:noWrap/>
            <w:vAlign w:val="center"/>
            <w:hideMark/>
          </w:tcPr>
          <w:p w14:paraId="39C9D506"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85.5</w:t>
            </w:r>
          </w:p>
        </w:tc>
        <w:tc>
          <w:tcPr>
            <w:tcW w:w="282" w:type="pct"/>
            <w:shd w:val="clear" w:color="auto" w:fill="auto"/>
            <w:noWrap/>
            <w:vAlign w:val="center"/>
            <w:hideMark/>
          </w:tcPr>
          <w:p w14:paraId="0EFE157C"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77.38</w:t>
            </w:r>
          </w:p>
        </w:tc>
        <w:tc>
          <w:tcPr>
            <w:tcW w:w="282" w:type="pct"/>
            <w:shd w:val="clear" w:color="auto" w:fill="auto"/>
            <w:noWrap/>
            <w:vAlign w:val="center"/>
            <w:hideMark/>
          </w:tcPr>
          <w:p w14:paraId="448AE268"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91.5</w:t>
            </w:r>
          </w:p>
        </w:tc>
        <w:tc>
          <w:tcPr>
            <w:tcW w:w="282" w:type="pct"/>
            <w:shd w:val="clear" w:color="auto" w:fill="auto"/>
            <w:noWrap/>
            <w:vAlign w:val="center"/>
            <w:hideMark/>
          </w:tcPr>
          <w:p w14:paraId="1F1C77A4"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89.58</w:t>
            </w:r>
          </w:p>
        </w:tc>
        <w:tc>
          <w:tcPr>
            <w:tcW w:w="282" w:type="pct"/>
            <w:shd w:val="clear" w:color="auto" w:fill="auto"/>
            <w:noWrap/>
            <w:vAlign w:val="center"/>
            <w:hideMark/>
          </w:tcPr>
          <w:p w14:paraId="22268979"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88.61</w:t>
            </w:r>
          </w:p>
        </w:tc>
        <w:tc>
          <w:tcPr>
            <w:tcW w:w="282" w:type="pct"/>
            <w:shd w:val="clear" w:color="auto" w:fill="auto"/>
            <w:noWrap/>
            <w:vAlign w:val="center"/>
            <w:hideMark/>
          </w:tcPr>
          <w:p w14:paraId="3B74B7F5"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85.29</w:t>
            </w:r>
          </w:p>
        </w:tc>
        <w:tc>
          <w:tcPr>
            <w:tcW w:w="409" w:type="pct"/>
            <w:shd w:val="clear" w:color="auto" w:fill="auto"/>
            <w:noWrap/>
            <w:vAlign w:val="center"/>
            <w:hideMark/>
          </w:tcPr>
          <w:p w14:paraId="07C1F30C"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88.18</w:t>
            </w:r>
          </w:p>
        </w:tc>
        <w:tc>
          <w:tcPr>
            <w:tcW w:w="384" w:type="pct"/>
            <w:shd w:val="clear" w:color="auto" w:fill="auto"/>
            <w:noWrap/>
            <w:vAlign w:val="center"/>
            <w:hideMark/>
          </w:tcPr>
          <w:p w14:paraId="3695B9F3"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1164.76</w:t>
            </w:r>
          </w:p>
        </w:tc>
      </w:tr>
      <w:tr w:rsidR="00EB416E" w:rsidRPr="00EB416E" w14:paraId="5E20F6F5" w14:textId="77777777" w:rsidTr="00EB416E">
        <w:trPr>
          <w:trHeight w:val="419"/>
        </w:trPr>
        <w:tc>
          <w:tcPr>
            <w:tcW w:w="409" w:type="pct"/>
            <w:tcBorders>
              <w:right w:val="nil"/>
            </w:tcBorders>
          </w:tcPr>
          <w:p w14:paraId="418FAAF0" w14:textId="77777777" w:rsidR="00EB416E" w:rsidRPr="00E359D7" w:rsidRDefault="00EB416E" w:rsidP="00E063A1">
            <w:pPr>
              <w:spacing w:after="0" w:line="240" w:lineRule="auto"/>
              <w:rPr>
                <w:rFonts w:ascii="Times New Roman" w:eastAsia="Times New Roman" w:hAnsi="Times New Roman" w:cs="Times New Roman"/>
                <w:color w:val="000000"/>
              </w:rPr>
            </w:pPr>
          </w:p>
        </w:tc>
        <w:tc>
          <w:tcPr>
            <w:tcW w:w="409" w:type="pct"/>
            <w:tcBorders>
              <w:left w:val="nil"/>
              <w:right w:val="single" w:sz="4" w:space="0" w:color="auto"/>
            </w:tcBorders>
            <w:shd w:val="clear" w:color="auto" w:fill="auto"/>
            <w:noWrap/>
            <w:vAlign w:val="center"/>
            <w:hideMark/>
          </w:tcPr>
          <w:p w14:paraId="359483B4" w14:textId="0F797524" w:rsidR="00EB416E" w:rsidRPr="00E359D7" w:rsidRDefault="00EB416E" w:rsidP="00E063A1">
            <w:pPr>
              <w:spacing w:after="0" w:line="240" w:lineRule="auto"/>
              <w:rPr>
                <w:rFonts w:ascii="Times New Roman" w:eastAsia="Times New Roman" w:hAnsi="Times New Roman" w:cs="Times New Roman"/>
                <w:color w:val="000000"/>
              </w:rPr>
            </w:pPr>
            <w:proofErr w:type="spellStart"/>
            <w:r w:rsidRPr="00E359D7">
              <w:rPr>
                <w:rFonts w:ascii="Times New Roman" w:eastAsia="Times New Roman" w:hAnsi="Times New Roman" w:cs="Times New Roman"/>
                <w:color w:val="000000"/>
              </w:rPr>
              <w:t>Inc.Own</w:t>
            </w:r>
            <w:proofErr w:type="spellEnd"/>
          </w:p>
        </w:tc>
        <w:tc>
          <w:tcPr>
            <w:tcW w:w="282" w:type="pct"/>
            <w:tcBorders>
              <w:left w:val="single" w:sz="4" w:space="0" w:color="auto"/>
            </w:tcBorders>
            <w:shd w:val="clear" w:color="auto" w:fill="auto"/>
            <w:noWrap/>
            <w:vAlign w:val="center"/>
            <w:hideMark/>
          </w:tcPr>
          <w:p w14:paraId="1D8D6AE8"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94.96</w:t>
            </w:r>
          </w:p>
        </w:tc>
        <w:tc>
          <w:tcPr>
            <w:tcW w:w="282" w:type="pct"/>
            <w:shd w:val="clear" w:color="auto" w:fill="auto"/>
            <w:noWrap/>
            <w:vAlign w:val="center"/>
            <w:hideMark/>
          </w:tcPr>
          <w:p w14:paraId="554B09F1"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102.79</w:t>
            </w:r>
          </w:p>
        </w:tc>
        <w:tc>
          <w:tcPr>
            <w:tcW w:w="282" w:type="pct"/>
            <w:tcBorders>
              <w:right w:val="single" w:sz="4" w:space="0" w:color="auto"/>
            </w:tcBorders>
            <w:shd w:val="clear" w:color="auto" w:fill="auto"/>
            <w:noWrap/>
            <w:vAlign w:val="center"/>
            <w:hideMark/>
          </w:tcPr>
          <w:p w14:paraId="3AC93D37"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101.42</w:t>
            </w:r>
          </w:p>
        </w:tc>
        <w:tc>
          <w:tcPr>
            <w:tcW w:w="282" w:type="pct"/>
            <w:tcBorders>
              <w:left w:val="single" w:sz="4" w:space="0" w:color="auto"/>
            </w:tcBorders>
            <w:shd w:val="clear" w:color="auto" w:fill="auto"/>
            <w:noWrap/>
            <w:vAlign w:val="center"/>
            <w:hideMark/>
          </w:tcPr>
          <w:p w14:paraId="553E3894"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115.42</w:t>
            </w:r>
          </w:p>
        </w:tc>
        <w:tc>
          <w:tcPr>
            <w:tcW w:w="282" w:type="pct"/>
            <w:shd w:val="clear" w:color="auto" w:fill="auto"/>
            <w:noWrap/>
            <w:vAlign w:val="center"/>
            <w:hideMark/>
          </w:tcPr>
          <w:p w14:paraId="4F0D5830"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96.21</w:t>
            </w:r>
          </w:p>
        </w:tc>
        <w:tc>
          <w:tcPr>
            <w:tcW w:w="282" w:type="pct"/>
            <w:tcBorders>
              <w:right w:val="single" w:sz="4" w:space="0" w:color="auto"/>
            </w:tcBorders>
            <w:shd w:val="clear" w:color="auto" w:fill="auto"/>
            <w:noWrap/>
            <w:vAlign w:val="center"/>
            <w:hideMark/>
          </w:tcPr>
          <w:p w14:paraId="4DFCFBC8"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110.13</w:t>
            </w:r>
          </w:p>
        </w:tc>
        <w:tc>
          <w:tcPr>
            <w:tcW w:w="282" w:type="pct"/>
            <w:tcBorders>
              <w:left w:val="single" w:sz="4" w:space="0" w:color="auto"/>
            </w:tcBorders>
            <w:shd w:val="clear" w:color="auto" w:fill="auto"/>
            <w:noWrap/>
            <w:vAlign w:val="center"/>
            <w:hideMark/>
          </w:tcPr>
          <w:p w14:paraId="7D541965"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96.45</w:t>
            </w:r>
          </w:p>
        </w:tc>
        <w:tc>
          <w:tcPr>
            <w:tcW w:w="282" w:type="pct"/>
            <w:shd w:val="clear" w:color="auto" w:fill="auto"/>
            <w:noWrap/>
            <w:vAlign w:val="center"/>
            <w:hideMark/>
          </w:tcPr>
          <w:p w14:paraId="1E5F2D8E"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88.31</w:t>
            </w:r>
          </w:p>
        </w:tc>
        <w:tc>
          <w:tcPr>
            <w:tcW w:w="282" w:type="pct"/>
            <w:shd w:val="clear" w:color="auto" w:fill="auto"/>
            <w:noWrap/>
            <w:vAlign w:val="center"/>
            <w:hideMark/>
          </w:tcPr>
          <w:p w14:paraId="44636FC9"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101.08</w:t>
            </w:r>
          </w:p>
        </w:tc>
        <w:tc>
          <w:tcPr>
            <w:tcW w:w="282" w:type="pct"/>
            <w:shd w:val="clear" w:color="auto" w:fill="auto"/>
            <w:noWrap/>
            <w:vAlign w:val="center"/>
            <w:hideMark/>
          </w:tcPr>
          <w:p w14:paraId="35C44BA2"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99.76</w:t>
            </w:r>
          </w:p>
        </w:tc>
        <w:tc>
          <w:tcPr>
            <w:tcW w:w="282" w:type="pct"/>
            <w:shd w:val="clear" w:color="auto" w:fill="auto"/>
            <w:noWrap/>
            <w:vAlign w:val="center"/>
            <w:hideMark/>
          </w:tcPr>
          <w:p w14:paraId="469668FB"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98.44</w:t>
            </w:r>
          </w:p>
        </w:tc>
        <w:tc>
          <w:tcPr>
            <w:tcW w:w="282" w:type="pct"/>
            <w:shd w:val="clear" w:color="auto" w:fill="auto"/>
            <w:noWrap/>
            <w:vAlign w:val="center"/>
            <w:hideMark/>
          </w:tcPr>
          <w:p w14:paraId="13464AF0"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96.04</w:t>
            </w:r>
          </w:p>
        </w:tc>
        <w:tc>
          <w:tcPr>
            <w:tcW w:w="409" w:type="pct"/>
            <w:shd w:val="clear" w:color="auto" w:fill="auto"/>
            <w:noWrap/>
            <w:vAlign w:val="center"/>
            <w:hideMark/>
          </w:tcPr>
          <w:p w14:paraId="0AB5A64B"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98.99</w:t>
            </w:r>
          </w:p>
        </w:tc>
        <w:tc>
          <w:tcPr>
            <w:tcW w:w="384" w:type="pct"/>
            <w:shd w:val="clear" w:color="auto" w:fill="auto"/>
            <w:noWrap/>
            <w:vAlign w:val="center"/>
            <w:hideMark/>
          </w:tcPr>
          <w:p w14:paraId="75B93B32"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TCI</w:t>
            </w:r>
          </w:p>
        </w:tc>
      </w:tr>
      <w:tr w:rsidR="00EB416E" w:rsidRPr="00EB416E" w14:paraId="31D3C74E" w14:textId="77777777" w:rsidTr="00EB416E">
        <w:trPr>
          <w:trHeight w:val="419"/>
        </w:trPr>
        <w:tc>
          <w:tcPr>
            <w:tcW w:w="409" w:type="pct"/>
            <w:tcBorders>
              <w:right w:val="nil"/>
            </w:tcBorders>
          </w:tcPr>
          <w:p w14:paraId="1AB3EA01" w14:textId="77777777" w:rsidR="00EB416E" w:rsidRPr="00E359D7" w:rsidRDefault="00EB416E" w:rsidP="00E063A1">
            <w:pPr>
              <w:spacing w:after="0" w:line="240" w:lineRule="auto"/>
              <w:rPr>
                <w:rFonts w:ascii="Times New Roman" w:eastAsia="Times New Roman" w:hAnsi="Times New Roman" w:cs="Times New Roman"/>
                <w:color w:val="000000"/>
              </w:rPr>
            </w:pPr>
          </w:p>
        </w:tc>
        <w:tc>
          <w:tcPr>
            <w:tcW w:w="409" w:type="pct"/>
            <w:tcBorders>
              <w:left w:val="nil"/>
              <w:bottom w:val="single" w:sz="4" w:space="0" w:color="auto"/>
              <w:right w:val="single" w:sz="4" w:space="0" w:color="auto"/>
            </w:tcBorders>
            <w:shd w:val="clear" w:color="auto" w:fill="auto"/>
            <w:noWrap/>
            <w:vAlign w:val="center"/>
            <w:hideMark/>
          </w:tcPr>
          <w:p w14:paraId="31AEF058" w14:textId="78B7841F" w:rsidR="00EB416E" w:rsidRPr="00E359D7" w:rsidRDefault="00D97C9B" w:rsidP="00E063A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Net</w:t>
            </w:r>
          </w:p>
        </w:tc>
        <w:tc>
          <w:tcPr>
            <w:tcW w:w="282" w:type="pct"/>
            <w:tcBorders>
              <w:left w:val="single" w:sz="4" w:space="0" w:color="auto"/>
              <w:bottom w:val="single" w:sz="4" w:space="0" w:color="auto"/>
            </w:tcBorders>
            <w:shd w:val="clear" w:color="auto" w:fill="auto"/>
            <w:noWrap/>
            <w:vAlign w:val="center"/>
            <w:hideMark/>
          </w:tcPr>
          <w:p w14:paraId="1F47238E"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-5.04</w:t>
            </w:r>
          </w:p>
        </w:tc>
        <w:tc>
          <w:tcPr>
            <w:tcW w:w="282" w:type="pct"/>
            <w:tcBorders>
              <w:bottom w:val="single" w:sz="4" w:space="0" w:color="auto"/>
            </w:tcBorders>
            <w:shd w:val="clear" w:color="auto" w:fill="auto"/>
            <w:noWrap/>
            <w:vAlign w:val="center"/>
            <w:hideMark/>
          </w:tcPr>
          <w:p w14:paraId="072BD249"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2.79</w:t>
            </w:r>
          </w:p>
        </w:tc>
        <w:tc>
          <w:tcPr>
            <w:tcW w:w="282" w:type="pct"/>
            <w:tcBorders>
              <w:bottom w:val="single" w:sz="4" w:space="0" w:color="auto"/>
              <w:right w:val="single" w:sz="4" w:space="0" w:color="auto"/>
            </w:tcBorders>
            <w:shd w:val="clear" w:color="auto" w:fill="auto"/>
            <w:noWrap/>
            <w:vAlign w:val="center"/>
            <w:hideMark/>
          </w:tcPr>
          <w:p w14:paraId="372EE9E0"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1.42</w:t>
            </w:r>
          </w:p>
        </w:tc>
        <w:tc>
          <w:tcPr>
            <w:tcW w:w="282" w:type="pct"/>
            <w:tcBorders>
              <w:left w:val="single" w:sz="4" w:space="0" w:color="auto"/>
              <w:bottom w:val="single" w:sz="4" w:space="0" w:color="auto"/>
            </w:tcBorders>
            <w:shd w:val="clear" w:color="auto" w:fill="auto"/>
            <w:noWrap/>
            <w:vAlign w:val="center"/>
            <w:hideMark/>
          </w:tcPr>
          <w:p w14:paraId="1DCF086D"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15.42</w:t>
            </w:r>
          </w:p>
        </w:tc>
        <w:tc>
          <w:tcPr>
            <w:tcW w:w="282" w:type="pct"/>
            <w:tcBorders>
              <w:bottom w:val="single" w:sz="4" w:space="0" w:color="auto"/>
            </w:tcBorders>
            <w:shd w:val="clear" w:color="auto" w:fill="auto"/>
            <w:noWrap/>
            <w:vAlign w:val="center"/>
            <w:hideMark/>
          </w:tcPr>
          <w:p w14:paraId="2A82ED1B"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-3.79</w:t>
            </w:r>
          </w:p>
        </w:tc>
        <w:tc>
          <w:tcPr>
            <w:tcW w:w="282" w:type="pct"/>
            <w:tcBorders>
              <w:bottom w:val="single" w:sz="4" w:space="0" w:color="auto"/>
              <w:right w:val="single" w:sz="4" w:space="0" w:color="auto"/>
            </w:tcBorders>
            <w:shd w:val="clear" w:color="auto" w:fill="auto"/>
            <w:noWrap/>
            <w:vAlign w:val="center"/>
            <w:hideMark/>
          </w:tcPr>
          <w:p w14:paraId="7BCEDE6D"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10.13</w:t>
            </w:r>
          </w:p>
        </w:tc>
        <w:tc>
          <w:tcPr>
            <w:tcW w:w="282" w:type="pct"/>
            <w:tcBorders>
              <w:left w:val="single" w:sz="4" w:space="0" w:color="auto"/>
            </w:tcBorders>
            <w:shd w:val="clear" w:color="auto" w:fill="auto"/>
            <w:noWrap/>
            <w:vAlign w:val="center"/>
            <w:hideMark/>
          </w:tcPr>
          <w:p w14:paraId="4A37EF96"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-3.55</w:t>
            </w:r>
          </w:p>
        </w:tc>
        <w:tc>
          <w:tcPr>
            <w:tcW w:w="282" w:type="pct"/>
            <w:shd w:val="clear" w:color="auto" w:fill="auto"/>
            <w:noWrap/>
            <w:vAlign w:val="center"/>
            <w:hideMark/>
          </w:tcPr>
          <w:p w14:paraId="5EEF2E39"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-11.69</w:t>
            </w:r>
          </w:p>
        </w:tc>
        <w:tc>
          <w:tcPr>
            <w:tcW w:w="282" w:type="pct"/>
            <w:shd w:val="clear" w:color="auto" w:fill="auto"/>
            <w:noWrap/>
            <w:vAlign w:val="center"/>
            <w:hideMark/>
          </w:tcPr>
          <w:p w14:paraId="18CD2DA8"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1.08</w:t>
            </w:r>
          </w:p>
        </w:tc>
        <w:tc>
          <w:tcPr>
            <w:tcW w:w="282" w:type="pct"/>
            <w:shd w:val="clear" w:color="auto" w:fill="auto"/>
            <w:noWrap/>
            <w:vAlign w:val="center"/>
            <w:hideMark/>
          </w:tcPr>
          <w:p w14:paraId="125D3D8E"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-0.24</w:t>
            </w:r>
          </w:p>
        </w:tc>
        <w:tc>
          <w:tcPr>
            <w:tcW w:w="282" w:type="pct"/>
            <w:shd w:val="clear" w:color="auto" w:fill="auto"/>
            <w:noWrap/>
            <w:vAlign w:val="center"/>
            <w:hideMark/>
          </w:tcPr>
          <w:p w14:paraId="1E0F3AEB"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-1.56</w:t>
            </w:r>
          </w:p>
        </w:tc>
        <w:tc>
          <w:tcPr>
            <w:tcW w:w="282" w:type="pct"/>
            <w:shd w:val="clear" w:color="auto" w:fill="auto"/>
            <w:noWrap/>
            <w:vAlign w:val="center"/>
            <w:hideMark/>
          </w:tcPr>
          <w:p w14:paraId="4954040A"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-3.96</w:t>
            </w:r>
          </w:p>
        </w:tc>
        <w:tc>
          <w:tcPr>
            <w:tcW w:w="409" w:type="pct"/>
            <w:shd w:val="clear" w:color="auto" w:fill="auto"/>
            <w:noWrap/>
            <w:vAlign w:val="center"/>
            <w:hideMark/>
          </w:tcPr>
          <w:p w14:paraId="372BD617"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-1.01</w:t>
            </w:r>
          </w:p>
        </w:tc>
        <w:tc>
          <w:tcPr>
            <w:tcW w:w="384" w:type="pct"/>
            <w:shd w:val="clear" w:color="auto" w:fill="auto"/>
            <w:noWrap/>
            <w:vAlign w:val="center"/>
            <w:hideMark/>
          </w:tcPr>
          <w:p w14:paraId="27C0FDC2" w14:textId="77777777" w:rsidR="00EB416E" w:rsidRPr="00EB416E" w:rsidRDefault="00EB416E" w:rsidP="00E063A1">
            <w:pPr>
              <w:spacing w:after="0" w:line="240" w:lineRule="auto"/>
              <w:rPr>
                <w:rFonts w:ascii="Times New Roman" w:eastAsia="Times New Roman" w:hAnsi="Times New Roman" w:cs="Times New Roman"/>
                <w:color w:val="000000"/>
                <w:sz w:val="20"/>
              </w:rPr>
            </w:pPr>
            <w:r w:rsidRPr="00EB416E">
              <w:rPr>
                <w:rFonts w:ascii="Times New Roman" w:eastAsia="Times New Roman" w:hAnsi="Times New Roman" w:cs="Times New Roman"/>
                <w:color w:val="000000"/>
                <w:sz w:val="20"/>
              </w:rPr>
              <w:t>89.60</w:t>
            </w:r>
          </w:p>
        </w:tc>
      </w:tr>
    </w:tbl>
    <w:p w14:paraId="2491CE49" w14:textId="721341FD" w:rsidR="004F242A" w:rsidRPr="00AF531A" w:rsidRDefault="004F242A" w:rsidP="004F242A">
      <w:pPr>
        <w:jc w:val="both"/>
        <w:rPr>
          <w:rFonts w:ascii="Times New Roman" w:hAnsi="Times New Roman" w:cs="Times New Roman"/>
          <w:sz w:val="18"/>
          <w:szCs w:val="18"/>
        </w:rPr>
      </w:pPr>
      <w:r w:rsidRPr="00AF531A">
        <w:rPr>
          <w:rFonts w:ascii="Times New Roman" w:hAnsi="Times New Roman" w:cs="Times New Roman"/>
          <w:sz w:val="18"/>
          <w:szCs w:val="18"/>
        </w:rPr>
        <w:t>Notes: DEX- Decentralized Exchange, CEX- Centralized Exchange, RUNE-</w:t>
      </w:r>
      <w:r w:rsidR="00233DAE">
        <w:rPr>
          <w:rFonts w:ascii="Times New Roman" w:hAnsi="Times New Roman" w:cs="Times New Roman"/>
          <w:sz w:val="18"/>
          <w:szCs w:val="18"/>
        </w:rPr>
        <w:t xml:space="preserve"> </w:t>
      </w:r>
      <w:proofErr w:type="spellStart"/>
      <w:r w:rsidRPr="00AF531A">
        <w:rPr>
          <w:rFonts w:ascii="Times New Roman" w:hAnsi="Times New Roman" w:cs="Times New Roman"/>
          <w:sz w:val="18"/>
          <w:szCs w:val="18"/>
        </w:rPr>
        <w:t>THORChain</w:t>
      </w:r>
      <w:proofErr w:type="spellEnd"/>
      <w:r w:rsidRPr="00AF531A">
        <w:rPr>
          <w:rFonts w:ascii="Times New Roman" w:hAnsi="Times New Roman" w:cs="Times New Roman"/>
          <w:sz w:val="18"/>
          <w:szCs w:val="18"/>
        </w:rPr>
        <w:t>, LRC-</w:t>
      </w:r>
      <w:r w:rsidR="00233DAE">
        <w:rPr>
          <w:rFonts w:ascii="Times New Roman" w:hAnsi="Times New Roman" w:cs="Times New Roman"/>
          <w:sz w:val="18"/>
          <w:szCs w:val="18"/>
        </w:rPr>
        <w:t xml:space="preserve"> </w:t>
      </w:r>
      <w:proofErr w:type="spellStart"/>
      <w:proofErr w:type="gramStart"/>
      <w:r w:rsidRPr="00AF531A">
        <w:rPr>
          <w:rFonts w:ascii="Times New Roman" w:hAnsi="Times New Roman" w:cs="Times New Roman"/>
          <w:sz w:val="18"/>
          <w:szCs w:val="18"/>
        </w:rPr>
        <w:t>Loopring</w:t>
      </w:r>
      <w:proofErr w:type="spellEnd"/>
      <w:r w:rsidRPr="00AF531A">
        <w:rPr>
          <w:rFonts w:ascii="Times New Roman" w:hAnsi="Times New Roman" w:cs="Times New Roman"/>
          <w:sz w:val="18"/>
          <w:szCs w:val="18"/>
        </w:rPr>
        <w:t> ,</w:t>
      </w:r>
      <w:proofErr w:type="gramEnd"/>
      <w:r w:rsidRPr="00AF531A">
        <w:rPr>
          <w:rFonts w:ascii="Times New Roman" w:hAnsi="Times New Roman" w:cs="Times New Roman"/>
          <w:sz w:val="18"/>
          <w:szCs w:val="18"/>
        </w:rPr>
        <w:t xml:space="preserve"> GNO-</w:t>
      </w:r>
      <w:r w:rsidR="00233DAE">
        <w:rPr>
          <w:rFonts w:ascii="Times New Roman" w:hAnsi="Times New Roman" w:cs="Times New Roman"/>
          <w:sz w:val="18"/>
          <w:szCs w:val="18"/>
        </w:rPr>
        <w:t xml:space="preserve"> </w:t>
      </w:r>
      <w:r w:rsidRPr="00AF531A">
        <w:rPr>
          <w:rFonts w:ascii="Times New Roman" w:hAnsi="Times New Roman" w:cs="Times New Roman"/>
          <w:sz w:val="18"/>
          <w:szCs w:val="18"/>
        </w:rPr>
        <w:t>Gnosis, BNB-</w:t>
      </w:r>
      <w:r w:rsidR="00233DAE">
        <w:rPr>
          <w:rFonts w:ascii="Times New Roman" w:hAnsi="Times New Roman" w:cs="Times New Roman"/>
          <w:sz w:val="18"/>
          <w:szCs w:val="18"/>
        </w:rPr>
        <w:t xml:space="preserve"> </w:t>
      </w:r>
      <w:proofErr w:type="spellStart"/>
      <w:r w:rsidRPr="00AF531A">
        <w:rPr>
          <w:rFonts w:ascii="Times New Roman" w:hAnsi="Times New Roman" w:cs="Times New Roman"/>
          <w:sz w:val="18"/>
          <w:szCs w:val="18"/>
        </w:rPr>
        <w:t>Binance</w:t>
      </w:r>
      <w:proofErr w:type="spellEnd"/>
      <w:r w:rsidRPr="00AF531A">
        <w:rPr>
          <w:rFonts w:ascii="Times New Roman" w:hAnsi="Times New Roman" w:cs="Times New Roman"/>
          <w:sz w:val="18"/>
          <w:szCs w:val="18"/>
        </w:rPr>
        <w:t xml:space="preserve"> Coin, LEO-</w:t>
      </w:r>
      <w:r w:rsidR="00233DAE">
        <w:rPr>
          <w:rFonts w:ascii="Times New Roman" w:hAnsi="Times New Roman" w:cs="Times New Roman"/>
          <w:sz w:val="18"/>
          <w:szCs w:val="18"/>
        </w:rPr>
        <w:t xml:space="preserve"> </w:t>
      </w:r>
      <w:r w:rsidRPr="00AF531A">
        <w:rPr>
          <w:rFonts w:ascii="Times New Roman" w:hAnsi="Times New Roman" w:cs="Times New Roman"/>
          <w:sz w:val="18"/>
          <w:szCs w:val="18"/>
        </w:rPr>
        <w:t>UNUS SED LEO, FTT-</w:t>
      </w:r>
      <w:r w:rsidR="00233DAE">
        <w:rPr>
          <w:rFonts w:ascii="Times New Roman" w:hAnsi="Times New Roman" w:cs="Times New Roman"/>
          <w:sz w:val="18"/>
          <w:szCs w:val="18"/>
        </w:rPr>
        <w:t xml:space="preserve"> </w:t>
      </w:r>
      <w:r w:rsidRPr="00AF531A">
        <w:rPr>
          <w:rFonts w:ascii="Times New Roman" w:hAnsi="Times New Roman" w:cs="Times New Roman"/>
          <w:sz w:val="18"/>
          <w:szCs w:val="18"/>
        </w:rPr>
        <w:t>FTX Token, BTC-</w:t>
      </w:r>
      <w:r w:rsidR="00233DAE">
        <w:rPr>
          <w:rFonts w:ascii="Times New Roman" w:hAnsi="Times New Roman" w:cs="Times New Roman"/>
          <w:sz w:val="18"/>
          <w:szCs w:val="18"/>
        </w:rPr>
        <w:t xml:space="preserve"> </w:t>
      </w:r>
      <w:r w:rsidRPr="00AF531A">
        <w:rPr>
          <w:rFonts w:ascii="Times New Roman" w:hAnsi="Times New Roman" w:cs="Times New Roman"/>
          <w:sz w:val="18"/>
          <w:szCs w:val="18"/>
        </w:rPr>
        <w:t>Bitcoin.</w:t>
      </w:r>
    </w:p>
    <w:p w14:paraId="1C3BBAD4" w14:textId="77777777" w:rsidR="004F242A" w:rsidRPr="008E7B4C" w:rsidRDefault="004F242A" w:rsidP="004F242A">
      <w:pPr>
        <w:rPr>
          <w:rFonts w:ascii="Times New Roman" w:hAnsi="Times New Roman" w:cs="Times New Roman"/>
        </w:rPr>
      </w:pPr>
    </w:p>
    <w:p w14:paraId="3A7B0D7E" w14:textId="77777777" w:rsidR="004F242A" w:rsidRPr="008E7B4C" w:rsidRDefault="004F242A" w:rsidP="004F242A">
      <w:pPr>
        <w:tabs>
          <w:tab w:val="left" w:pos="1320"/>
        </w:tabs>
        <w:rPr>
          <w:rFonts w:ascii="Times New Roman" w:hAnsi="Times New Roman" w:cs="Times New Roman"/>
        </w:rPr>
      </w:pPr>
      <w:r w:rsidRPr="008E7B4C">
        <w:rPr>
          <w:rFonts w:ascii="Times New Roman" w:hAnsi="Times New Roman" w:cs="Times New Roman"/>
        </w:rPr>
        <w:tab/>
      </w:r>
    </w:p>
    <w:p w14:paraId="1DC16747" w14:textId="77777777" w:rsidR="004F242A" w:rsidRPr="008E7B4C" w:rsidRDefault="004F242A" w:rsidP="004F242A">
      <w:pPr>
        <w:tabs>
          <w:tab w:val="left" w:pos="1320"/>
        </w:tabs>
        <w:rPr>
          <w:rFonts w:ascii="Times New Roman" w:hAnsi="Times New Roman" w:cs="Times New Roman"/>
        </w:rPr>
      </w:pPr>
      <w:r w:rsidRPr="008E7B4C">
        <w:rPr>
          <w:rFonts w:ascii="Times New Roman" w:hAnsi="Times New Roman" w:cs="Times New Roman"/>
        </w:rPr>
        <w:object w:dxaOrig="8881" w:dyaOrig="7356" w14:anchorId="63998027">
          <v:shape id="_x0000_i1033" type="#_x0000_t75" style="width:447pt;height:366pt" o:ole="">
            <v:imagedata r:id="rId30" o:title=""/>
          </v:shape>
          <o:OLEObject Type="Embed" ProgID="EViews.Workfile.2" ShapeID="_x0000_i1033" DrawAspect="Content" ObjectID="_1756816819" r:id="rId31"/>
        </w:object>
      </w:r>
    </w:p>
    <w:p w14:paraId="1FA3D3BB" w14:textId="77777777" w:rsidR="004F242A" w:rsidRPr="008E7B4C" w:rsidRDefault="004F242A" w:rsidP="004F242A">
      <w:pPr>
        <w:tabs>
          <w:tab w:val="left" w:pos="1320"/>
        </w:tabs>
        <w:rPr>
          <w:rFonts w:ascii="Times New Roman" w:hAnsi="Times New Roman" w:cs="Times New Roman"/>
        </w:rPr>
      </w:pPr>
    </w:p>
    <w:p w14:paraId="2BCF9191" w14:textId="4BB1B9B0" w:rsidR="004F242A" w:rsidRPr="00EB416E" w:rsidRDefault="004F242A" w:rsidP="00EB416E">
      <w:pPr>
        <w:rPr>
          <w:rFonts w:ascii="Times New Roman" w:hAnsi="Times New Roman" w:cs="Times New Roman"/>
        </w:rPr>
      </w:pPr>
      <w:r w:rsidRPr="007D5B27">
        <w:rPr>
          <w:rFonts w:ascii="Times New Roman" w:hAnsi="Times New Roman" w:cs="Times New Roman"/>
          <w:b/>
          <w:bCs/>
        </w:rPr>
        <w:t>Figure A1.</w:t>
      </w:r>
      <w:r w:rsidRPr="008E7B4C">
        <w:rPr>
          <w:rFonts w:ascii="Times New Roman" w:hAnsi="Times New Roman" w:cs="Times New Roman"/>
        </w:rPr>
        <w:t xml:space="preserve"> </w:t>
      </w:r>
      <w:r w:rsidRPr="006F06B8">
        <w:rPr>
          <w:rFonts w:ascii="Times New Roman" w:hAnsi="Times New Roman" w:cs="Times New Roman"/>
          <w:sz w:val="24"/>
          <w:szCs w:val="24"/>
        </w:rPr>
        <w:t>Time</w:t>
      </w:r>
      <w:r w:rsidR="00233DAE">
        <w:rPr>
          <w:rFonts w:ascii="Times New Roman" w:hAnsi="Times New Roman" w:cs="Times New Roman"/>
          <w:sz w:val="24"/>
          <w:szCs w:val="24"/>
        </w:rPr>
        <w:t>-</w:t>
      </w:r>
      <w:r w:rsidRPr="006F06B8">
        <w:rPr>
          <w:rFonts w:ascii="Times New Roman" w:hAnsi="Times New Roman" w:cs="Times New Roman"/>
          <w:sz w:val="24"/>
          <w:szCs w:val="24"/>
        </w:rPr>
        <w:t xml:space="preserve">varying </w:t>
      </w:r>
      <w:r>
        <w:rPr>
          <w:rFonts w:ascii="Times New Roman" w:hAnsi="Times New Roman" w:cs="Times New Roman"/>
          <w:sz w:val="24"/>
          <w:szCs w:val="24"/>
        </w:rPr>
        <w:t>TCI</w:t>
      </w:r>
      <w:r w:rsidR="000A1E51">
        <w:rPr>
          <w:rFonts w:ascii="Times New Roman" w:hAnsi="Times New Roman" w:cs="Times New Roman"/>
          <w:sz w:val="24"/>
          <w:szCs w:val="24"/>
        </w:rPr>
        <w:t>.</w:t>
      </w:r>
      <w:r>
        <w:rPr>
          <w:rFonts w:ascii="Times New Roman" w:hAnsi="Times New Roman" w:cs="Times New Roman"/>
          <w:sz w:val="24"/>
          <w:szCs w:val="24"/>
        </w:rPr>
        <w:t xml:space="preserve"> [Highlighted area is showing after </w:t>
      </w:r>
      <w:r w:rsidR="005D2CEF">
        <w:rPr>
          <w:rFonts w:ascii="Times New Roman" w:hAnsi="Times New Roman" w:cs="Times New Roman"/>
          <w:sz w:val="24"/>
          <w:szCs w:val="24"/>
        </w:rPr>
        <w:t xml:space="preserve">the </w:t>
      </w:r>
      <w:r>
        <w:rPr>
          <w:rFonts w:ascii="Times New Roman" w:hAnsi="Times New Roman" w:cs="Times New Roman"/>
          <w:sz w:val="24"/>
          <w:szCs w:val="24"/>
        </w:rPr>
        <w:t>FTX collapse period]</w:t>
      </w:r>
    </w:p>
    <w:sectPr w:rsidR="004F242A" w:rsidRPr="00EB416E" w:rsidSect="00E063A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64A53" w14:textId="77777777" w:rsidR="00AB2D8F" w:rsidRDefault="00AB2D8F" w:rsidP="00410890">
      <w:pPr>
        <w:spacing w:after="0" w:line="240" w:lineRule="auto"/>
      </w:pPr>
      <w:r>
        <w:separator/>
      </w:r>
    </w:p>
  </w:endnote>
  <w:endnote w:type="continuationSeparator" w:id="0">
    <w:p w14:paraId="34D3D900" w14:textId="77777777" w:rsidR="00AB2D8F" w:rsidRDefault="00AB2D8F" w:rsidP="004108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4177398"/>
      <w:docPartObj>
        <w:docPartGallery w:val="Page Numbers (Bottom of Page)"/>
        <w:docPartUnique/>
      </w:docPartObj>
    </w:sdtPr>
    <w:sdtEndPr>
      <w:rPr>
        <w:noProof/>
      </w:rPr>
    </w:sdtEndPr>
    <w:sdtContent>
      <w:p w14:paraId="398169EA" w14:textId="7AD9AAEE" w:rsidR="000E187E" w:rsidRDefault="000E187E">
        <w:pPr>
          <w:pStyle w:val="Footer"/>
          <w:jc w:val="center"/>
        </w:pPr>
        <w:r>
          <w:fldChar w:fldCharType="begin"/>
        </w:r>
        <w:r>
          <w:instrText xml:space="preserve"> PAGE   \* MERGEFORMAT </w:instrText>
        </w:r>
        <w:r>
          <w:fldChar w:fldCharType="separate"/>
        </w:r>
        <w:r w:rsidR="00EE0DE9">
          <w:rPr>
            <w:noProof/>
          </w:rPr>
          <w:t>32</w:t>
        </w:r>
        <w:r>
          <w:rPr>
            <w:noProof/>
          </w:rPr>
          <w:fldChar w:fldCharType="end"/>
        </w:r>
      </w:p>
    </w:sdtContent>
  </w:sdt>
  <w:p w14:paraId="34C91697" w14:textId="77777777" w:rsidR="000E187E" w:rsidRDefault="000E18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DC64E" w14:textId="77777777" w:rsidR="00AB2D8F" w:rsidRDefault="00AB2D8F" w:rsidP="00410890">
      <w:pPr>
        <w:spacing w:after="0" w:line="240" w:lineRule="auto"/>
      </w:pPr>
      <w:r>
        <w:separator/>
      </w:r>
    </w:p>
  </w:footnote>
  <w:footnote w:type="continuationSeparator" w:id="0">
    <w:p w14:paraId="3B84E093" w14:textId="77777777" w:rsidR="00AB2D8F" w:rsidRDefault="00AB2D8F" w:rsidP="00410890">
      <w:pPr>
        <w:spacing w:after="0" w:line="240" w:lineRule="auto"/>
      </w:pPr>
      <w:r>
        <w:continuationSeparator/>
      </w:r>
    </w:p>
  </w:footnote>
  <w:footnote w:id="1">
    <w:p w14:paraId="039BA18B" w14:textId="153DE24F" w:rsidR="00147147" w:rsidRDefault="00147147" w:rsidP="00774D93">
      <w:pPr>
        <w:pStyle w:val="FootnoteText"/>
        <w:jc w:val="both"/>
      </w:pPr>
      <w:r>
        <w:rPr>
          <w:rStyle w:val="FootnoteReference"/>
        </w:rPr>
        <w:footnoteRef/>
      </w:r>
      <w:r>
        <w:t xml:space="preserve"> </w:t>
      </w:r>
      <w:bookmarkStart w:id="2" w:name="_Hlk145326618"/>
      <w:r w:rsidRPr="00185A58">
        <w:rPr>
          <w:highlight w:val="cyan"/>
        </w:rPr>
        <w:t xml:space="preserve">The most widely used cryptocurrency is Bitcoin (BTCUSD), which is used to send and receive payments using a blockchain. Alternative cryptocurrencies known as "altcoins" were introduced following the enormous success of Bitcoin. The phrase refers to cryptocurrency other than Bitcoin, or alternative coins. They were introduced as improved Bitcoin alternatives that purported to address some of the drawbacks of the original currency. Typical examples of alternative coins include Litecoin (LTCUSD), Dogecoin (DOGEUSD), </w:t>
      </w:r>
      <w:proofErr w:type="spellStart"/>
      <w:r w:rsidRPr="00185A58">
        <w:rPr>
          <w:highlight w:val="cyan"/>
        </w:rPr>
        <w:t>Namecoin</w:t>
      </w:r>
      <w:proofErr w:type="spellEnd"/>
      <w:r w:rsidRPr="00185A58">
        <w:rPr>
          <w:highlight w:val="cyan"/>
        </w:rPr>
        <w:t xml:space="preserve"> (NAMEUSD), and Bitcoin Cash (BCHUSD). While they have all experienced some success, none have been as well-known as Bitcoin.</w:t>
      </w:r>
    </w:p>
    <w:bookmarkEnd w:id="2"/>
  </w:footnote>
  <w:footnote w:id="2">
    <w:p w14:paraId="36D90862" w14:textId="1C35F494" w:rsidR="005E1658" w:rsidRPr="003F05E5" w:rsidRDefault="005E1658">
      <w:pPr>
        <w:pStyle w:val="FootnoteText"/>
        <w:rPr>
          <w:rFonts w:ascii="Times New Roman" w:hAnsi="Times New Roman" w:cs="Times New Roman"/>
        </w:rPr>
      </w:pPr>
      <w:r w:rsidRPr="003F05E5">
        <w:rPr>
          <w:rStyle w:val="FootnoteReference"/>
          <w:rFonts w:ascii="Times New Roman" w:hAnsi="Times New Roman" w:cs="Times New Roman"/>
        </w:rPr>
        <w:footnoteRef/>
      </w:r>
      <w:r w:rsidRPr="003F05E5">
        <w:rPr>
          <w:rFonts w:ascii="Times New Roman" w:hAnsi="Times New Roman" w:cs="Times New Roman"/>
        </w:rPr>
        <w:t xml:space="preserve"> </w:t>
      </w:r>
      <w:hyperlink r:id="rId1" w:history="1">
        <w:r w:rsidRPr="003F05E5">
          <w:rPr>
            <w:rFonts w:ascii="Times New Roman" w:hAnsi="Times New Roman" w:cs="Times New Roman"/>
            <w:u w:val="single"/>
          </w:rPr>
          <w:t>Quadriga CEO's widow speaks out over his death and the missing crypto millions | CBC News</w:t>
        </w:r>
      </w:hyperlink>
    </w:p>
  </w:footnote>
  <w:footnote w:id="3">
    <w:p w14:paraId="4F824D9F" w14:textId="77777777" w:rsidR="00C94F54" w:rsidRDefault="00C94F54" w:rsidP="00C94F54">
      <w:pPr>
        <w:pStyle w:val="FootnoteText"/>
      </w:pPr>
      <w:r w:rsidRPr="009C2EEC">
        <w:rPr>
          <w:rStyle w:val="FootnoteReference"/>
          <w:rFonts w:ascii="Times New Roman" w:hAnsi="Times New Roman" w:cs="Times New Roman"/>
          <w:sz w:val="18"/>
          <w:szCs w:val="18"/>
        </w:rPr>
        <w:footnoteRef/>
      </w:r>
      <w:r w:rsidRPr="009C2EEC">
        <w:rPr>
          <w:rFonts w:ascii="Times New Roman" w:hAnsi="Times New Roman" w:cs="Times New Roman"/>
          <w:sz w:val="18"/>
          <w:szCs w:val="18"/>
        </w:rPr>
        <w:t xml:space="preserve"> The FTT-FTX Token data</w:t>
      </w:r>
      <w:r>
        <w:rPr>
          <w:rFonts w:ascii="Times New Roman" w:hAnsi="Times New Roman" w:cs="Times New Roman"/>
          <w:sz w:val="18"/>
          <w:szCs w:val="18"/>
        </w:rPr>
        <w:t xml:space="preserve"> are </w:t>
      </w:r>
      <w:r w:rsidRPr="009C2EEC">
        <w:rPr>
          <w:rFonts w:ascii="Times New Roman" w:hAnsi="Times New Roman" w:cs="Times New Roman"/>
          <w:sz w:val="18"/>
          <w:szCs w:val="18"/>
        </w:rPr>
        <w:t xml:space="preserve">available from </w:t>
      </w:r>
      <w:r>
        <w:rPr>
          <w:rFonts w:ascii="Times New Roman" w:hAnsi="Times New Roman" w:cs="Times New Roman"/>
          <w:sz w:val="18"/>
          <w:szCs w:val="18"/>
        </w:rPr>
        <w:t xml:space="preserve">31 </w:t>
      </w:r>
      <w:r w:rsidRPr="009C2EEC">
        <w:rPr>
          <w:rFonts w:ascii="Times New Roman" w:hAnsi="Times New Roman" w:cs="Times New Roman"/>
          <w:sz w:val="18"/>
          <w:szCs w:val="18"/>
        </w:rPr>
        <w:t>July 2019; therefore, we start our sample period from this date.</w:t>
      </w:r>
    </w:p>
  </w:footnote>
  <w:footnote w:id="4">
    <w:p w14:paraId="76020181" w14:textId="77777777" w:rsidR="000E187E" w:rsidRPr="00F0330D" w:rsidRDefault="000E187E" w:rsidP="00F0330D">
      <w:pPr>
        <w:pStyle w:val="FootnoteText"/>
        <w:rPr>
          <w:color w:val="0D0D0D" w:themeColor="text1" w:themeTint="F2"/>
        </w:rPr>
      </w:pPr>
      <w:r w:rsidRPr="00F0330D">
        <w:rPr>
          <w:rStyle w:val="FootnoteReference"/>
          <w:color w:val="0D0D0D" w:themeColor="text1" w:themeTint="F2"/>
        </w:rPr>
        <w:footnoteRef/>
      </w:r>
      <w:r w:rsidRPr="00F0330D">
        <w:rPr>
          <w:color w:val="0D0D0D" w:themeColor="text1" w:themeTint="F2"/>
        </w:rPr>
        <w:t xml:space="preserve"> </w:t>
      </w:r>
      <w:hyperlink r:id="rId2" w:history="1">
        <w:r w:rsidRPr="00F0330D">
          <w:rPr>
            <w:rStyle w:val="Hyperlink"/>
            <w:color w:val="0D0D0D" w:themeColor="text1" w:themeTint="F2"/>
          </w:rPr>
          <w:t>https://www.forbes.com/sites/qai/2022/09/22/is-this-the-worst-year-ever-for-bonds/?sh=65baccd2b4fe</w:t>
        </w:r>
      </w:hyperlink>
    </w:p>
    <w:p w14:paraId="4B89684B" w14:textId="4600B0DE" w:rsidR="000E187E" w:rsidRPr="00F0330D" w:rsidRDefault="000E187E">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A56DC"/>
    <w:multiLevelType w:val="multilevel"/>
    <w:tmpl w:val="0A0027AE"/>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i/>
        <w:iCs/>
      </w:rPr>
    </w:lvl>
    <w:lvl w:ilvl="2">
      <w:start w:val="1"/>
      <w:numFmt w:val="decimal"/>
      <w:lvlText w:val="4.%2.%3."/>
      <w:lvlJc w:val="left"/>
      <w:pPr>
        <w:ind w:left="504" w:hanging="504"/>
      </w:pPr>
      <w:rPr>
        <w:rFonts w:hint="default"/>
        <w:i/>
        <w:i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DF032D3"/>
    <w:multiLevelType w:val="hybridMultilevel"/>
    <w:tmpl w:val="15A26DFE"/>
    <w:lvl w:ilvl="0" w:tplc="3B78F2BA">
      <w:start w:val="5"/>
      <w:numFmt w:val="decimal"/>
      <w:lvlText w:val="%1."/>
      <w:lvlJc w:val="left"/>
      <w:pPr>
        <w:ind w:left="36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F1765E2"/>
    <w:multiLevelType w:val="hybridMultilevel"/>
    <w:tmpl w:val="CA30062C"/>
    <w:lvl w:ilvl="0" w:tplc="626AEAA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4A2D6A"/>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D9743E3"/>
    <w:multiLevelType w:val="multilevel"/>
    <w:tmpl w:val="70F28290"/>
    <w:lvl w:ilvl="0">
      <w:start w:val="1"/>
      <w:numFmt w:val="decimal"/>
      <w:lvlText w:val="%1."/>
      <w:lvlJc w:val="left"/>
      <w:pPr>
        <w:ind w:left="360" w:hanging="360"/>
      </w:pPr>
      <w:rPr>
        <w:rFonts w:hint="default"/>
      </w:rPr>
    </w:lvl>
    <w:lvl w:ilvl="1">
      <w:start w:val="2"/>
      <w:numFmt w:val="none"/>
      <w:lvlRestart w:val="0"/>
      <w:lvlText w:val="2.1."/>
      <w:lvlJc w:val="left"/>
      <w:pPr>
        <w:ind w:left="432" w:hanging="432"/>
      </w:pPr>
      <w:rPr>
        <w:rFonts w:hint="default"/>
        <w:b/>
        <w:bCs/>
        <w:i/>
        <w:iCs/>
      </w:rPr>
    </w:lvl>
    <w:lvl w:ilvl="2">
      <w:start w:val="1"/>
      <w:numFmt w:val="decimal"/>
      <w:lvlText w:val="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7201233"/>
    <w:multiLevelType w:val="hybridMultilevel"/>
    <w:tmpl w:val="B73AC724"/>
    <w:lvl w:ilvl="0" w:tplc="0A6ADF84">
      <w:start w:val="1"/>
      <w:numFmt w:val="decimal"/>
      <w:lvlText w:val="%1."/>
      <w:lvlJc w:val="left"/>
      <w:pPr>
        <w:ind w:left="360" w:hanging="360"/>
      </w:pPr>
      <w:rPr>
        <w:b/>
        <w:bCs/>
      </w:rPr>
    </w:lvl>
    <w:lvl w:ilvl="1" w:tplc="08090019" w:tentative="1">
      <w:start w:val="1"/>
      <w:numFmt w:val="lowerLetter"/>
      <w:lvlText w:val="%2."/>
      <w:lvlJc w:val="left"/>
      <w:pPr>
        <w:ind w:left="2923" w:hanging="360"/>
      </w:pPr>
    </w:lvl>
    <w:lvl w:ilvl="2" w:tplc="0809001B" w:tentative="1">
      <w:start w:val="1"/>
      <w:numFmt w:val="lowerRoman"/>
      <w:lvlText w:val="%3."/>
      <w:lvlJc w:val="right"/>
      <w:pPr>
        <w:ind w:left="3643" w:hanging="180"/>
      </w:pPr>
    </w:lvl>
    <w:lvl w:ilvl="3" w:tplc="0809000F" w:tentative="1">
      <w:start w:val="1"/>
      <w:numFmt w:val="decimal"/>
      <w:lvlText w:val="%4."/>
      <w:lvlJc w:val="left"/>
      <w:pPr>
        <w:ind w:left="4363" w:hanging="360"/>
      </w:pPr>
    </w:lvl>
    <w:lvl w:ilvl="4" w:tplc="08090019" w:tentative="1">
      <w:start w:val="1"/>
      <w:numFmt w:val="lowerLetter"/>
      <w:lvlText w:val="%5."/>
      <w:lvlJc w:val="left"/>
      <w:pPr>
        <w:ind w:left="5083" w:hanging="360"/>
      </w:pPr>
    </w:lvl>
    <w:lvl w:ilvl="5" w:tplc="0809001B" w:tentative="1">
      <w:start w:val="1"/>
      <w:numFmt w:val="lowerRoman"/>
      <w:lvlText w:val="%6."/>
      <w:lvlJc w:val="right"/>
      <w:pPr>
        <w:ind w:left="5803" w:hanging="180"/>
      </w:pPr>
    </w:lvl>
    <w:lvl w:ilvl="6" w:tplc="0809000F" w:tentative="1">
      <w:start w:val="1"/>
      <w:numFmt w:val="decimal"/>
      <w:lvlText w:val="%7."/>
      <w:lvlJc w:val="left"/>
      <w:pPr>
        <w:ind w:left="6523" w:hanging="360"/>
      </w:pPr>
    </w:lvl>
    <w:lvl w:ilvl="7" w:tplc="08090019" w:tentative="1">
      <w:start w:val="1"/>
      <w:numFmt w:val="lowerLetter"/>
      <w:lvlText w:val="%8."/>
      <w:lvlJc w:val="left"/>
      <w:pPr>
        <w:ind w:left="7243" w:hanging="360"/>
      </w:pPr>
    </w:lvl>
    <w:lvl w:ilvl="8" w:tplc="0809001B" w:tentative="1">
      <w:start w:val="1"/>
      <w:numFmt w:val="lowerRoman"/>
      <w:lvlText w:val="%9."/>
      <w:lvlJc w:val="right"/>
      <w:pPr>
        <w:ind w:left="7963" w:hanging="180"/>
      </w:pPr>
    </w:lvl>
  </w:abstractNum>
  <w:abstractNum w:abstractNumId="6" w15:restartNumberingAfterBreak="0">
    <w:nsid w:val="501217C6"/>
    <w:multiLevelType w:val="multilevel"/>
    <w:tmpl w:val="4F864D20"/>
    <w:lvl w:ilvl="0">
      <w:start w:val="4"/>
      <w:numFmt w:val="decimal"/>
      <w:lvlText w:val="%1."/>
      <w:lvlJc w:val="left"/>
      <w:pPr>
        <w:ind w:left="360" w:hanging="360"/>
      </w:pPr>
      <w:rPr>
        <w:rFonts w:hint="default"/>
      </w:rPr>
    </w:lvl>
    <w:lvl w:ilvl="1">
      <w:start w:val="1"/>
      <w:numFmt w:val="decimal"/>
      <w:lvlText w:val="3.%2."/>
      <w:lvlJc w:val="left"/>
      <w:pPr>
        <w:ind w:left="432" w:hanging="432"/>
      </w:pPr>
      <w:rPr>
        <w:rFonts w:hint="default"/>
        <w:b/>
        <w:bCs/>
        <w:i/>
        <w:iCs/>
      </w:rPr>
    </w:lvl>
    <w:lvl w:ilvl="2">
      <w:start w:val="1"/>
      <w:numFmt w:val="decimal"/>
      <w:lvlText w:val="%33.%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AD020B8"/>
    <w:multiLevelType w:val="multilevel"/>
    <w:tmpl w:val="4F864D20"/>
    <w:lvl w:ilvl="0">
      <w:start w:val="4"/>
      <w:numFmt w:val="decimal"/>
      <w:lvlText w:val="%1."/>
      <w:lvlJc w:val="left"/>
      <w:pPr>
        <w:ind w:left="360" w:hanging="360"/>
      </w:pPr>
      <w:rPr>
        <w:rFonts w:hint="default"/>
      </w:rPr>
    </w:lvl>
    <w:lvl w:ilvl="1">
      <w:start w:val="1"/>
      <w:numFmt w:val="decimal"/>
      <w:lvlText w:val="3.%2."/>
      <w:lvlJc w:val="left"/>
      <w:pPr>
        <w:ind w:left="432" w:hanging="432"/>
      </w:pPr>
      <w:rPr>
        <w:rFonts w:hint="default"/>
        <w:b/>
        <w:bCs/>
        <w:i/>
        <w:iCs/>
      </w:rPr>
    </w:lvl>
    <w:lvl w:ilvl="2">
      <w:start w:val="1"/>
      <w:numFmt w:val="decimal"/>
      <w:lvlText w:val="%33.%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5BF80C91"/>
    <w:multiLevelType w:val="multilevel"/>
    <w:tmpl w:val="76E48FEA"/>
    <w:lvl w:ilvl="0">
      <w:start w:val="4"/>
      <w:numFmt w:val="decimal"/>
      <w:lvlText w:val="%1."/>
      <w:lvlJc w:val="left"/>
      <w:pPr>
        <w:ind w:left="360" w:hanging="360"/>
      </w:pPr>
      <w:rPr>
        <w:rFonts w:hint="default"/>
      </w:rPr>
    </w:lvl>
    <w:lvl w:ilvl="1">
      <w:start w:val="1"/>
      <w:numFmt w:val="decimal"/>
      <w:lvlText w:val="%1.%2."/>
      <w:lvlJc w:val="left"/>
      <w:pPr>
        <w:ind w:left="432" w:hanging="432"/>
      </w:pPr>
      <w:rPr>
        <w:rFonts w:hint="default"/>
        <w:b/>
        <w:bCs/>
        <w:i/>
        <w:iCs/>
      </w:rPr>
    </w:lvl>
    <w:lvl w:ilvl="2">
      <w:start w:val="1"/>
      <w:numFmt w:val="decimal"/>
      <w:lvlText w:val="3.%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7B87346E"/>
    <w:multiLevelType w:val="multilevel"/>
    <w:tmpl w:val="A4527902"/>
    <w:lvl w:ilvl="0">
      <w:start w:val="4"/>
      <w:numFmt w:val="decimal"/>
      <w:lvlText w:val="%1."/>
      <w:lvlJc w:val="left"/>
      <w:pPr>
        <w:ind w:left="360" w:hanging="360"/>
      </w:pPr>
      <w:rPr>
        <w:rFonts w:hint="default"/>
      </w:rPr>
    </w:lvl>
    <w:lvl w:ilvl="1">
      <w:start w:val="1"/>
      <w:numFmt w:val="decimal"/>
      <w:lvlText w:val="%1.%2."/>
      <w:lvlJc w:val="left"/>
      <w:pPr>
        <w:ind w:left="432" w:hanging="432"/>
      </w:pPr>
      <w:rPr>
        <w:rFonts w:hint="default"/>
        <w:b/>
        <w:bCs/>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493685738">
    <w:abstractNumId w:val="5"/>
  </w:num>
  <w:num w:numId="2" w16cid:durableId="1736246554">
    <w:abstractNumId w:val="9"/>
  </w:num>
  <w:num w:numId="3" w16cid:durableId="1748112999">
    <w:abstractNumId w:val="0"/>
  </w:num>
  <w:num w:numId="4" w16cid:durableId="761800847">
    <w:abstractNumId w:val="4"/>
  </w:num>
  <w:num w:numId="5" w16cid:durableId="1887331029">
    <w:abstractNumId w:val="2"/>
  </w:num>
  <w:num w:numId="6" w16cid:durableId="1026128936">
    <w:abstractNumId w:val="8"/>
  </w:num>
  <w:num w:numId="7" w16cid:durableId="799688652">
    <w:abstractNumId w:val="3"/>
  </w:num>
  <w:num w:numId="8" w16cid:durableId="194540797">
    <w:abstractNumId w:val="7"/>
  </w:num>
  <w:num w:numId="9" w16cid:durableId="1916544601">
    <w:abstractNumId w:val="6"/>
  </w:num>
  <w:num w:numId="10" w16cid:durableId="6601551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2FA"/>
    <w:rsid w:val="00004E22"/>
    <w:rsid w:val="000054C4"/>
    <w:rsid w:val="000075BB"/>
    <w:rsid w:val="000115B5"/>
    <w:rsid w:val="000134A9"/>
    <w:rsid w:val="000378B3"/>
    <w:rsid w:val="00037A5A"/>
    <w:rsid w:val="0006012A"/>
    <w:rsid w:val="00062598"/>
    <w:rsid w:val="00064F46"/>
    <w:rsid w:val="0007677E"/>
    <w:rsid w:val="000809D0"/>
    <w:rsid w:val="00082F19"/>
    <w:rsid w:val="00083BAB"/>
    <w:rsid w:val="000A1E51"/>
    <w:rsid w:val="000A6C38"/>
    <w:rsid w:val="000C10CB"/>
    <w:rsid w:val="000D27AB"/>
    <w:rsid w:val="000D6BCB"/>
    <w:rsid w:val="000E187E"/>
    <w:rsid w:val="000E76D3"/>
    <w:rsid w:val="000F3A1B"/>
    <w:rsid w:val="00100219"/>
    <w:rsid w:val="001064A5"/>
    <w:rsid w:val="00107E6E"/>
    <w:rsid w:val="001167DC"/>
    <w:rsid w:val="00126B97"/>
    <w:rsid w:val="00135EF6"/>
    <w:rsid w:val="001377C8"/>
    <w:rsid w:val="00137D83"/>
    <w:rsid w:val="00143187"/>
    <w:rsid w:val="001437B9"/>
    <w:rsid w:val="00143D67"/>
    <w:rsid w:val="00147147"/>
    <w:rsid w:val="00147A05"/>
    <w:rsid w:val="00156355"/>
    <w:rsid w:val="001620A3"/>
    <w:rsid w:val="00163242"/>
    <w:rsid w:val="001700AF"/>
    <w:rsid w:val="001709ED"/>
    <w:rsid w:val="001732D2"/>
    <w:rsid w:val="00180531"/>
    <w:rsid w:val="00185A58"/>
    <w:rsid w:val="00185B92"/>
    <w:rsid w:val="00186B9D"/>
    <w:rsid w:val="001877A6"/>
    <w:rsid w:val="001A2DAF"/>
    <w:rsid w:val="001A31E7"/>
    <w:rsid w:val="001A725E"/>
    <w:rsid w:val="001C39B4"/>
    <w:rsid w:val="001C4EA1"/>
    <w:rsid w:val="001C5C19"/>
    <w:rsid w:val="001E7AFE"/>
    <w:rsid w:val="001F420D"/>
    <w:rsid w:val="0020041A"/>
    <w:rsid w:val="0020591C"/>
    <w:rsid w:val="0023093D"/>
    <w:rsid w:val="00233DAE"/>
    <w:rsid w:val="00247244"/>
    <w:rsid w:val="00253838"/>
    <w:rsid w:val="002547DF"/>
    <w:rsid w:val="00255A28"/>
    <w:rsid w:val="0026209E"/>
    <w:rsid w:val="00264E31"/>
    <w:rsid w:val="00264F5C"/>
    <w:rsid w:val="00270AA2"/>
    <w:rsid w:val="00272032"/>
    <w:rsid w:val="0027206F"/>
    <w:rsid w:val="00272D1A"/>
    <w:rsid w:val="00274691"/>
    <w:rsid w:val="0028145F"/>
    <w:rsid w:val="002A0FD1"/>
    <w:rsid w:val="002A15C8"/>
    <w:rsid w:val="002A1602"/>
    <w:rsid w:val="002A4C86"/>
    <w:rsid w:val="002A5721"/>
    <w:rsid w:val="002A7E1A"/>
    <w:rsid w:val="002B548D"/>
    <w:rsid w:val="002C1F3F"/>
    <w:rsid w:val="002D2E0D"/>
    <w:rsid w:val="002D38AF"/>
    <w:rsid w:val="002D4CD6"/>
    <w:rsid w:val="002D5CCB"/>
    <w:rsid w:val="002D63CC"/>
    <w:rsid w:val="002E7B91"/>
    <w:rsid w:val="002F06F3"/>
    <w:rsid w:val="0030594E"/>
    <w:rsid w:val="0032685F"/>
    <w:rsid w:val="00332984"/>
    <w:rsid w:val="003343AA"/>
    <w:rsid w:val="003370F2"/>
    <w:rsid w:val="003563BF"/>
    <w:rsid w:val="00360722"/>
    <w:rsid w:val="003607D7"/>
    <w:rsid w:val="00364246"/>
    <w:rsid w:val="00380965"/>
    <w:rsid w:val="00380E03"/>
    <w:rsid w:val="00384029"/>
    <w:rsid w:val="003910DB"/>
    <w:rsid w:val="003943B8"/>
    <w:rsid w:val="003F05E5"/>
    <w:rsid w:val="003F7E76"/>
    <w:rsid w:val="00410890"/>
    <w:rsid w:val="00413788"/>
    <w:rsid w:val="00413A0F"/>
    <w:rsid w:val="0041564A"/>
    <w:rsid w:val="004274D3"/>
    <w:rsid w:val="004358A1"/>
    <w:rsid w:val="00437289"/>
    <w:rsid w:val="00440308"/>
    <w:rsid w:val="004415C1"/>
    <w:rsid w:val="004440F7"/>
    <w:rsid w:val="00456A5A"/>
    <w:rsid w:val="00460BD0"/>
    <w:rsid w:val="0046263F"/>
    <w:rsid w:val="00463711"/>
    <w:rsid w:val="00463F9F"/>
    <w:rsid w:val="004849DA"/>
    <w:rsid w:val="004A3813"/>
    <w:rsid w:val="004A7F30"/>
    <w:rsid w:val="004B3B1F"/>
    <w:rsid w:val="004C0C38"/>
    <w:rsid w:val="004D4008"/>
    <w:rsid w:val="004F242A"/>
    <w:rsid w:val="004F2FC3"/>
    <w:rsid w:val="00510413"/>
    <w:rsid w:val="00511645"/>
    <w:rsid w:val="00531153"/>
    <w:rsid w:val="005311D6"/>
    <w:rsid w:val="0053567A"/>
    <w:rsid w:val="0054212D"/>
    <w:rsid w:val="00542D8C"/>
    <w:rsid w:val="00545D99"/>
    <w:rsid w:val="00546FC6"/>
    <w:rsid w:val="0055151A"/>
    <w:rsid w:val="00553AD4"/>
    <w:rsid w:val="005645CB"/>
    <w:rsid w:val="0057196B"/>
    <w:rsid w:val="00577D02"/>
    <w:rsid w:val="00580323"/>
    <w:rsid w:val="005965D5"/>
    <w:rsid w:val="005B4FC4"/>
    <w:rsid w:val="005C1947"/>
    <w:rsid w:val="005C1BD9"/>
    <w:rsid w:val="005C2070"/>
    <w:rsid w:val="005D2CEF"/>
    <w:rsid w:val="005E1658"/>
    <w:rsid w:val="005E2843"/>
    <w:rsid w:val="005E62FA"/>
    <w:rsid w:val="005F14CC"/>
    <w:rsid w:val="00603F67"/>
    <w:rsid w:val="0060659B"/>
    <w:rsid w:val="006115A7"/>
    <w:rsid w:val="00611941"/>
    <w:rsid w:val="00625104"/>
    <w:rsid w:val="00630050"/>
    <w:rsid w:val="0063413B"/>
    <w:rsid w:val="006350B4"/>
    <w:rsid w:val="00642756"/>
    <w:rsid w:val="006467B6"/>
    <w:rsid w:val="0065228D"/>
    <w:rsid w:val="006538FE"/>
    <w:rsid w:val="006660E0"/>
    <w:rsid w:val="00674372"/>
    <w:rsid w:val="00682ED7"/>
    <w:rsid w:val="00691DC7"/>
    <w:rsid w:val="006963B4"/>
    <w:rsid w:val="006B2B83"/>
    <w:rsid w:val="006B32B8"/>
    <w:rsid w:val="006B43E8"/>
    <w:rsid w:val="006B4B31"/>
    <w:rsid w:val="006C60A8"/>
    <w:rsid w:val="006C667F"/>
    <w:rsid w:val="006D7754"/>
    <w:rsid w:val="006E1719"/>
    <w:rsid w:val="006E3620"/>
    <w:rsid w:val="006E5FA0"/>
    <w:rsid w:val="006E6F6C"/>
    <w:rsid w:val="006E700E"/>
    <w:rsid w:val="00705B9C"/>
    <w:rsid w:val="00711140"/>
    <w:rsid w:val="007160C9"/>
    <w:rsid w:val="00721F9C"/>
    <w:rsid w:val="00727301"/>
    <w:rsid w:val="0075111E"/>
    <w:rsid w:val="0076077D"/>
    <w:rsid w:val="00774D93"/>
    <w:rsid w:val="00794F33"/>
    <w:rsid w:val="007A7676"/>
    <w:rsid w:val="007B0015"/>
    <w:rsid w:val="007B018C"/>
    <w:rsid w:val="007B0E4A"/>
    <w:rsid w:val="007B3EC1"/>
    <w:rsid w:val="007E0E78"/>
    <w:rsid w:val="007E3A70"/>
    <w:rsid w:val="007E459B"/>
    <w:rsid w:val="007E486E"/>
    <w:rsid w:val="007F21DF"/>
    <w:rsid w:val="007F4104"/>
    <w:rsid w:val="007F4B42"/>
    <w:rsid w:val="00810FBA"/>
    <w:rsid w:val="00812C37"/>
    <w:rsid w:val="00815583"/>
    <w:rsid w:val="00815774"/>
    <w:rsid w:val="008211BB"/>
    <w:rsid w:val="00822193"/>
    <w:rsid w:val="00822726"/>
    <w:rsid w:val="008279A9"/>
    <w:rsid w:val="00832417"/>
    <w:rsid w:val="00835A65"/>
    <w:rsid w:val="00844560"/>
    <w:rsid w:val="0086092F"/>
    <w:rsid w:val="00860F36"/>
    <w:rsid w:val="0087292F"/>
    <w:rsid w:val="008762CF"/>
    <w:rsid w:val="0089006B"/>
    <w:rsid w:val="00892E4B"/>
    <w:rsid w:val="008A0471"/>
    <w:rsid w:val="008A2304"/>
    <w:rsid w:val="008B4931"/>
    <w:rsid w:val="008C0ACC"/>
    <w:rsid w:val="008C296A"/>
    <w:rsid w:val="008C795B"/>
    <w:rsid w:val="008D503E"/>
    <w:rsid w:val="008E135C"/>
    <w:rsid w:val="008E2B7C"/>
    <w:rsid w:val="008E70C0"/>
    <w:rsid w:val="008E727B"/>
    <w:rsid w:val="00920BA4"/>
    <w:rsid w:val="009326E7"/>
    <w:rsid w:val="00940446"/>
    <w:rsid w:val="0094244C"/>
    <w:rsid w:val="009427CF"/>
    <w:rsid w:val="00961630"/>
    <w:rsid w:val="00962CF0"/>
    <w:rsid w:val="00964465"/>
    <w:rsid w:val="009648AA"/>
    <w:rsid w:val="00972D1C"/>
    <w:rsid w:val="009730FD"/>
    <w:rsid w:val="009746BB"/>
    <w:rsid w:val="009A4776"/>
    <w:rsid w:val="009B25C8"/>
    <w:rsid w:val="009C39DF"/>
    <w:rsid w:val="009D09E9"/>
    <w:rsid w:val="009D1E34"/>
    <w:rsid w:val="009F4F80"/>
    <w:rsid w:val="00A0470C"/>
    <w:rsid w:val="00A04A98"/>
    <w:rsid w:val="00A05AF4"/>
    <w:rsid w:val="00A073EE"/>
    <w:rsid w:val="00A1215C"/>
    <w:rsid w:val="00A24EE5"/>
    <w:rsid w:val="00A25D7B"/>
    <w:rsid w:val="00A411EE"/>
    <w:rsid w:val="00A421A0"/>
    <w:rsid w:val="00A439CD"/>
    <w:rsid w:val="00A477A9"/>
    <w:rsid w:val="00A60A1E"/>
    <w:rsid w:val="00A72514"/>
    <w:rsid w:val="00A8492B"/>
    <w:rsid w:val="00A85693"/>
    <w:rsid w:val="00A865C8"/>
    <w:rsid w:val="00AB064E"/>
    <w:rsid w:val="00AB2D8F"/>
    <w:rsid w:val="00AB3C4F"/>
    <w:rsid w:val="00AC3840"/>
    <w:rsid w:val="00AC589A"/>
    <w:rsid w:val="00AD448F"/>
    <w:rsid w:val="00AD4771"/>
    <w:rsid w:val="00AD4A90"/>
    <w:rsid w:val="00AE0189"/>
    <w:rsid w:val="00AE1718"/>
    <w:rsid w:val="00AE759C"/>
    <w:rsid w:val="00AF342A"/>
    <w:rsid w:val="00B072F9"/>
    <w:rsid w:val="00B2148E"/>
    <w:rsid w:val="00B310B5"/>
    <w:rsid w:val="00B348DE"/>
    <w:rsid w:val="00B63155"/>
    <w:rsid w:val="00B639DD"/>
    <w:rsid w:val="00B64D82"/>
    <w:rsid w:val="00B82199"/>
    <w:rsid w:val="00B83591"/>
    <w:rsid w:val="00B87A26"/>
    <w:rsid w:val="00B946E1"/>
    <w:rsid w:val="00BA42B5"/>
    <w:rsid w:val="00BB0891"/>
    <w:rsid w:val="00BB762A"/>
    <w:rsid w:val="00BC31EC"/>
    <w:rsid w:val="00BD3E70"/>
    <w:rsid w:val="00BD485F"/>
    <w:rsid w:val="00BE4CC7"/>
    <w:rsid w:val="00BF5D84"/>
    <w:rsid w:val="00C06566"/>
    <w:rsid w:val="00C06808"/>
    <w:rsid w:val="00C10734"/>
    <w:rsid w:val="00C14139"/>
    <w:rsid w:val="00C146B3"/>
    <w:rsid w:val="00C170D5"/>
    <w:rsid w:val="00C41D3A"/>
    <w:rsid w:val="00C73220"/>
    <w:rsid w:val="00C76BC0"/>
    <w:rsid w:val="00C843AB"/>
    <w:rsid w:val="00C84876"/>
    <w:rsid w:val="00C901CA"/>
    <w:rsid w:val="00C90428"/>
    <w:rsid w:val="00C90F37"/>
    <w:rsid w:val="00C91DFD"/>
    <w:rsid w:val="00C94F54"/>
    <w:rsid w:val="00CA30D2"/>
    <w:rsid w:val="00CA5CB6"/>
    <w:rsid w:val="00CB6025"/>
    <w:rsid w:val="00CC0E8D"/>
    <w:rsid w:val="00CD2332"/>
    <w:rsid w:val="00CD42F0"/>
    <w:rsid w:val="00CE34B0"/>
    <w:rsid w:val="00CE3A53"/>
    <w:rsid w:val="00CE7CEA"/>
    <w:rsid w:val="00D00A85"/>
    <w:rsid w:val="00D01227"/>
    <w:rsid w:val="00D0610C"/>
    <w:rsid w:val="00D07B84"/>
    <w:rsid w:val="00D21AE4"/>
    <w:rsid w:val="00D22977"/>
    <w:rsid w:val="00D26C81"/>
    <w:rsid w:val="00D26F1E"/>
    <w:rsid w:val="00D3292C"/>
    <w:rsid w:val="00D33D9B"/>
    <w:rsid w:val="00D3679C"/>
    <w:rsid w:val="00D37934"/>
    <w:rsid w:val="00D412A8"/>
    <w:rsid w:val="00D42DCE"/>
    <w:rsid w:val="00D43188"/>
    <w:rsid w:val="00D5552A"/>
    <w:rsid w:val="00D62654"/>
    <w:rsid w:val="00D725B1"/>
    <w:rsid w:val="00D731B1"/>
    <w:rsid w:val="00D85D56"/>
    <w:rsid w:val="00D911D3"/>
    <w:rsid w:val="00D97C9B"/>
    <w:rsid w:val="00DA0738"/>
    <w:rsid w:val="00DA1EAC"/>
    <w:rsid w:val="00DA52FE"/>
    <w:rsid w:val="00DB3782"/>
    <w:rsid w:val="00DB4327"/>
    <w:rsid w:val="00DB564B"/>
    <w:rsid w:val="00DC6319"/>
    <w:rsid w:val="00DD6DFB"/>
    <w:rsid w:val="00DE063F"/>
    <w:rsid w:val="00DF191E"/>
    <w:rsid w:val="00E05FE5"/>
    <w:rsid w:val="00E063A1"/>
    <w:rsid w:val="00E172F1"/>
    <w:rsid w:val="00E27B42"/>
    <w:rsid w:val="00E32532"/>
    <w:rsid w:val="00E425F7"/>
    <w:rsid w:val="00E50EB8"/>
    <w:rsid w:val="00E55D3D"/>
    <w:rsid w:val="00E6079C"/>
    <w:rsid w:val="00E60E84"/>
    <w:rsid w:val="00E61298"/>
    <w:rsid w:val="00E64CE1"/>
    <w:rsid w:val="00E7756E"/>
    <w:rsid w:val="00E80E5A"/>
    <w:rsid w:val="00E947AA"/>
    <w:rsid w:val="00E95709"/>
    <w:rsid w:val="00E9670E"/>
    <w:rsid w:val="00EA6303"/>
    <w:rsid w:val="00EB3825"/>
    <w:rsid w:val="00EB416E"/>
    <w:rsid w:val="00EB47CE"/>
    <w:rsid w:val="00EB5D8D"/>
    <w:rsid w:val="00EB5DF7"/>
    <w:rsid w:val="00ED6A55"/>
    <w:rsid w:val="00EE0DE9"/>
    <w:rsid w:val="00EE339A"/>
    <w:rsid w:val="00EF0347"/>
    <w:rsid w:val="00F0191A"/>
    <w:rsid w:val="00F0330D"/>
    <w:rsid w:val="00F151A3"/>
    <w:rsid w:val="00F16AB3"/>
    <w:rsid w:val="00F16D0A"/>
    <w:rsid w:val="00F17C79"/>
    <w:rsid w:val="00F37213"/>
    <w:rsid w:val="00F43F22"/>
    <w:rsid w:val="00F56918"/>
    <w:rsid w:val="00F742E8"/>
    <w:rsid w:val="00F84F21"/>
    <w:rsid w:val="00F86798"/>
    <w:rsid w:val="00F94789"/>
    <w:rsid w:val="00FA5D16"/>
    <w:rsid w:val="00FB101A"/>
    <w:rsid w:val="00FB1658"/>
    <w:rsid w:val="00FB5B69"/>
    <w:rsid w:val="00FD070F"/>
    <w:rsid w:val="00FD268D"/>
    <w:rsid w:val="00FE4792"/>
    <w:rsid w:val="00FF0C8F"/>
    <w:rsid w:val="00FF19AC"/>
    <w:rsid w:val="00FF4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098CDAA9"/>
  <w15:chartTrackingRefBased/>
  <w15:docId w15:val="{26A7B2EE-ED62-45F3-B97A-4C96B420E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37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5A6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108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0890"/>
    <w:rPr>
      <w:sz w:val="20"/>
      <w:szCs w:val="20"/>
    </w:rPr>
  </w:style>
  <w:style w:type="character" w:styleId="FootnoteReference">
    <w:name w:val="footnote reference"/>
    <w:basedOn w:val="DefaultParagraphFont"/>
    <w:uiPriority w:val="99"/>
    <w:semiHidden/>
    <w:unhideWhenUsed/>
    <w:rsid w:val="00410890"/>
    <w:rPr>
      <w:vertAlign w:val="superscript"/>
    </w:rPr>
  </w:style>
  <w:style w:type="paragraph" w:styleId="Header">
    <w:name w:val="header"/>
    <w:basedOn w:val="Normal"/>
    <w:link w:val="HeaderChar"/>
    <w:uiPriority w:val="99"/>
    <w:unhideWhenUsed/>
    <w:rsid w:val="00B348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48DE"/>
  </w:style>
  <w:style w:type="paragraph" w:styleId="Footer">
    <w:name w:val="footer"/>
    <w:basedOn w:val="Normal"/>
    <w:link w:val="FooterChar"/>
    <w:uiPriority w:val="99"/>
    <w:unhideWhenUsed/>
    <w:rsid w:val="00B348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48DE"/>
  </w:style>
  <w:style w:type="paragraph" w:styleId="ListParagraph">
    <w:name w:val="List Paragraph"/>
    <w:basedOn w:val="Normal"/>
    <w:uiPriority w:val="34"/>
    <w:qFormat/>
    <w:rsid w:val="00B348DE"/>
    <w:pPr>
      <w:ind w:left="720"/>
      <w:contextualSpacing/>
    </w:pPr>
  </w:style>
  <w:style w:type="character" w:customStyle="1" w:styleId="Heading3Char">
    <w:name w:val="Heading 3 Char"/>
    <w:basedOn w:val="DefaultParagraphFont"/>
    <w:link w:val="Heading3"/>
    <w:uiPriority w:val="9"/>
    <w:semiHidden/>
    <w:rsid w:val="00835A65"/>
    <w:rPr>
      <w:rFonts w:asciiTheme="majorHAnsi" w:eastAsiaTheme="majorEastAsia" w:hAnsiTheme="majorHAnsi" w:cstheme="majorBidi"/>
      <w:color w:val="1F3763" w:themeColor="accent1" w:themeShade="7F"/>
      <w:sz w:val="24"/>
      <w:szCs w:val="24"/>
      <w:lang w:val="en-US"/>
    </w:rPr>
  </w:style>
  <w:style w:type="table" w:styleId="TableGrid">
    <w:name w:val="Table Grid"/>
    <w:basedOn w:val="TableNormal"/>
    <w:uiPriority w:val="39"/>
    <w:rsid w:val="00835A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5A65"/>
    <w:rPr>
      <w:color w:val="0563C1" w:themeColor="hyperlink"/>
      <w:u w:val="single"/>
    </w:rPr>
  </w:style>
  <w:style w:type="character" w:customStyle="1" w:styleId="UnresolvedMention1">
    <w:name w:val="Unresolved Mention1"/>
    <w:basedOn w:val="DefaultParagraphFont"/>
    <w:uiPriority w:val="99"/>
    <w:semiHidden/>
    <w:unhideWhenUsed/>
    <w:rsid w:val="00835A65"/>
    <w:rPr>
      <w:color w:val="605E5C"/>
      <w:shd w:val="clear" w:color="auto" w:fill="E1DFDD"/>
    </w:rPr>
  </w:style>
  <w:style w:type="paragraph" w:customStyle="1" w:styleId="MDPI31text">
    <w:name w:val="MDPI_3.1_text"/>
    <w:qFormat/>
    <w:rsid w:val="00835A65"/>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character" w:styleId="PlaceholderText">
    <w:name w:val="Placeholder Text"/>
    <w:basedOn w:val="DefaultParagraphFont"/>
    <w:uiPriority w:val="99"/>
    <w:semiHidden/>
    <w:rsid w:val="00835A65"/>
    <w:rPr>
      <w:color w:val="808080"/>
    </w:rPr>
  </w:style>
  <w:style w:type="character" w:styleId="FollowedHyperlink">
    <w:name w:val="FollowedHyperlink"/>
    <w:basedOn w:val="DefaultParagraphFont"/>
    <w:uiPriority w:val="99"/>
    <w:semiHidden/>
    <w:unhideWhenUsed/>
    <w:rsid w:val="00F0330D"/>
    <w:rPr>
      <w:color w:val="954F72" w:themeColor="followedHyperlink"/>
      <w:u w:val="single"/>
    </w:rPr>
  </w:style>
  <w:style w:type="paragraph" w:styleId="Revision">
    <w:name w:val="Revision"/>
    <w:hidden/>
    <w:uiPriority w:val="99"/>
    <w:semiHidden/>
    <w:rsid w:val="001064A5"/>
    <w:pPr>
      <w:spacing w:after="0" w:line="240" w:lineRule="auto"/>
    </w:pPr>
  </w:style>
  <w:style w:type="character" w:styleId="CommentReference">
    <w:name w:val="annotation reference"/>
    <w:basedOn w:val="DefaultParagraphFont"/>
    <w:uiPriority w:val="99"/>
    <w:semiHidden/>
    <w:unhideWhenUsed/>
    <w:rsid w:val="00E05FE5"/>
    <w:rPr>
      <w:sz w:val="16"/>
      <w:szCs w:val="16"/>
    </w:rPr>
  </w:style>
  <w:style w:type="paragraph" w:styleId="CommentText">
    <w:name w:val="annotation text"/>
    <w:basedOn w:val="Normal"/>
    <w:link w:val="CommentTextChar"/>
    <w:uiPriority w:val="99"/>
    <w:unhideWhenUsed/>
    <w:rsid w:val="00E05FE5"/>
    <w:pPr>
      <w:spacing w:line="240" w:lineRule="auto"/>
    </w:pPr>
    <w:rPr>
      <w:sz w:val="20"/>
      <w:szCs w:val="20"/>
    </w:rPr>
  </w:style>
  <w:style w:type="character" w:customStyle="1" w:styleId="CommentTextChar">
    <w:name w:val="Comment Text Char"/>
    <w:basedOn w:val="DefaultParagraphFont"/>
    <w:link w:val="CommentText"/>
    <w:uiPriority w:val="99"/>
    <w:rsid w:val="00E05FE5"/>
    <w:rPr>
      <w:sz w:val="20"/>
      <w:szCs w:val="20"/>
    </w:rPr>
  </w:style>
  <w:style w:type="paragraph" w:styleId="CommentSubject">
    <w:name w:val="annotation subject"/>
    <w:basedOn w:val="CommentText"/>
    <w:next w:val="CommentText"/>
    <w:link w:val="CommentSubjectChar"/>
    <w:uiPriority w:val="99"/>
    <w:semiHidden/>
    <w:unhideWhenUsed/>
    <w:rsid w:val="00E05FE5"/>
    <w:rPr>
      <w:b/>
      <w:bCs/>
    </w:rPr>
  </w:style>
  <w:style w:type="character" w:customStyle="1" w:styleId="CommentSubjectChar">
    <w:name w:val="Comment Subject Char"/>
    <w:basedOn w:val="CommentTextChar"/>
    <w:link w:val="CommentSubject"/>
    <w:uiPriority w:val="99"/>
    <w:semiHidden/>
    <w:rsid w:val="00E05FE5"/>
    <w:rPr>
      <w:b/>
      <w:bCs/>
      <w:sz w:val="20"/>
      <w:szCs w:val="20"/>
    </w:rPr>
  </w:style>
  <w:style w:type="character" w:customStyle="1" w:styleId="Heading1Char">
    <w:name w:val="Heading 1 Char"/>
    <w:basedOn w:val="DefaultParagraphFont"/>
    <w:link w:val="Heading1"/>
    <w:uiPriority w:val="9"/>
    <w:rsid w:val="001437B9"/>
    <w:rPr>
      <w:rFonts w:asciiTheme="majorHAnsi" w:eastAsiaTheme="majorEastAsia" w:hAnsiTheme="majorHAnsi" w:cstheme="majorBidi"/>
      <w:color w:val="2F5496" w:themeColor="accent1" w:themeShade="BF"/>
      <w:sz w:val="32"/>
      <w:szCs w:val="32"/>
    </w:rPr>
  </w:style>
  <w:style w:type="paragraph" w:styleId="EndnoteText">
    <w:name w:val="endnote text"/>
    <w:basedOn w:val="Normal"/>
    <w:link w:val="EndnoteTextChar"/>
    <w:uiPriority w:val="99"/>
    <w:semiHidden/>
    <w:unhideWhenUsed/>
    <w:rsid w:val="00C0680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06808"/>
    <w:rPr>
      <w:sz w:val="20"/>
      <w:szCs w:val="20"/>
    </w:rPr>
  </w:style>
  <w:style w:type="character" w:styleId="EndnoteReference">
    <w:name w:val="endnote reference"/>
    <w:basedOn w:val="DefaultParagraphFont"/>
    <w:uiPriority w:val="99"/>
    <w:semiHidden/>
    <w:unhideWhenUsed/>
    <w:rsid w:val="00C06808"/>
    <w:rPr>
      <w:vertAlign w:val="superscript"/>
    </w:rPr>
  </w:style>
  <w:style w:type="character" w:styleId="UnresolvedMention">
    <w:name w:val="Unresolved Mention"/>
    <w:basedOn w:val="DefaultParagraphFont"/>
    <w:uiPriority w:val="99"/>
    <w:semiHidden/>
    <w:unhideWhenUsed/>
    <w:rsid w:val="001471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0710">
      <w:bodyDiv w:val="1"/>
      <w:marLeft w:val="0"/>
      <w:marRight w:val="0"/>
      <w:marTop w:val="0"/>
      <w:marBottom w:val="0"/>
      <w:divBdr>
        <w:top w:val="none" w:sz="0" w:space="0" w:color="auto"/>
        <w:left w:val="none" w:sz="0" w:space="0" w:color="auto"/>
        <w:bottom w:val="none" w:sz="0" w:space="0" w:color="auto"/>
        <w:right w:val="none" w:sz="0" w:space="0" w:color="auto"/>
      </w:divBdr>
    </w:div>
    <w:div w:id="460464020">
      <w:bodyDiv w:val="1"/>
      <w:marLeft w:val="0"/>
      <w:marRight w:val="0"/>
      <w:marTop w:val="0"/>
      <w:marBottom w:val="0"/>
      <w:divBdr>
        <w:top w:val="none" w:sz="0" w:space="0" w:color="auto"/>
        <w:left w:val="none" w:sz="0" w:space="0" w:color="auto"/>
        <w:bottom w:val="none" w:sz="0" w:space="0" w:color="auto"/>
        <w:right w:val="none" w:sz="0" w:space="0" w:color="auto"/>
      </w:divBdr>
    </w:div>
    <w:div w:id="1645698985">
      <w:bodyDiv w:val="1"/>
      <w:marLeft w:val="0"/>
      <w:marRight w:val="0"/>
      <w:marTop w:val="0"/>
      <w:marBottom w:val="0"/>
      <w:divBdr>
        <w:top w:val="none" w:sz="0" w:space="0" w:color="auto"/>
        <w:left w:val="none" w:sz="0" w:space="0" w:color="auto"/>
        <w:bottom w:val="none" w:sz="0" w:space="0" w:color="auto"/>
        <w:right w:val="none" w:sz="0" w:space="0" w:color="auto"/>
      </w:divBdr>
      <w:divsChild>
        <w:div w:id="539899883">
          <w:marLeft w:val="0"/>
          <w:marRight w:val="0"/>
          <w:marTop w:val="240"/>
          <w:marBottom w:val="120"/>
          <w:divBdr>
            <w:top w:val="none" w:sz="0" w:space="0" w:color="auto"/>
            <w:left w:val="none" w:sz="0" w:space="0" w:color="auto"/>
            <w:bottom w:val="none" w:sz="0" w:space="0" w:color="auto"/>
            <w:right w:val="none" w:sz="0" w:space="0" w:color="auto"/>
          </w:divBdr>
        </w:div>
        <w:div w:id="1379160132">
          <w:marLeft w:val="0"/>
          <w:marRight w:val="0"/>
          <w:marTop w:val="24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oleObject" Target="embeddings/oleObject6.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5.bin"/><Relationship Id="rId28" Type="http://schemas.openxmlformats.org/officeDocument/2006/relationships/image" Target="media/image12.emf"/><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oleObject" Target="embeddings/oleObject7.bin"/><Relationship Id="rId30" Type="http://schemas.openxmlformats.org/officeDocument/2006/relationships/image" Target="media/image13.emf"/><Relationship Id="rId8"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forbes.com/sites/qai/2022/09/22/is-this-the-worst-year-ever-for-bonds/?sh=65baccd2b4fe" TargetMode="External"/><Relationship Id="rId1" Type="http://schemas.openxmlformats.org/officeDocument/2006/relationships/hyperlink" Target="https://www.cbc.ca/news/canada/nova-scotia/quadriga-widow-jennifer-roberston-gerald-cotten-1.6318955"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er\OneDrive%20-%20Higher%20Education%20Commission\Desktop\DEX,%20CEX,%20oher%20assets\Static%20and%20dynamic%20spillover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15048118985127"/>
          <c:y val="5.0925925925925923E-2"/>
          <c:w val="0.83129396325459315"/>
          <c:h val="0.61271507728200647"/>
        </c:manualLayout>
      </c:layout>
      <c:lineChart>
        <c:grouping val="standard"/>
        <c:varyColors val="0"/>
        <c:ser>
          <c:idx val="1"/>
          <c:order val="1"/>
          <c:tx>
            <c:strRef>
              <c:f>Quantiles!$E$7</c:f>
              <c:strCache>
                <c:ptCount val="1"/>
                <c:pt idx="0">
                  <c:v>Total connectedness index at various quantiles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Quantiles!$D$8:$D$20</c:f>
              <c:numCache>
                <c:formatCode>General</c:formatCode>
                <c:ptCount val="13"/>
                <c:pt idx="0">
                  <c:v>0.01</c:v>
                </c:pt>
                <c:pt idx="1">
                  <c:v>0.05</c:v>
                </c:pt>
                <c:pt idx="2">
                  <c:v>0.1</c:v>
                </c:pt>
                <c:pt idx="3">
                  <c:v>0.2</c:v>
                </c:pt>
                <c:pt idx="4">
                  <c:v>0.3</c:v>
                </c:pt>
                <c:pt idx="5">
                  <c:v>0.4</c:v>
                </c:pt>
                <c:pt idx="6">
                  <c:v>0.5</c:v>
                </c:pt>
                <c:pt idx="7">
                  <c:v>0.6</c:v>
                </c:pt>
                <c:pt idx="8">
                  <c:v>0.7</c:v>
                </c:pt>
                <c:pt idx="9">
                  <c:v>0.8</c:v>
                </c:pt>
                <c:pt idx="10">
                  <c:v>0.9</c:v>
                </c:pt>
                <c:pt idx="11">
                  <c:v>0.95</c:v>
                </c:pt>
                <c:pt idx="12">
                  <c:v>0.99</c:v>
                </c:pt>
              </c:numCache>
            </c:numRef>
          </c:cat>
          <c:val>
            <c:numRef>
              <c:f>Quantiles!$E$8:$E$20</c:f>
              <c:numCache>
                <c:formatCode>General</c:formatCode>
                <c:ptCount val="13"/>
                <c:pt idx="0">
                  <c:v>91.2</c:v>
                </c:pt>
                <c:pt idx="1">
                  <c:v>89.6</c:v>
                </c:pt>
                <c:pt idx="2">
                  <c:v>83.91</c:v>
                </c:pt>
                <c:pt idx="3">
                  <c:v>71.09</c:v>
                </c:pt>
                <c:pt idx="4">
                  <c:v>57.56</c:v>
                </c:pt>
                <c:pt idx="5">
                  <c:v>50.36</c:v>
                </c:pt>
                <c:pt idx="6">
                  <c:v>49.05</c:v>
                </c:pt>
                <c:pt idx="7">
                  <c:v>50.38</c:v>
                </c:pt>
                <c:pt idx="8">
                  <c:v>58</c:v>
                </c:pt>
                <c:pt idx="9">
                  <c:v>71.72</c:v>
                </c:pt>
                <c:pt idx="10">
                  <c:v>84.07</c:v>
                </c:pt>
                <c:pt idx="11">
                  <c:v>89.26</c:v>
                </c:pt>
                <c:pt idx="12">
                  <c:v>91.67</c:v>
                </c:pt>
              </c:numCache>
            </c:numRef>
          </c:val>
          <c:smooth val="0"/>
          <c:extLst>
            <c:ext xmlns:c16="http://schemas.microsoft.com/office/drawing/2014/chart" uri="{C3380CC4-5D6E-409C-BE32-E72D297353CC}">
              <c16:uniqueId val="{00000000-FF86-43CE-820E-5A8B3B9B42AF}"/>
            </c:ext>
          </c:extLst>
        </c:ser>
        <c:ser>
          <c:idx val="2"/>
          <c:order val="2"/>
          <c:tx>
            <c:strRef>
              <c:f>Quantiles!$F$7</c:f>
              <c:strCache>
                <c:ptCount val="1"/>
                <c:pt idx="0">
                  <c:v>Total connectedness index at mean using DY approach</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Quantiles!$D$8:$D$20</c:f>
              <c:numCache>
                <c:formatCode>General</c:formatCode>
                <c:ptCount val="13"/>
                <c:pt idx="0">
                  <c:v>0.01</c:v>
                </c:pt>
                <c:pt idx="1">
                  <c:v>0.05</c:v>
                </c:pt>
                <c:pt idx="2">
                  <c:v>0.1</c:v>
                </c:pt>
                <c:pt idx="3">
                  <c:v>0.2</c:v>
                </c:pt>
                <c:pt idx="4">
                  <c:v>0.3</c:v>
                </c:pt>
                <c:pt idx="5">
                  <c:v>0.4</c:v>
                </c:pt>
                <c:pt idx="6">
                  <c:v>0.5</c:v>
                </c:pt>
                <c:pt idx="7">
                  <c:v>0.6</c:v>
                </c:pt>
                <c:pt idx="8">
                  <c:v>0.7</c:v>
                </c:pt>
                <c:pt idx="9">
                  <c:v>0.8</c:v>
                </c:pt>
                <c:pt idx="10">
                  <c:v>0.9</c:v>
                </c:pt>
                <c:pt idx="11">
                  <c:v>0.95</c:v>
                </c:pt>
                <c:pt idx="12">
                  <c:v>0.99</c:v>
                </c:pt>
              </c:numCache>
            </c:numRef>
          </c:cat>
          <c:val>
            <c:numRef>
              <c:f>Quantiles!$F$8:$F$20</c:f>
              <c:numCache>
                <c:formatCode>General</c:formatCode>
                <c:ptCount val="13"/>
                <c:pt idx="0">
                  <c:v>51.04</c:v>
                </c:pt>
                <c:pt idx="1">
                  <c:v>51.04</c:v>
                </c:pt>
                <c:pt idx="2">
                  <c:v>51.04</c:v>
                </c:pt>
                <c:pt idx="3">
                  <c:v>51.04</c:v>
                </c:pt>
                <c:pt idx="4">
                  <c:v>51.04</c:v>
                </c:pt>
                <c:pt idx="5">
                  <c:v>51.04</c:v>
                </c:pt>
                <c:pt idx="6">
                  <c:v>51.04</c:v>
                </c:pt>
                <c:pt idx="7">
                  <c:v>51.04</c:v>
                </c:pt>
                <c:pt idx="8">
                  <c:v>51.04</c:v>
                </c:pt>
                <c:pt idx="9">
                  <c:v>51.04</c:v>
                </c:pt>
                <c:pt idx="10">
                  <c:v>51.04</c:v>
                </c:pt>
                <c:pt idx="11">
                  <c:v>51.04</c:v>
                </c:pt>
                <c:pt idx="12">
                  <c:v>51.04</c:v>
                </c:pt>
              </c:numCache>
            </c:numRef>
          </c:val>
          <c:smooth val="0"/>
          <c:extLst>
            <c:ext xmlns:c16="http://schemas.microsoft.com/office/drawing/2014/chart" uri="{C3380CC4-5D6E-409C-BE32-E72D297353CC}">
              <c16:uniqueId val="{00000001-FF86-43CE-820E-5A8B3B9B42AF}"/>
            </c:ext>
          </c:extLst>
        </c:ser>
        <c:dLbls>
          <c:showLegendKey val="0"/>
          <c:showVal val="0"/>
          <c:showCatName val="0"/>
          <c:showSerName val="0"/>
          <c:showPercent val="0"/>
          <c:showBubbleSize val="0"/>
        </c:dLbls>
        <c:marker val="1"/>
        <c:smooth val="0"/>
        <c:axId val="523524176"/>
        <c:axId val="523525840"/>
        <c:extLst>
          <c:ext xmlns:c15="http://schemas.microsoft.com/office/drawing/2012/chart" uri="{02D57815-91ED-43cb-92C2-25804820EDAC}">
            <c15:filteredLineSeries>
              <c15:ser>
                <c:idx val="0"/>
                <c:order val="0"/>
                <c:tx>
                  <c:strRef>
                    <c:extLst>
                      <c:ext uri="{02D57815-91ED-43cb-92C2-25804820EDAC}">
                        <c15:formulaRef>
                          <c15:sqref>Quantiles!$D$7</c15:sqref>
                        </c15:formulaRef>
                      </c:ext>
                    </c:extLst>
                    <c:strCache>
                      <c:ptCount val="1"/>
                      <c:pt idx="0">
                        <c:v>Quantile</c:v>
                      </c:pt>
                    </c:strCache>
                  </c:strRef>
                </c:tx>
                <c:spPr>
                  <a:ln w="28575" cap="rnd">
                    <a:solidFill>
                      <a:schemeClr val="accent1"/>
                    </a:solidFill>
                    <a:round/>
                  </a:ln>
                  <a:effectLst/>
                </c:spPr>
                <c:marker>
                  <c:symbol val="none"/>
                </c:marker>
                <c:cat>
                  <c:numRef>
                    <c:extLst>
                      <c:ext uri="{02D57815-91ED-43cb-92C2-25804820EDAC}">
                        <c15:formulaRef>
                          <c15:sqref>Quantiles!$D$8:$D$20</c15:sqref>
                        </c15:formulaRef>
                      </c:ext>
                    </c:extLst>
                    <c:numCache>
                      <c:formatCode>General</c:formatCode>
                      <c:ptCount val="13"/>
                      <c:pt idx="0">
                        <c:v>0.01</c:v>
                      </c:pt>
                      <c:pt idx="1">
                        <c:v>0.05</c:v>
                      </c:pt>
                      <c:pt idx="2">
                        <c:v>0.1</c:v>
                      </c:pt>
                      <c:pt idx="3">
                        <c:v>0.2</c:v>
                      </c:pt>
                      <c:pt idx="4">
                        <c:v>0.3</c:v>
                      </c:pt>
                      <c:pt idx="5">
                        <c:v>0.4</c:v>
                      </c:pt>
                      <c:pt idx="6">
                        <c:v>0.5</c:v>
                      </c:pt>
                      <c:pt idx="7">
                        <c:v>0.6</c:v>
                      </c:pt>
                      <c:pt idx="8">
                        <c:v>0.7</c:v>
                      </c:pt>
                      <c:pt idx="9">
                        <c:v>0.8</c:v>
                      </c:pt>
                      <c:pt idx="10">
                        <c:v>0.9</c:v>
                      </c:pt>
                      <c:pt idx="11">
                        <c:v>0.95</c:v>
                      </c:pt>
                      <c:pt idx="12">
                        <c:v>0.99</c:v>
                      </c:pt>
                    </c:numCache>
                  </c:numRef>
                </c:cat>
                <c:val>
                  <c:numRef>
                    <c:extLst>
                      <c:ext uri="{02D57815-91ED-43cb-92C2-25804820EDAC}">
                        <c15:formulaRef>
                          <c15:sqref>Quantiles!$D$8:$D$20</c15:sqref>
                        </c15:formulaRef>
                      </c:ext>
                    </c:extLst>
                    <c:numCache>
                      <c:formatCode>General</c:formatCode>
                      <c:ptCount val="13"/>
                      <c:pt idx="0">
                        <c:v>0.01</c:v>
                      </c:pt>
                      <c:pt idx="1">
                        <c:v>0.05</c:v>
                      </c:pt>
                      <c:pt idx="2">
                        <c:v>0.1</c:v>
                      </c:pt>
                      <c:pt idx="3">
                        <c:v>0.2</c:v>
                      </c:pt>
                      <c:pt idx="4">
                        <c:v>0.3</c:v>
                      </c:pt>
                      <c:pt idx="5">
                        <c:v>0.4</c:v>
                      </c:pt>
                      <c:pt idx="6">
                        <c:v>0.5</c:v>
                      </c:pt>
                      <c:pt idx="7">
                        <c:v>0.6</c:v>
                      </c:pt>
                      <c:pt idx="8">
                        <c:v>0.7</c:v>
                      </c:pt>
                      <c:pt idx="9">
                        <c:v>0.8</c:v>
                      </c:pt>
                      <c:pt idx="10">
                        <c:v>0.9</c:v>
                      </c:pt>
                      <c:pt idx="11">
                        <c:v>0.95</c:v>
                      </c:pt>
                      <c:pt idx="12">
                        <c:v>0.99</c:v>
                      </c:pt>
                    </c:numCache>
                  </c:numRef>
                </c:val>
                <c:smooth val="0"/>
                <c:extLst>
                  <c:ext xmlns:c16="http://schemas.microsoft.com/office/drawing/2014/chart" uri="{C3380CC4-5D6E-409C-BE32-E72D297353CC}">
                    <c16:uniqueId val="{00000002-FF86-43CE-820E-5A8B3B9B42AF}"/>
                  </c:ext>
                </c:extLst>
              </c15:ser>
            </c15:filteredLineSeries>
          </c:ext>
        </c:extLst>
      </c:lineChart>
      <c:catAx>
        <c:axId val="523524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Quantile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525840"/>
        <c:crosses val="autoZero"/>
        <c:auto val="1"/>
        <c:lblAlgn val="ctr"/>
        <c:lblOffset val="100"/>
        <c:noMultiLvlLbl val="0"/>
      </c:catAx>
      <c:valAx>
        <c:axId val="523525840"/>
        <c:scaling>
          <c:orientation val="minMax"/>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Connectedness index</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524176"/>
        <c:crosses val="autoZero"/>
        <c:crossBetween val="between"/>
      </c:valAx>
      <c:spPr>
        <a:noFill/>
        <a:ln>
          <a:noFill/>
        </a:ln>
        <a:effectLst/>
      </c:spPr>
    </c:plotArea>
    <c:legend>
      <c:legendPos val="b"/>
      <c:layout>
        <c:manualLayout>
          <c:xMode val="edge"/>
          <c:yMode val="edge"/>
          <c:x val="0.12058902012248471"/>
          <c:y val="0.85532298046077571"/>
          <c:w val="0.76993307086614171"/>
          <c:h val="0.116899241761446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46BB48B-6DCA-431B-B8D4-C2DC6A398460}">
  <we:reference id="wa104382081" version="1.46.0.0" store="en-US" storeType="OMEX"/>
  <we:alternateReferences>
    <we:reference id="WA104382081" version="1.46.0.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FD4F2-5D9C-4E2F-A106-236B1AAF9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1482</TotalTime>
  <Pages>47</Pages>
  <Words>12528</Words>
  <Characters>71415</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Afsheen Abrar</dc:creator>
  <cp:keywords/>
  <dc:description/>
  <cp:lastModifiedBy>Larisa Yarovaya</cp:lastModifiedBy>
  <cp:revision>59</cp:revision>
  <dcterms:created xsi:type="dcterms:W3CDTF">2023-09-09T07:12:00Z</dcterms:created>
  <dcterms:modified xsi:type="dcterms:W3CDTF">2023-09-21T14:53:00Z</dcterms:modified>
</cp:coreProperties>
</file>