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684F" w14:textId="77777777" w:rsidR="0086001D" w:rsidRDefault="00AA4FAD" w:rsidP="0086001D">
      <w:pPr>
        <w:spacing w:line="480" w:lineRule="auto"/>
        <w:rPr>
          <w:rFonts w:ascii="Arial" w:hAnsi="Arial" w:cs="Arial"/>
          <w:b/>
          <w:bCs/>
          <w:lang w:val="en-US"/>
        </w:rPr>
      </w:pPr>
      <w:r w:rsidRPr="00441039">
        <w:rPr>
          <w:rFonts w:ascii="Arial" w:hAnsi="Arial" w:cs="Arial"/>
          <w:b/>
          <w:bCs/>
          <w:lang w:val="en-US"/>
        </w:rPr>
        <w:t xml:space="preserve">Treatment Outcomes </w:t>
      </w:r>
      <w:proofErr w:type="gramStart"/>
      <w:r w:rsidR="00AB008F">
        <w:rPr>
          <w:rFonts w:ascii="Arial" w:hAnsi="Arial" w:cs="Arial"/>
          <w:b/>
          <w:bCs/>
          <w:lang w:val="en-US"/>
        </w:rPr>
        <w:t>W</w:t>
      </w:r>
      <w:r w:rsidR="00DD698F">
        <w:rPr>
          <w:rFonts w:ascii="Arial" w:hAnsi="Arial" w:cs="Arial"/>
          <w:b/>
          <w:bCs/>
          <w:lang w:val="en-US"/>
        </w:rPr>
        <w:t>ith</w:t>
      </w:r>
      <w:proofErr w:type="gramEnd"/>
      <w:r w:rsidRPr="00441039">
        <w:rPr>
          <w:rFonts w:ascii="Arial" w:hAnsi="Arial" w:cs="Arial"/>
          <w:b/>
          <w:bCs/>
          <w:lang w:val="en-US"/>
        </w:rPr>
        <w:t xml:space="preserve"> Licensed and Unlicensed Stimulant Doses for Adults </w:t>
      </w:r>
      <w:r w:rsidR="003C4D76">
        <w:rPr>
          <w:rFonts w:ascii="Arial" w:hAnsi="Arial" w:cs="Arial"/>
          <w:b/>
          <w:bCs/>
          <w:lang w:val="en-US"/>
        </w:rPr>
        <w:t>W</w:t>
      </w:r>
      <w:r w:rsidRPr="00441039">
        <w:rPr>
          <w:rFonts w:ascii="Arial" w:hAnsi="Arial" w:cs="Arial"/>
          <w:b/>
          <w:bCs/>
          <w:lang w:val="en-US"/>
        </w:rPr>
        <w:t xml:space="preserve">ith Attention-Deficit/Hyperactivity Disorder </w:t>
      </w:r>
    </w:p>
    <w:p w14:paraId="087C287F" w14:textId="6D7B886B" w:rsidR="00AA4FAD" w:rsidRPr="00AA4FAD" w:rsidRDefault="00AA4FAD" w:rsidP="000307B6">
      <w:pPr>
        <w:spacing w:after="240" w:line="480" w:lineRule="auto"/>
        <w:rPr>
          <w:rFonts w:ascii="Arial" w:hAnsi="Arial" w:cs="Arial"/>
          <w:b/>
          <w:bCs/>
          <w:lang w:val="en-US"/>
        </w:rPr>
      </w:pPr>
      <w:r w:rsidRPr="00441039">
        <w:rPr>
          <w:rFonts w:ascii="Arial" w:hAnsi="Arial" w:cs="Arial"/>
          <w:b/>
          <w:bCs/>
          <w:lang w:val="en-US"/>
        </w:rPr>
        <w:t>A Systematic Review and Meta-</w:t>
      </w:r>
      <w:r w:rsidR="003C4D76">
        <w:rPr>
          <w:rFonts w:ascii="Arial" w:hAnsi="Arial" w:cs="Arial"/>
          <w:b/>
          <w:bCs/>
          <w:lang w:val="en-US"/>
        </w:rPr>
        <w:t>A</w:t>
      </w:r>
      <w:r w:rsidRPr="00441039">
        <w:rPr>
          <w:rFonts w:ascii="Arial" w:hAnsi="Arial" w:cs="Arial"/>
          <w:b/>
          <w:bCs/>
          <w:lang w:val="en-US"/>
        </w:rPr>
        <w:t>nalysis</w:t>
      </w:r>
    </w:p>
    <w:p w14:paraId="4936E884" w14:textId="7509EC3C" w:rsidR="000E7B7B" w:rsidRPr="003A6DE4" w:rsidRDefault="00194EFB" w:rsidP="000307B6">
      <w:pPr>
        <w:spacing w:after="240" w:line="480" w:lineRule="auto"/>
        <w:rPr>
          <w:rFonts w:ascii="Arial" w:hAnsi="Arial" w:cs="Arial"/>
          <w:lang w:val="en-US"/>
        </w:rPr>
      </w:pPr>
      <w:r w:rsidRPr="003A6DE4">
        <w:rPr>
          <w:rFonts w:ascii="Arial" w:hAnsi="Arial" w:cs="Arial"/>
          <w:lang w:val="en-US"/>
        </w:rPr>
        <w:t>Luis C. Farhat, MD</w:t>
      </w:r>
      <w:r w:rsidR="004B0EC3" w:rsidRPr="004B0EC3">
        <w:rPr>
          <w:rFonts w:ascii="Arial" w:hAnsi="Arial" w:cs="Arial"/>
          <w:vertAlign w:val="superscript"/>
          <w:lang w:val="en-US"/>
        </w:rPr>
        <w:t>1</w:t>
      </w:r>
      <w:r w:rsidR="0057469F">
        <w:rPr>
          <w:rFonts w:ascii="Arial" w:hAnsi="Arial" w:cs="Arial"/>
          <w:vertAlign w:val="superscript"/>
          <w:lang w:val="en-US"/>
        </w:rPr>
        <w:t>‡</w:t>
      </w:r>
      <w:r w:rsidR="00AA07F3">
        <w:rPr>
          <w:rFonts w:ascii="Arial" w:hAnsi="Arial" w:cs="Arial"/>
          <w:lang w:val="en-US"/>
        </w:rPr>
        <w:t xml:space="preserve">; </w:t>
      </w:r>
      <w:r w:rsidRPr="003A6DE4">
        <w:rPr>
          <w:rFonts w:ascii="Arial" w:hAnsi="Arial" w:cs="Arial"/>
          <w:lang w:val="en-US"/>
        </w:rPr>
        <w:t>José M. Flores, MD</w:t>
      </w:r>
      <w:r w:rsidR="00AA07F3">
        <w:rPr>
          <w:rFonts w:ascii="Arial" w:hAnsi="Arial" w:cs="Arial"/>
          <w:lang w:val="en-US"/>
        </w:rPr>
        <w:t>,</w:t>
      </w:r>
      <w:r w:rsidRPr="003A6DE4">
        <w:rPr>
          <w:rFonts w:ascii="Arial" w:hAnsi="Arial" w:cs="Arial"/>
          <w:lang w:val="en-US"/>
        </w:rPr>
        <w:t xml:space="preserve"> PhD</w:t>
      </w:r>
      <w:r w:rsidR="00AA07F3" w:rsidRPr="00AA07F3">
        <w:rPr>
          <w:rFonts w:ascii="Arial" w:hAnsi="Arial" w:cs="Arial"/>
          <w:vertAlign w:val="superscript"/>
          <w:lang w:val="en-US"/>
        </w:rPr>
        <w:t>2</w:t>
      </w:r>
      <w:r w:rsidR="003D68E4">
        <w:rPr>
          <w:rFonts w:ascii="Arial" w:hAnsi="Arial" w:cs="Arial"/>
          <w:vertAlign w:val="superscript"/>
          <w:lang w:val="en-US"/>
        </w:rPr>
        <w:t>,3</w:t>
      </w:r>
      <w:r w:rsidR="0057469F">
        <w:rPr>
          <w:rFonts w:ascii="Arial" w:hAnsi="Arial" w:cs="Arial"/>
          <w:vertAlign w:val="superscript"/>
          <w:lang w:val="en-US"/>
        </w:rPr>
        <w:t>‡</w:t>
      </w:r>
      <w:r w:rsidR="00AA07F3">
        <w:rPr>
          <w:rFonts w:ascii="Arial" w:hAnsi="Arial" w:cs="Arial"/>
          <w:lang w:val="en-US"/>
        </w:rPr>
        <w:t>;</w:t>
      </w:r>
      <w:r w:rsidRPr="003A6DE4">
        <w:rPr>
          <w:rFonts w:ascii="Arial" w:hAnsi="Arial" w:cs="Arial"/>
          <w:lang w:val="en-US"/>
        </w:rPr>
        <w:t xml:space="preserve"> Victor J. Avila-Quintero, MD</w:t>
      </w:r>
      <w:r w:rsidR="00FB1A24">
        <w:rPr>
          <w:rFonts w:ascii="Arial" w:hAnsi="Arial" w:cs="Arial"/>
          <w:vertAlign w:val="superscript"/>
          <w:lang w:val="en-US"/>
        </w:rPr>
        <w:t>3</w:t>
      </w:r>
      <w:r w:rsidR="00AA07F3">
        <w:rPr>
          <w:rFonts w:ascii="Arial" w:hAnsi="Arial" w:cs="Arial"/>
          <w:lang w:val="en-US"/>
        </w:rPr>
        <w:t>;</w:t>
      </w:r>
      <w:r w:rsidRPr="003A6DE4">
        <w:rPr>
          <w:rFonts w:ascii="Arial" w:hAnsi="Arial" w:cs="Arial"/>
          <w:lang w:val="en-US"/>
        </w:rPr>
        <w:t xml:space="preserve"> Guilherme V. </w:t>
      </w:r>
      <w:proofErr w:type="spellStart"/>
      <w:r w:rsidRPr="003A6DE4">
        <w:rPr>
          <w:rFonts w:ascii="Arial" w:hAnsi="Arial" w:cs="Arial"/>
          <w:lang w:val="en-US"/>
        </w:rPr>
        <w:t>Polanczyk</w:t>
      </w:r>
      <w:proofErr w:type="spellEnd"/>
      <w:r w:rsidRPr="003A6DE4">
        <w:rPr>
          <w:rFonts w:ascii="Arial" w:hAnsi="Arial" w:cs="Arial"/>
          <w:lang w:val="en-US"/>
        </w:rPr>
        <w:t>, MD, PhD</w:t>
      </w:r>
      <w:r w:rsidR="00AA07F3" w:rsidRPr="004B0EC3">
        <w:rPr>
          <w:rFonts w:ascii="Arial" w:hAnsi="Arial" w:cs="Arial"/>
          <w:vertAlign w:val="superscript"/>
          <w:lang w:val="en-US"/>
        </w:rPr>
        <w:t>1</w:t>
      </w:r>
      <w:r w:rsidR="00AA07F3">
        <w:rPr>
          <w:rFonts w:ascii="Arial" w:hAnsi="Arial" w:cs="Arial"/>
          <w:lang w:val="en-US"/>
        </w:rPr>
        <w:t>;</w:t>
      </w:r>
      <w:r w:rsidRPr="003A6DE4">
        <w:rPr>
          <w:rFonts w:ascii="Arial" w:hAnsi="Arial" w:cs="Arial"/>
          <w:lang w:val="en-US"/>
        </w:rPr>
        <w:t xml:space="preserve"> Andrea Cipriani, MD, PhD</w:t>
      </w:r>
      <w:r w:rsidR="00FB1A24">
        <w:rPr>
          <w:rFonts w:ascii="Arial" w:hAnsi="Arial" w:cs="Arial"/>
          <w:vertAlign w:val="superscript"/>
          <w:lang w:val="en-US"/>
        </w:rPr>
        <w:t>4</w:t>
      </w:r>
      <w:r w:rsidR="004F5A17">
        <w:rPr>
          <w:rFonts w:ascii="Arial" w:hAnsi="Arial" w:cs="Arial"/>
          <w:vertAlign w:val="superscript"/>
          <w:lang w:val="en-US"/>
        </w:rPr>
        <w:t>-</w:t>
      </w:r>
      <w:r w:rsidR="00FB1A24">
        <w:rPr>
          <w:rFonts w:ascii="Arial" w:hAnsi="Arial" w:cs="Arial"/>
          <w:vertAlign w:val="superscript"/>
          <w:lang w:val="en-US"/>
        </w:rPr>
        <w:t>6</w:t>
      </w:r>
      <w:r w:rsidR="00AA07F3">
        <w:rPr>
          <w:rFonts w:ascii="Arial" w:hAnsi="Arial" w:cs="Arial"/>
          <w:lang w:val="en-US"/>
        </w:rPr>
        <w:t>;</w:t>
      </w:r>
      <w:r w:rsidRPr="003A6DE4">
        <w:rPr>
          <w:rFonts w:ascii="Arial" w:hAnsi="Arial" w:cs="Arial"/>
          <w:lang w:val="en-US"/>
        </w:rPr>
        <w:t xml:space="preserve"> Toshi </w:t>
      </w:r>
      <w:r w:rsidR="004B0EC3">
        <w:rPr>
          <w:rFonts w:ascii="Arial" w:hAnsi="Arial" w:cs="Arial"/>
          <w:lang w:val="en-US"/>
        </w:rPr>
        <w:t>A</w:t>
      </w:r>
      <w:r w:rsidR="007F0473">
        <w:rPr>
          <w:rFonts w:ascii="Arial" w:eastAsiaTheme="minorHAnsi" w:hAnsi="Arial" w:cs="Arial" w:hint="eastAsia"/>
          <w:lang w:val="en-US" w:eastAsia="ja-JP"/>
        </w:rPr>
        <w:t>.</w:t>
      </w:r>
      <w:r w:rsidR="004B0EC3">
        <w:rPr>
          <w:rFonts w:ascii="Arial" w:hAnsi="Arial" w:cs="Arial"/>
          <w:lang w:val="en-US"/>
        </w:rPr>
        <w:t xml:space="preserve"> </w:t>
      </w:r>
      <w:r w:rsidRPr="003A6DE4">
        <w:rPr>
          <w:rFonts w:ascii="Arial" w:hAnsi="Arial" w:cs="Arial"/>
          <w:lang w:val="en-US"/>
        </w:rPr>
        <w:t>Furukawa, MD, PhD</w:t>
      </w:r>
      <w:r w:rsidR="00FB1A24">
        <w:rPr>
          <w:rFonts w:ascii="Arial" w:hAnsi="Arial" w:cs="Arial"/>
          <w:vertAlign w:val="superscript"/>
          <w:lang w:val="en-US"/>
        </w:rPr>
        <w:t>7</w:t>
      </w:r>
      <w:r w:rsidR="00AA07F3">
        <w:rPr>
          <w:rFonts w:ascii="Arial" w:hAnsi="Arial" w:cs="Arial"/>
          <w:lang w:val="en-US"/>
        </w:rPr>
        <w:t>;</w:t>
      </w:r>
      <w:r w:rsidRPr="003A6DE4">
        <w:rPr>
          <w:rFonts w:ascii="Arial" w:hAnsi="Arial" w:cs="Arial"/>
          <w:lang w:val="en-US"/>
        </w:rPr>
        <w:t xml:space="preserve"> Michael H. Bloch, MD, MS</w:t>
      </w:r>
      <w:r w:rsidR="00FB1A24">
        <w:rPr>
          <w:rFonts w:ascii="Arial" w:hAnsi="Arial" w:cs="Arial"/>
          <w:vertAlign w:val="superscript"/>
          <w:lang w:val="en-US"/>
        </w:rPr>
        <w:t>3</w:t>
      </w:r>
      <w:r w:rsidR="00AA07F3" w:rsidRPr="00AA07F3">
        <w:rPr>
          <w:rFonts w:ascii="Arial" w:hAnsi="Arial" w:cs="Arial"/>
          <w:vertAlign w:val="superscript"/>
          <w:lang w:val="en-US"/>
        </w:rPr>
        <w:t>,</w:t>
      </w:r>
      <w:r w:rsidR="00FB1A24">
        <w:rPr>
          <w:rFonts w:ascii="Arial" w:hAnsi="Arial" w:cs="Arial"/>
          <w:vertAlign w:val="superscript"/>
          <w:lang w:val="en-US"/>
        </w:rPr>
        <w:t>8</w:t>
      </w:r>
      <w:r w:rsidR="00AA07F3" w:rsidRPr="00AA07F3">
        <w:rPr>
          <w:rFonts w:ascii="Arial" w:hAnsi="Arial" w:cs="Arial"/>
          <w:lang w:val="en-US"/>
        </w:rPr>
        <w:t>*</w:t>
      </w:r>
      <w:r w:rsidR="00AA07F3">
        <w:rPr>
          <w:rFonts w:ascii="Arial" w:hAnsi="Arial" w:cs="Arial"/>
          <w:lang w:val="en-US"/>
        </w:rPr>
        <w:t>;</w:t>
      </w:r>
      <w:r w:rsidRPr="003A6DE4">
        <w:rPr>
          <w:rFonts w:ascii="Arial" w:hAnsi="Arial" w:cs="Arial"/>
          <w:lang w:val="en-US"/>
        </w:rPr>
        <w:t xml:space="preserve"> Samuele Cortese, MD, PhD</w:t>
      </w:r>
      <w:r w:rsidR="00FB1A24">
        <w:rPr>
          <w:rFonts w:ascii="Arial" w:hAnsi="Arial" w:cs="Arial"/>
          <w:vertAlign w:val="superscript"/>
          <w:lang w:val="en-US"/>
        </w:rPr>
        <w:t>9</w:t>
      </w:r>
      <w:r w:rsidR="00AA07F3">
        <w:rPr>
          <w:rFonts w:ascii="Arial" w:hAnsi="Arial" w:cs="Arial"/>
          <w:vertAlign w:val="superscript"/>
          <w:lang w:val="en-US"/>
        </w:rPr>
        <w:t>-1</w:t>
      </w:r>
      <w:r w:rsidR="00FB1A24">
        <w:rPr>
          <w:rFonts w:ascii="Arial" w:hAnsi="Arial" w:cs="Arial"/>
          <w:vertAlign w:val="superscript"/>
          <w:lang w:val="en-US"/>
        </w:rPr>
        <w:t>3</w:t>
      </w:r>
      <w:r w:rsidR="00AA07F3" w:rsidRPr="00AA07F3">
        <w:rPr>
          <w:rFonts w:ascii="Arial" w:hAnsi="Arial" w:cs="Arial"/>
          <w:lang w:val="en-US"/>
        </w:rPr>
        <w:t>*</w:t>
      </w:r>
    </w:p>
    <w:p w14:paraId="620C7AE6" w14:textId="77777777" w:rsidR="004B0EC3" w:rsidRDefault="004B0EC3" w:rsidP="00194EFB">
      <w:pPr>
        <w:spacing w:line="480" w:lineRule="auto"/>
        <w:rPr>
          <w:rFonts w:ascii="Arial" w:hAnsi="Arial" w:cs="Arial"/>
          <w:lang w:val="pt-BR"/>
        </w:rPr>
      </w:pPr>
      <w:r w:rsidRPr="004B0EC3">
        <w:rPr>
          <w:rFonts w:ascii="Arial" w:hAnsi="Arial" w:cs="Arial"/>
          <w:lang w:val="pt-BR"/>
        </w:rPr>
        <w:t>1 – Department of Psychiatry, Faculdade de Medicina FMUSP, Universidade de São Paulo</w:t>
      </w:r>
      <w:r>
        <w:rPr>
          <w:rFonts w:ascii="Arial" w:hAnsi="Arial" w:cs="Arial"/>
          <w:lang w:val="pt-BR"/>
        </w:rPr>
        <w:t>, São Paulo, BR.</w:t>
      </w:r>
    </w:p>
    <w:p w14:paraId="450AADE6" w14:textId="335F8958" w:rsidR="00FB1A24" w:rsidRPr="00FB1A24" w:rsidRDefault="00FB1A24" w:rsidP="00194EFB">
      <w:pPr>
        <w:spacing w:line="480" w:lineRule="auto"/>
        <w:rPr>
          <w:rFonts w:ascii="Arial" w:hAnsi="Arial" w:cs="Arial"/>
          <w:lang w:val="en-US"/>
        </w:rPr>
      </w:pPr>
      <w:r w:rsidRPr="00FB1A24">
        <w:rPr>
          <w:rFonts w:ascii="Arial" w:hAnsi="Arial" w:cs="Arial"/>
          <w:lang w:val="en-US"/>
        </w:rPr>
        <w:t xml:space="preserve">2 – Division of Child &amp; Adolescent Psychiatry, </w:t>
      </w:r>
      <w:r>
        <w:rPr>
          <w:rFonts w:ascii="Arial" w:hAnsi="Arial" w:cs="Arial"/>
          <w:lang w:val="en-US"/>
        </w:rPr>
        <w:t>Department of Psychiatry and Biobehavioral Sciences, University of California, Los Angeles (UCLA), Los Angeles, CA, US.</w:t>
      </w:r>
    </w:p>
    <w:p w14:paraId="4DA0D589" w14:textId="6325C293" w:rsidR="004B0EC3" w:rsidRPr="004B0EC3" w:rsidRDefault="00FB1A24" w:rsidP="00194EFB">
      <w:pPr>
        <w:spacing w:line="480" w:lineRule="auto"/>
        <w:rPr>
          <w:rFonts w:ascii="Arial" w:hAnsi="Arial" w:cs="Arial"/>
          <w:lang w:val="en-US"/>
        </w:rPr>
      </w:pPr>
      <w:r>
        <w:rPr>
          <w:rFonts w:ascii="Arial" w:hAnsi="Arial" w:cs="Arial"/>
          <w:lang w:val="en-US"/>
        </w:rPr>
        <w:t>3</w:t>
      </w:r>
      <w:r w:rsidR="004B0EC3" w:rsidRPr="004B0EC3">
        <w:rPr>
          <w:rFonts w:ascii="Arial" w:hAnsi="Arial" w:cs="Arial"/>
          <w:lang w:val="en-US"/>
        </w:rPr>
        <w:t xml:space="preserve"> – Child Study Center, Yale University School of Medicine</w:t>
      </w:r>
      <w:r w:rsidR="004B0EC3">
        <w:rPr>
          <w:rFonts w:ascii="Arial" w:hAnsi="Arial" w:cs="Arial"/>
          <w:lang w:val="en-US"/>
        </w:rPr>
        <w:t>, New Haven, CT, US.</w:t>
      </w:r>
    </w:p>
    <w:p w14:paraId="48C2A3B2" w14:textId="1EB0410A" w:rsidR="004B0EC3" w:rsidRDefault="00FB1A24" w:rsidP="00194EFB">
      <w:pPr>
        <w:spacing w:line="480" w:lineRule="auto"/>
        <w:rPr>
          <w:rFonts w:ascii="Arial" w:hAnsi="Arial" w:cs="Arial"/>
          <w:lang w:val="en-US"/>
        </w:rPr>
      </w:pPr>
      <w:r>
        <w:rPr>
          <w:rFonts w:ascii="Arial" w:hAnsi="Arial" w:cs="Arial"/>
          <w:lang w:val="en-US"/>
        </w:rPr>
        <w:t>4</w:t>
      </w:r>
      <w:r w:rsidR="004B0EC3" w:rsidRPr="004B0EC3">
        <w:rPr>
          <w:rFonts w:ascii="Arial" w:hAnsi="Arial" w:cs="Arial"/>
          <w:lang w:val="en-US"/>
        </w:rPr>
        <w:t xml:space="preserve"> – Department of Psychiatry, University of Oxford, Oxford, UK.</w:t>
      </w:r>
    </w:p>
    <w:p w14:paraId="23713D82" w14:textId="41FD95EA" w:rsidR="004B0EC3" w:rsidRDefault="00FB1A24" w:rsidP="00194EFB">
      <w:pPr>
        <w:spacing w:line="480" w:lineRule="auto"/>
        <w:rPr>
          <w:rFonts w:ascii="Arial" w:hAnsi="Arial" w:cs="Arial"/>
          <w:lang w:val="en-US"/>
        </w:rPr>
      </w:pPr>
      <w:r>
        <w:rPr>
          <w:rFonts w:ascii="Arial" w:hAnsi="Arial" w:cs="Arial"/>
          <w:lang w:val="en-US"/>
        </w:rPr>
        <w:t>5</w:t>
      </w:r>
      <w:r w:rsidR="004B0EC3">
        <w:rPr>
          <w:rFonts w:ascii="Arial" w:hAnsi="Arial" w:cs="Arial"/>
          <w:lang w:val="en-US"/>
        </w:rPr>
        <w:t xml:space="preserve"> – Oxford Health NHS Foundation Trust, Warneford Hospital, Oxford, UK.</w:t>
      </w:r>
    </w:p>
    <w:p w14:paraId="5F7F7F34" w14:textId="48BD28E7" w:rsidR="004F5A17" w:rsidRDefault="00FB1A24" w:rsidP="00194EFB">
      <w:pPr>
        <w:spacing w:line="480" w:lineRule="auto"/>
        <w:rPr>
          <w:rFonts w:ascii="Arial" w:hAnsi="Arial" w:cs="Arial"/>
          <w:lang w:val="en-US"/>
        </w:rPr>
      </w:pPr>
      <w:r>
        <w:rPr>
          <w:rFonts w:ascii="Arial" w:hAnsi="Arial" w:cs="Arial"/>
          <w:lang w:val="en-US"/>
        </w:rPr>
        <w:t>6</w:t>
      </w:r>
      <w:r w:rsidR="00AA07F3">
        <w:rPr>
          <w:rFonts w:ascii="Arial" w:hAnsi="Arial" w:cs="Arial"/>
          <w:lang w:val="en-US"/>
        </w:rPr>
        <w:t xml:space="preserve"> – </w:t>
      </w:r>
      <w:r w:rsidR="004F5A17" w:rsidRPr="004F5A17">
        <w:rPr>
          <w:rFonts w:ascii="Arial" w:hAnsi="Arial" w:cs="Arial"/>
          <w:lang w:val="en-US"/>
        </w:rPr>
        <w:t>Oxford Precision Psychiatry Lab, NIHR Oxford Health Biomedical Research Centre, Oxford, UK</w:t>
      </w:r>
    </w:p>
    <w:p w14:paraId="4701D36B" w14:textId="22B4006D" w:rsidR="00AA07F3" w:rsidRDefault="00FB1A24" w:rsidP="00194EFB">
      <w:pPr>
        <w:spacing w:line="480" w:lineRule="auto"/>
        <w:rPr>
          <w:rFonts w:ascii="Arial" w:hAnsi="Arial" w:cs="Arial"/>
          <w:lang w:val="en-US"/>
        </w:rPr>
      </w:pPr>
      <w:r>
        <w:rPr>
          <w:rFonts w:ascii="Arial" w:hAnsi="Arial" w:cs="Arial"/>
          <w:lang w:val="en-US"/>
        </w:rPr>
        <w:t>7</w:t>
      </w:r>
      <w:r w:rsidR="004F5A17">
        <w:rPr>
          <w:rFonts w:ascii="Arial" w:hAnsi="Arial" w:cs="Arial"/>
          <w:lang w:val="en-US"/>
        </w:rPr>
        <w:t xml:space="preserve"> - </w:t>
      </w:r>
      <w:r w:rsidR="004B0EC3">
        <w:rPr>
          <w:rFonts w:ascii="Arial" w:hAnsi="Arial" w:cs="Arial"/>
          <w:lang w:val="en-US"/>
        </w:rPr>
        <w:t>Department of Health Promotion and Human Behavior, Kyoto University Graduate School of Medicine</w:t>
      </w:r>
      <w:r w:rsidR="007F0473">
        <w:rPr>
          <w:rFonts w:ascii="Arial" w:hAnsi="Arial" w:cs="Arial"/>
          <w:lang w:val="en-US"/>
        </w:rPr>
        <w:t xml:space="preserve">/ </w:t>
      </w:r>
      <w:r w:rsidR="004B0EC3">
        <w:rPr>
          <w:rFonts w:ascii="Arial" w:hAnsi="Arial" w:cs="Arial"/>
          <w:lang w:val="en-US"/>
        </w:rPr>
        <w:t>School of Public Health</w:t>
      </w:r>
      <w:r w:rsidR="00AA07F3">
        <w:rPr>
          <w:rFonts w:ascii="Arial" w:hAnsi="Arial" w:cs="Arial"/>
          <w:lang w:val="en-US"/>
        </w:rPr>
        <w:t>, Kyoto, JP.</w:t>
      </w:r>
    </w:p>
    <w:p w14:paraId="3415EB9F" w14:textId="699614EE" w:rsidR="00AA07F3" w:rsidRDefault="00FB1A24" w:rsidP="00194EFB">
      <w:pPr>
        <w:spacing w:line="480" w:lineRule="auto"/>
        <w:rPr>
          <w:rFonts w:ascii="Arial" w:hAnsi="Arial" w:cs="Arial"/>
          <w:lang w:val="en-US"/>
        </w:rPr>
      </w:pPr>
      <w:r>
        <w:rPr>
          <w:rFonts w:ascii="Arial" w:hAnsi="Arial" w:cs="Arial"/>
          <w:lang w:val="en-US"/>
        </w:rPr>
        <w:t>8</w:t>
      </w:r>
      <w:r w:rsidR="00AA07F3">
        <w:rPr>
          <w:rFonts w:ascii="Arial" w:hAnsi="Arial" w:cs="Arial"/>
          <w:lang w:val="en-US"/>
        </w:rPr>
        <w:t xml:space="preserve"> – Department of Psychiatry, Yale University School of Medicine, New Haven, CT, US.</w:t>
      </w:r>
    </w:p>
    <w:p w14:paraId="25D6D32B" w14:textId="53DACABD" w:rsidR="00AA07F3" w:rsidRDefault="00FB1A24" w:rsidP="00194EFB">
      <w:pPr>
        <w:spacing w:line="480" w:lineRule="auto"/>
        <w:rPr>
          <w:rFonts w:ascii="Arial" w:hAnsi="Arial" w:cs="Arial"/>
          <w:lang w:val="en-US"/>
        </w:rPr>
      </w:pPr>
      <w:r>
        <w:rPr>
          <w:rFonts w:ascii="Arial" w:hAnsi="Arial" w:cs="Arial"/>
          <w:lang w:val="en-US"/>
        </w:rPr>
        <w:t>9</w:t>
      </w:r>
      <w:r w:rsidR="00AA07F3">
        <w:rPr>
          <w:rFonts w:ascii="Arial" w:hAnsi="Arial" w:cs="Arial"/>
          <w:lang w:val="en-US"/>
        </w:rPr>
        <w:t xml:space="preserve"> – Cent</w:t>
      </w:r>
      <w:r w:rsidR="00AA4FAD">
        <w:rPr>
          <w:rFonts w:ascii="Arial" w:hAnsi="Arial" w:cs="Arial"/>
          <w:lang w:val="en-US"/>
        </w:rPr>
        <w:t>e</w:t>
      </w:r>
      <w:r w:rsidR="00AA07F3">
        <w:rPr>
          <w:rFonts w:ascii="Arial" w:hAnsi="Arial" w:cs="Arial"/>
          <w:lang w:val="en-US"/>
        </w:rPr>
        <w:t xml:space="preserve">r for Innovation in Mental Health, School of Psychology, Faculty of Environmental and Life Sciences, University of Southampton, </w:t>
      </w:r>
      <w:r w:rsidR="00AA4FAD">
        <w:rPr>
          <w:rFonts w:ascii="Arial" w:hAnsi="Arial" w:cs="Arial"/>
          <w:lang w:val="en-US"/>
        </w:rPr>
        <w:t>Southampton</w:t>
      </w:r>
      <w:r w:rsidR="00AA07F3">
        <w:rPr>
          <w:rFonts w:ascii="Arial" w:hAnsi="Arial" w:cs="Arial"/>
          <w:lang w:val="en-US"/>
        </w:rPr>
        <w:t>, UK.</w:t>
      </w:r>
    </w:p>
    <w:p w14:paraId="723C9CC1" w14:textId="335DFAEC" w:rsidR="00AA07F3" w:rsidRDefault="00FB1A24" w:rsidP="00194EFB">
      <w:pPr>
        <w:spacing w:line="480" w:lineRule="auto"/>
        <w:rPr>
          <w:rFonts w:ascii="Arial" w:hAnsi="Arial" w:cs="Arial"/>
          <w:lang w:val="en-US"/>
        </w:rPr>
      </w:pPr>
      <w:r>
        <w:rPr>
          <w:rFonts w:ascii="Arial" w:hAnsi="Arial" w:cs="Arial"/>
          <w:lang w:val="en-US"/>
        </w:rPr>
        <w:t>10</w:t>
      </w:r>
      <w:r w:rsidR="004F5A17">
        <w:rPr>
          <w:rFonts w:ascii="Arial" w:hAnsi="Arial" w:cs="Arial"/>
          <w:lang w:val="en-US"/>
        </w:rPr>
        <w:t xml:space="preserve"> </w:t>
      </w:r>
      <w:r w:rsidR="00AA07F3">
        <w:rPr>
          <w:rFonts w:ascii="Arial" w:hAnsi="Arial" w:cs="Arial"/>
          <w:lang w:val="en-US"/>
        </w:rPr>
        <w:t>– Clinical and Experimental Sciences (CNS and Psychiatry), Faculty of Medicine, University of Southampton, Southampton, UK.</w:t>
      </w:r>
    </w:p>
    <w:p w14:paraId="3C145165" w14:textId="5C356BBA" w:rsidR="00AA07F3" w:rsidRDefault="004F5A17" w:rsidP="00194EFB">
      <w:pPr>
        <w:spacing w:line="480" w:lineRule="auto"/>
        <w:rPr>
          <w:rFonts w:ascii="Arial" w:hAnsi="Arial" w:cs="Arial"/>
          <w:lang w:val="en-US"/>
        </w:rPr>
      </w:pPr>
      <w:r>
        <w:rPr>
          <w:rFonts w:ascii="Arial" w:hAnsi="Arial" w:cs="Arial"/>
          <w:lang w:val="en-US"/>
        </w:rPr>
        <w:lastRenderedPageBreak/>
        <w:t>1</w:t>
      </w:r>
      <w:r w:rsidR="00FB1A24">
        <w:rPr>
          <w:rFonts w:ascii="Arial" w:hAnsi="Arial" w:cs="Arial"/>
          <w:lang w:val="en-US"/>
        </w:rPr>
        <w:t>1</w:t>
      </w:r>
      <w:r w:rsidR="00AA07F3">
        <w:rPr>
          <w:rFonts w:ascii="Arial" w:hAnsi="Arial" w:cs="Arial"/>
          <w:lang w:val="en-US"/>
        </w:rPr>
        <w:t xml:space="preserve"> – Solent NHS Trust, Southampton, UK</w:t>
      </w:r>
    </w:p>
    <w:p w14:paraId="046334DC" w14:textId="2EC6ABE5" w:rsidR="00AA07F3" w:rsidRDefault="00AA07F3" w:rsidP="00194EFB">
      <w:pPr>
        <w:spacing w:line="480" w:lineRule="auto"/>
        <w:rPr>
          <w:rFonts w:ascii="Arial" w:hAnsi="Arial" w:cs="Arial"/>
          <w:lang w:val="en-US"/>
        </w:rPr>
      </w:pPr>
      <w:r>
        <w:rPr>
          <w:rFonts w:ascii="Arial" w:hAnsi="Arial" w:cs="Arial"/>
          <w:lang w:val="en-US"/>
        </w:rPr>
        <w:t>1</w:t>
      </w:r>
      <w:r w:rsidR="00FB1A24">
        <w:rPr>
          <w:rFonts w:ascii="Arial" w:hAnsi="Arial" w:cs="Arial"/>
          <w:lang w:val="en-US"/>
        </w:rPr>
        <w:t>2</w:t>
      </w:r>
      <w:r>
        <w:rPr>
          <w:rFonts w:ascii="Arial" w:hAnsi="Arial" w:cs="Arial"/>
          <w:lang w:val="en-US"/>
        </w:rPr>
        <w:t xml:space="preserve"> – </w:t>
      </w:r>
      <w:r w:rsidR="000E7B7B">
        <w:rPr>
          <w:rFonts w:ascii="Arial" w:hAnsi="Arial" w:cs="Arial"/>
          <w:lang w:val="en-US"/>
        </w:rPr>
        <w:t>Department of Child and Adolescent Psychiatry, NYU Grossman School of Medicine, New York, NY, US.</w:t>
      </w:r>
    </w:p>
    <w:p w14:paraId="2083C799" w14:textId="7704841E" w:rsidR="00AA07F3" w:rsidRDefault="000E7B7B" w:rsidP="00194EFB">
      <w:pPr>
        <w:spacing w:line="480" w:lineRule="auto"/>
        <w:rPr>
          <w:rFonts w:ascii="Arial" w:hAnsi="Arial" w:cs="Arial"/>
          <w:lang w:val="en-US"/>
        </w:rPr>
      </w:pPr>
      <w:r>
        <w:rPr>
          <w:rFonts w:ascii="Arial" w:hAnsi="Arial" w:cs="Arial"/>
          <w:lang w:val="en-US"/>
        </w:rPr>
        <w:t>1</w:t>
      </w:r>
      <w:r w:rsidR="00FB1A24">
        <w:rPr>
          <w:rFonts w:ascii="Arial" w:hAnsi="Arial" w:cs="Arial"/>
          <w:lang w:val="en-US"/>
        </w:rPr>
        <w:t>3</w:t>
      </w:r>
      <w:r w:rsidR="00AA07F3">
        <w:rPr>
          <w:rFonts w:ascii="Arial" w:hAnsi="Arial" w:cs="Arial"/>
          <w:lang w:val="en-US"/>
        </w:rPr>
        <w:t xml:space="preserve"> – </w:t>
      </w:r>
      <w:r>
        <w:rPr>
          <w:rFonts w:ascii="Arial" w:hAnsi="Arial" w:cs="Arial"/>
          <w:lang w:val="en-US"/>
        </w:rPr>
        <w:t>Division of Psychiatry and Applied Psychology, School of Medicine, University of Nottingham, Nottingham, UK</w:t>
      </w:r>
      <w:r w:rsidR="00AA07F3">
        <w:rPr>
          <w:rFonts w:ascii="Arial" w:hAnsi="Arial" w:cs="Arial"/>
          <w:lang w:val="en-US"/>
        </w:rPr>
        <w:t>.</w:t>
      </w:r>
    </w:p>
    <w:p w14:paraId="7957D7AD" w14:textId="452E0DD6" w:rsidR="0057469F" w:rsidRPr="00854DA5" w:rsidRDefault="0057469F" w:rsidP="00194EFB">
      <w:pPr>
        <w:spacing w:line="480" w:lineRule="auto"/>
        <w:rPr>
          <w:rFonts w:ascii="Arial" w:hAnsi="Arial" w:cs="Arial"/>
          <w:b/>
          <w:bCs/>
          <w:lang w:val="en-US"/>
        </w:rPr>
      </w:pPr>
      <w:r w:rsidRPr="00854DA5">
        <w:rPr>
          <w:rFonts w:ascii="Arial" w:hAnsi="Arial" w:cs="Arial"/>
          <w:vertAlign w:val="superscript"/>
          <w:lang w:val="en-US"/>
        </w:rPr>
        <w:t xml:space="preserve">‡ </w:t>
      </w:r>
      <w:proofErr w:type="gramStart"/>
      <w:r w:rsidRPr="00854DA5">
        <w:rPr>
          <w:rFonts w:ascii="Arial" w:hAnsi="Arial" w:cs="Arial"/>
          <w:lang w:val="en-US"/>
        </w:rPr>
        <w:t>contributed</w:t>
      </w:r>
      <w:proofErr w:type="gramEnd"/>
      <w:r w:rsidRPr="00854DA5">
        <w:rPr>
          <w:rFonts w:ascii="Arial" w:hAnsi="Arial" w:cs="Arial"/>
          <w:lang w:val="en-US"/>
        </w:rPr>
        <w:t xml:space="preserve"> equally</w:t>
      </w:r>
    </w:p>
    <w:p w14:paraId="53DB65B3" w14:textId="7509BB46" w:rsidR="000E7B7B" w:rsidRPr="00854DA5" w:rsidRDefault="00AA07F3" w:rsidP="00FE70C5">
      <w:pPr>
        <w:spacing w:after="240" w:line="480" w:lineRule="auto"/>
        <w:rPr>
          <w:rFonts w:ascii="Arial" w:hAnsi="Arial" w:cs="Arial"/>
          <w:lang w:val="en-US"/>
        </w:rPr>
      </w:pPr>
      <w:r w:rsidRPr="00854DA5">
        <w:rPr>
          <w:rFonts w:ascii="Arial" w:hAnsi="Arial" w:cs="Arial"/>
          <w:lang w:val="en-US"/>
        </w:rPr>
        <w:t>* co-</w:t>
      </w:r>
      <w:r w:rsidR="00AA4FAD" w:rsidRPr="00854DA5">
        <w:rPr>
          <w:rFonts w:ascii="Arial" w:hAnsi="Arial" w:cs="Arial"/>
          <w:lang w:val="en-US"/>
        </w:rPr>
        <w:t>senior authors</w:t>
      </w:r>
    </w:p>
    <w:p w14:paraId="2E41F41D" w14:textId="4B6E2F4F" w:rsidR="0086001D" w:rsidRPr="00417721" w:rsidRDefault="0086001D" w:rsidP="00B07A0A">
      <w:pPr>
        <w:spacing w:after="240" w:line="480" w:lineRule="auto"/>
        <w:rPr>
          <w:rFonts w:ascii="Arial" w:hAnsi="Arial" w:cs="Arial"/>
          <w:lang w:val="en-US"/>
        </w:rPr>
      </w:pPr>
      <w:r w:rsidRPr="00417721">
        <w:rPr>
          <w:rFonts w:ascii="Arial" w:hAnsi="Arial" w:cs="Arial"/>
          <w:b/>
          <w:bCs/>
          <w:lang w:val="en-US"/>
        </w:rPr>
        <w:t xml:space="preserve">Date of the revision: </w:t>
      </w:r>
      <w:r w:rsidR="00CD706A">
        <w:rPr>
          <w:rFonts w:ascii="Arial" w:hAnsi="Arial" w:cs="Arial"/>
          <w:lang w:val="en-US"/>
        </w:rPr>
        <w:t>08</w:t>
      </w:r>
      <w:r w:rsidR="00417721">
        <w:rPr>
          <w:rFonts w:ascii="Arial" w:hAnsi="Arial" w:cs="Arial"/>
          <w:lang w:val="en-US"/>
        </w:rPr>
        <w:t xml:space="preserve"> </w:t>
      </w:r>
      <w:r w:rsidR="00CD706A">
        <w:rPr>
          <w:rFonts w:ascii="Arial" w:hAnsi="Arial" w:cs="Arial"/>
          <w:lang w:val="en-US"/>
        </w:rPr>
        <w:t>August</w:t>
      </w:r>
      <w:r w:rsidR="00417721">
        <w:rPr>
          <w:rFonts w:ascii="Arial" w:hAnsi="Arial" w:cs="Arial"/>
          <w:lang w:val="en-US"/>
        </w:rPr>
        <w:t xml:space="preserve"> 2023</w:t>
      </w:r>
    </w:p>
    <w:p w14:paraId="5747EC61" w14:textId="4168C444" w:rsidR="001D3FC6" w:rsidRPr="0071682D" w:rsidRDefault="00417721" w:rsidP="00F86F57">
      <w:pPr>
        <w:spacing w:after="240" w:line="480" w:lineRule="auto"/>
        <w:rPr>
          <w:rFonts w:ascii="Arial" w:hAnsi="Arial" w:cs="Arial"/>
          <w:lang w:val="pt-BR"/>
        </w:rPr>
      </w:pPr>
      <w:r w:rsidRPr="0071682D">
        <w:rPr>
          <w:rFonts w:ascii="Arial" w:hAnsi="Arial" w:cs="Arial"/>
          <w:b/>
          <w:bCs/>
          <w:lang w:val="pt-BR"/>
        </w:rPr>
        <w:t>W</w:t>
      </w:r>
      <w:r w:rsidR="001D3FC6" w:rsidRPr="0071682D">
        <w:rPr>
          <w:rFonts w:ascii="Arial" w:hAnsi="Arial" w:cs="Arial"/>
          <w:b/>
          <w:bCs/>
          <w:lang w:val="pt-BR"/>
        </w:rPr>
        <w:t>ord</w:t>
      </w:r>
      <w:r w:rsidRPr="0071682D">
        <w:rPr>
          <w:rFonts w:ascii="Arial" w:hAnsi="Arial" w:cs="Arial"/>
          <w:b/>
          <w:bCs/>
          <w:lang w:val="pt-BR"/>
        </w:rPr>
        <w:t xml:space="preserve"> count</w:t>
      </w:r>
      <w:r w:rsidR="001D3FC6" w:rsidRPr="0071682D">
        <w:rPr>
          <w:rFonts w:ascii="Arial" w:hAnsi="Arial" w:cs="Arial"/>
          <w:b/>
          <w:bCs/>
          <w:lang w:val="pt-BR"/>
        </w:rPr>
        <w:t xml:space="preserve">: </w:t>
      </w:r>
      <w:r w:rsidR="00CD706A" w:rsidRPr="00CD706A">
        <w:rPr>
          <w:rFonts w:ascii="Arial" w:hAnsi="Arial" w:cs="Arial"/>
          <w:lang w:val="pt-BR"/>
        </w:rPr>
        <w:t>3,6</w:t>
      </w:r>
      <w:r w:rsidR="004B1349">
        <w:rPr>
          <w:rFonts w:ascii="Arial" w:hAnsi="Arial" w:cs="Arial"/>
          <w:lang w:val="pt-BR"/>
        </w:rPr>
        <w:t>8</w:t>
      </w:r>
      <w:r w:rsidR="00AA1753">
        <w:rPr>
          <w:rFonts w:ascii="Arial" w:hAnsi="Arial" w:cs="Arial"/>
          <w:lang w:val="pt-BR"/>
        </w:rPr>
        <w:t>2</w:t>
      </w:r>
    </w:p>
    <w:p w14:paraId="6FDC06A7" w14:textId="24405139" w:rsidR="00417721" w:rsidRDefault="00417721" w:rsidP="00417721">
      <w:pPr>
        <w:spacing w:after="240" w:line="480" w:lineRule="auto"/>
        <w:rPr>
          <w:rFonts w:ascii="Arial" w:hAnsi="Arial" w:cs="Arial"/>
          <w:lang w:val="en-US"/>
        </w:rPr>
      </w:pPr>
      <w:r w:rsidRPr="00B53231">
        <w:rPr>
          <w:rFonts w:ascii="Arial" w:hAnsi="Arial" w:cs="Arial"/>
          <w:b/>
          <w:bCs/>
          <w:lang w:val="pt-BR"/>
        </w:rPr>
        <w:t xml:space="preserve">Correspondence to: </w:t>
      </w:r>
      <w:r w:rsidRPr="00B53231">
        <w:rPr>
          <w:rFonts w:ascii="Arial" w:hAnsi="Arial" w:cs="Arial"/>
          <w:lang w:val="pt-BR"/>
        </w:rPr>
        <w:t>Luis C. Farhat, Instituto de</w:t>
      </w:r>
      <w:r>
        <w:rPr>
          <w:rFonts w:ascii="Arial" w:hAnsi="Arial" w:cs="Arial"/>
          <w:lang w:val="pt-BR"/>
        </w:rPr>
        <w:t xml:space="preserve"> Psiquiatria do Hospital das Clínicas da Faculdade de Medicina da Universidade de São Paulo (</w:t>
      </w:r>
      <w:r w:rsidR="00346C1B">
        <w:rPr>
          <w:rFonts w:ascii="Arial" w:hAnsi="Arial" w:cs="Arial"/>
          <w:lang w:val="pt-BR"/>
        </w:rPr>
        <w:t>IPq-</w:t>
      </w:r>
      <w:r>
        <w:rPr>
          <w:rFonts w:ascii="Arial" w:hAnsi="Arial" w:cs="Arial"/>
          <w:lang w:val="pt-BR"/>
        </w:rPr>
        <w:t xml:space="preserve">HCFMUSP), Rua Dr. Ovídio Pires de Campos, 785, CEAPESQ, 3º andar (ala norte), sala 9, São Paulo, SP, 05403-903, Brazil. </w:t>
      </w:r>
      <w:r w:rsidRPr="0086001D">
        <w:rPr>
          <w:rFonts w:ascii="Arial" w:hAnsi="Arial" w:cs="Arial"/>
          <w:lang w:val="en-US"/>
        </w:rPr>
        <w:t xml:space="preserve">Phone: +55 (11) </w:t>
      </w:r>
      <w:r w:rsidR="008D01DC">
        <w:rPr>
          <w:rFonts w:ascii="Arial" w:hAnsi="Arial" w:cs="Arial"/>
          <w:lang w:val="en-US"/>
        </w:rPr>
        <w:t xml:space="preserve">2661-6963. </w:t>
      </w:r>
      <w:r w:rsidRPr="00B53231">
        <w:rPr>
          <w:rFonts w:ascii="Arial" w:hAnsi="Arial" w:cs="Arial"/>
          <w:lang w:val="en-US"/>
        </w:rPr>
        <w:t>Email:</w:t>
      </w:r>
      <w:r>
        <w:rPr>
          <w:rFonts w:ascii="Arial" w:hAnsi="Arial" w:cs="Arial"/>
          <w:lang w:val="en-US"/>
        </w:rPr>
        <w:t xml:space="preserve"> </w:t>
      </w:r>
      <w:hyperlink r:id="rId8" w:history="1">
        <w:r w:rsidRPr="00831264">
          <w:rPr>
            <w:rStyle w:val="Hyperlink"/>
            <w:rFonts w:ascii="Arial" w:hAnsi="Arial" w:cs="Arial"/>
            <w:lang w:val="en-US"/>
          </w:rPr>
          <w:t>luis.farhat@usp.br</w:t>
        </w:r>
      </w:hyperlink>
    </w:p>
    <w:p w14:paraId="66F82595" w14:textId="77777777" w:rsidR="00417721" w:rsidRDefault="00417721" w:rsidP="00417721">
      <w:pPr>
        <w:spacing w:after="240" w:line="480" w:lineRule="auto"/>
        <w:rPr>
          <w:rFonts w:ascii="Arial" w:hAnsi="Arial" w:cs="Arial"/>
          <w:lang w:val="en-US"/>
        </w:rPr>
      </w:pPr>
      <w:r w:rsidRPr="00B53231">
        <w:rPr>
          <w:rFonts w:ascii="Arial" w:hAnsi="Arial" w:cs="Arial"/>
          <w:lang w:val="en-US"/>
        </w:rPr>
        <w:t>Samuele Cortese, School of Psychology, Centre for Innovation in Mental Health (CIMH), Faculty of Environmental and Life Sciences, University of Southampton, Highfield Campus, Building 44, Southampton, SO17 1BJ, UK</w:t>
      </w:r>
      <w:r>
        <w:rPr>
          <w:rFonts w:ascii="Arial" w:hAnsi="Arial" w:cs="Arial"/>
          <w:lang w:val="en-US"/>
        </w:rPr>
        <w:t>.</w:t>
      </w:r>
      <w:r w:rsidRPr="00B53231">
        <w:rPr>
          <w:rFonts w:ascii="Arial" w:hAnsi="Arial" w:cs="Arial"/>
          <w:lang w:val="en-US"/>
        </w:rPr>
        <w:t xml:space="preserve"> Phone: +44 (0) 2380599645</w:t>
      </w:r>
      <w:r>
        <w:rPr>
          <w:rFonts w:ascii="Arial" w:hAnsi="Arial" w:cs="Arial"/>
          <w:lang w:val="en-US"/>
        </w:rPr>
        <w:t>.</w:t>
      </w:r>
      <w:r w:rsidRPr="00B53231">
        <w:rPr>
          <w:rFonts w:ascii="Arial" w:hAnsi="Arial" w:cs="Arial"/>
          <w:lang w:val="en-US"/>
        </w:rPr>
        <w:t xml:space="preserve"> </w:t>
      </w:r>
      <w:r>
        <w:rPr>
          <w:rFonts w:ascii="Arial" w:hAnsi="Arial" w:cs="Arial"/>
          <w:lang w:val="en-US"/>
        </w:rPr>
        <w:t>E</w:t>
      </w:r>
      <w:r w:rsidRPr="00B53231">
        <w:rPr>
          <w:rFonts w:ascii="Arial" w:hAnsi="Arial" w:cs="Arial"/>
          <w:lang w:val="en-US"/>
        </w:rPr>
        <w:t xml:space="preserve">mail: </w:t>
      </w:r>
      <w:hyperlink r:id="rId9" w:history="1">
        <w:r w:rsidRPr="00831264">
          <w:rPr>
            <w:rStyle w:val="Hyperlink"/>
            <w:rFonts w:ascii="Arial" w:hAnsi="Arial" w:cs="Arial"/>
            <w:lang w:val="en-US"/>
          </w:rPr>
          <w:t>samuele.cortese@soton.ac.uk</w:t>
        </w:r>
      </w:hyperlink>
    </w:p>
    <w:p w14:paraId="6CE373C5" w14:textId="593B7FEE" w:rsidR="00194EFB" w:rsidRPr="004B0EC3" w:rsidRDefault="00194EFB" w:rsidP="00194EFB">
      <w:pPr>
        <w:spacing w:line="480" w:lineRule="auto"/>
        <w:rPr>
          <w:rFonts w:ascii="Arial" w:hAnsi="Arial" w:cs="Arial"/>
          <w:lang w:val="en-US"/>
        </w:rPr>
      </w:pPr>
      <w:r w:rsidRPr="004B0EC3">
        <w:rPr>
          <w:rFonts w:ascii="Arial" w:hAnsi="Arial" w:cs="Arial"/>
          <w:lang w:val="en-US"/>
        </w:rPr>
        <w:br w:type="page"/>
      </w:r>
    </w:p>
    <w:p w14:paraId="333D196B" w14:textId="7FB7A2D5" w:rsidR="00194EFB" w:rsidRPr="003A6DE4" w:rsidRDefault="0018065F" w:rsidP="00441039">
      <w:pPr>
        <w:spacing w:line="480" w:lineRule="auto"/>
        <w:jc w:val="center"/>
        <w:rPr>
          <w:rFonts w:ascii="Arial" w:hAnsi="Arial" w:cs="Arial"/>
          <w:b/>
          <w:bCs/>
          <w:lang w:val="en-US"/>
        </w:rPr>
      </w:pPr>
      <w:r w:rsidRPr="003A6DE4">
        <w:rPr>
          <w:rFonts w:ascii="Arial" w:hAnsi="Arial" w:cs="Arial"/>
          <w:b/>
          <w:bCs/>
          <w:lang w:val="en-US"/>
        </w:rPr>
        <w:lastRenderedPageBreak/>
        <w:t>KEY POINTS</w:t>
      </w:r>
    </w:p>
    <w:p w14:paraId="4D1536B9" w14:textId="5C700B94" w:rsidR="000307B6" w:rsidRDefault="00194EFB" w:rsidP="00194EFB">
      <w:pPr>
        <w:spacing w:line="480" w:lineRule="auto"/>
        <w:rPr>
          <w:rFonts w:ascii="Arial" w:hAnsi="Arial" w:cs="Arial"/>
          <w:lang w:val="en-US"/>
        </w:rPr>
      </w:pPr>
      <w:bookmarkStart w:id="0" w:name="_Hlk132692803"/>
      <w:r w:rsidRPr="003A6DE4">
        <w:rPr>
          <w:rFonts w:ascii="Arial" w:hAnsi="Arial" w:cs="Arial"/>
          <w:b/>
          <w:bCs/>
          <w:lang w:val="en-US"/>
        </w:rPr>
        <w:t>Question:</w:t>
      </w:r>
      <w:r w:rsidR="00571D68">
        <w:rPr>
          <w:rFonts w:ascii="Arial" w:hAnsi="Arial" w:cs="Arial"/>
          <w:b/>
          <w:bCs/>
          <w:lang w:val="en-US"/>
        </w:rPr>
        <w:t xml:space="preserve"> </w:t>
      </w:r>
      <w:r w:rsidR="00B72D25">
        <w:rPr>
          <w:rFonts w:ascii="Arial" w:hAnsi="Arial" w:cs="Arial"/>
          <w:lang w:val="en-US"/>
        </w:rPr>
        <w:t>A</w:t>
      </w:r>
      <w:r w:rsidR="001D36AF">
        <w:rPr>
          <w:rFonts w:ascii="Arial" w:hAnsi="Arial" w:cs="Arial"/>
          <w:lang w:val="en-US"/>
        </w:rPr>
        <w:t xml:space="preserve">re </w:t>
      </w:r>
      <w:r w:rsidR="0033752A">
        <w:rPr>
          <w:rFonts w:ascii="Arial" w:hAnsi="Arial" w:cs="Arial"/>
          <w:lang w:val="en-US"/>
        </w:rPr>
        <w:t xml:space="preserve">unlicensed </w:t>
      </w:r>
      <w:r w:rsidR="000307B6">
        <w:rPr>
          <w:rFonts w:ascii="Arial" w:hAnsi="Arial" w:cs="Arial"/>
          <w:lang w:val="en-US"/>
        </w:rPr>
        <w:t>dos</w:t>
      </w:r>
      <w:r w:rsidR="001D36AF">
        <w:rPr>
          <w:rFonts w:ascii="Arial" w:hAnsi="Arial" w:cs="Arial"/>
          <w:lang w:val="en-US"/>
        </w:rPr>
        <w:t>es of stimulants</w:t>
      </w:r>
      <w:r w:rsidR="000307B6">
        <w:rPr>
          <w:rFonts w:ascii="Arial" w:hAnsi="Arial" w:cs="Arial"/>
          <w:lang w:val="en-US"/>
        </w:rPr>
        <w:t xml:space="preserve"> </w:t>
      </w:r>
      <w:r w:rsidR="004642A3">
        <w:rPr>
          <w:rFonts w:ascii="Arial" w:hAnsi="Arial" w:cs="Arial"/>
          <w:lang w:val="en-US"/>
        </w:rPr>
        <w:t>associated with</w:t>
      </w:r>
      <w:r w:rsidR="001D36AF">
        <w:rPr>
          <w:rFonts w:ascii="Arial" w:hAnsi="Arial" w:cs="Arial"/>
          <w:lang w:val="en-US"/>
        </w:rPr>
        <w:t xml:space="preserve"> </w:t>
      </w:r>
      <w:r w:rsidR="00F86F57">
        <w:rPr>
          <w:rFonts w:ascii="Arial" w:hAnsi="Arial" w:cs="Arial"/>
          <w:lang w:val="en-US"/>
        </w:rPr>
        <w:t>positive</w:t>
      </w:r>
      <w:r w:rsidR="000307B6">
        <w:rPr>
          <w:rFonts w:ascii="Arial" w:hAnsi="Arial" w:cs="Arial"/>
          <w:lang w:val="en-US"/>
        </w:rPr>
        <w:t xml:space="preserve"> treatment outcomes </w:t>
      </w:r>
      <w:r w:rsidR="0033752A">
        <w:rPr>
          <w:rFonts w:ascii="Arial" w:hAnsi="Arial" w:cs="Arial"/>
          <w:lang w:val="en-US"/>
        </w:rPr>
        <w:t>in</w:t>
      </w:r>
      <w:r w:rsidR="000307B6">
        <w:rPr>
          <w:rFonts w:ascii="Arial" w:hAnsi="Arial" w:cs="Arial"/>
          <w:lang w:val="en-US"/>
        </w:rPr>
        <w:t xml:space="preserve"> adults with </w:t>
      </w:r>
      <w:r w:rsidR="00E66406">
        <w:rPr>
          <w:rFonts w:ascii="Arial" w:hAnsi="Arial" w:cs="Arial"/>
          <w:lang w:val="en-US"/>
        </w:rPr>
        <w:t>attention-deficit/hyperactivity disorder (</w:t>
      </w:r>
      <w:r w:rsidR="001D36AF">
        <w:rPr>
          <w:rFonts w:ascii="Arial" w:hAnsi="Arial" w:cs="Arial"/>
          <w:lang w:val="en-US"/>
        </w:rPr>
        <w:t>ADHD</w:t>
      </w:r>
      <w:r w:rsidR="00E66406">
        <w:rPr>
          <w:rFonts w:ascii="Arial" w:hAnsi="Arial" w:cs="Arial"/>
          <w:lang w:val="en-US"/>
        </w:rPr>
        <w:t>)</w:t>
      </w:r>
      <w:r w:rsidR="000307B6">
        <w:rPr>
          <w:rFonts w:ascii="Arial" w:hAnsi="Arial" w:cs="Arial"/>
          <w:lang w:val="en-US"/>
        </w:rPr>
        <w:t>?</w:t>
      </w:r>
    </w:p>
    <w:p w14:paraId="6CE8882D" w14:textId="3D74B4EE" w:rsidR="00952C37" w:rsidRDefault="000307B6" w:rsidP="00952C37">
      <w:pPr>
        <w:spacing w:line="480" w:lineRule="auto"/>
        <w:rPr>
          <w:rFonts w:ascii="Arial" w:hAnsi="Arial" w:cs="Arial"/>
          <w:lang w:val="en-US"/>
        </w:rPr>
      </w:pPr>
      <w:r>
        <w:rPr>
          <w:rFonts w:ascii="Arial" w:hAnsi="Arial" w:cs="Arial"/>
          <w:b/>
          <w:bCs/>
          <w:lang w:val="en-US"/>
        </w:rPr>
        <w:t xml:space="preserve">Findings: </w:t>
      </w:r>
      <w:r>
        <w:rPr>
          <w:rFonts w:ascii="Arial" w:hAnsi="Arial" w:cs="Arial"/>
          <w:lang w:val="en-US"/>
        </w:rPr>
        <w:t xml:space="preserve">In this meta-analysis of </w:t>
      </w:r>
      <w:r w:rsidR="0033752A">
        <w:rPr>
          <w:rFonts w:ascii="Arial" w:hAnsi="Arial" w:cs="Arial"/>
          <w:lang w:val="en-US"/>
        </w:rPr>
        <w:t>averages</w:t>
      </w:r>
      <w:r w:rsidR="007228E5">
        <w:rPr>
          <w:rFonts w:ascii="Arial" w:hAnsi="Arial" w:cs="Arial"/>
          <w:lang w:val="en-US"/>
        </w:rPr>
        <w:t xml:space="preserve">, </w:t>
      </w:r>
      <w:r w:rsidR="0033752A">
        <w:rPr>
          <w:rFonts w:ascii="Arial" w:hAnsi="Arial" w:cs="Arial"/>
          <w:lang w:val="en-US"/>
        </w:rPr>
        <w:t>unlicensed d</w:t>
      </w:r>
      <w:r w:rsidR="008C15EF">
        <w:rPr>
          <w:rFonts w:ascii="Arial" w:hAnsi="Arial" w:cs="Arial"/>
          <w:lang w:val="en-US"/>
        </w:rPr>
        <w:t xml:space="preserve">oses </w:t>
      </w:r>
      <w:r w:rsidR="00952C37">
        <w:rPr>
          <w:rFonts w:ascii="Arial" w:hAnsi="Arial" w:cs="Arial"/>
          <w:lang w:val="en-US"/>
        </w:rPr>
        <w:t xml:space="preserve">of stimulants </w:t>
      </w:r>
      <w:r w:rsidR="008C15EF">
        <w:rPr>
          <w:rFonts w:ascii="Arial" w:hAnsi="Arial" w:cs="Arial"/>
          <w:lang w:val="en-US"/>
        </w:rPr>
        <w:t>were</w:t>
      </w:r>
      <w:r w:rsidR="00E91D0C">
        <w:rPr>
          <w:rFonts w:ascii="Arial" w:hAnsi="Arial" w:cs="Arial"/>
          <w:lang w:val="en-US"/>
        </w:rPr>
        <w:t xml:space="preserve"> </w:t>
      </w:r>
      <w:r w:rsidR="008C15EF">
        <w:rPr>
          <w:rFonts w:ascii="Arial" w:hAnsi="Arial" w:cs="Arial"/>
          <w:lang w:val="en-US"/>
        </w:rPr>
        <w:t xml:space="preserve">associated with </w:t>
      </w:r>
      <w:r w:rsidR="00952C37">
        <w:rPr>
          <w:rFonts w:ascii="Arial" w:hAnsi="Arial" w:cs="Arial"/>
          <w:lang w:val="en-US"/>
        </w:rPr>
        <w:t>small</w:t>
      </w:r>
      <w:r w:rsidR="00356EB9">
        <w:rPr>
          <w:rFonts w:ascii="Arial" w:hAnsi="Arial" w:cs="Arial"/>
          <w:lang w:val="en-US"/>
        </w:rPr>
        <w:t xml:space="preserve">, </w:t>
      </w:r>
      <w:r w:rsidR="00952C37">
        <w:rPr>
          <w:rFonts w:ascii="Arial" w:hAnsi="Arial" w:cs="Arial"/>
          <w:lang w:val="en-US"/>
        </w:rPr>
        <w:t xml:space="preserve">possibly non-clinically meaningful </w:t>
      </w:r>
      <w:r w:rsidR="00B72D25">
        <w:rPr>
          <w:rFonts w:ascii="Arial" w:hAnsi="Arial" w:cs="Arial"/>
          <w:lang w:val="en-US"/>
        </w:rPr>
        <w:t xml:space="preserve">additional </w:t>
      </w:r>
      <w:r w:rsidR="00D63A5A">
        <w:rPr>
          <w:rFonts w:ascii="Arial" w:hAnsi="Arial" w:cs="Arial"/>
          <w:lang w:val="en-US"/>
        </w:rPr>
        <w:t>reduction</w:t>
      </w:r>
      <w:r w:rsidR="008411B7">
        <w:rPr>
          <w:rFonts w:ascii="Arial" w:hAnsi="Arial" w:cs="Arial"/>
          <w:lang w:val="en-US"/>
        </w:rPr>
        <w:t>s</w:t>
      </w:r>
      <w:r w:rsidR="00D63A5A">
        <w:rPr>
          <w:rFonts w:ascii="Arial" w:hAnsi="Arial" w:cs="Arial"/>
          <w:lang w:val="en-US"/>
        </w:rPr>
        <w:t xml:space="preserve"> </w:t>
      </w:r>
      <w:r w:rsidR="008411B7">
        <w:rPr>
          <w:rFonts w:ascii="Arial" w:hAnsi="Arial" w:cs="Arial"/>
          <w:lang w:val="en-US"/>
        </w:rPr>
        <w:t xml:space="preserve">of ADHD </w:t>
      </w:r>
      <w:r w:rsidR="00D63A5A">
        <w:rPr>
          <w:rFonts w:ascii="Arial" w:hAnsi="Arial" w:cs="Arial"/>
          <w:lang w:val="en-US"/>
        </w:rPr>
        <w:t>symptom</w:t>
      </w:r>
      <w:r w:rsidR="00952C37">
        <w:rPr>
          <w:rFonts w:ascii="Arial" w:hAnsi="Arial" w:cs="Arial"/>
          <w:lang w:val="en-US"/>
        </w:rPr>
        <w:t>s and increased risk of treatment discontinuation due to adverse events</w:t>
      </w:r>
      <w:r w:rsidR="00952C37" w:rsidRPr="00952C37">
        <w:rPr>
          <w:rFonts w:ascii="Arial" w:hAnsi="Arial" w:cs="Arial"/>
          <w:lang w:val="en-US"/>
        </w:rPr>
        <w:t xml:space="preserve"> </w:t>
      </w:r>
      <w:r w:rsidR="00952C37">
        <w:rPr>
          <w:rFonts w:ascii="Arial" w:hAnsi="Arial" w:cs="Arial"/>
          <w:lang w:val="en-US"/>
        </w:rPr>
        <w:t>in relation to licensed doses of these medications.</w:t>
      </w:r>
    </w:p>
    <w:p w14:paraId="458CAB60" w14:textId="6F4C250D" w:rsidR="0042233B" w:rsidRPr="00AB704F" w:rsidRDefault="008C15EF" w:rsidP="00194EFB">
      <w:pPr>
        <w:spacing w:line="480" w:lineRule="auto"/>
        <w:rPr>
          <w:rFonts w:ascii="Arial" w:hAnsi="Arial" w:cs="Arial"/>
          <w:lang w:val="en-US"/>
        </w:rPr>
        <w:sectPr w:rsidR="0042233B" w:rsidRPr="00AB704F" w:rsidSect="00863254">
          <w:footerReference w:type="even" r:id="rId10"/>
          <w:footerReference w:type="default" r:id="rId11"/>
          <w:type w:val="continuous"/>
          <w:pgSz w:w="12240" w:h="15840"/>
          <w:pgMar w:top="1440" w:right="1440" w:bottom="1440" w:left="1440" w:header="708" w:footer="708" w:gutter="0"/>
          <w:cols w:space="708"/>
          <w:docGrid w:linePitch="360"/>
        </w:sectPr>
      </w:pPr>
      <w:r w:rsidRPr="003A6DE4">
        <w:rPr>
          <w:rFonts w:ascii="Arial" w:hAnsi="Arial" w:cs="Arial"/>
          <w:b/>
          <w:bCs/>
          <w:lang w:val="en-US"/>
        </w:rPr>
        <w:t>Meaning:</w:t>
      </w:r>
      <w:r w:rsidR="009C7065">
        <w:rPr>
          <w:rFonts w:ascii="Arial" w:hAnsi="Arial" w:cs="Arial"/>
          <w:lang w:val="en-US"/>
        </w:rPr>
        <w:t xml:space="preserve"> </w:t>
      </w:r>
      <w:r w:rsidR="007228E5">
        <w:rPr>
          <w:rFonts w:ascii="Arial" w:hAnsi="Arial" w:cs="Arial"/>
          <w:lang w:val="en-US"/>
        </w:rPr>
        <w:t>B</w:t>
      </w:r>
      <w:r w:rsidR="006471C6">
        <w:rPr>
          <w:rFonts w:ascii="Arial" w:hAnsi="Arial" w:cs="Arial"/>
          <w:lang w:val="en-US"/>
        </w:rPr>
        <w:t xml:space="preserve">ased </w:t>
      </w:r>
      <w:r w:rsidR="00425EAD">
        <w:rPr>
          <w:rFonts w:ascii="Arial" w:hAnsi="Arial" w:cs="Arial"/>
          <w:lang w:val="en-US"/>
        </w:rPr>
        <w:t>o</w:t>
      </w:r>
      <w:r w:rsidR="00F56753">
        <w:rPr>
          <w:rFonts w:ascii="Arial" w:hAnsi="Arial" w:cs="Arial"/>
          <w:lang w:val="en-US"/>
        </w:rPr>
        <w:t>n average</w:t>
      </w:r>
      <w:r w:rsidR="006471C6">
        <w:rPr>
          <w:rFonts w:ascii="Arial" w:hAnsi="Arial" w:cs="Arial"/>
          <w:lang w:val="en-US"/>
        </w:rPr>
        <w:t>s</w:t>
      </w:r>
      <w:r w:rsidR="004100C7">
        <w:rPr>
          <w:rFonts w:ascii="Arial" w:hAnsi="Arial" w:cs="Arial"/>
          <w:lang w:val="en-US"/>
        </w:rPr>
        <w:t xml:space="preserve">, </w:t>
      </w:r>
      <w:r w:rsidR="008C38D3">
        <w:rPr>
          <w:rFonts w:ascii="Arial" w:hAnsi="Arial" w:cs="Arial"/>
          <w:lang w:val="en-US"/>
        </w:rPr>
        <w:t>unlicensed</w:t>
      </w:r>
      <w:r w:rsidR="0033752A">
        <w:rPr>
          <w:rFonts w:ascii="Arial" w:hAnsi="Arial" w:cs="Arial"/>
          <w:lang w:val="en-US"/>
        </w:rPr>
        <w:t xml:space="preserve"> doses</w:t>
      </w:r>
      <w:r w:rsidR="00C62B65">
        <w:rPr>
          <w:rFonts w:ascii="Arial" w:hAnsi="Arial" w:cs="Arial"/>
          <w:lang w:val="en-US"/>
        </w:rPr>
        <w:t xml:space="preserve"> </w:t>
      </w:r>
      <w:r w:rsidR="00C727E5">
        <w:rPr>
          <w:rFonts w:ascii="Arial" w:hAnsi="Arial" w:cs="Arial"/>
          <w:lang w:val="en-US"/>
        </w:rPr>
        <w:t>may</w:t>
      </w:r>
      <w:r w:rsidR="001D36AF">
        <w:rPr>
          <w:rFonts w:ascii="Arial" w:hAnsi="Arial" w:cs="Arial"/>
          <w:lang w:val="en-US"/>
        </w:rPr>
        <w:t xml:space="preserve"> not </w:t>
      </w:r>
      <w:r w:rsidR="008411B7">
        <w:rPr>
          <w:rFonts w:ascii="Arial" w:hAnsi="Arial" w:cs="Arial"/>
          <w:lang w:val="en-US"/>
        </w:rPr>
        <w:t>have positive</w:t>
      </w:r>
      <w:r w:rsidR="00C62B65">
        <w:rPr>
          <w:rFonts w:ascii="Arial" w:hAnsi="Arial" w:cs="Arial"/>
          <w:lang w:val="en-US"/>
        </w:rPr>
        <w:t xml:space="preserve"> risk-</w:t>
      </w:r>
      <w:r w:rsidR="008411B7">
        <w:rPr>
          <w:rFonts w:ascii="Arial" w:hAnsi="Arial" w:cs="Arial"/>
          <w:lang w:val="en-US"/>
        </w:rPr>
        <w:t xml:space="preserve">benefits </w:t>
      </w:r>
      <w:r w:rsidR="00C62B65">
        <w:rPr>
          <w:rFonts w:ascii="Arial" w:hAnsi="Arial" w:cs="Arial"/>
          <w:lang w:val="en-US"/>
        </w:rPr>
        <w:t xml:space="preserve">for adults with </w:t>
      </w:r>
      <w:r w:rsidR="001D36AF">
        <w:rPr>
          <w:rFonts w:ascii="Arial" w:hAnsi="Arial" w:cs="Arial"/>
          <w:lang w:val="en-US"/>
        </w:rPr>
        <w:t>ADHD</w:t>
      </w:r>
      <w:bookmarkEnd w:id="0"/>
      <w:r w:rsidR="001B7F18">
        <w:rPr>
          <w:rFonts w:ascii="Arial" w:hAnsi="Arial" w:cs="Arial"/>
          <w:lang w:val="en-US"/>
        </w:rPr>
        <w:t>; p</w:t>
      </w:r>
      <w:r w:rsidR="007228E5">
        <w:rPr>
          <w:rFonts w:ascii="Arial" w:hAnsi="Arial" w:cs="Arial"/>
          <w:lang w:val="en-US"/>
        </w:rPr>
        <w:t xml:space="preserve">ractitioners </w:t>
      </w:r>
      <w:r w:rsidR="00DD4A23">
        <w:rPr>
          <w:rFonts w:ascii="Arial" w:hAnsi="Arial" w:cs="Arial"/>
          <w:lang w:val="en-US"/>
        </w:rPr>
        <w:t>should</w:t>
      </w:r>
      <w:r w:rsidR="007228E5">
        <w:rPr>
          <w:rFonts w:ascii="Arial" w:hAnsi="Arial" w:cs="Arial"/>
          <w:lang w:val="en-US"/>
        </w:rPr>
        <w:t xml:space="preserve"> </w:t>
      </w:r>
      <w:r w:rsidR="00491F4E">
        <w:rPr>
          <w:rFonts w:ascii="Arial" w:hAnsi="Arial" w:cs="Arial"/>
          <w:lang w:val="en-US"/>
        </w:rPr>
        <w:t xml:space="preserve">generally </w:t>
      </w:r>
      <w:r w:rsidR="007228E5">
        <w:rPr>
          <w:rFonts w:ascii="Arial" w:hAnsi="Arial" w:cs="Arial"/>
          <w:lang w:val="en-US"/>
        </w:rPr>
        <w:t>consider unlicensed doses cautiously</w:t>
      </w:r>
      <w:r w:rsidR="00F86F57">
        <w:rPr>
          <w:rFonts w:ascii="Arial" w:hAnsi="Arial" w:cs="Arial"/>
          <w:lang w:val="en-US"/>
        </w:rPr>
        <w:t>,</w:t>
      </w:r>
      <w:r w:rsidR="007228E5">
        <w:rPr>
          <w:rFonts w:ascii="Arial" w:hAnsi="Arial" w:cs="Arial"/>
          <w:lang w:val="en-US"/>
        </w:rPr>
        <w:t xml:space="preserve"> </w:t>
      </w:r>
      <w:r w:rsidR="00F86F57">
        <w:rPr>
          <w:rFonts w:ascii="Arial" w:hAnsi="Arial" w:cs="Arial"/>
          <w:lang w:val="en-US"/>
        </w:rPr>
        <w:t xml:space="preserve">but </w:t>
      </w:r>
      <w:r w:rsidR="00DD4A23">
        <w:rPr>
          <w:rFonts w:ascii="Arial" w:hAnsi="Arial" w:cs="Arial"/>
          <w:lang w:val="en-US"/>
        </w:rPr>
        <w:t>may</w:t>
      </w:r>
      <w:r w:rsidR="00AB704F">
        <w:rPr>
          <w:rFonts w:ascii="Arial" w:hAnsi="Arial" w:cs="Arial"/>
          <w:lang w:val="en-US"/>
        </w:rPr>
        <w:t xml:space="preserve"> </w:t>
      </w:r>
      <w:r w:rsidR="007228E5">
        <w:rPr>
          <w:rFonts w:ascii="Arial" w:hAnsi="Arial" w:cs="Arial"/>
          <w:lang w:val="en-US"/>
        </w:rPr>
        <w:t>trial them in individual cases</w:t>
      </w:r>
      <w:r w:rsidR="00D850F9">
        <w:rPr>
          <w:rFonts w:ascii="Arial" w:hAnsi="Arial" w:cs="Arial"/>
          <w:lang w:val="en-US"/>
        </w:rPr>
        <w:t>,</w:t>
      </w:r>
      <w:r w:rsidR="007228E5">
        <w:rPr>
          <w:rFonts w:ascii="Arial" w:hAnsi="Arial" w:cs="Arial"/>
          <w:lang w:val="en-US"/>
        </w:rPr>
        <w:t xml:space="preserve"> as average associations will not generalize to every patient</w:t>
      </w:r>
      <w:r w:rsidR="00AB704F">
        <w:rPr>
          <w:rFonts w:ascii="Arial" w:hAnsi="Arial" w:cs="Arial"/>
          <w:lang w:val="en-US"/>
        </w:rPr>
        <w:t>.</w:t>
      </w:r>
    </w:p>
    <w:p w14:paraId="67E4D9F2" w14:textId="77777777" w:rsidR="00F07C5A" w:rsidRDefault="00F07C5A" w:rsidP="00C01C57">
      <w:pPr>
        <w:spacing w:line="480" w:lineRule="auto"/>
        <w:jc w:val="center"/>
        <w:rPr>
          <w:rFonts w:ascii="Arial" w:hAnsi="Arial" w:cs="Arial"/>
          <w:b/>
          <w:bCs/>
          <w:lang w:val="en-US"/>
        </w:rPr>
        <w:sectPr w:rsidR="00F07C5A" w:rsidSect="00863254">
          <w:type w:val="continuous"/>
          <w:pgSz w:w="12240" w:h="15840"/>
          <w:pgMar w:top="1440" w:right="1440" w:bottom="1440" w:left="1440" w:header="708" w:footer="708" w:gutter="0"/>
          <w:cols w:space="708"/>
          <w:docGrid w:linePitch="360"/>
        </w:sectPr>
      </w:pPr>
    </w:p>
    <w:p w14:paraId="3D7B9141" w14:textId="77777777" w:rsidR="00EA18EA" w:rsidRDefault="00EA18EA" w:rsidP="00C01C57">
      <w:pPr>
        <w:spacing w:line="480" w:lineRule="auto"/>
        <w:jc w:val="center"/>
        <w:rPr>
          <w:rFonts w:ascii="Arial" w:hAnsi="Arial" w:cs="Arial"/>
          <w:b/>
          <w:bCs/>
          <w:lang w:val="en-US"/>
        </w:rPr>
      </w:pPr>
      <w:r>
        <w:rPr>
          <w:rFonts w:ascii="Arial" w:hAnsi="Arial" w:cs="Arial"/>
          <w:b/>
          <w:bCs/>
          <w:lang w:val="en-US"/>
        </w:rPr>
        <w:br w:type="page"/>
      </w:r>
    </w:p>
    <w:p w14:paraId="332A8780" w14:textId="33F44804" w:rsidR="00194EFB" w:rsidRPr="003A6DE4" w:rsidRDefault="0018065F" w:rsidP="00C01C57">
      <w:pPr>
        <w:spacing w:line="480" w:lineRule="auto"/>
        <w:jc w:val="center"/>
        <w:rPr>
          <w:rFonts w:ascii="Arial" w:hAnsi="Arial" w:cs="Arial"/>
          <w:b/>
          <w:bCs/>
          <w:lang w:val="en-US"/>
        </w:rPr>
      </w:pPr>
      <w:r w:rsidRPr="003A6DE4">
        <w:rPr>
          <w:rFonts w:ascii="Arial" w:hAnsi="Arial" w:cs="Arial"/>
          <w:b/>
          <w:bCs/>
          <w:lang w:val="en-US"/>
        </w:rPr>
        <w:lastRenderedPageBreak/>
        <w:t>ABSTRACT</w:t>
      </w:r>
    </w:p>
    <w:p w14:paraId="2D86702D" w14:textId="5BAE31E8" w:rsidR="0018065F" w:rsidRPr="0028428F" w:rsidRDefault="0018065F" w:rsidP="00194EFB">
      <w:pPr>
        <w:spacing w:line="480" w:lineRule="auto"/>
        <w:rPr>
          <w:rFonts w:ascii="Arial" w:hAnsi="Arial" w:cs="Arial"/>
          <w:lang w:val="en-US"/>
        </w:rPr>
      </w:pPr>
      <w:bookmarkStart w:id="1" w:name="_Hlk133384455"/>
      <w:bookmarkStart w:id="2" w:name="_Hlk133384501"/>
      <w:r w:rsidRPr="003A6DE4">
        <w:rPr>
          <w:rFonts w:ascii="Arial" w:hAnsi="Arial" w:cs="Arial"/>
          <w:b/>
          <w:bCs/>
          <w:lang w:val="en-US"/>
        </w:rPr>
        <w:t>Importance:</w:t>
      </w:r>
      <w:r w:rsidR="0028428F">
        <w:rPr>
          <w:rFonts w:ascii="Arial" w:hAnsi="Arial" w:cs="Arial"/>
          <w:lang w:val="en-US"/>
        </w:rPr>
        <w:t xml:space="preserve"> </w:t>
      </w:r>
      <w:r w:rsidR="00074CF5">
        <w:rPr>
          <w:rFonts w:ascii="Arial" w:hAnsi="Arial" w:cs="Arial"/>
          <w:lang w:val="en-US"/>
        </w:rPr>
        <w:t xml:space="preserve">Stimulants </w:t>
      </w:r>
      <w:r w:rsidR="00D3529C">
        <w:rPr>
          <w:rFonts w:ascii="Arial" w:hAnsi="Arial" w:cs="Arial"/>
          <w:lang w:val="en-US"/>
        </w:rPr>
        <w:t xml:space="preserve">(methylphenidate, amphetamines) </w:t>
      </w:r>
      <w:r w:rsidR="00074CF5">
        <w:rPr>
          <w:rFonts w:ascii="Arial" w:hAnsi="Arial" w:cs="Arial"/>
          <w:lang w:val="en-US"/>
        </w:rPr>
        <w:t>are often prescribed at</w:t>
      </w:r>
      <w:r w:rsidR="009B0861">
        <w:rPr>
          <w:rFonts w:ascii="Arial" w:hAnsi="Arial" w:cs="Arial"/>
          <w:lang w:val="en-US"/>
        </w:rPr>
        <w:t xml:space="preserve"> unlicensed</w:t>
      </w:r>
      <w:r w:rsidR="00074CF5">
        <w:rPr>
          <w:rFonts w:ascii="Arial" w:hAnsi="Arial" w:cs="Arial"/>
          <w:lang w:val="en-US"/>
        </w:rPr>
        <w:t xml:space="preserve"> doses for adults with attention-deficit/hyperactivity disorder</w:t>
      </w:r>
      <w:r w:rsidR="004171D9">
        <w:rPr>
          <w:rFonts w:ascii="Arial" w:hAnsi="Arial" w:cs="Arial"/>
          <w:lang w:val="en-US"/>
        </w:rPr>
        <w:t xml:space="preserve"> (ADHD)</w:t>
      </w:r>
      <w:r w:rsidR="00074CF5">
        <w:rPr>
          <w:rFonts w:ascii="Arial" w:hAnsi="Arial" w:cs="Arial"/>
          <w:lang w:val="en-US"/>
        </w:rPr>
        <w:t xml:space="preserve">. </w:t>
      </w:r>
      <w:r w:rsidR="006471C6">
        <w:rPr>
          <w:rFonts w:ascii="Arial" w:hAnsi="Arial" w:cs="Arial"/>
          <w:lang w:val="en-US"/>
        </w:rPr>
        <w:t>Whether dose escalation beyond FDA recommendations is associated with</w:t>
      </w:r>
      <w:r w:rsidR="00A95E8D">
        <w:rPr>
          <w:rFonts w:ascii="Arial" w:hAnsi="Arial" w:cs="Arial"/>
          <w:lang w:val="en-US"/>
        </w:rPr>
        <w:t xml:space="preserve"> </w:t>
      </w:r>
      <w:r w:rsidR="006471C6">
        <w:rPr>
          <w:rFonts w:ascii="Arial" w:hAnsi="Arial" w:cs="Arial"/>
          <w:lang w:val="en-US"/>
        </w:rPr>
        <w:t xml:space="preserve">positive </w:t>
      </w:r>
      <w:r w:rsidR="00A95E8D">
        <w:rPr>
          <w:rFonts w:ascii="Arial" w:hAnsi="Arial" w:cs="Arial"/>
          <w:lang w:val="en-US"/>
        </w:rPr>
        <w:t>risk-benefit</w:t>
      </w:r>
      <w:r w:rsidR="00E60E68">
        <w:rPr>
          <w:rFonts w:ascii="Arial" w:hAnsi="Arial" w:cs="Arial"/>
          <w:lang w:val="en-US"/>
        </w:rPr>
        <w:t>s</w:t>
      </w:r>
      <w:r w:rsidR="00A95E8D">
        <w:rPr>
          <w:rFonts w:ascii="Arial" w:hAnsi="Arial" w:cs="Arial"/>
          <w:lang w:val="en-US"/>
        </w:rPr>
        <w:t xml:space="preserve"> </w:t>
      </w:r>
      <w:r w:rsidR="006471C6">
        <w:rPr>
          <w:rFonts w:ascii="Arial" w:hAnsi="Arial" w:cs="Arial"/>
          <w:lang w:val="en-US"/>
        </w:rPr>
        <w:t>is</w:t>
      </w:r>
      <w:r w:rsidR="00A95E8D">
        <w:rPr>
          <w:rFonts w:ascii="Arial" w:hAnsi="Arial" w:cs="Arial"/>
          <w:lang w:val="en-US"/>
        </w:rPr>
        <w:t xml:space="preserve"> </w:t>
      </w:r>
      <w:r w:rsidR="00D27B03">
        <w:rPr>
          <w:rFonts w:ascii="Arial" w:hAnsi="Arial" w:cs="Arial"/>
          <w:lang w:val="en-US"/>
        </w:rPr>
        <w:t>un</w:t>
      </w:r>
      <w:r w:rsidR="006471C6">
        <w:rPr>
          <w:rFonts w:ascii="Arial" w:hAnsi="Arial" w:cs="Arial"/>
          <w:lang w:val="en-US"/>
        </w:rPr>
        <w:t>clear</w:t>
      </w:r>
      <w:r w:rsidR="00A95E8D">
        <w:rPr>
          <w:rFonts w:ascii="Arial" w:hAnsi="Arial" w:cs="Arial"/>
          <w:lang w:val="en-US"/>
        </w:rPr>
        <w:t>.</w:t>
      </w:r>
    </w:p>
    <w:p w14:paraId="1398249F" w14:textId="7985F571" w:rsidR="00164DDA" w:rsidRDefault="0018065F" w:rsidP="0028428F">
      <w:pPr>
        <w:widowControl w:val="0"/>
        <w:spacing w:line="480" w:lineRule="auto"/>
        <w:rPr>
          <w:rFonts w:ascii="Arial" w:hAnsi="Arial" w:cs="Arial"/>
          <w:lang w:val="en-US"/>
        </w:rPr>
      </w:pPr>
      <w:r w:rsidRPr="003A6DE4">
        <w:rPr>
          <w:rFonts w:ascii="Arial" w:hAnsi="Arial" w:cs="Arial"/>
          <w:b/>
          <w:bCs/>
          <w:lang w:val="en-US"/>
        </w:rPr>
        <w:t>Objective:</w:t>
      </w:r>
      <w:r w:rsidR="0028428F" w:rsidRPr="0028428F">
        <w:rPr>
          <w:rFonts w:ascii="Arial" w:hAnsi="Arial" w:cs="Arial"/>
          <w:lang w:val="en-US"/>
        </w:rPr>
        <w:t xml:space="preserve"> </w:t>
      </w:r>
      <w:r w:rsidR="0028428F">
        <w:rPr>
          <w:rFonts w:ascii="Arial" w:hAnsi="Arial" w:cs="Arial"/>
          <w:lang w:val="en-US"/>
        </w:rPr>
        <w:t>To</w:t>
      </w:r>
      <w:r w:rsidR="00E0378E">
        <w:rPr>
          <w:rFonts w:ascii="Arial" w:hAnsi="Arial" w:cs="Arial"/>
          <w:lang w:val="en-US"/>
        </w:rPr>
        <w:t xml:space="preserve"> </w:t>
      </w:r>
      <w:r w:rsidR="0028428F">
        <w:rPr>
          <w:rFonts w:ascii="Arial" w:hAnsi="Arial" w:cs="Arial"/>
          <w:lang w:val="en-US"/>
        </w:rPr>
        <w:t xml:space="preserve">investigate the </w:t>
      </w:r>
      <w:r w:rsidR="00A95E8D">
        <w:rPr>
          <w:rFonts w:ascii="Arial" w:hAnsi="Arial" w:cs="Arial"/>
          <w:lang w:val="en-US"/>
        </w:rPr>
        <w:t>impact</w:t>
      </w:r>
      <w:r w:rsidR="006471C6">
        <w:rPr>
          <w:rFonts w:ascii="Arial" w:hAnsi="Arial" w:cs="Arial"/>
          <w:lang w:val="en-US"/>
        </w:rPr>
        <w:t>, on averages,</w:t>
      </w:r>
      <w:r w:rsidR="00A95E8D">
        <w:rPr>
          <w:rFonts w:ascii="Arial" w:hAnsi="Arial" w:cs="Arial"/>
          <w:lang w:val="en-US"/>
        </w:rPr>
        <w:t xml:space="preserve"> </w:t>
      </w:r>
      <w:r w:rsidR="0028428F">
        <w:rPr>
          <w:rFonts w:ascii="Arial" w:hAnsi="Arial" w:cs="Arial"/>
          <w:lang w:val="en-US"/>
        </w:rPr>
        <w:t xml:space="preserve">of </w:t>
      </w:r>
      <w:r w:rsidR="00CE4C57">
        <w:rPr>
          <w:rFonts w:ascii="Arial" w:hAnsi="Arial" w:cs="Arial"/>
          <w:lang w:val="en-US"/>
        </w:rPr>
        <w:t xml:space="preserve">stimulant </w:t>
      </w:r>
      <w:r w:rsidR="006471C6">
        <w:rPr>
          <w:rFonts w:ascii="Arial" w:hAnsi="Arial" w:cs="Arial"/>
          <w:lang w:val="en-US"/>
        </w:rPr>
        <w:t xml:space="preserve">doses </w:t>
      </w:r>
      <w:r w:rsidR="00A95E8D">
        <w:rPr>
          <w:rFonts w:ascii="Arial" w:hAnsi="Arial" w:cs="Arial"/>
          <w:lang w:val="en-US"/>
        </w:rPr>
        <w:t xml:space="preserve">on </w:t>
      </w:r>
      <w:r w:rsidR="0028428F">
        <w:rPr>
          <w:rFonts w:ascii="Arial" w:hAnsi="Arial" w:cs="Arial"/>
          <w:lang w:val="en-US"/>
        </w:rPr>
        <w:t>treatment outcomes</w:t>
      </w:r>
      <w:r w:rsidR="00232E6A" w:rsidRPr="00232E6A">
        <w:rPr>
          <w:rFonts w:ascii="Arial" w:hAnsi="Arial" w:cs="Arial"/>
          <w:lang w:val="en-US"/>
        </w:rPr>
        <w:t xml:space="preserve"> </w:t>
      </w:r>
      <w:r w:rsidR="001A5EAC">
        <w:rPr>
          <w:rFonts w:ascii="Arial" w:hAnsi="Arial" w:cs="Arial"/>
          <w:lang w:val="en-US"/>
        </w:rPr>
        <w:t>in</w:t>
      </w:r>
      <w:r w:rsidR="00232E6A">
        <w:rPr>
          <w:rFonts w:ascii="Arial" w:hAnsi="Arial" w:cs="Arial"/>
          <w:lang w:val="en-US"/>
        </w:rPr>
        <w:t xml:space="preserve"> adults with ADHD</w:t>
      </w:r>
      <w:r w:rsidR="00E0378E">
        <w:rPr>
          <w:rFonts w:ascii="Arial" w:hAnsi="Arial" w:cs="Arial"/>
          <w:lang w:val="en-US"/>
        </w:rPr>
        <w:t xml:space="preserve"> and to </w:t>
      </w:r>
      <w:r w:rsidR="00164DDA">
        <w:rPr>
          <w:rFonts w:ascii="Arial" w:hAnsi="Arial" w:cs="Arial"/>
          <w:lang w:val="en-US"/>
        </w:rPr>
        <w:t>determine</w:t>
      </w:r>
      <w:r w:rsidR="00F74B68">
        <w:rPr>
          <w:rFonts w:ascii="Arial" w:hAnsi="Arial" w:cs="Arial"/>
          <w:lang w:val="en-US"/>
        </w:rPr>
        <w:t>, based on averages,</w:t>
      </w:r>
      <w:r w:rsidR="00164DDA">
        <w:rPr>
          <w:rFonts w:ascii="Arial" w:hAnsi="Arial" w:cs="Arial"/>
          <w:lang w:val="en-US"/>
        </w:rPr>
        <w:t xml:space="preserve"> whether </w:t>
      </w:r>
      <w:r w:rsidR="00F74B68">
        <w:rPr>
          <w:rFonts w:ascii="Arial" w:hAnsi="Arial" w:cs="Arial"/>
          <w:lang w:val="en-US"/>
        </w:rPr>
        <w:t xml:space="preserve">unlicensed </w:t>
      </w:r>
      <w:r w:rsidR="00164DDA">
        <w:rPr>
          <w:rFonts w:ascii="Arial" w:hAnsi="Arial" w:cs="Arial"/>
          <w:lang w:val="en-US"/>
        </w:rPr>
        <w:t xml:space="preserve">doses </w:t>
      </w:r>
      <w:r w:rsidR="006A1071">
        <w:rPr>
          <w:rFonts w:ascii="Arial" w:hAnsi="Arial" w:cs="Arial"/>
          <w:lang w:val="en-US"/>
        </w:rPr>
        <w:t>are associated with positive</w:t>
      </w:r>
      <w:r w:rsidR="00164DDA">
        <w:rPr>
          <w:rFonts w:ascii="Arial" w:hAnsi="Arial" w:cs="Arial"/>
          <w:lang w:val="en-US"/>
        </w:rPr>
        <w:t xml:space="preserve"> </w:t>
      </w:r>
      <w:r w:rsidR="00DC2634">
        <w:rPr>
          <w:rFonts w:ascii="Arial" w:hAnsi="Arial" w:cs="Arial"/>
          <w:lang w:val="en-US"/>
        </w:rPr>
        <w:t>risk-benefit</w:t>
      </w:r>
      <w:r w:rsidR="00E60E68">
        <w:rPr>
          <w:rFonts w:ascii="Arial" w:hAnsi="Arial" w:cs="Arial"/>
          <w:lang w:val="en-US"/>
        </w:rPr>
        <w:t>s</w:t>
      </w:r>
      <w:r w:rsidR="00BB20AB">
        <w:rPr>
          <w:rFonts w:ascii="Arial" w:hAnsi="Arial" w:cs="Arial"/>
          <w:lang w:val="en-US"/>
        </w:rPr>
        <w:t xml:space="preserve"> </w:t>
      </w:r>
      <w:r w:rsidR="001A4526">
        <w:rPr>
          <w:rFonts w:ascii="Arial" w:hAnsi="Arial" w:cs="Arial"/>
          <w:lang w:val="en-US"/>
        </w:rPr>
        <w:t>compared</w:t>
      </w:r>
      <w:r w:rsidR="00DC2634">
        <w:rPr>
          <w:rFonts w:ascii="Arial" w:hAnsi="Arial" w:cs="Arial"/>
          <w:lang w:val="en-US"/>
        </w:rPr>
        <w:t xml:space="preserve"> to </w:t>
      </w:r>
      <w:r w:rsidR="0054372C">
        <w:rPr>
          <w:rFonts w:ascii="Arial" w:hAnsi="Arial" w:cs="Arial"/>
          <w:lang w:val="en-US"/>
        </w:rPr>
        <w:t>licensed</w:t>
      </w:r>
      <w:r w:rsidR="00DC2634">
        <w:rPr>
          <w:rFonts w:ascii="Arial" w:hAnsi="Arial" w:cs="Arial"/>
          <w:lang w:val="en-US"/>
        </w:rPr>
        <w:t xml:space="preserve"> doses</w:t>
      </w:r>
      <w:r w:rsidR="00164DDA">
        <w:rPr>
          <w:rFonts w:ascii="Arial" w:hAnsi="Arial" w:cs="Arial"/>
          <w:lang w:val="en-US"/>
        </w:rPr>
        <w:t>.</w:t>
      </w:r>
    </w:p>
    <w:p w14:paraId="5D34DB0B" w14:textId="54BA8F4A" w:rsidR="0018065F" w:rsidRPr="009E4C66" w:rsidRDefault="0018065F" w:rsidP="0028428F">
      <w:pPr>
        <w:widowControl w:val="0"/>
        <w:spacing w:line="480" w:lineRule="auto"/>
        <w:rPr>
          <w:rFonts w:ascii="Arial" w:hAnsi="Arial" w:cs="Arial"/>
          <w:lang w:val="en-US"/>
        </w:rPr>
      </w:pPr>
      <w:r w:rsidRPr="003A6DE4">
        <w:rPr>
          <w:rFonts w:ascii="Arial" w:hAnsi="Arial" w:cs="Arial"/>
          <w:b/>
          <w:bCs/>
          <w:lang w:val="en-US"/>
        </w:rPr>
        <w:t xml:space="preserve">Data </w:t>
      </w:r>
      <w:r w:rsidR="00235EC9">
        <w:rPr>
          <w:rFonts w:ascii="Arial" w:hAnsi="Arial" w:cs="Arial"/>
          <w:b/>
          <w:bCs/>
          <w:lang w:val="en-US"/>
        </w:rPr>
        <w:t>S</w:t>
      </w:r>
      <w:r w:rsidRPr="003A6DE4">
        <w:rPr>
          <w:rFonts w:ascii="Arial" w:hAnsi="Arial" w:cs="Arial"/>
          <w:b/>
          <w:bCs/>
          <w:lang w:val="en-US"/>
        </w:rPr>
        <w:t>ources:</w:t>
      </w:r>
      <w:r w:rsidR="009E4C66">
        <w:rPr>
          <w:rFonts w:ascii="Arial" w:hAnsi="Arial" w:cs="Arial"/>
          <w:lang w:val="en-US"/>
        </w:rPr>
        <w:t xml:space="preserve"> </w:t>
      </w:r>
      <w:r w:rsidR="004F3046">
        <w:rPr>
          <w:rFonts w:ascii="Arial" w:hAnsi="Arial" w:cs="Arial"/>
          <w:lang w:val="en-US"/>
        </w:rPr>
        <w:t xml:space="preserve">Twelve </w:t>
      </w:r>
      <w:r w:rsidR="009E4C66">
        <w:rPr>
          <w:rFonts w:ascii="Arial" w:hAnsi="Arial" w:cs="Arial"/>
          <w:lang w:val="en-US"/>
        </w:rPr>
        <w:t xml:space="preserve">databases including published (PubMed, Cochrane Library, Embase, Web of Sciences) and unpublished (ClinicalTrials.gov) </w:t>
      </w:r>
      <w:r w:rsidR="0028428F">
        <w:rPr>
          <w:rFonts w:ascii="Arial" w:hAnsi="Arial" w:cs="Arial"/>
          <w:lang w:val="en-US"/>
        </w:rPr>
        <w:t xml:space="preserve">literature </w:t>
      </w:r>
      <w:r w:rsidR="009E4C66">
        <w:rPr>
          <w:rFonts w:ascii="Arial" w:hAnsi="Arial" w:cs="Arial"/>
          <w:lang w:val="en-US"/>
        </w:rPr>
        <w:t>up to February</w:t>
      </w:r>
      <w:r w:rsidR="004F3046">
        <w:rPr>
          <w:rFonts w:ascii="Arial" w:hAnsi="Arial" w:cs="Arial"/>
          <w:lang w:val="en-US"/>
        </w:rPr>
        <w:t xml:space="preserve"> 22,</w:t>
      </w:r>
      <w:r w:rsidR="009E4C66">
        <w:rPr>
          <w:rFonts w:ascii="Arial" w:hAnsi="Arial" w:cs="Arial"/>
          <w:lang w:val="en-US"/>
        </w:rPr>
        <w:t xml:space="preserve"> </w:t>
      </w:r>
      <w:r w:rsidR="00171951">
        <w:rPr>
          <w:rFonts w:ascii="Arial" w:hAnsi="Arial" w:cs="Arial"/>
          <w:lang w:val="en-US"/>
        </w:rPr>
        <w:t>2023,</w:t>
      </w:r>
      <w:r w:rsidR="00164DDA">
        <w:rPr>
          <w:rFonts w:ascii="Arial" w:hAnsi="Arial" w:cs="Arial"/>
          <w:lang w:val="en-US"/>
        </w:rPr>
        <w:t xml:space="preserve"> without language restrictions</w:t>
      </w:r>
      <w:r w:rsidR="009E4C66">
        <w:rPr>
          <w:rFonts w:ascii="Arial" w:hAnsi="Arial" w:cs="Arial"/>
          <w:lang w:val="en-US"/>
        </w:rPr>
        <w:t>.</w:t>
      </w:r>
    </w:p>
    <w:p w14:paraId="1A2A2798" w14:textId="598FF6CC" w:rsidR="0018065F" w:rsidRPr="009E4C66" w:rsidRDefault="0018065F" w:rsidP="00194EFB">
      <w:pPr>
        <w:spacing w:line="480" w:lineRule="auto"/>
        <w:rPr>
          <w:rFonts w:ascii="Arial" w:hAnsi="Arial" w:cs="Arial"/>
          <w:lang w:val="en-US"/>
        </w:rPr>
      </w:pPr>
      <w:r w:rsidRPr="003A6DE4">
        <w:rPr>
          <w:rFonts w:ascii="Arial" w:hAnsi="Arial" w:cs="Arial"/>
          <w:b/>
          <w:bCs/>
          <w:lang w:val="en-US"/>
        </w:rPr>
        <w:t xml:space="preserve">Study </w:t>
      </w:r>
      <w:r w:rsidR="00235EC9">
        <w:rPr>
          <w:rFonts w:ascii="Arial" w:hAnsi="Arial" w:cs="Arial"/>
          <w:b/>
          <w:bCs/>
          <w:lang w:val="en-US"/>
        </w:rPr>
        <w:t>S</w:t>
      </w:r>
      <w:r w:rsidRPr="003A6DE4">
        <w:rPr>
          <w:rFonts w:ascii="Arial" w:hAnsi="Arial" w:cs="Arial"/>
          <w:b/>
          <w:bCs/>
          <w:lang w:val="en-US"/>
        </w:rPr>
        <w:t>election:</w:t>
      </w:r>
      <w:r w:rsidR="009E4C66">
        <w:rPr>
          <w:rFonts w:ascii="Arial" w:hAnsi="Arial" w:cs="Arial"/>
          <w:b/>
          <w:bCs/>
          <w:lang w:val="en-US"/>
        </w:rPr>
        <w:t xml:space="preserve"> </w:t>
      </w:r>
      <w:r w:rsidR="00164DDA">
        <w:rPr>
          <w:rFonts w:ascii="Arial" w:hAnsi="Arial" w:cs="Arial"/>
          <w:lang w:val="en-US"/>
        </w:rPr>
        <w:t xml:space="preserve">Two researchers </w:t>
      </w:r>
      <w:r w:rsidR="001A0267">
        <w:rPr>
          <w:rFonts w:ascii="Arial" w:hAnsi="Arial" w:cs="Arial"/>
          <w:lang w:val="en-US"/>
        </w:rPr>
        <w:t xml:space="preserve">independently </w:t>
      </w:r>
      <w:r w:rsidR="00164DDA">
        <w:rPr>
          <w:rFonts w:ascii="Arial" w:hAnsi="Arial" w:cs="Arial"/>
          <w:lang w:val="en-US"/>
        </w:rPr>
        <w:t>screened records to identify d</w:t>
      </w:r>
      <w:r w:rsidR="0028428F">
        <w:rPr>
          <w:rFonts w:ascii="Arial" w:hAnsi="Arial" w:cs="Arial"/>
          <w:lang w:val="en-US"/>
        </w:rPr>
        <w:t>ouble-blinded r</w:t>
      </w:r>
      <w:r w:rsidR="009E4C66">
        <w:rPr>
          <w:rFonts w:ascii="Arial" w:hAnsi="Arial" w:cs="Arial"/>
          <w:lang w:val="en-US"/>
        </w:rPr>
        <w:t>andomized</w:t>
      </w:r>
      <w:r w:rsidR="00445A43">
        <w:rPr>
          <w:rFonts w:ascii="Arial" w:hAnsi="Arial" w:cs="Arial"/>
          <w:lang w:val="en-US"/>
        </w:rPr>
        <w:t>-</w:t>
      </w:r>
      <w:r w:rsidR="009E4C66">
        <w:rPr>
          <w:rFonts w:ascii="Arial" w:hAnsi="Arial" w:cs="Arial"/>
          <w:lang w:val="en-US"/>
        </w:rPr>
        <w:t xml:space="preserve">controlled trials of stimulants against placebo </w:t>
      </w:r>
      <w:r w:rsidR="00087AB2">
        <w:rPr>
          <w:rFonts w:ascii="Arial" w:hAnsi="Arial" w:cs="Arial"/>
          <w:lang w:val="en-US"/>
        </w:rPr>
        <w:t xml:space="preserve">in </w:t>
      </w:r>
      <w:r w:rsidR="009E4C66">
        <w:rPr>
          <w:rFonts w:ascii="Arial" w:hAnsi="Arial" w:cs="Arial"/>
          <w:lang w:val="en-US"/>
        </w:rPr>
        <w:t xml:space="preserve">adults (≥ 18 years) with </w:t>
      </w:r>
      <w:r w:rsidR="00A03B7C">
        <w:rPr>
          <w:rFonts w:ascii="Arial" w:hAnsi="Arial" w:cs="Arial"/>
          <w:lang w:val="en-US"/>
        </w:rPr>
        <w:t>ADHD</w:t>
      </w:r>
      <w:r w:rsidR="00A135D7">
        <w:rPr>
          <w:rFonts w:ascii="Arial" w:hAnsi="Arial" w:cs="Arial"/>
          <w:lang w:val="en-US"/>
        </w:rPr>
        <w:t>.</w:t>
      </w:r>
    </w:p>
    <w:p w14:paraId="1E27D095" w14:textId="40251FAA" w:rsidR="0018065F" w:rsidRPr="00164DDA" w:rsidRDefault="0018065F" w:rsidP="00194EFB">
      <w:pPr>
        <w:spacing w:line="480" w:lineRule="auto"/>
        <w:rPr>
          <w:rFonts w:ascii="Arial" w:hAnsi="Arial" w:cs="Arial"/>
          <w:lang w:val="en-US"/>
        </w:rPr>
      </w:pPr>
      <w:r w:rsidRPr="003A6DE4">
        <w:rPr>
          <w:rFonts w:ascii="Arial" w:hAnsi="Arial" w:cs="Arial"/>
          <w:b/>
          <w:bCs/>
          <w:lang w:val="en-US"/>
        </w:rPr>
        <w:t>Data Extraction and Synthesis:</w:t>
      </w:r>
      <w:r w:rsidR="0028428F">
        <w:rPr>
          <w:rFonts w:ascii="Arial" w:hAnsi="Arial" w:cs="Arial"/>
          <w:b/>
          <w:bCs/>
          <w:lang w:val="en-US"/>
        </w:rPr>
        <w:t xml:space="preserve"> </w:t>
      </w:r>
      <w:r w:rsidR="00334BD8">
        <w:rPr>
          <w:rFonts w:ascii="Arial" w:hAnsi="Arial" w:cs="Arial"/>
          <w:lang w:val="en-US"/>
        </w:rPr>
        <w:t>Aggregate d</w:t>
      </w:r>
      <w:r w:rsidR="00B023C7">
        <w:rPr>
          <w:rFonts w:ascii="Arial" w:hAnsi="Arial" w:cs="Arial"/>
          <w:lang w:val="en-US"/>
        </w:rPr>
        <w:t xml:space="preserve">ata were </w:t>
      </w:r>
      <w:r w:rsidR="007240FB">
        <w:rPr>
          <w:rFonts w:ascii="Arial" w:hAnsi="Arial" w:cs="Arial"/>
          <w:lang w:val="en-US"/>
        </w:rPr>
        <w:t xml:space="preserve">extracted and </w:t>
      </w:r>
      <w:r w:rsidR="004A42A4">
        <w:rPr>
          <w:rFonts w:ascii="Arial" w:hAnsi="Arial" w:cs="Arial"/>
          <w:lang w:val="en-US"/>
        </w:rPr>
        <w:t xml:space="preserve">synthesized in </w:t>
      </w:r>
      <w:r w:rsidR="00B023C7">
        <w:rPr>
          <w:rFonts w:ascii="Arial" w:hAnsi="Arial" w:cs="Arial"/>
          <w:lang w:val="en-US"/>
        </w:rPr>
        <w:t>random-effects dose-response meta-analyses</w:t>
      </w:r>
      <w:r w:rsidR="004A42A4">
        <w:rPr>
          <w:rFonts w:ascii="Arial" w:hAnsi="Arial" w:cs="Arial"/>
          <w:lang w:val="en-US"/>
        </w:rPr>
        <w:t xml:space="preserve"> and network meta-analyses</w:t>
      </w:r>
      <w:r w:rsidR="00B023C7">
        <w:rPr>
          <w:rFonts w:ascii="Arial" w:hAnsi="Arial" w:cs="Arial"/>
          <w:lang w:val="en-US"/>
        </w:rPr>
        <w:t>.</w:t>
      </w:r>
      <w:r w:rsidR="00A30E7D">
        <w:rPr>
          <w:rFonts w:ascii="Arial" w:hAnsi="Arial" w:cs="Arial"/>
          <w:lang w:val="en-US"/>
        </w:rPr>
        <w:t xml:space="preserve"> </w:t>
      </w:r>
    </w:p>
    <w:p w14:paraId="087D540A" w14:textId="118F8B27" w:rsidR="0018065F" w:rsidRPr="00A135D7" w:rsidRDefault="0018065F" w:rsidP="00194EFB">
      <w:pPr>
        <w:spacing w:line="480" w:lineRule="auto"/>
        <w:rPr>
          <w:rFonts w:ascii="Arial" w:hAnsi="Arial" w:cs="Arial"/>
          <w:lang w:val="en-US"/>
        </w:rPr>
      </w:pPr>
      <w:r w:rsidRPr="003A6DE4">
        <w:rPr>
          <w:rFonts w:ascii="Arial" w:hAnsi="Arial" w:cs="Arial"/>
          <w:b/>
          <w:bCs/>
          <w:lang w:val="en-US"/>
        </w:rPr>
        <w:t>Main Outcome Measures:</w:t>
      </w:r>
      <w:r w:rsidR="00A135D7">
        <w:rPr>
          <w:rFonts w:ascii="Arial" w:hAnsi="Arial" w:cs="Arial"/>
          <w:b/>
          <w:bCs/>
          <w:lang w:val="en-US"/>
        </w:rPr>
        <w:t xml:space="preserve"> </w:t>
      </w:r>
      <w:r w:rsidR="00087AB2" w:rsidRPr="00EF3B25">
        <w:rPr>
          <w:rFonts w:ascii="Arial" w:hAnsi="Arial" w:cs="Arial"/>
          <w:lang w:val="en-US"/>
        </w:rPr>
        <w:t xml:space="preserve">Change in </w:t>
      </w:r>
      <w:r w:rsidR="00F0631E">
        <w:rPr>
          <w:rFonts w:ascii="Arial" w:hAnsi="Arial" w:cs="Arial"/>
          <w:lang w:val="en-US"/>
        </w:rPr>
        <w:t>ADHD</w:t>
      </w:r>
      <w:r w:rsidR="0086279F">
        <w:rPr>
          <w:rFonts w:ascii="Arial" w:hAnsi="Arial" w:cs="Arial"/>
          <w:lang w:val="en-US"/>
        </w:rPr>
        <w:t xml:space="preserve"> </w:t>
      </w:r>
      <w:r w:rsidR="00A135D7">
        <w:rPr>
          <w:rFonts w:ascii="Arial" w:hAnsi="Arial" w:cs="Arial"/>
          <w:lang w:val="en-US"/>
        </w:rPr>
        <w:t>symptom</w:t>
      </w:r>
      <w:r w:rsidR="008D17C0">
        <w:rPr>
          <w:rFonts w:ascii="Arial" w:hAnsi="Arial" w:cs="Arial"/>
          <w:lang w:val="en-US"/>
        </w:rPr>
        <w:t xml:space="preserve">s </w:t>
      </w:r>
      <w:r w:rsidR="00CC4A88">
        <w:rPr>
          <w:rFonts w:ascii="Arial" w:hAnsi="Arial" w:cs="Arial"/>
          <w:lang w:val="en-US"/>
        </w:rPr>
        <w:t xml:space="preserve">and </w:t>
      </w:r>
      <w:r w:rsidR="00A135D7">
        <w:rPr>
          <w:rFonts w:ascii="Arial" w:hAnsi="Arial" w:cs="Arial"/>
          <w:lang w:val="en-US"/>
        </w:rPr>
        <w:t>discontinuation</w:t>
      </w:r>
      <w:r w:rsidR="008450B7">
        <w:rPr>
          <w:rFonts w:ascii="Arial" w:hAnsi="Arial" w:cs="Arial"/>
          <w:lang w:val="en-US"/>
        </w:rPr>
        <w:t>s</w:t>
      </w:r>
      <w:r w:rsidR="00087AB2">
        <w:rPr>
          <w:rFonts w:ascii="Arial" w:hAnsi="Arial" w:cs="Arial"/>
          <w:lang w:val="en-US"/>
        </w:rPr>
        <w:t xml:space="preserve"> </w:t>
      </w:r>
      <w:r w:rsidR="00A135D7">
        <w:rPr>
          <w:rFonts w:ascii="Arial" w:hAnsi="Arial" w:cs="Arial"/>
          <w:lang w:val="en-US"/>
        </w:rPr>
        <w:t>due to adverse events</w:t>
      </w:r>
      <w:r w:rsidR="00BB20AB">
        <w:rPr>
          <w:rFonts w:ascii="Arial" w:hAnsi="Arial" w:cs="Arial"/>
          <w:lang w:val="en-US"/>
        </w:rPr>
        <w:t>.</w:t>
      </w:r>
    </w:p>
    <w:p w14:paraId="66A4995B" w14:textId="24567F38" w:rsidR="009870DE" w:rsidRDefault="0018065F" w:rsidP="009870DE">
      <w:pPr>
        <w:spacing w:line="480" w:lineRule="auto"/>
        <w:rPr>
          <w:rFonts w:ascii="Arial" w:hAnsi="Arial" w:cs="Arial"/>
          <w:lang w:val="en-US"/>
        </w:rPr>
      </w:pPr>
      <w:r w:rsidRPr="003A6DE4">
        <w:rPr>
          <w:rFonts w:ascii="Arial" w:hAnsi="Arial" w:cs="Arial"/>
          <w:b/>
          <w:bCs/>
          <w:lang w:val="en-US"/>
        </w:rPr>
        <w:t>Results</w:t>
      </w:r>
      <w:r w:rsidR="00C64872">
        <w:rPr>
          <w:rFonts w:ascii="Arial" w:hAnsi="Arial" w:cs="Arial"/>
          <w:b/>
          <w:bCs/>
          <w:lang w:val="en-US"/>
        </w:rPr>
        <w:t>:</w:t>
      </w:r>
      <w:r w:rsidR="00B023C7">
        <w:rPr>
          <w:rFonts w:ascii="Arial" w:hAnsi="Arial" w:cs="Arial"/>
          <w:b/>
          <w:bCs/>
          <w:lang w:val="en-US"/>
        </w:rPr>
        <w:t xml:space="preserve"> </w:t>
      </w:r>
      <w:r w:rsidR="007240FB">
        <w:rPr>
          <w:rFonts w:ascii="Arial" w:hAnsi="Arial" w:cs="Arial"/>
          <w:lang w:val="en-US"/>
        </w:rPr>
        <w:t xml:space="preserve">47 </w:t>
      </w:r>
      <w:r w:rsidR="00445A43">
        <w:rPr>
          <w:rFonts w:ascii="Arial" w:hAnsi="Arial" w:cs="Arial"/>
          <w:lang w:val="en-US"/>
        </w:rPr>
        <w:t xml:space="preserve">randomized-controlled trials </w:t>
      </w:r>
      <w:r w:rsidR="00A30E7D">
        <w:rPr>
          <w:rFonts w:ascii="Arial" w:hAnsi="Arial" w:cs="Arial"/>
          <w:lang w:val="en-US"/>
        </w:rPr>
        <w:t>(</w:t>
      </w:r>
      <w:r w:rsidR="007240FB">
        <w:rPr>
          <w:rFonts w:ascii="Arial" w:hAnsi="Arial" w:cs="Arial"/>
          <w:lang w:val="en-US"/>
        </w:rPr>
        <w:t>7,714 participants</w:t>
      </w:r>
      <w:r w:rsidR="00A30E7D">
        <w:rPr>
          <w:rFonts w:ascii="Arial" w:hAnsi="Arial" w:cs="Arial"/>
          <w:lang w:val="en-US"/>
        </w:rPr>
        <w:t>)</w:t>
      </w:r>
      <w:r w:rsidR="007240FB">
        <w:rPr>
          <w:rFonts w:ascii="Arial" w:hAnsi="Arial" w:cs="Arial"/>
          <w:lang w:val="en-US"/>
        </w:rPr>
        <w:t xml:space="preserve"> were included.</w:t>
      </w:r>
      <w:r w:rsidR="00C6191B">
        <w:rPr>
          <w:rFonts w:ascii="Arial" w:hAnsi="Arial" w:cs="Arial"/>
          <w:lang w:val="en-US"/>
        </w:rPr>
        <w:t xml:space="preserve"> </w:t>
      </w:r>
      <w:r w:rsidR="00FC5638">
        <w:rPr>
          <w:rFonts w:ascii="Arial" w:hAnsi="Arial" w:cs="Arial"/>
          <w:lang w:val="en-US"/>
        </w:rPr>
        <w:t xml:space="preserve">For methylphenidate, dose-response curves indicated </w:t>
      </w:r>
      <w:r w:rsidR="004B003B">
        <w:rPr>
          <w:rFonts w:ascii="Arial" w:hAnsi="Arial" w:cs="Arial"/>
          <w:lang w:val="en-US"/>
        </w:rPr>
        <w:t>additional reduction</w:t>
      </w:r>
      <w:r w:rsidR="006E7A69">
        <w:rPr>
          <w:rFonts w:ascii="Arial" w:hAnsi="Arial" w:cs="Arial"/>
          <w:lang w:val="en-US"/>
        </w:rPr>
        <w:t>s</w:t>
      </w:r>
      <w:r w:rsidR="004B003B">
        <w:rPr>
          <w:rFonts w:ascii="Arial" w:hAnsi="Arial" w:cs="Arial"/>
          <w:lang w:val="en-US"/>
        </w:rPr>
        <w:t xml:space="preserve"> </w:t>
      </w:r>
      <w:r w:rsidR="008411B7">
        <w:rPr>
          <w:rFonts w:ascii="Arial" w:hAnsi="Arial" w:cs="Arial"/>
          <w:lang w:val="en-US"/>
        </w:rPr>
        <w:t>of</w:t>
      </w:r>
      <w:r w:rsidR="004B003B">
        <w:rPr>
          <w:rFonts w:ascii="Arial" w:hAnsi="Arial" w:cs="Arial"/>
          <w:lang w:val="en-US"/>
        </w:rPr>
        <w:t xml:space="preserve"> symptom</w:t>
      </w:r>
      <w:r w:rsidR="008411B7">
        <w:rPr>
          <w:rFonts w:ascii="Arial" w:hAnsi="Arial" w:cs="Arial"/>
          <w:lang w:val="en-US"/>
        </w:rPr>
        <w:t>s</w:t>
      </w:r>
      <w:r w:rsidR="004B003B">
        <w:rPr>
          <w:rFonts w:ascii="Arial" w:hAnsi="Arial" w:cs="Arial"/>
          <w:lang w:val="en-US"/>
        </w:rPr>
        <w:t xml:space="preserve"> with </w:t>
      </w:r>
      <w:r w:rsidR="006401CC">
        <w:rPr>
          <w:rFonts w:ascii="Arial" w:hAnsi="Arial" w:cs="Arial"/>
          <w:lang w:val="en-US"/>
        </w:rPr>
        <w:t>increments in</w:t>
      </w:r>
      <w:r w:rsidR="00A30E7D">
        <w:rPr>
          <w:rFonts w:ascii="Arial" w:hAnsi="Arial" w:cs="Arial"/>
          <w:lang w:val="en-US"/>
        </w:rPr>
        <w:t xml:space="preserve"> </w:t>
      </w:r>
      <w:r w:rsidR="004B003B">
        <w:rPr>
          <w:rFonts w:ascii="Arial" w:hAnsi="Arial" w:cs="Arial"/>
          <w:lang w:val="en-US"/>
        </w:rPr>
        <w:t>doses</w:t>
      </w:r>
      <w:r w:rsidR="009870DE">
        <w:rPr>
          <w:rFonts w:ascii="Arial" w:hAnsi="Arial" w:cs="Arial"/>
          <w:lang w:val="en-US"/>
        </w:rPr>
        <w:t xml:space="preserve">, </w:t>
      </w:r>
      <w:r w:rsidR="000B4411">
        <w:rPr>
          <w:rFonts w:ascii="Arial" w:hAnsi="Arial" w:cs="Arial"/>
          <w:lang w:val="en-US"/>
        </w:rPr>
        <w:t xml:space="preserve">but </w:t>
      </w:r>
      <w:r w:rsidR="00700EC2">
        <w:rPr>
          <w:rFonts w:ascii="Arial" w:hAnsi="Arial" w:cs="Arial"/>
          <w:lang w:val="en-US"/>
        </w:rPr>
        <w:t xml:space="preserve">the </w:t>
      </w:r>
      <w:r w:rsidR="004B003B">
        <w:rPr>
          <w:rFonts w:ascii="Arial" w:hAnsi="Arial" w:cs="Arial"/>
          <w:lang w:val="en-US"/>
        </w:rPr>
        <w:t xml:space="preserve">gains </w:t>
      </w:r>
      <w:r w:rsidR="000B4411">
        <w:rPr>
          <w:rFonts w:ascii="Arial" w:hAnsi="Arial" w:cs="Arial"/>
          <w:lang w:val="en-US"/>
        </w:rPr>
        <w:t>were progressively smaller</w:t>
      </w:r>
      <w:r w:rsidR="00A84721">
        <w:rPr>
          <w:rFonts w:ascii="Arial" w:hAnsi="Arial" w:cs="Arial"/>
          <w:lang w:val="en-US"/>
        </w:rPr>
        <w:t xml:space="preserve"> </w:t>
      </w:r>
      <w:r w:rsidR="00DF403E">
        <w:rPr>
          <w:rFonts w:ascii="Arial" w:hAnsi="Arial" w:cs="Arial"/>
          <w:lang w:val="en-US"/>
        </w:rPr>
        <w:t>and</w:t>
      </w:r>
      <w:r w:rsidR="000B4411">
        <w:rPr>
          <w:rFonts w:ascii="Arial" w:hAnsi="Arial" w:cs="Arial"/>
          <w:lang w:val="en-US"/>
        </w:rPr>
        <w:t xml:space="preserve"> accompanied by </w:t>
      </w:r>
      <w:r w:rsidR="00700EC2">
        <w:rPr>
          <w:rFonts w:ascii="Arial" w:hAnsi="Arial" w:cs="Arial"/>
          <w:lang w:val="en-US"/>
        </w:rPr>
        <w:t xml:space="preserve">continued </w:t>
      </w:r>
      <w:r w:rsidR="006401CC">
        <w:rPr>
          <w:rFonts w:ascii="Arial" w:hAnsi="Arial" w:cs="Arial"/>
          <w:lang w:val="en-US"/>
        </w:rPr>
        <w:t>additional risk</w:t>
      </w:r>
      <w:r w:rsidR="00700EC2">
        <w:rPr>
          <w:rFonts w:ascii="Arial" w:hAnsi="Arial" w:cs="Arial"/>
          <w:lang w:val="en-US"/>
        </w:rPr>
        <w:t xml:space="preserve"> of </w:t>
      </w:r>
      <w:r w:rsidR="000B4411">
        <w:rPr>
          <w:rFonts w:ascii="Arial" w:hAnsi="Arial" w:cs="Arial"/>
          <w:lang w:val="en-US"/>
        </w:rPr>
        <w:t>adverse events</w:t>
      </w:r>
      <w:r w:rsidR="00700EC2">
        <w:rPr>
          <w:rFonts w:ascii="Arial" w:hAnsi="Arial" w:cs="Arial"/>
          <w:lang w:val="en-US"/>
        </w:rPr>
        <w:t xml:space="preserve"> dropouts</w:t>
      </w:r>
      <w:r w:rsidR="004100C7">
        <w:rPr>
          <w:rFonts w:ascii="Arial" w:hAnsi="Arial" w:cs="Arial"/>
          <w:lang w:val="en-US"/>
        </w:rPr>
        <w:t>.</w:t>
      </w:r>
      <w:r w:rsidR="00A30E7D">
        <w:rPr>
          <w:rFonts w:ascii="Arial" w:hAnsi="Arial" w:cs="Arial"/>
          <w:lang w:val="en-US"/>
        </w:rPr>
        <w:t xml:space="preserve"> </w:t>
      </w:r>
      <w:r w:rsidR="00445A43">
        <w:rPr>
          <w:rFonts w:ascii="Arial" w:hAnsi="Arial" w:cs="Arial"/>
          <w:lang w:val="en-US"/>
        </w:rPr>
        <w:t>Network meta-analyses</w:t>
      </w:r>
      <w:r w:rsidR="000B4411">
        <w:rPr>
          <w:rFonts w:ascii="Arial" w:hAnsi="Arial" w:cs="Arial"/>
          <w:lang w:val="en-US"/>
        </w:rPr>
        <w:t xml:space="preserve"> </w:t>
      </w:r>
      <w:r w:rsidR="00A30E7D">
        <w:rPr>
          <w:rFonts w:ascii="Arial" w:hAnsi="Arial" w:cs="Arial"/>
          <w:lang w:val="en-US"/>
        </w:rPr>
        <w:t xml:space="preserve">showed </w:t>
      </w:r>
      <w:r w:rsidR="000B4411">
        <w:rPr>
          <w:rFonts w:ascii="Arial" w:hAnsi="Arial" w:cs="Arial"/>
          <w:lang w:val="en-US"/>
        </w:rPr>
        <w:t xml:space="preserve">that </w:t>
      </w:r>
      <w:r w:rsidR="00F74B68">
        <w:rPr>
          <w:rFonts w:ascii="Arial" w:hAnsi="Arial" w:cs="Arial"/>
          <w:lang w:val="en-US"/>
        </w:rPr>
        <w:t xml:space="preserve">unlicensed </w:t>
      </w:r>
      <w:r w:rsidR="000B4411">
        <w:rPr>
          <w:rFonts w:ascii="Arial" w:hAnsi="Arial" w:cs="Arial"/>
          <w:lang w:val="en-US"/>
        </w:rPr>
        <w:t xml:space="preserve">doses were </w:t>
      </w:r>
      <w:r w:rsidR="000500C2">
        <w:rPr>
          <w:rFonts w:ascii="Arial" w:hAnsi="Arial" w:cs="Arial"/>
          <w:lang w:val="en-US"/>
        </w:rPr>
        <w:t xml:space="preserve">associated with </w:t>
      </w:r>
      <w:r w:rsidR="00123C31">
        <w:rPr>
          <w:rFonts w:ascii="Arial" w:hAnsi="Arial" w:cs="Arial"/>
          <w:lang w:val="en-US"/>
        </w:rPr>
        <w:t>greater reduction</w:t>
      </w:r>
      <w:r w:rsidR="008411B7">
        <w:rPr>
          <w:rFonts w:ascii="Arial" w:hAnsi="Arial" w:cs="Arial"/>
          <w:lang w:val="en-US"/>
        </w:rPr>
        <w:t>s</w:t>
      </w:r>
      <w:r w:rsidR="00123C31">
        <w:rPr>
          <w:rFonts w:ascii="Arial" w:hAnsi="Arial" w:cs="Arial"/>
          <w:lang w:val="en-US"/>
        </w:rPr>
        <w:t xml:space="preserve"> </w:t>
      </w:r>
      <w:r w:rsidR="008411B7">
        <w:rPr>
          <w:rFonts w:ascii="Arial" w:hAnsi="Arial" w:cs="Arial"/>
          <w:lang w:val="en-US"/>
        </w:rPr>
        <w:t>of</w:t>
      </w:r>
      <w:r w:rsidR="004B003B">
        <w:rPr>
          <w:rFonts w:ascii="Arial" w:hAnsi="Arial" w:cs="Arial"/>
          <w:lang w:val="en-US"/>
        </w:rPr>
        <w:t xml:space="preserve"> </w:t>
      </w:r>
      <w:r w:rsidR="00123C31">
        <w:rPr>
          <w:rFonts w:ascii="Arial" w:hAnsi="Arial" w:cs="Arial"/>
          <w:lang w:val="en-US"/>
        </w:rPr>
        <w:t>symptom</w:t>
      </w:r>
      <w:r w:rsidR="008411B7">
        <w:rPr>
          <w:rFonts w:ascii="Arial" w:hAnsi="Arial" w:cs="Arial"/>
          <w:lang w:val="en-US"/>
        </w:rPr>
        <w:t>s</w:t>
      </w:r>
      <w:r w:rsidR="00123C31">
        <w:rPr>
          <w:rFonts w:ascii="Arial" w:hAnsi="Arial" w:cs="Arial"/>
          <w:lang w:val="en-US"/>
        </w:rPr>
        <w:t xml:space="preserve"> compared</w:t>
      </w:r>
      <w:r w:rsidR="000500C2">
        <w:rPr>
          <w:rFonts w:ascii="Arial" w:hAnsi="Arial" w:cs="Arial"/>
          <w:lang w:val="en-US"/>
        </w:rPr>
        <w:t xml:space="preserve"> </w:t>
      </w:r>
      <w:r w:rsidR="000500C2">
        <w:rPr>
          <w:rFonts w:ascii="Arial" w:hAnsi="Arial" w:cs="Arial"/>
          <w:lang w:val="en-US"/>
        </w:rPr>
        <w:lastRenderedPageBreak/>
        <w:t xml:space="preserve">to </w:t>
      </w:r>
      <w:r w:rsidR="00136391">
        <w:rPr>
          <w:rFonts w:ascii="Arial" w:hAnsi="Arial" w:cs="Arial"/>
          <w:lang w:val="en-US"/>
        </w:rPr>
        <w:t>licensed</w:t>
      </w:r>
      <w:r w:rsidR="000500C2">
        <w:rPr>
          <w:rFonts w:ascii="Arial" w:hAnsi="Arial" w:cs="Arial"/>
          <w:lang w:val="en-US"/>
        </w:rPr>
        <w:t xml:space="preserve"> doses (</w:t>
      </w:r>
      <w:r w:rsidR="00445A43">
        <w:rPr>
          <w:rFonts w:ascii="Arial" w:hAnsi="Arial" w:cs="Arial"/>
          <w:lang w:val="en-US"/>
        </w:rPr>
        <w:t>standardized mean difference [</w:t>
      </w:r>
      <w:r w:rsidR="000500C2">
        <w:rPr>
          <w:rFonts w:ascii="Arial" w:hAnsi="Arial" w:cs="Arial"/>
          <w:lang w:val="en-US"/>
        </w:rPr>
        <w:t>SMD</w:t>
      </w:r>
      <w:r w:rsidR="00445A43">
        <w:rPr>
          <w:rFonts w:ascii="Arial" w:hAnsi="Arial" w:cs="Arial"/>
          <w:lang w:val="en-US"/>
        </w:rPr>
        <w:t>]</w:t>
      </w:r>
      <w:r w:rsidR="000500C2">
        <w:rPr>
          <w:rFonts w:ascii="Arial" w:hAnsi="Arial" w:cs="Arial"/>
          <w:lang w:val="en-US"/>
        </w:rPr>
        <w:t xml:space="preserve"> -0.23</w:t>
      </w:r>
      <w:r w:rsidR="00171951">
        <w:rPr>
          <w:rFonts w:ascii="Arial" w:hAnsi="Arial" w:cs="Arial"/>
          <w:lang w:val="en-US"/>
        </w:rPr>
        <w:t>;</w:t>
      </w:r>
      <w:r w:rsidR="000500C2">
        <w:rPr>
          <w:rFonts w:ascii="Arial" w:hAnsi="Arial" w:cs="Arial"/>
          <w:lang w:val="en-US"/>
        </w:rPr>
        <w:t xml:space="preserve"> 95% </w:t>
      </w:r>
      <w:r w:rsidR="00445A43">
        <w:rPr>
          <w:rFonts w:ascii="Arial" w:hAnsi="Arial" w:cs="Arial"/>
          <w:lang w:val="en-US"/>
        </w:rPr>
        <w:t>confidence interval [</w:t>
      </w:r>
      <w:r w:rsidR="000500C2">
        <w:rPr>
          <w:rFonts w:ascii="Arial" w:hAnsi="Arial" w:cs="Arial"/>
          <w:lang w:val="en-US"/>
        </w:rPr>
        <w:t>CI</w:t>
      </w:r>
      <w:r w:rsidR="00445A43">
        <w:rPr>
          <w:rFonts w:ascii="Arial" w:hAnsi="Arial" w:cs="Arial"/>
          <w:lang w:val="en-US"/>
        </w:rPr>
        <w:t>]</w:t>
      </w:r>
      <w:r w:rsidR="000500C2">
        <w:rPr>
          <w:rFonts w:ascii="Arial" w:hAnsi="Arial" w:cs="Arial"/>
          <w:lang w:val="en-US"/>
        </w:rPr>
        <w:t xml:space="preserve"> -0.44, -0.02</w:t>
      </w:r>
      <w:r w:rsidR="00171951">
        <w:rPr>
          <w:rFonts w:ascii="Arial" w:hAnsi="Arial" w:cs="Arial"/>
          <w:lang w:val="en-US"/>
        </w:rPr>
        <w:t>;</w:t>
      </w:r>
      <w:r w:rsidR="000500C2">
        <w:rPr>
          <w:rFonts w:ascii="Arial" w:hAnsi="Arial" w:cs="Arial"/>
          <w:lang w:val="en-US"/>
        </w:rPr>
        <w:t xml:space="preserve"> very low certainty of evidence)</w:t>
      </w:r>
      <w:r w:rsidR="00700EC2">
        <w:rPr>
          <w:rFonts w:ascii="Arial" w:hAnsi="Arial" w:cs="Arial"/>
          <w:lang w:val="en-US"/>
        </w:rPr>
        <w:t>, but the additional</w:t>
      </w:r>
      <w:r w:rsidR="000500C2">
        <w:rPr>
          <w:rFonts w:ascii="Arial" w:hAnsi="Arial" w:cs="Arial"/>
          <w:lang w:val="en-US"/>
        </w:rPr>
        <w:t xml:space="preserve"> </w:t>
      </w:r>
      <w:r w:rsidR="004100C7">
        <w:rPr>
          <w:rFonts w:ascii="Arial" w:hAnsi="Arial" w:cs="Arial"/>
          <w:lang w:val="en-US"/>
        </w:rPr>
        <w:t xml:space="preserve">gain </w:t>
      </w:r>
      <w:r w:rsidR="00700EC2">
        <w:rPr>
          <w:rFonts w:ascii="Arial" w:hAnsi="Arial" w:cs="Arial"/>
          <w:lang w:val="en-US"/>
        </w:rPr>
        <w:t xml:space="preserve">was </w:t>
      </w:r>
      <w:r w:rsidR="000500C2">
        <w:rPr>
          <w:rFonts w:ascii="Arial" w:hAnsi="Arial" w:cs="Arial"/>
          <w:lang w:val="en-US"/>
        </w:rPr>
        <w:t xml:space="preserve">small and accompanied by </w:t>
      </w:r>
      <w:r w:rsidR="00123C31">
        <w:rPr>
          <w:rFonts w:ascii="Arial" w:hAnsi="Arial" w:cs="Arial"/>
          <w:lang w:val="en-US"/>
        </w:rPr>
        <w:t>increased risk of adverse event dropouts</w:t>
      </w:r>
      <w:r w:rsidR="000500C2">
        <w:rPr>
          <w:rFonts w:ascii="Arial" w:hAnsi="Arial" w:cs="Arial"/>
          <w:lang w:val="en-US"/>
        </w:rPr>
        <w:t xml:space="preserve"> (</w:t>
      </w:r>
      <w:r w:rsidR="00445A43">
        <w:rPr>
          <w:rFonts w:ascii="Arial" w:hAnsi="Arial" w:cs="Arial"/>
          <w:lang w:val="en-US"/>
        </w:rPr>
        <w:t>odds ratio [</w:t>
      </w:r>
      <w:r w:rsidR="000500C2">
        <w:rPr>
          <w:rFonts w:ascii="Arial" w:hAnsi="Arial" w:cs="Arial"/>
          <w:lang w:val="en-US"/>
        </w:rPr>
        <w:t>OR</w:t>
      </w:r>
      <w:r w:rsidR="00445A43">
        <w:rPr>
          <w:rFonts w:ascii="Arial" w:hAnsi="Arial" w:cs="Arial"/>
          <w:lang w:val="en-US"/>
        </w:rPr>
        <w:t>]</w:t>
      </w:r>
      <w:r w:rsidR="000500C2">
        <w:rPr>
          <w:rFonts w:ascii="Arial" w:hAnsi="Arial" w:cs="Arial"/>
          <w:lang w:val="en-US"/>
        </w:rPr>
        <w:t xml:space="preserve"> 2.02</w:t>
      </w:r>
      <w:r w:rsidR="00171951">
        <w:rPr>
          <w:rFonts w:ascii="Arial" w:hAnsi="Arial" w:cs="Arial"/>
          <w:lang w:val="en-US"/>
        </w:rPr>
        <w:t>;</w:t>
      </w:r>
      <w:r w:rsidR="000500C2">
        <w:rPr>
          <w:rFonts w:ascii="Arial" w:hAnsi="Arial" w:cs="Arial"/>
          <w:lang w:val="en-US"/>
        </w:rPr>
        <w:t xml:space="preserve"> 95% CI 1.19, 3.43</w:t>
      </w:r>
      <w:r w:rsidR="00171951">
        <w:rPr>
          <w:rFonts w:ascii="Arial" w:hAnsi="Arial" w:cs="Arial"/>
          <w:lang w:val="en-US"/>
        </w:rPr>
        <w:t>;</w:t>
      </w:r>
      <w:r w:rsidR="000500C2" w:rsidRPr="00571D68">
        <w:rPr>
          <w:rFonts w:ascii="Arial" w:eastAsiaTheme="minorEastAsia" w:hAnsi="Arial" w:cs="Arial"/>
          <w:lang w:val="en-US"/>
        </w:rPr>
        <w:t xml:space="preserve"> </w:t>
      </w:r>
      <w:r w:rsidR="000500C2">
        <w:rPr>
          <w:rFonts w:ascii="Arial" w:hAnsi="Arial" w:cs="Arial"/>
          <w:lang w:val="en-US"/>
        </w:rPr>
        <w:t>moderate).</w:t>
      </w:r>
      <w:r w:rsidR="00FC5638">
        <w:rPr>
          <w:rFonts w:ascii="Arial" w:hAnsi="Arial" w:cs="Arial"/>
          <w:lang w:val="en-US"/>
        </w:rPr>
        <w:t xml:space="preserve"> For amphetamine</w:t>
      </w:r>
      <w:r w:rsidR="006739FE">
        <w:rPr>
          <w:rFonts w:ascii="Arial" w:hAnsi="Arial" w:cs="Arial"/>
          <w:lang w:val="en-US"/>
        </w:rPr>
        <w:t>s</w:t>
      </w:r>
      <w:r w:rsidR="00FC5638">
        <w:rPr>
          <w:rFonts w:ascii="Arial" w:hAnsi="Arial" w:cs="Arial"/>
          <w:lang w:val="en-US"/>
        </w:rPr>
        <w:t xml:space="preserve">, </w:t>
      </w:r>
      <w:r w:rsidR="009870DE">
        <w:rPr>
          <w:rFonts w:ascii="Arial" w:hAnsi="Arial" w:cs="Arial"/>
          <w:lang w:val="en-US"/>
        </w:rPr>
        <w:t xml:space="preserve">dose-response curve </w:t>
      </w:r>
      <w:r w:rsidR="00F13B5A">
        <w:rPr>
          <w:rFonts w:ascii="Arial" w:hAnsi="Arial" w:cs="Arial"/>
          <w:lang w:val="en-US"/>
        </w:rPr>
        <w:t xml:space="preserve">approached a plateau and increments in doses </w:t>
      </w:r>
      <w:r w:rsidR="004B003B">
        <w:rPr>
          <w:rFonts w:ascii="Arial" w:hAnsi="Arial" w:cs="Arial"/>
          <w:lang w:val="en-US"/>
        </w:rPr>
        <w:t xml:space="preserve">did not </w:t>
      </w:r>
      <w:r w:rsidR="009870DE">
        <w:rPr>
          <w:rFonts w:ascii="Arial" w:hAnsi="Arial" w:cs="Arial"/>
          <w:lang w:val="en-US"/>
        </w:rPr>
        <w:t>indicat</w:t>
      </w:r>
      <w:r w:rsidR="004B003B">
        <w:rPr>
          <w:rFonts w:ascii="Arial" w:hAnsi="Arial" w:cs="Arial"/>
          <w:lang w:val="en-US"/>
        </w:rPr>
        <w:t xml:space="preserve">e additional </w:t>
      </w:r>
      <w:r w:rsidR="00312328">
        <w:rPr>
          <w:rFonts w:ascii="Arial" w:hAnsi="Arial" w:cs="Arial"/>
          <w:lang w:val="en-US"/>
        </w:rPr>
        <w:t>reduction</w:t>
      </w:r>
      <w:r w:rsidR="004B003B">
        <w:rPr>
          <w:rFonts w:ascii="Arial" w:hAnsi="Arial" w:cs="Arial"/>
          <w:lang w:val="en-US"/>
        </w:rPr>
        <w:t xml:space="preserve">s </w:t>
      </w:r>
      <w:r w:rsidR="008411B7">
        <w:rPr>
          <w:rFonts w:ascii="Arial" w:hAnsi="Arial" w:cs="Arial"/>
          <w:lang w:val="en-US"/>
        </w:rPr>
        <w:t>of</w:t>
      </w:r>
      <w:r w:rsidR="004B003B">
        <w:rPr>
          <w:rFonts w:ascii="Arial" w:hAnsi="Arial" w:cs="Arial"/>
          <w:lang w:val="en-US"/>
        </w:rPr>
        <w:t xml:space="preserve"> </w:t>
      </w:r>
      <w:r w:rsidR="00312328">
        <w:rPr>
          <w:rFonts w:ascii="Arial" w:hAnsi="Arial" w:cs="Arial"/>
          <w:lang w:val="en-US"/>
        </w:rPr>
        <w:t>symptom</w:t>
      </w:r>
      <w:r w:rsidR="008411B7">
        <w:rPr>
          <w:rFonts w:ascii="Arial" w:hAnsi="Arial" w:cs="Arial"/>
          <w:lang w:val="en-US"/>
        </w:rPr>
        <w:t>s</w:t>
      </w:r>
      <w:r w:rsidR="004F3046">
        <w:rPr>
          <w:rFonts w:ascii="Arial" w:hAnsi="Arial" w:cs="Arial"/>
          <w:lang w:val="en-US"/>
        </w:rPr>
        <w:t xml:space="preserve">, </w:t>
      </w:r>
      <w:r w:rsidR="00F13B5A">
        <w:rPr>
          <w:rFonts w:ascii="Arial" w:hAnsi="Arial" w:cs="Arial"/>
          <w:lang w:val="en-US"/>
        </w:rPr>
        <w:t>but</w:t>
      </w:r>
      <w:r w:rsidR="00973FA4">
        <w:rPr>
          <w:rFonts w:ascii="Arial" w:hAnsi="Arial" w:cs="Arial"/>
          <w:lang w:val="en-US"/>
        </w:rPr>
        <w:t xml:space="preserve"> </w:t>
      </w:r>
      <w:r w:rsidR="004F3046">
        <w:rPr>
          <w:rFonts w:ascii="Arial" w:hAnsi="Arial" w:cs="Arial"/>
          <w:lang w:val="en-US"/>
        </w:rPr>
        <w:t xml:space="preserve">there were </w:t>
      </w:r>
      <w:r w:rsidR="009870DE">
        <w:rPr>
          <w:rFonts w:ascii="Arial" w:hAnsi="Arial" w:cs="Arial"/>
          <w:lang w:val="en-US"/>
        </w:rPr>
        <w:t xml:space="preserve">continued </w:t>
      </w:r>
      <w:r w:rsidR="00312328">
        <w:rPr>
          <w:rFonts w:ascii="Arial" w:hAnsi="Arial" w:cs="Arial"/>
          <w:lang w:val="en-US"/>
        </w:rPr>
        <w:t>increments in the risk of adverse event dropouts</w:t>
      </w:r>
      <w:r w:rsidR="004100C7">
        <w:rPr>
          <w:rFonts w:ascii="Arial" w:hAnsi="Arial" w:cs="Arial"/>
          <w:lang w:val="en-US"/>
        </w:rPr>
        <w:t>.</w:t>
      </w:r>
      <w:r w:rsidR="001B00FE">
        <w:rPr>
          <w:rFonts w:ascii="Arial" w:hAnsi="Arial" w:cs="Arial"/>
          <w:lang w:val="en-US"/>
        </w:rPr>
        <w:t xml:space="preserve"> </w:t>
      </w:r>
      <w:r w:rsidR="00445A43">
        <w:rPr>
          <w:rFonts w:ascii="Arial" w:hAnsi="Arial" w:cs="Arial"/>
          <w:lang w:val="en-US"/>
        </w:rPr>
        <w:t>Network meta-analysis</w:t>
      </w:r>
      <w:r w:rsidR="009870DE">
        <w:rPr>
          <w:rFonts w:ascii="Arial" w:hAnsi="Arial" w:cs="Arial"/>
          <w:lang w:val="en-US"/>
        </w:rPr>
        <w:t xml:space="preserve"> </w:t>
      </w:r>
      <w:r w:rsidR="001B00FE">
        <w:rPr>
          <w:rFonts w:ascii="Arial" w:hAnsi="Arial" w:cs="Arial"/>
          <w:lang w:val="en-US"/>
        </w:rPr>
        <w:t>did not</w:t>
      </w:r>
      <w:r w:rsidR="009870DE">
        <w:rPr>
          <w:rFonts w:ascii="Arial" w:hAnsi="Arial" w:cs="Arial"/>
          <w:lang w:val="en-US"/>
        </w:rPr>
        <w:t xml:space="preserve"> identify differences between </w:t>
      </w:r>
      <w:r w:rsidR="00F74B68">
        <w:rPr>
          <w:rFonts w:ascii="Arial" w:hAnsi="Arial" w:cs="Arial"/>
          <w:lang w:val="en-US"/>
        </w:rPr>
        <w:t xml:space="preserve">unlicensed and licensed </w:t>
      </w:r>
      <w:r w:rsidR="009870DE">
        <w:rPr>
          <w:rFonts w:ascii="Arial" w:hAnsi="Arial" w:cs="Arial"/>
          <w:lang w:val="en-US"/>
        </w:rPr>
        <w:t xml:space="preserve">doses for </w:t>
      </w:r>
      <w:r w:rsidR="00312328">
        <w:rPr>
          <w:rFonts w:ascii="Arial" w:hAnsi="Arial" w:cs="Arial"/>
          <w:lang w:val="en-US"/>
        </w:rPr>
        <w:t>reduction</w:t>
      </w:r>
      <w:r w:rsidR="008411B7">
        <w:rPr>
          <w:rFonts w:ascii="Arial" w:hAnsi="Arial" w:cs="Arial"/>
          <w:lang w:val="en-US"/>
        </w:rPr>
        <w:t>s</w:t>
      </w:r>
      <w:r w:rsidR="00312328">
        <w:rPr>
          <w:rFonts w:ascii="Arial" w:hAnsi="Arial" w:cs="Arial"/>
          <w:lang w:val="en-US"/>
        </w:rPr>
        <w:t xml:space="preserve"> </w:t>
      </w:r>
      <w:r w:rsidR="008411B7">
        <w:rPr>
          <w:rFonts w:ascii="Arial" w:hAnsi="Arial" w:cs="Arial"/>
          <w:lang w:val="en-US"/>
        </w:rPr>
        <w:t>of</w:t>
      </w:r>
      <w:r w:rsidR="0081188A">
        <w:rPr>
          <w:rFonts w:ascii="Arial" w:hAnsi="Arial" w:cs="Arial"/>
          <w:lang w:val="en-US"/>
        </w:rPr>
        <w:t xml:space="preserve"> </w:t>
      </w:r>
      <w:r w:rsidR="00312328">
        <w:rPr>
          <w:rFonts w:ascii="Arial" w:hAnsi="Arial" w:cs="Arial"/>
          <w:lang w:val="en-US"/>
        </w:rPr>
        <w:t>symptom</w:t>
      </w:r>
      <w:r w:rsidR="008411B7">
        <w:rPr>
          <w:rFonts w:ascii="Arial" w:hAnsi="Arial" w:cs="Arial"/>
          <w:lang w:val="en-US"/>
        </w:rPr>
        <w:t>s</w:t>
      </w:r>
      <w:r w:rsidR="00312328">
        <w:rPr>
          <w:rFonts w:ascii="Arial" w:hAnsi="Arial" w:cs="Arial"/>
          <w:lang w:val="en-US"/>
        </w:rPr>
        <w:t xml:space="preserve"> </w:t>
      </w:r>
      <w:r w:rsidR="009870DE">
        <w:rPr>
          <w:rFonts w:ascii="Arial" w:hAnsi="Arial" w:cs="Arial"/>
          <w:lang w:val="en-US"/>
        </w:rPr>
        <w:t>(SMD -0.08</w:t>
      </w:r>
      <w:r w:rsidR="00FB4EB7">
        <w:rPr>
          <w:rFonts w:ascii="Arial" w:hAnsi="Arial" w:cs="Arial"/>
          <w:lang w:val="en-US"/>
        </w:rPr>
        <w:t>;</w:t>
      </w:r>
      <w:r w:rsidR="009870DE">
        <w:rPr>
          <w:rFonts w:ascii="Arial" w:hAnsi="Arial" w:cs="Arial"/>
          <w:lang w:val="en-US"/>
        </w:rPr>
        <w:t xml:space="preserve"> 95% CI -0.24, 0.08</w:t>
      </w:r>
      <w:r w:rsidR="00FB4EB7">
        <w:rPr>
          <w:rFonts w:ascii="Arial" w:hAnsi="Arial" w:cs="Arial"/>
          <w:lang w:val="en-US"/>
        </w:rPr>
        <w:t>;</w:t>
      </w:r>
      <w:r w:rsidR="009870DE">
        <w:rPr>
          <w:rFonts w:ascii="Arial" w:hAnsi="Arial" w:cs="Arial"/>
          <w:lang w:val="en-US"/>
        </w:rPr>
        <w:t xml:space="preserve"> very low).</w:t>
      </w:r>
    </w:p>
    <w:p w14:paraId="1BEC4B3B" w14:textId="6F7BE28A" w:rsidR="001A430E" w:rsidRDefault="0018065F" w:rsidP="00194EFB">
      <w:pPr>
        <w:spacing w:line="480" w:lineRule="auto"/>
        <w:rPr>
          <w:rFonts w:ascii="Arial" w:hAnsi="Arial" w:cs="Arial"/>
          <w:lang w:val="en-US"/>
        </w:rPr>
      </w:pPr>
      <w:bookmarkStart w:id="3" w:name="_Hlk137564512"/>
      <w:r w:rsidRPr="003A6DE4">
        <w:rPr>
          <w:rFonts w:ascii="Arial" w:hAnsi="Arial" w:cs="Arial"/>
          <w:b/>
          <w:bCs/>
          <w:lang w:val="en-US"/>
        </w:rPr>
        <w:t>Conclusions and Relevance</w:t>
      </w:r>
      <w:r w:rsidR="0096559F">
        <w:rPr>
          <w:rFonts w:ascii="Arial" w:hAnsi="Arial" w:cs="Arial"/>
          <w:b/>
          <w:bCs/>
          <w:lang w:val="en-US"/>
        </w:rPr>
        <w:t xml:space="preserve">: </w:t>
      </w:r>
      <w:r w:rsidR="00E60E68">
        <w:rPr>
          <w:rFonts w:ascii="Arial" w:hAnsi="Arial" w:cs="Arial"/>
          <w:lang w:val="en-US"/>
        </w:rPr>
        <w:t>Based on averages</w:t>
      </w:r>
      <w:r w:rsidR="00E60E68" w:rsidRPr="00D11E26">
        <w:rPr>
          <w:rFonts w:ascii="Arial" w:hAnsi="Arial" w:cs="Arial"/>
          <w:lang w:val="en-US"/>
        </w:rPr>
        <w:t>,</w:t>
      </w:r>
      <w:r w:rsidR="00E60E68">
        <w:rPr>
          <w:rFonts w:ascii="Arial" w:hAnsi="Arial" w:cs="Arial"/>
          <w:b/>
          <w:bCs/>
          <w:lang w:val="en-US"/>
        </w:rPr>
        <w:t xml:space="preserve"> </w:t>
      </w:r>
      <w:r w:rsidR="00E60E68">
        <w:rPr>
          <w:rFonts w:ascii="Arial" w:hAnsi="Arial" w:cs="Arial"/>
          <w:lang w:val="en-US"/>
        </w:rPr>
        <w:t xml:space="preserve">unlicensed doses may not have positive risk-benefits in relation to </w:t>
      </w:r>
      <w:r w:rsidR="00D25264">
        <w:rPr>
          <w:rFonts w:ascii="Arial" w:hAnsi="Arial" w:cs="Arial"/>
          <w:lang w:val="en-US"/>
        </w:rPr>
        <w:t>licensed</w:t>
      </w:r>
      <w:r w:rsidR="00E60E68">
        <w:rPr>
          <w:rFonts w:ascii="Arial" w:hAnsi="Arial" w:cs="Arial"/>
          <w:lang w:val="en-US"/>
        </w:rPr>
        <w:t xml:space="preserve"> doses for adults with ADHD. </w:t>
      </w:r>
      <w:r w:rsidR="00FC7D49">
        <w:rPr>
          <w:rFonts w:ascii="Arial" w:hAnsi="Arial" w:cs="Arial"/>
          <w:lang w:val="en-US"/>
        </w:rPr>
        <w:t>In general, p</w:t>
      </w:r>
      <w:r w:rsidR="00E60E68">
        <w:rPr>
          <w:rFonts w:ascii="Arial" w:hAnsi="Arial" w:cs="Arial"/>
          <w:lang w:val="en-US"/>
        </w:rPr>
        <w:t xml:space="preserve">ractitioners </w:t>
      </w:r>
      <w:r w:rsidR="00485FA2">
        <w:rPr>
          <w:rFonts w:ascii="Arial" w:hAnsi="Arial" w:cs="Arial"/>
          <w:lang w:val="en-US"/>
        </w:rPr>
        <w:t>should</w:t>
      </w:r>
      <w:r w:rsidR="00881741">
        <w:rPr>
          <w:rFonts w:ascii="Arial" w:hAnsi="Arial" w:cs="Arial"/>
          <w:lang w:val="en-US"/>
        </w:rPr>
        <w:t xml:space="preserve"> </w:t>
      </w:r>
      <w:r w:rsidR="00E60E68">
        <w:rPr>
          <w:rFonts w:ascii="Arial" w:hAnsi="Arial" w:cs="Arial"/>
          <w:lang w:val="en-US"/>
        </w:rPr>
        <w:t>consider unlicensed doses cautiously</w:t>
      </w:r>
      <w:r w:rsidR="00847B56">
        <w:rPr>
          <w:rFonts w:ascii="Arial" w:hAnsi="Arial" w:cs="Arial"/>
          <w:lang w:val="en-US"/>
        </w:rPr>
        <w:t xml:space="preserve">. However, </w:t>
      </w:r>
      <w:r w:rsidR="00C27234">
        <w:rPr>
          <w:rFonts w:ascii="Arial" w:hAnsi="Arial" w:cs="Arial"/>
          <w:lang w:val="en-US"/>
        </w:rPr>
        <w:t>t</w:t>
      </w:r>
      <w:r w:rsidR="00E60E68">
        <w:rPr>
          <w:rFonts w:ascii="Arial" w:hAnsi="Arial" w:cs="Arial"/>
          <w:lang w:val="en-US"/>
        </w:rPr>
        <w:t xml:space="preserve">he </w:t>
      </w:r>
      <w:r w:rsidR="008450B7">
        <w:rPr>
          <w:rFonts w:ascii="Arial" w:hAnsi="Arial" w:cs="Arial"/>
          <w:lang w:val="en-US"/>
        </w:rPr>
        <w:t>findings</w:t>
      </w:r>
      <w:r w:rsidR="00E60E68">
        <w:rPr>
          <w:rFonts w:ascii="Arial" w:hAnsi="Arial" w:cs="Arial"/>
          <w:lang w:val="en-US"/>
        </w:rPr>
        <w:t xml:space="preserve"> are averages and will not generalize to every patient</w:t>
      </w:r>
      <w:r w:rsidR="00847B56">
        <w:rPr>
          <w:rFonts w:ascii="Arial" w:hAnsi="Arial" w:cs="Arial"/>
          <w:lang w:val="en-US"/>
        </w:rPr>
        <w:t xml:space="preserve">. </w:t>
      </w:r>
      <w:r w:rsidR="001A430E">
        <w:rPr>
          <w:rFonts w:ascii="Arial" w:hAnsi="Arial" w:cs="Arial"/>
          <w:lang w:val="en-US"/>
        </w:rPr>
        <w:t>Practitioners may trial unlicensed doses if needed and tolerated but should be aware that there may not be large gains in the patients’ response to the medication with those further increments in dose.</w:t>
      </w:r>
    </w:p>
    <w:p w14:paraId="7A2DF843" w14:textId="77777777" w:rsidR="001A430E" w:rsidRDefault="001A430E" w:rsidP="00194EFB">
      <w:pPr>
        <w:spacing w:line="480" w:lineRule="auto"/>
        <w:rPr>
          <w:rFonts w:ascii="Arial" w:hAnsi="Arial" w:cs="Arial"/>
          <w:lang w:val="en-US"/>
        </w:rPr>
      </w:pPr>
    </w:p>
    <w:bookmarkEnd w:id="1"/>
    <w:bookmarkEnd w:id="2"/>
    <w:bookmarkEnd w:id="3"/>
    <w:p w14:paraId="0ED27949" w14:textId="77777777" w:rsidR="00F07C5A" w:rsidRDefault="00F07C5A" w:rsidP="00630249">
      <w:pPr>
        <w:spacing w:line="480" w:lineRule="auto"/>
        <w:jc w:val="center"/>
        <w:rPr>
          <w:rFonts w:ascii="Arial" w:hAnsi="Arial" w:cs="Arial"/>
          <w:b/>
          <w:bCs/>
          <w:lang w:val="en-US"/>
        </w:rPr>
        <w:sectPr w:rsidR="00F07C5A" w:rsidSect="00863254">
          <w:type w:val="continuous"/>
          <w:pgSz w:w="12240" w:h="15840"/>
          <w:pgMar w:top="1440" w:right="1440" w:bottom="1440" w:left="1440" w:header="708" w:footer="708" w:gutter="0"/>
          <w:cols w:space="708"/>
          <w:docGrid w:linePitch="360"/>
        </w:sectPr>
      </w:pPr>
    </w:p>
    <w:p w14:paraId="749B09CC" w14:textId="44C85489" w:rsidR="00291E18" w:rsidRPr="00291E18" w:rsidRDefault="0018065F" w:rsidP="00630249">
      <w:pPr>
        <w:spacing w:line="480" w:lineRule="auto"/>
        <w:jc w:val="center"/>
        <w:rPr>
          <w:rFonts w:ascii="Arial" w:hAnsi="Arial" w:cs="Arial"/>
          <w:b/>
          <w:bCs/>
          <w:lang w:val="en-US"/>
        </w:rPr>
      </w:pPr>
      <w:r w:rsidRPr="003A6DE4">
        <w:rPr>
          <w:rFonts w:ascii="Arial" w:hAnsi="Arial" w:cs="Arial"/>
          <w:b/>
          <w:bCs/>
          <w:lang w:val="en-US"/>
        </w:rPr>
        <w:lastRenderedPageBreak/>
        <w:t>INTRODUCTION</w:t>
      </w:r>
    </w:p>
    <w:p w14:paraId="2EFEA428" w14:textId="5EC946E2" w:rsidR="00641ABA" w:rsidRDefault="00731AA7" w:rsidP="00731AA7">
      <w:pPr>
        <w:spacing w:line="480" w:lineRule="auto"/>
        <w:ind w:firstLine="720"/>
        <w:rPr>
          <w:rFonts w:ascii="Arial" w:hAnsi="Arial" w:cs="Arial"/>
          <w:lang w:val="en-US"/>
        </w:rPr>
      </w:pPr>
      <w:r>
        <w:rPr>
          <w:rFonts w:ascii="Arial" w:hAnsi="Arial" w:cs="Arial"/>
          <w:lang w:val="en-US"/>
        </w:rPr>
        <w:t>Stimulants (methylphenidate and amphetamines) are recommended in clinical practice guidelines (CPGs)</w:t>
      </w:r>
      <w:r>
        <w:rPr>
          <w:rFonts w:ascii="Arial" w:hAnsi="Arial" w:cs="Arial"/>
          <w:noProof/>
          <w:vertAlign w:val="superscript"/>
          <w:lang w:val="en-US"/>
        </w:rPr>
        <w:t>1-3</w:t>
      </w:r>
      <w:r>
        <w:rPr>
          <w:rFonts w:ascii="Arial" w:hAnsi="Arial" w:cs="Arial"/>
          <w:lang w:val="en-US"/>
        </w:rPr>
        <w:t xml:space="preserve"> for the treatment of adults with </w:t>
      </w:r>
      <w:r w:rsidR="00551DE4">
        <w:rPr>
          <w:rFonts w:ascii="Arial" w:hAnsi="Arial" w:cs="Arial"/>
          <w:lang w:val="en-US"/>
        </w:rPr>
        <w:t>attention-deficit/hyperactivity disorder (</w:t>
      </w:r>
      <w:r>
        <w:rPr>
          <w:rFonts w:ascii="Arial" w:hAnsi="Arial" w:cs="Arial"/>
          <w:lang w:val="en-US"/>
        </w:rPr>
        <w:t>ADHD</w:t>
      </w:r>
      <w:r w:rsidR="00551DE4">
        <w:rPr>
          <w:rFonts w:ascii="Arial" w:hAnsi="Arial" w:cs="Arial"/>
          <w:lang w:val="en-US"/>
        </w:rPr>
        <w:t>)</w:t>
      </w:r>
      <w:r>
        <w:rPr>
          <w:rFonts w:ascii="Arial" w:hAnsi="Arial" w:cs="Arial"/>
          <w:lang w:val="en-US"/>
        </w:rPr>
        <w:t>, a common psychiatric condition</w:t>
      </w:r>
      <w:r>
        <w:rPr>
          <w:rFonts w:ascii="Arial" w:hAnsi="Arial" w:cs="Arial"/>
          <w:vertAlign w:val="superscript"/>
          <w:lang w:val="en-US"/>
        </w:rPr>
        <w:t>4,5</w:t>
      </w:r>
      <w:r>
        <w:rPr>
          <w:rFonts w:ascii="Arial" w:hAnsi="Arial" w:cs="Arial"/>
          <w:lang w:val="en-US"/>
        </w:rPr>
        <w:t xml:space="preserve"> that has been associated with criminality,</w:t>
      </w:r>
      <w:r>
        <w:rPr>
          <w:rFonts w:ascii="Arial" w:hAnsi="Arial" w:cs="Arial"/>
          <w:noProof/>
          <w:vertAlign w:val="superscript"/>
          <w:lang w:val="en-US"/>
        </w:rPr>
        <w:t>6</w:t>
      </w:r>
      <w:r>
        <w:rPr>
          <w:rFonts w:ascii="Arial" w:hAnsi="Arial" w:cs="Arial"/>
          <w:lang w:val="en-US"/>
        </w:rPr>
        <w:t xml:space="preserve"> increased mortality</w:t>
      </w:r>
      <w:r>
        <w:rPr>
          <w:rFonts w:ascii="Arial" w:hAnsi="Arial" w:cs="Arial"/>
          <w:noProof/>
          <w:vertAlign w:val="superscript"/>
          <w:lang w:val="en-US"/>
        </w:rPr>
        <w:t>7</w:t>
      </w:r>
      <w:r>
        <w:rPr>
          <w:rFonts w:ascii="Arial" w:hAnsi="Arial" w:cs="Arial"/>
          <w:lang w:val="en-US"/>
        </w:rPr>
        <w:t xml:space="preserve"> and substantial financial costs.</w:t>
      </w:r>
      <w:bookmarkStart w:id="4" w:name="_Hlk137567967"/>
      <w:r>
        <w:rPr>
          <w:rFonts w:ascii="Arial" w:hAnsi="Arial" w:cs="Arial"/>
          <w:noProof/>
          <w:vertAlign w:val="superscript"/>
          <w:lang w:val="en-US"/>
        </w:rPr>
        <w:t>8</w:t>
      </w:r>
      <w:r>
        <w:rPr>
          <w:rFonts w:ascii="Arial" w:hAnsi="Arial" w:cs="Arial"/>
          <w:lang w:val="en-US"/>
        </w:rPr>
        <w:t xml:space="preserve"> </w:t>
      </w:r>
      <w:r w:rsidR="000220EF">
        <w:rPr>
          <w:rFonts w:ascii="Arial" w:hAnsi="Arial" w:cs="Arial"/>
          <w:lang w:val="en-US"/>
        </w:rPr>
        <w:t xml:space="preserve">Because there is considerable variability in </w:t>
      </w:r>
      <w:r w:rsidR="001A6F44">
        <w:rPr>
          <w:rFonts w:ascii="Arial" w:hAnsi="Arial" w:cs="Arial"/>
          <w:lang w:val="en-US"/>
        </w:rPr>
        <w:t>how patients</w:t>
      </w:r>
      <w:r w:rsidR="000220EF">
        <w:rPr>
          <w:rFonts w:ascii="Arial" w:hAnsi="Arial" w:cs="Arial"/>
          <w:lang w:val="en-US"/>
        </w:rPr>
        <w:t xml:space="preserve"> respo</w:t>
      </w:r>
      <w:r w:rsidR="001A6F44">
        <w:rPr>
          <w:rFonts w:ascii="Arial" w:hAnsi="Arial" w:cs="Arial"/>
          <w:lang w:val="en-US"/>
        </w:rPr>
        <w:t>nd</w:t>
      </w:r>
      <w:r w:rsidR="000220EF">
        <w:rPr>
          <w:rFonts w:ascii="Arial" w:hAnsi="Arial" w:cs="Arial"/>
          <w:lang w:val="en-US"/>
        </w:rPr>
        <w:t xml:space="preserve"> to </w:t>
      </w:r>
      <w:r w:rsidR="000178A9">
        <w:rPr>
          <w:rFonts w:ascii="Arial" w:hAnsi="Arial" w:cs="Arial"/>
          <w:lang w:val="en-US"/>
        </w:rPr>
        <w:t>stimulants</w:t>
      </w:r>
      <w:r w:rsidR="000220EF">
        <w:rPr>
          <w:rFonts w:ascii="Arial" w:hAnsi="Arial" w:cs="Arial"/>
          <w:lang w:val="en-US"/>
        </w:rPr>
        <w:t>, p</w:t>
      </w:r>
      <w:r w:rsidR="00D43617">
        <w:rPr>
          <w:rFonts w:ascii="Arial" w:hAnsi="Arial" w:cs="Arial"/>
          <w:lang w:val="en-US"/>
        </w:rPr>
        <w:t>ractitioners are advised to</w:t>
      </w:r>
      <w:r w:rsidR="000220EF">
        <w:rPr>
          <w:rFonts w:ascii="Arial" w:hAnsi="Arial" w:cs="Arial"/>
          <w:lang w:val="en-US"/>
        </w:rPr>
        <w:t xml:space="preserve"> adopt escalating-dose, stepwise-titration to identify optimal doses </w:t>
      </w:r>
      <w:r w:rsidR="001A6F44">
        <w:rPr>
          <w:rFonts w:ascii="Arial" w:hAnsi="Arial" w:cs="Arial"/>
          <w:lang w:val="en-US"/>
        </w:rPr>
        <w:t>that</w:t>
      </w:r>
      <w:r w:rsidR="000220EF">
        <w:rPr>
          <w:rFonts w:ascii="Arial" w:hAnsi="Arial" w:cs="Arial"/>
          <w:lang w:val="en-US"/>
        </w:rPr>
        <w:t xml:space="preserve"> </w:t>
      </w:r>
      <w:r w:rsidR="001A6F44">
        <w:rPr>
          <w:rFonts w:ascii="Arial" w:hAnsi="Arial" w:cs="Arial"/>
          <w:lang w:val="en-US"/>
        </w:rPr>
        <w:t>ensure</w:t>
      </w:r>
      <w:r w:rsidR="000220EF">
        <w:rPr>
          <w:rFonts w:ascii="Arial" w:hAnsi="Arial" w:cs="Arial"/>
          <w:lang w:val="en-US"/>
        </w:rPr>
        <w:t xml:space="preserve"> maximal reductions of symptoms</w:t>
      </w:r>
      <w:r w:rsidR="00F7408B">
        <w:rPr>
          <w:rFonts w:ascii="Arial" w:hAnsi="Arial" w:cs="Arial"/>
          <w:lang w:val="en-US"/>
        </w:rPr>
        <w:t xml:space="preserve">, </w:t>
      </w:r>
      <w:r w:rsidR="000220EF">
        <w:rPr>
          <w:rFonts w:ascii="Arial" w:hAnsi="Arial" w:cs="Arial"/>
          <w:lang w:val="en-US"/>
        </w:rPr>
        <w:t xml:space="preserve">improvement in functioning </w:t>
      </w:r>
      <w:r w:rsidR="00F7408B">
        <w:rPr>
          <w:rFonts w:ascii="Arial" w:hAnsi="Arial" w:cs="Arial"/>
          <w:lang w:val="en-US"/>
        </w:rPr>
        <w:t xml:space="preserve">and </w:t>
      </w:r>
      <w:r w:rsidR="00B50F04">
        <w:rPr>
          <w:rFonts w:ascii="Arial" w:hAnsi="Arial" w:cs="Arial"/>
          <w:lang w:val="en-US"/>
        </w:rPr>
        <w:t>acceptable tolerability</w:t>
      </w:r>
      <w:r w:rsidR="00D43617">
        <w:rPr>
          <w:rFonts w:ascii="Arial" w:hAnsi="Arial" w:cs="Arial"/>
          <w:lang w:val="en-US"/>
        </w:rPr>
        <w:t>.</w:t>
      </w:r>
      <w:r w:rsidR="00E63163">
        <w:rPr>
          <w:rFonts w:ascii="Arial" w:hAnsi="Arial" w:cs="Arial"/>
          <w:noProof/>
          <w:vertAlign w:val="superscript"/>
          <w:lang w:val="en-US"/>
        </w:rPr>
        <w:t>9</w:t>
      </w:r>
      <w:r w:rsidR="003612EF">
        <w:rPr>
          <w:rFonts w:ascii="Arial" w:hAnsi="Arial" w:cs="Arial"/>
          <w:noProof/>
          <w:vertAlign w:val="superscript"/>
          <w:lang w:val="en-US"/>
        </w:rPr>
        <w:t>–12</w:t>
      </w:r>
    </w:p>
    <w:p w14:paraId="7082D056" w14:textId="2FD3A265" w:rsidR="00B50F04" w:rsidRDefault="00641ABA" w:rsidP="004D793B">
      <w:pPr>
        <w:spacing w:line="480" w:lineRule="auto"/>
        <w:ind w:firstLine="720"/>
        <w:rPr>
          <w:rFonts w:ascii="Arial" w:hAnsi="Arial" w:cs="Arial"/>
          <w:lang w:val="en-US"/>
        </w:rPr>
      </w:pPr>
      <w:bookmarkStart w:id="5" w:name="_Hlk137568146"/>
      <w:bookmarkEnd w:id="4"/>
      <w:r>
        <w:rPr>
          <w:rFonts w:ascii="Arial" w:hAnsi="Arial" w:cs="Arial"/>
          <w:lang w:val="en-US"/>
        </w:rPr>
        <w:t>B</w:t>
      </w:r>
      <w:r w:rsidDel="00E9589E">
        <w:rPr>
          <w:rFonts w:ascii="Arial" w:hAnsi="Arial" w:cs="Arial"/>
          <w:lang w:val="en-US"/>
        </w:rPr>
        <w:t xml:space="preserve">ased on currently available evidence, practitioners are unable to predict </w:t>
      </w:r>
      <w:r>
        <w:rPr>
          <w:rFonts w:ascii="Arial" w:hAnsi="Arial" w:cs="Arial"/>
          <w:lang w:val="en-US"/>
        </w:rPr>
        <w:t>the optimal dose</w:t>
      </w:r>
      <w:r w:rsidDel="00E9589E">
        <w:rPr>
          <w:rFonts w:ascii="Arial" w:hAnsi="Arial" w:cs="Arial"/>
          <w:lang w:val="en-US"/>
        </w:rPr>
        <w:t xml:space="preserve"> </w:t>
      </w:r>
      <w:r w:rsidR="00F7408B">
        <w:rPr>
          <w:rFonts w:ascii="Arial" w:hAnsi="Arial" w:cs="Arial"/>
          <w:lang w:val="en-US"/>
        </w:rPr>
        <w:t>f</w:t>
      </w:r>
      <w:r w:rsidR="00F056FE">
        <w:rPr>
          <w:rFonts w:ascii="Arial" w:hAnsi="Arial" w:cs="Arial"/>
          <w:lang w:val="en-US"/>
        </w:rPr>
        <w:t>or</w:t>
      </w:r>
      <w:r w:rsidR="00F7408B">
        <w:rPr>
          <w:rFonts w:ascii="Arial" w:hAnsi="Arial" w:cs="Arial"/>
          <w:lang w:val="en-US"/>
        </w:rPr>
        <w:t xml:space="preserve"> a given patient </w:t>
      </w:r>
      <w:r w:rsidDel="00E9589E">
        <w:rPr>
          <w:rFonts w:ascii="Arial" w:hAnsi="Arial" w:cs="Arial"/>
          <w:i/>
          <w:iCs/>
          <w:lang w:val="en-US"/>
        </w:rPr>
        <w:t>a priori</w:t>
      </w:r>
      <w:r w:rsidDel="00E9589E">
        <w:rPr>
          <w:rFonts w:ascii="Arial" w:hAnsi="Arial" w:cs="Arial"/>
          <w:lang w:val="en-US"/>
        </w:rPr>
        <w:t xml:space="preserve"> without trialing doses</w:t>
      </w:r>
      <w:r w:rsidR="00827C97">
        <w:rPr>
          <w:rFonts w:ascii="Arial" w:hAnsi="Arial" w:cs="Arial"/>
          <w:lang w:val="en-US"/>
        </w:rPr>
        <w:t>, as needed and tolerated,</w:t>
      </w:r>
      <w:r w:rsidDel="00E9589E">
        <w:rPr>
          <w:rFonts w:ascii="Arial" w:hAnsi="Arial" w:cs="Arial"/>
          <w:lang w:val="en-US"/>
        </w:rPr>
        <w:t xml:space="preserve"> </w:t>
      </w:r>
      <w:r w:rsidR="00F056FE">
        <w:rPr>
          <w:rFonts w:ascii="Arial" w:hAnsi="Arial" w:cs="Arial"/>
          <w:lang w:val="en-US"/>
        </w:rPr>
        <w:t>sequentially</w:t>
      </w:r>
      <w:r w:rsidDel="00E9589E">
        <w:rPr>
          <w:rFonts w:ascii="Arial" w:hAnsi="Arial" w:cs="Arial"/>
          <w:lang w:val="en-US"/>
        </w:rPr>
        <w:t>.</w:t>
      </w:r>
      <w:r w:rsidR="00F7408B">
        <w:rPr>
          <w:rFonts w:ascii="Arial" w:hAnsi="Arial" w:cs="Arial"/>
          <w:lang w:val="en-US"/>
        </w:rPr>
        <w:t xml:space="preserve"> While there is consensus</w:t>
      </w:r>
      <w:r>
        <w:rPr>
          <w:rFonts w:ascii="Arial" w:hAnsi="Arial" w:cs="Arial"/>
          <w:lang w:val="en-US"/>
        </w:rPr>
        <w:t xml:space="preserve"> </w:t>
      </w:r>
      <w:r w:rsidR="00135EEA">
        <w:rPr>
          <w:rFonts w:ascii="Arial" w:hAnsi="Arial" w:cs="Arial"/>
          <w:lang w:val="en-US"/>
        </w:rPr>
        <w:t xml:space="preserve">that </w:t>
      </w:r>
      <w:r w:rsidR="002D47DC">
        <w:rPr>
          <w:rFonts w:ascii="Arial" w:hAnsi="Arial" w:cs="Arial"/>
          <w:lang w:val="en-US"/>
        </w:rPr>
        <w:t>stimulants</w:t>
      </w:r>
      <w:r>
        <w:rPr>
          <w:rFonts w:ascii="Arial" w:hAnsi="Arial" w:cs="Arial"/>
          <w:lang w:val="en-US"/>
        </w:rPr>
        <w:t xml:space="preserve"> </w:t>
      </w:r>
      <w:r w:rsidR="00135EEA">
        <w:rPr>
          <w:rFonts w:ascii="Arial" w:hAnsi="Arial" w:cs="Arial"/>
          <w:lang w:val="en-US"/>
        </w:rPr>
        <w:t xml:space="preserve">should be started </w:t>
      </w:r>
      <w:r>
        <w:rPr>
          <w:rFonts w:ascii="Arial" w:hAnsi="Arial" w:cs="Arial"/>
          <w:lang w:val="en-US"/>
        </w:rPr>
        <w:t>at low doses</w:t>
      </w:r>
      <w:r w:rsidR="00F7408B">
        <w:rPr>
          <w:rFonts w:ascii="Arial" w:hAnsi="Arial" w:cs="Arial"/>
          <w:lang w:val="en-US"/>
        </w:rPr>
        <w:t>, there is little agreement on the maximum doses at which escalation</w:t>
      </w:r>
      <w:r w:rsidR="00E52319">
        <w:rPr>
          <w:rFonts w:ascii="Arial" w:hAnsi="Arial" w:cs="Arial"/>
          <w:lang w:val="en-US"/>
        </w:rPr>
        <w:t xml:space="preserve"> should stop</w:t>
      </w:r>
      <w:r w:rsidR="00F7408B">
        <w:rPr>
          <w:rFonts w:ascii="Arial" w:hAnsi="Arial" w:cs="Arial"/>
          <w:lang w:val="en-US"/>
        </w:rPr>
        <w:t xml:space="preserve">, with CPGs generally recommending levels that are higher than those licensed by regulatory agencies such as the </w:t>
      </w:r>
      <w:r w:rsidR="00731AA7">
        <w:rPr>
          <w:rFonts w:ascii="Arial" w:hAnsi="Arial" w:cs="Arial"/>
          <w:lang w:val="en-US"/>
        </w:rPr>
        <w:t>US</w:t>
      </w:r>
      <w:r w:rsidR="00F7408B">
        <w:rPr>
          <w:rFonts w:ascii="Arial" w:hAnsi="Arial" w:cs="Arial"/>
          <w:lang w:val="en-US"/>
        </w:rPr>
        <w:t xml:space="preserve"> Food and Drug Administration (FDA). </w:t>
      </w:r>
      <w:bookmarkEnd w:id="5"/>
      <w:r w:rsidR="00F7408B">
        <w:rPr>
          <w:rFonts w:ascii="Arial" w:hAnsi="Arial" w:cs="Arial"/>
          <w:lang w:val="en-US"/>
        </w:rPr>
        <w:t>For instance, while the FDA recommends a maximum of 60 milligrams per day (mg/d) for most formulations of methylphenidate, CPGs</w:t>
      </w:r>
      <w:r w:rsidR="00731AA7">
        <w:rPr>
          <w:rFonts w:ascii="Arial" w:hAnsi="Arial" w:cs="Arial"/>
          <w:noProof/>
          <w:vertAlign w:val="superscript"/>
          <w:lang w:val="en-US"/>
        </w:rPr>
        <w:t>1</w:t>
      </w:r>
      <w:r w:rsidR="00F3450F">
        <w:rPr>
          <w:rFonts w:ascii="Arial" w:hAnsi="Arial" w:cs="Arial"/>
          <w:noProof/>
          <w:vertAlign w:val="superscript"/>
          <w:lang w:val="en-US"/>
        </w:rPr>
        <w:t>-</w:t>
      </w:r>
      <w:r w:rsidR="00731AA7">
        <w:rPr>
          <w:rFonts w:ascii="Arial" w:hAnsi="Arial" w:cs="Arial"/>
          <w:noProof/>
          <w:vertAlign w:val="superscript"/>
          <w:lang w:val="en-US"/>
        </w:rPr>
        <w:t>3</w:t>
      </w:r>
      <w:r w:rsidR="00F7408B">
        <w:rPr>
          <w:rFonts w:ascii="Arial" w:hAnsi="Arial" w:cs="Arial"/>
          <w:lang w:val="en-US"/>
        </w:rPr>
        <w:t xml:space="preserve"> generally recommend doses up to 100 mg/d.</w:t>
      </w:r>
      <w:bookmarkStart w:id="6" w:name="_Hlk137569938"/>
    </w:p>
    <w:p w14:paraId="56C64D71" w14:textId="3F03B0B0" w:rsidR="00BF62FF" w:rsidRDefault="00E9589E" w:rsidP="00BF62FF">
      <w:pPr>
        <w:spacing w:line="480" w:lineRule="auto"/>
        <w:ind w:firstLine="720"/>
        <w:rPr>
          <w:rFonts w:ascii="Arial" w:hAnsi="Arial" w:cs="Arial"/>
          <w:lang w:val="en-US"/>
        </w:rPr>
      </w:pPr>
      <w:r>
        <w:rPr>
          <w:rFonts w:ascii="Arial" w:hAnsi="Arial" w:cs="Arial"/>
          <w:lang w:val="en-US"/>
        </w:rPr>
        <w:t>Whether</w:t>
      </w:r>
      <w:r w:rsidR="00AC0087">
        <w:rPr>
          <w:rFonts w:ascii="Arial" w:hAnsi="Arial" w:cs="Arial"/>
          <w:lang w:val="en-US"/>
        </w:rPr>
        <w:t xml:space="preserve"> stimulant</w:t>
      </w:r>
      <w:r w:rsidR="008B3980">
        <w:rPr>
          <w:rFonts w:ascii="Arial" w:hAnsi="Arial" w:cs="Arial"/>
          <w:lang w:val="en-US"/>
        </w:rPr>
        <w:t xml:space="preserve"> </w:t>
      </w:r>
      <w:r>
        <w:rPr>
          <w:rFonts w:ascii="Arial" w:hAnsi="Arial" w:cs="Arial"/>
          <w:lang w:val="en-US"/>
        </w:rPr>
        <w:t>dose escalation beyond FDA recommendations is associated with positive risk-benefit</w:t>
      </w:r>
      <w:r w:rsidR="002C4CDD">
        <w:rPr>
          <w:rFonts w:ascii="Arial" w:hAnsi="Arial" w:cs="Arial"/>
          <w:lang w:val="en-US"/>
        </w:rPr>
        <w:t>s</w:t>
      </w:r>
      <w:r>
        <w:rPr>
          <w:rFonts w:ascii="Arial" w:hAnsi="Arial" w:cs="Arial"/>
          <w:lang w:val="en-US"/>
        </w:rPr>
        <w:t xml:space="preserve"> is unclear. </w:t>
      </w:r>
      <w:r w:rsidR="00A82711">
        <w:rPr>
          <w:rFonts w:ascii="Arial" w:hAnsi="Arial" w:cs="Arial"/>
          <w:lang w:val="en-US"/>
        </w:rPr>
        <w:t xml:space="preserve">Although an analysis at the level of the individual is required for the identification of personalized trade-offs, an examination </w:t>
      </w:r>
      <w:r w:rsidR="00B50F04">
        <w:rPr>
          <w:rFonts w:ascii="Arial" w:hAnsi="Arial" w:cs="Arial"/>
          <w:lang w:val="en-US"/>
        </w:rPr>
        <w:t xml:space="preserve">based on averages may be useful to inform expectations about such risk-benefits in </w:t>
      </w:r>
      <w:r w:rsidR="00CC2D9F">
        <w:rPr>
          <w:rFonts w:ascii="Arial" w:hAnsi="Arial" w:cs="Arial"/>
          <w:lang w:val="en-US"/>
        </w:rPr>
        <w:t xml:space="preserve">the </w:t>
      </w:r>
      <w:r w:rsidR="00B50F04">
        <w:rPr>
          <w:rFonts w:ascii="Arial" w:hAnsi="Arial" w:cs="Arial"/>
          <w:lang w:val="en-US"/>
        </w:rPr>
        <w:t xml:space="preserve">absence of </w:t>
      </w:r>
      <w:r w:rsidR="008E2DB3">
        <w:rPr>
          <w:rFonts w:ascii="Arial" w:hAnsi="Arial" w:cs="Arial"/>
          <w:lang w:val="en-US"/>
        </w:rPr>
        <w:t>evidence-based</w:t>
      </w:r>
      <w:r w:rsidR="00B50F04">
        <w:rPr>
          <w:rFonts w:ascii="Arial" w:hAnsi="Arial" w:cs="Arial"/>
          <w:lang w:val="en-US"/>
        </w:rPr>
        <w:t xml:space="preserve"> personalized information. </w:t>
      </w:r>
      <w:r w:rsidR="00BF62FF">
        <w:rPr>
          <w:rFonts w:ascii="Arial" w:hAnsi="Arial" w:cs="Arial"/>
          <w:lang w:val="en-US"/>
        </w:rPr>
        <w:t>Indeed, r</w:t>
      </w:r>
      <w:r w:rsidR="00A82711" w:rsidDel="00E9589E">
        <w:rPr>
          <w:rFonts w:ascii="Arial" w:hAnsi="Arial" w:cs="Arial"/>
          <w:lang w:val="en-US"/>
        </w:rPr>
        <w:t>ecommendations from CPGs</w:t>
      </w:r>
      <w:r w:rsidR="0076685C">
        <w:rPr>
          <w:rFonts w:ascii="Arial" w:hAnsi="Arial" w:cs="Arial"/>
          <w:vertAlign w:val="superscript"/>
          <w:lang w:val="en-US"/>
        </w:rPr>
        <w:t>1</w:t>
      </w:r>
      <w:r w:rsidR="00F92F38">
        <w:rPr>
          <w:rFonts w:ascii="Arial" w:hAnsi="Arial" w:cs="Arial"/>
          <w:vertAlign w:val="superscript"/>
          <w:lang w:val="en-US"/>
        </w:rPr>
        <w:t>-</w:t>
      </w:r>
      <w:r w:rsidR="0076685C">
        <w:rPr>
          <w:rFonts w:ascii="Arial" w:hAnsi="Arial" w:cs="Arial"/>
          <w:vertAlign w:val="superscript"/>
          <w:lang w:val="en-US"/>
        </w:rPr>
        <w:t>3</w:t>
      </w:r>
      <w:r w:rsidR="00A82711" w:rsidDel="00E9589E">
        <w:rPr>
          <w:rFonts w:ascii="Arial" w:hAnsi="Arial" w:cs="Arial"/>
          <w:lang w:val="en-US"/>
        </w:rPr>
        <w:t xml:space="preserve"> </w:t>
      </w:r>
      <w:r w:rsidR="00A82711" w:rsidDel="00E9589E">
        <w:rPr>
          <w:rFonts w:ascii="Arial" w:hAnsi="Arial" w:cs="Arial"/>
          <w:lang w:val="en-US"/>
        </w:rPr>
        <w:lastRenderedPageBreak/>
        <w:t xml:space="preserve">are based on average </w:t>
      </w:r>
      <w:r w:rsidR="004A00B0">
        <w:rPr>
          <w:rFonts w:ascii="Arial" w:hAnsi="Arial" w:cs="Arial"/>
          <w:lang w:val="en-US"/>
        </w:rPr>
        <w:t>associations</w:t>
      </w:r>
      <w:r w:rsidR="00A82711" w:rsidDel="00E9589E">
        <w:rPr>
          <w:rFonts w:ascii="Arial" w:hAnsi="Arial" w:cs="Arial"/>
          <w:vertAlign w:val="superscript"/>
          <w:lang w:val="en-US"/>
        </w:rPr>
        <w:t>1</w:t>
      </w:r>
      <w:r w:rsidR="001F30C2">
        <w:rPr>
          <w:rFonts w:ascii="Arial" w:hAnsi="Arial" w:cs="Arial"/>
          <w:vertAlign w:val="superscript"/>
          <w:lang w:val="en-US"/>
        </w:rPr>
        <w:t>3</w:t>
      </w:r>
      <w:r w:rsidR="00A82711" w:rsidDel="00E9589E">
        <w:rPr>
          <w:rFonts w:ascii="Arial" w:hAnsi="Arial" w:cs="Arial"/>
          <w:lang w:val="en-US"/>
        </w:rPr>
        <w:t xml:space="preserve"> to inform practitioners about expected outcomes</w:t>
      </w:r>
      <w:r w:rsidR="00A82711">
        <w:rPr>
          <w:rFonts w:ascii="Arial" w:hAnsi="Arial" w:cs="Arial"/>
          <w:lang w:val="en-US"/>
        </w:rPr>
        <w:t>,</w:t>
      </w:r>
      <w:r w:rsidR="00A82711" w:rsidDel="00E9589E">
        <w:rPr>
          <w:rFonts w:ascii="Arial" w:hAnsi="Arial" w:cs="Arial"/>
          <w:lang w:val="en-US"/>
        </w:rPr>
        <w:t xml:space="preserve"> </w:t>
      </w:r>
      <w:r w:rsidR="00A82711">
        <w:rPr>
          <w:rFonts w:ascii="Arial" w:hAnsi="Arial" w:cs="Arial"/>
          <w:lang w:val="en-US"/>
        </w:rPr>
        <w:t>which</w:t>
      </w:r>
      <w:r w:rsidR="00A82711" w:rsidDel="00E9589E">
        <w:rPr>
          <w:rFonts w:ascii="Arial" w:hAnsi="Arial" w:cs="Arial"/>
          <w:lang w:val="en-US"/>
        </w:rPr>
        <w:t xml:space="preserve"> may or not apply to </w:t>
      </w:r>
      <w:r w:rsidR="00365FC5">
        <w:rPr>
          <w:rFonts w:ascii="Arial" w:hAnsi="Arial" w:cs="Arial"/>
          <w:lang w:val="en-US"/>
        </w:rPr>
        <w:t>individual</w:t>
      </w:r>
      <w:r w:rsidR="00E52319">
        <w:rPr>
          <w:rFonts w:ascii="Arial" w:hAnsi="Arial" w:cs="Arial"/>
          <w:lang w:val="en-US"/>
        </w:rPr>
        <w:t>s</w:t>
      </w:r>
      <w:r w:rsidR="00A82711" w:rsidDel="00E9589E">
        <w:rPr>
          <w:rFonts w:ascii="Arial" w:hAnsi="Arial" w:cs="Arial"/>
          <w:lang w:val="en-US"/>
        </w:rPr>
        <w:t xml:space="preserve"> in routine clinical practice</w:t>
      </w:r>
      <w:r w:rsidR="00A82711">
        <w:rPr>
          <w:rFonts w:ascii="Arial" w:hAnsi="Arial" w:cs="Arial"/>
          <w:lang w:val="en-US"/>
        </w:rPr>
        <w:t>.</w:t>
      </w:r>
    </w:p>
    <w:p w14:paraId="1E7044D2" w14:textId="3C744153" w:rsidR="00E0471C" w:rsidRPr="003072AB" w:rsidRDefault="00A63A47" w:rsidP="00BF62FF">
      <w:pPr>
        <w:spacing w:line="480" w:lineRule="auto"/>
        <w:ind w:firstLine="720"/>
        <w:rPr>
          <w:rFonts w:ascii="Arial" w:hAnsi="Arial" w:cs="Arial"/>
          <w:lang w:val="en-US"/>
        </w:rPr>
      </w:pPr>
      <w:r>
        <w:rPr>
          <w:rFonts w:ascii="Arial" w:hAnsi="Arial" w:cs="Arial"/>
          <w:lang w:val="en-US"/>
        </w:rPr>
        <w:t xml:space="preserve">Current recommendations from CPGs about stimulant dosing for adults </w:t>
      </w:r>
      <w:r w:rsidR="00CC7ACB">
        <w:rPr>
          <w:rFonts w:ascii="Arial" w:hAnsi="Arial" w:cs="Arial"/>
          <w:lang w:val="en-US"/>
        </w:rPr>
        <w:t>are</w:t>
      </w:r>
      <w:r>
        <w:rPr>
          <w:rFonts w:ascii="Arial" w:hAnsi="Arial" w:cs="Arial"/>
          <w:lang w:val="en-US"/>
        </w:rPr>
        <w:t xml:space="preserve"> based on </w:t>
      </w:r>
      <w:r w:rsidR="00F006E7">
        <w:rPr>
          <w:rFonts w:ascii="Arial" w:hAnsi="Arial" w:cs="Arial"/>
          <w:lang w:val="en-US"/>
        </w:rPr>
        <w:t xml:space="preserve">the observation that </w:t>
      </w:r>
      <w:r w:rsidR="00BF62FF">
        <w:rPr>
          <w:rFonts w:ascii="Arial" w:hAnsi="Arial" w:cs="Arial"/>
          <w:lang w:val="en-US"/>
        </w:rPr>
        <w:t xml:space="preserve">flexible-dose </w:t>
      </w:r>
      <w:r w:rsidR="00F006E7">
        <w:rPr>
          <w:rFonts w:ascii="Arial" w:hAnsi="Arial" w:cs="Arial"/>
          <w:lang w:val="en-US"/>
        </w:rPr>
        <w:t>randomized</w:t>
      </w:r>
      <w:r w:rsidR="0076685C">
        <w:rPr>
          <w:rFonts w:ascii="Arial" w:hAnsi="Arial" w:cs="Arial"/>
          <w:lang w:val="en-US"/>
        </w:rPr>
        <w:t>-</w:t>
      </w:r>
      <w:r w:rsidR="00F006E7">
        <w:rPr>
          <w:rFonts w:ascii="Arial" w:hAnsi="Arial" w:cs="Arial"/>
          <w:lang w:val="en-US"/>
        </w:rPr>
        <w:t>controlled trials (RCTs</w:t>
      </w:r>
      <w:r w:rsidR="00CC7ACB">
        <w:rPr>
          <w:rFonts w:ascii="Arial" w:hAnsi="Arial" w:cs="Arial"/>
          <w:lang w:val="en-US"/>
        </w:rPr>
        <w:t>)</w:t>
      </w:r>
      <w:r w:rsidR="00F006E7">
        <w:rPr>
          <w:rFonts w:ascii="Arial" w:hAnsi="Arial" w:cs="Arial"/>
          <w:lang w:val="en-US"/>
        </w:rPr>
        <w:t xml:space="preserve"> allowing titration to higher doses</w:t>
      </w:r>
      <w:r w:rsidR="00BF62FF" w:rsidRPr="00932E6B">
        <w:rPr>
          <w:rFonts w:ascii="Arial" w:hAnsi="Arial" w:cs="Arial"/>
          <w:vertAlign w:val="superscript"/>
          <w:lang w:val="en-US"/>
        </w:rPr>
        <w:t>1</w:t>
      </w:r>
      <w:r w:rsidR="001F30C2">
        <w:rPr>
          <w:rFonts w:ascii="Arial" w:hAnsi="Arial" w:cs="Arial"/>
          <w:vertAlign w:val="superscript"/>
          <w:lang w:val="en-US"/>
        </w:rPr>
        <w:t>4</w:t>
      </w:r>
      <w:r w:rsidR="00BF62FF" w:rsidRPr="00932E6B">
        <w:rPr>
          <w:rFonts w:ascii="Arial" w:hAnsi="Arial" w:cs="Arial"/>
          <w:vertAlign w:val="superscript"/>
          <w:lang w:val="en-US"/>
        </w:rPr>
        <w:t>,1</w:t>
      </w:r>
      <w:r w:rsidR="001F30C2">
        <w:rPr>
          <w:rFonts w:ascii="Arial" w:hAnsi="Arial" w:cs="Arial"/>
          <w:vertAlign w:val="superscript"/>
          <w:lang w:val="en-US"/>
        </w:rPr>
        <w:t>5</w:t>
      </w:r>
      <w:r w:rsidR="00F006E7">
        <w:rPr>
          <w:rFonts w:ascii="Arial" w:hAnsi="Arial" w:cs="Arial"/>
          <w:lang w:val="en-US"/>
        </w:rPr>
        <w:t xml:space="preserve"> </w:t>
      </w:r>
      <w:r w:rsidR="00CC7ACB">
        <w:rPr>
          <w:rFonts w:ascii="Arial" w:hAnsi="Arial" w:cs="Arial"/>
          <w:lang w:val="en-US"/>
        </w:rPr>
        <w:t>showed</w:t>
      </w:r>
      <w:r w:rsidR="00F006E7">
        <w:rPr>
          <w:rFonts w:ascii="Arial" w:hAnsi="Arial" w:cs="Arial"/>
          <w:lang w:val="en-US"/>
        </w:rPr>
        <w:t xml:space="preserve"> the largest effect sizes </w:t>
      </w:r>
      <w:r w:rsidR="00BF62FF">
        <w:rPr>
          <w:rFonts w:ascii="Arial" w:hAnsi="Arial" w:cs="Arial"/>
          <w:lang w:val="en-US"/>
        </w:rPr>
        <w:t>across RCTs</w:t>
      </w:r>
      <w:r w:rsidR="00F006E7">
        <w:rPr>
          <w:rFonts w:ascii="Arial" w:hAnsi="Arial" w:cs="Arial"/>
          <w:lang w:val="en-US"/>
        </w:rPr>
        <w:t>.</w:t>
      </w:r>
      <w:r w:rsidR="00932E6B" w:rsidRPr="00932E6B">
        <w:rPr>
          <w:rFonts w:ascii="Arial" w:hAnsi="Arial" w:cs="Arial"/>
          <w:vertAlign w:val="superscript"/>
          <w:lang w:val="en-US"/>
        </w:rPr>
        <w:t>1</w:t>
      </w:r>
      <w:r w:rsidR="001F30C2">
        <w:rPr>
          <w:rFonts w:ascii="Arial" w:hAnsi="Arial" w:cs="Arial"/>
          <w:vertAlign w:val="superscript"/>
          <w:lang w:val="en-US"/>
        </w:rPr>
        <w:t>6</w:t>
      </w:r>
      <w:r w:rsidR="00F006E7">
        <w:rPr>
          <w:rFonts w:ascii="Arial" w:hAnsi="Arial" w:cs="Arial"/>
          <w:lang w:val="en-US"/>
        </w:rPr>
        <w:t xml:space="preserve"> However, </w:t>
      </w:r>
      <w:r w:rsidR="00BF62FF">
        <w:rPr>
          <w:rFonts w:ascii="Arial" w:hAnsi="Arial" w:cs="Arial"/>
          <w:lang w:val="en-US"/>
        </w:rPr>
        <w:t>since then</w:t>
      </w:r>
      <w:r w:rsidR="00CC7ACB">
        <w:rPr>
          <w:rFonts w:ascii="Arial" w:hAnsi="Arial" w:cs="Arial"/>
          <w:lang w:val="en-US"/>
        </w:rPr>
        <w:t>,</w:t>
      </w:r>
      <w:r w:rsidR="00BF62FF">
        <w:rPr>
          <w:rFonts w:ascii="Arial" w:hAnsi="Arial" w:cs="Arial"/>
          <w:lang w:val="en-US"/>
        </w:rPr>
        <w:t xml:space="preserve"> large</w:t>
      </w:r>
      <w:r w:rsidR="00151902">
        <w:rPr>
          <w:rFonts w:ascii="Arial" w:hAnsi="Arial" w:cs="Arial"/>
          <w:lang w:val="en-US"/>
        </w:rPr>
        <w:t xml:space="preserve"> fixed-dose</w:t>
      </w:r>
      <w:r w:rsidR="00BF62FF">
        <w:rPr>
          <w:rFonts w:ascii="Arial" w:hAnsi="Arial" w:cs="Arial"/>
          <w:lang w:val="en-US"/>
        </w:rPr>
        <w:t xml:space="preserve"> </w:t>
      </w:r>
      <w:r w:rsidR="00F006E7">
        <w:rPr>
          <w:rFonts w:ascii="Arial" w:hAnsi="Arial" w:cs="Arial"/>
          <w:lang w:val="en-US"/>
        </w:rPr>
        <w:t xml:space="preserve">RCTs </w:t>
      </w:r>
      <w:r w:rsidR="00BF62FF">
        <w:rPr>
          <w:rFonts w:ascii="Arial" w:hAnsi="Arial" w:cs="Arial"/>
          <w:lang w:val="en-US"/>
        </w:rPr>
        <w:t xml:space="preserve">have not </w:t>
      </w:r>
      <w:r w:rsidR="006B6DC4">
        <w:rPr>
          <w:rFonts w:ascii="Arial" w:hAnsi="Arial" w:cs="Arial"/>
          <w:lang w:val="en-US"/>
        </w:rPr>
        <w:t>confirmed</w:t>
      </w:r>
      <w:r w:rsidR="00F006E7">
        <w:rPr>
          <w:rFonts w:ascii="Arial" w:hAnsi="Arial" w:cs="Arial"/>
          <w:lang w:val="en-US"/>
        </w:rPr>
        <w:t xml:space="preserve"> </w:t>
      </w:r>
      <w:r w:rsidR="00BF62FF">
        <w:rPr>
          <w:rFonts w:ascii="Arial" w:hAnsi="Arial" w:cs="Arial"/>
          <w:lang w:val="en-US"/>
        </w:rPr>
        <w:t xml:space="preserve">a </w:t>
      </w:r>
      <w:r w:rsidR="00F006E7">
        <w:rPr>
          <w:rFonts w:ascii="Arial" w:hAnsi="Arial" w:cs="Arial"/>
          <w:lang w:val="en-US"/>
        </w:rPr>
        <w:t>dose-response relationship between stimulants and reductions of symptoms.</w:t>
      </w:r>
      <w:r w:rsidR="001F30C2">
        <w:rPr>
          <w:rFonts w:ascii="Arial" w:hAnsi="Arial" w:cs="Arial"/>
          <w:vertAlign w:val="superscript"/>
          <w:lang w:val="en-US"/>
        </w:rPr>
        <w:t>17</w:t>
      </w:r>
      <w:r w:rsidR="00621185">
        <w:rPr>
          <w:rFonts w:ascii="Arial" w:hAnsi="Arial" w:cs="Arial"/>
          <w:vertAlign w:val="superscript"/>
          <w:lang w:val="en-US"/>
        </w:rPr>
        <w:t>-</w:t>
      </w:r>
      <w:r w:rsidR="001F30C2">
        <w:rPr>
          <w:rFonts w:ascii="Arial" w:hAnsi="Arial" w:cs="Arial"/>
          <w:vertAlign w:val="superscript"/>
          <w:lang w:val="en-US"/>
        </w:rPr>
        <w:t>19</w:t>
      </w:r>
      <w:r w:rsidR="00F006E7">
        <w:rPr>
          <w:rFonts w:ascii="Arial" w:hAnsi="Arial" w:cs="Arial"/>
          <w:lang w:val="en-US"/>
        </w:rPr>
        <w:t xml:space="preserve"> </w:t>
      </w:r>
      <w:r w:rsidR="00CC7ACB">
        <w:rPr>
          <w:rFonts w:ascii="Arial" w:hAnsi="Arial" w:cs="Arial"/>
          <w:lang w:val="en-US"/>
        </w:rPr>
        <w:t>Given these mixed findings, r</w:t>
      </w:r>
      <w:r w:rsidR="0030009E">
        <w:rPr>
          <w:rFonts w:ascii="Arial" w:hAnsi="Arial" w:cs="Arial"/>
          <w:lang w:val="en-US"/>
        </w:rPr>
        <w:t>igorous systematic reviews and meta-analyses</w:t>
      </w:r>
      <w:r>
        <w:rPr>
          <w:rFonts w:ascii="Arial" w:hAnsi="Arial" w:cs="Arial"/>
          <w:lang w:val="en-US"/>
        </w:rPr>
        <w:t xml:space="preserve"> </w:t>
      </w:r>
      <w:r w:rsidR="0030009E">
        <w:rPr>
          <w:rFonts w:ascii="Arial" w:hAnsi="Arial" w:cs="Arial"/>
          <w:lang w:val="en-US"/>
        </w:rPr>
        <w:t xml:space="preserve">are needed to inform guideline development, evidence-based communications </w:t>
      </w:r>
      <w:r w:rsidR="00365FC5">
        <w:rPr>
          <w:rFonts w:ascii="Arial" w:hAnsi="Arial" w:cs="Arial"/>
          <w:lang w:val="en-US"/>
        </w:rPr>
        <w:t>with</w:t>
      </w:r>
      <w:r w:rsidR="0030009E">
        <w:rPr>
          <w:rFonts w:ascii="Arial" w:hAnsi="Arial" w:cs="Arial"/>
          <w:lang w:val="en-US"/>
        </w:rPr>
        <w:t xml:space="preserve"> patients and decision making.</w:t>
      </w:r>
      <w:r w:rsidR="003072AB">
        <w:rPr>
          <w:rFonts w:ascii="Arial" w:hAnsi="Arial" w:cs="Arial"/>
          <w:vertAlign w:val="superscript"/>
          <w:lang w:val="en-US"/>
        </w:rPr>
        <w:t>2</w:t>
      </w:r>
      <w:r w:rsidR="001F30C2">
        <w:rPr>
          <w:rFonts w:ascii="Arial" w:hAnsi="Arial" w:cs="Arial"/>
          <w:vertAlign w:val="superscript"/>
          <w:lang w:val="en-US"/>
        </w:rPr>
        <w:t>0</w:t>
      </w:r>
    </w:p>
    <w:p w14:paraId="428F3A2D" w14:textId="5240A81C" w:rsidR="00B87472" w:rsidRPr="005E73F0" w:rsidRDefault="002D324E" w:rsidP="00630249">
      <w:pPr>
        <w:widowControl w:val="0"/>
        <w:spacing w:after="240" w:line="480" w:lineRule="auto"/>
        <w:ind w:firstLine="720"/>
        <w:rPr>
          <w:rFonts w:ascii="Arial" w:hAnsi="Arial" w:cs="Arial"/>
          <w:noProof/>
          <w:lang w:val="en-US"/>
        </w:rPr>
      </w:pPr>
      <w:bookmarkStart w:id="7" w:name="_Hlk138608147"/>
      <w:bookmarkEnd w:id="6"/>
      <w:r>
        <w:rPr>
          <w:rFonts w:ascii="Arial" w:hAnsi="Arial" w:cs="Arial"/>
          <w:lang w:val="en-US"/>
        </w:rPr>
        <w:t xml:space="preserve">This study aimed at filling </w:t>
      </w:r>
      <w:r w:rsidR="00A70AC2">
        <w:rPr>
          <w:rFonts w:ascii="Arial" w:hAnsi="Arial" w:cs="Arial"/>
          <w:lang w:val="en-US"/>
        </w:rPr>
        <w:t xml:space="preserve">this </w:t>
      </w:r>
      <w:r>
        <w:rPr>
          <w:rFonts w:ascii="Arial" w:hAnsi="Arial" w:cs="Arial"/>
          <w:lang w:val="en-US"/>
        </w:rPr>
        <w:t>gap.</w:t>
      </w:r>
      <w:r w:rsidR="008E489A">
        <w:rPr>
          <w:rFonts w:ascii="Arial" w:hAnsi="Arial" w:cs="Arial"/>
          <w:lang w:val="en-US"/>
        </w:rPr>
        <w:t xml:space="preserve"> We identified RCTs of stimulants </w:t>
      </w:r>
      <w:r w:rsidR="00FC3D56">
        <w:rPr>
          <w:rFonts w:ascii="Arial" w:hAnsi="Arial" w:cs="Arial"/>
          <w:lang w:val="en-US"/>
        </w:rPr>
        <w:t xml:space="preserve">against placebo </w:t>
      </w:r>
      <w:r w:rsidR="008E489A">
        <w:rPr>
          <w:rFonts w:ascii="Arial" w:hAnsi="Arial" w:cs="Arial"/>
          <w:lang w:val="en-US"/>
        </w:rPr>
        <w:t xml:space="preserve">in adults with ADHD and </w:t>
      </w:r>
      <w:r w:rsidR="00204FA5">
        <w:rPr>
          <w:rFonts w:ascii="Arial" w:hAnsi="Arial" w:cs="Arial"/>
          <w:lang w:val="en-US"/>
        </w:rPr>
        <w:t>conducted</w:t>
      </w:r>
      <w:r w:rsidR="00912349">
        <w:rPr>
          <w:rFonts w:ascii="Arial" w:hAnsi="Arial" w:cs="Arial"/>
          <w:lang w:val="en-US"/>
        </w:rPr>
        <w:t xml:space="preserve"> dose-response meta-analyses </w:t>
      </w:r>
      <w:r w:rsidR="00266003">
        <w:rPr>
          <w:rFonts w:ascii="Arial" w:hAnsi="Arial" w:cs="Arial"/>
          <w:lang w:val="en-US"/>
        </w:rPr>
        <w:t xml:space="preserve">with fixed-dose RCTs </w:t>
      </w:r>
      <w:r w:rsidR="00912349">
        <w:rPr>
          <w:rFonts w:ascii="Arial" w:hAnsi="Arial" w:cs="Arial"/>
          <w:lang w:val="en-US"/>
        </w:rPr>
        <w:t xml:space="preserve">to evaluate the </w:t>
      </w:r>
      <w:r w:rsidR="0076685C">
        <w:rPr>
          <w:rFonts w:ascii="Arial" w:hAnsi="Arial" w:cs="Arial"/>
          <w:lang w:val="en-US"/>
        </w:rPr>
        <w:t>associations</w:t>
      </w:r>
      <w:r w:rsidR="004A00B0">
        <w:rPr>
          <w:rFonts w:ascii="Arial" w:hAnsi="Arial" w:cs="Arial"/>
          <w:lang w:val="en-US"/>
        </w:rPr>
        <w:t xml:space="preserve">, </w:t>
      </w:r>
      <w:r w:rsidR="0076685C">
        <w:rPr>
          <w:rFonts w:ascii="Arial" w:hAnsi="Arial" w:cs="Arial"/>
          <w:lang w:val="en-US"/>
        </w:rPr>
        <w:t xml:space="preserve">based </w:t>
      </w:r>
      <w:r w:rsidR="004A00B0">
        <w:rPr>
          <w:rFonts w:ascii="Arial" w:hAnsi="Arial" w:cs="Arial"/>
          <w:lang w:val="en-US"/>
        </w:rPr>
        <w:t>on averages,</w:t>
      </w:r>
      <w:r w:rsidR="00912349">
        <w:rPr>
          <w:rFonts w:ascii="Arial" w:hAnsi="Arial" w:cs="Arial"/>
          <w:lang w:val="en-US"/>
        </w:rPr>
        <w:t xml:space="preserve"> </w:t>
      </w:r>
      <w:r w:rsidR="0076685C">
        <w:rPr>
          <w:rFonts w:ascii="Arial" w:hAnsi="Arial" w:cs="Arial"/>
          <w:lang w:val="en-US"/>
        </w:rPr>
        <w:t>between</w:t>
      </w:r>
      <w:r w:rsidR="00912349">
        <w:rPr>
          <w:rFonts w:ascii="Arial" w:hAnsi="Arial" w:cs="Arial"/>
          <w:lang w:val="en-US"/>
        </w:rPr>
        <w:t xml:space="preserve"> doses </w:t>
      </w:r>
      <w:r w:rsidR="0076685C">
        <w:rPr>
          <w:rFonts w:ascii="Arial" w:hAnsi="Arial" w:cs="Arial"/>
          <w:lang w:val="en-US"/>
        </w:rPr>
        <w:t>and</w:t>
      </w:r>
      <w:r w:rsidR="00912349">
        <w:rPr>
          <w:rFonts w:ascii="Arial" w:hAnsi="Arial" w:cs="Arial"/>
          <w:lang w:val="en-US"/>
        </w:rPr>
        <w:t xml:space="preserve"> treatment outcomes.</w:t>
      </w:r>
      <w:r w:rsidR="004405F2">
        <w:rPr>
          <w:rFonts w:ascii="Arial" w:hAnsi="Arial" w:cs="Arial"/>
          <w:lang w:val="en-US"/>
        </w:rPr>
        <w:t xml:space="preserve"> Fixed-dose RCTs enable strict examination of dose-dependency</w:t>
      </w:r>
      <w:r w:rsidR="00AA64D4">
        <w:rPr>
          <w:rFonts w:ascii="Arial" w:hAnsi="Arial" w:cs="Arial"/>
          <w:lang w:val="en-US"/>
        </w:rPr>
        <w:t>.</w:t>
      </w:r>
      <w:r w:rsidR="009750EF">
        <w:rPr>
          <w:rFonts w:ascii="Arial" w:hAnsi="Arial" w:cs="Arial"/>
          <w:vertAlign w:val="superscript"/>
          <w:lang w:val="en-US"/>
        </w:rPr>
        <w:t>2</w:t>
      </w:r>
      <w:r w:rsidR="001F30C2">
        <w:rPr>
          <w:rFonts w:ascii="Arial" w:hAnsi="Arial" w:cs="Arial"/>
          <w:vertAlign w:val="superscript"/>
          <w:lang w:val="en-US"/>
        </w:rPr>
        <w:t>1</w:t>
      </w:r>
      <w:r w:rsidR="00AA64D4">
        <w:rPr>
          <w:rFonts w:ascii="Arial" w:hAnsi="Arial" w:cs="Arial"/>
          <w:lang w:val="en-US"/>
        </w:rPr>
        <w:t xml:space="preserve"> H</w:t>
      </w:r>
      <w:r w:rsidR="00912F3F">
        <w:rPr>
          <w:rFonts w:ascii="Arial" w:hAnsi="Arial" w:cs="Arial"/>
          <w:lang w:val="en-US"/>
        </w:rPr>
        <w:t>owever,</w:t>
      </w:r>
      <w:r w:rsidR="004405F2">
        <w:rPr>
          <w:rFonts w:ascii="Arial" w:hAnsi="Arial" w:cs="Arial"/>
          <w:lang w:val="en-US"/>
        </w:rPr>
        <w:t xml:space="preserve"> they may underestimate </w:t>
      </w:r>
      <w:r w:rsidR="00912F3F">
        <w:rPr>
          <w:rFonts w:ascii="Arial" w:hAnsi="Arial" w:cs="Arial"/>
          <w:lang w:val="en-US"/>
        </w:rPr>
        <w:t xml:space="preserve">reductions </w:t>
      </w:r>
      <w:r w:rsidR="00204FA5">
        <w:rPr>
          <w:rFonts w:ascii="Arial" w:hAnsi="Arial" w:cs="Arial"/>
          <w:lang w:val="en-US"/>
        </w:rPr>
        <w:t>of</w:t>
      </w:r>
      <w:r w:rsidR="004405F2">
        <w:rPr>
          <w:rFonts w:ascii="Arial" w:hAnsi="Arial" w:cs="Arial"/>
          <w:lang w:val="en-US"/>
        </w:rPr>
        <w:t xml:space="preserve"> symptom</w:t>
      </w:r>
      <w:r w:rsidR="00204FA5">
        <w:rPr>
          <w:rFonts w:ascii="Arial" w:hAnsi="Arial" w:cs="Arial"/>
          <w:lang w:val="en-US"/>
        </w:rPr>
        <w:t>s</w:t>
      </w:r>
      <w:r w:rsidR="004405F2">
        <w:rPr>
          <w:rFonts w:ascii="Arial" w:hAnsi="Arial" w:cs="Arial"/>
          <w:lang w:val="en-US"/>
        </w:rPr>
        <w:t xml:space="preserve"> and </w:t>
      </w:r>
      <w:r w:rsidR="003F30C7">
        <w:rPr>
          <w:rFonts w:ascii="Arial" w:hAnsi="Arial" w:cs="Arial"/>
          <w:lang w:val="en-US"/>
        </w:rPr>
        <w:t xml:space="preserve">inflate </w:t>
      </w:r>
      <w:r w:rsidR="00912F3F">
        <w:rPr>
          <w:rFonts w:ascii="Arial" w:hAnsi="Arial" w:cs="Arial"/>
          <w:lang w:val="en-US"/>
        </w:rPr>
        <w:t>drop-out rates at</w:t>
      </w:r>
      <w:r w:rsidR="004405F2">
        <w:rPr>
          <w:rFonts w:ascii="Arial" w:hAnsi="Arial" w:cs="Arial"/>
          <w:lang w:val="en-US"/>
        </w:rPr>
        <w:t xml:space="preserve"> </w:t>
      </w:r>
      <w:r w:rsidR="00912F3F">
        <w:rPr>
          <w:rFonts w:ascii="Arial" w:hAnsi="Arial" w:cs="Arial"/>
          <w:lang w:val="en-US"/>
        </w:rPr>
        <w:t xml:space="preserve">the </w:t>
      </w:r>
      <w:r w:rsidR="004405F2">
        <w:rPr>
          <w:rFonts w:ascii="Arial" w:hAnsi="Arial" w:cs="Arial"/>
          <w:lang w:val="en-US"/>
        </w:rPr>
        <w:t>higher</w:t>
      </w:r>
      <w:r w:rsidR="00912F3F">
        <w:rPr>
          <w:rFonts w:ascii="Arial" w:hAnsi="Arial" w:cs="Arial"/>
          <w:lang w:val="en-US"/>
        </w:rPr>
        <w:t xml:space="preserve"> </w:t>
      </w:r>
      <w:r w:rsidR="004405F2">
        <w:rPr>
          <w:rFonts w:ascii="Arial" w:hAnsi="Arial" w:cs="Arial"/>
          <w:lang w:val="en-US"/>
        </w:rPr>
        <w:t>doses</w:t>
      </w:r>
      <w:r w:rsidR="001E4C2E">
        <w:rPr>
          <w:rFonts w:ascii="Arial" w:hAnsi="Arial" w:cs="Arial"/>
          <w:lang w:val="en-US"/>
        </w:rPr>
        <w:t xml:space="preserve"> as participants who are unable to tolerate a given dosage are removed rather than given a lower dose</w:t>
      </w:r>
      <w:r w:rsidR="00F26035">
        <w:rPr>
          <w:rFonts w:ascii="Arial" w:hAnsi="Arial" w:cs="Arial"/>
          <w:lang w:val="en-US"/>
        </w:rPr>
        <w:t>.</w:t>
      </w:r>
      <w:r w:rsidR="009750EF">
        <w:rPr>
          <w:rFonts w:ascii="Arial" w:hAnsi="Arial" w:cs="Arial"/>
          <w:vertAlign w:val="superscript"/>
          <w:lang w:val="en-US"/>
        </w:rPr>
        <w:t>2</w:t>
      </w:r>
      <w:r w:rsidR="001F30C2">
        <w:rPr>
          <w:rFonts w:ascii="Arial" w:hAnsi="Arial" w:cs="Arial"/>
          <w:vertAlign w:val="superscript"/>
          <w:lang w:val="en-US"/>
        </w:rPr>
        <w:t>2</w:t>
      </w:r>
      <w:r w:rsidR="00F26035">
        <w:rPr>
          <w:rFonts w:ascii="Arial" w:hAnsi="Arial" w:cs="Arial"/>
          <w:lang w:val="en-US"/>
        </w:rPr>
        <w:t xml:space="preserve"> F</w:t>
      </w:r>
      <w:r w:rsidR="00912F3F">
        <w:rPr>
          <w:rFonts w:ascii="Arial" w:hAnsi="Arial" w:cs="Arial"/>
          <w:noProof/>
          <w:lang w:val="en-US"/>
        </w:rPr>
        <w:t>lexible-dose RCTs are more closely related to real-world practices</w:t>
      </w:r>
      <w:r w:rsidR="00F26035">
        <w:rPr>
          <w:rFonts w:ascii="Arial" w:hAnsi="Arial" w:cs="Arial"/>
          <w:noProof/>
          <w:lang w:val="en-US"/>
        </w:rPr>
        <w:t xml:space="preserve"> and may be particularly appropriate to investigate the </w:t>
      </w:r>
      <w:r w:rsidR="00204FA5">
        <w:rPr>
          <w:rFonts w:ascii="Arial" w:hAnsi="Arial" w:cs="Arial"/>
          <w:noProof/>
          <w:lang w:val="en-US"/>
        </w:rPr>
        <w:t xml:space="preserve">benefits of </w:t>
      </w:r>
      <w:r w:rsidR="004C359A">
        <w:rPr>
          <w:rFonts w:ascii="Arial" w:hAnsi="Arial" w:cs="Arial"/>
          <w:noProof/>
          <w:lang w:val="en-US"/>
        </w:rPr>
        <w:t xml:space="preserve">escalation to </w:t>
      </w:r>
      <w:r w:rsidR="00204FA5">
        <w:rPr>
          <w:rFonts w:ascii="Arial" w:hAnsi="Arial" w:cs="Arial"/>
          <w:noProof/>
          <w:lang w:val="en-US"/>
        </w:rPr>
        <w:t>higher doses</w:t>
      </w:r>
      <w:r w:rsidR="004C69E6">
        <w:rPr>
          <w:rFonts w:ascii="Arial" w:hAnsi="Arial" w:cs="Arial"/>
          <w:noProof/>
          <w:lang w:val="en-US"/>
        </w:rPr>
        <w:t>.</w:t>
      </w:r>
      <w:r w:rsidR="004C359A">
        <w:rPr>
          <w:rFonts w:ascii="Arial" w:hAnsi="Arial" w:cs="Arial"/>
          <w:noProof/>
          <w:vertAlign w:val="superscript"/>
          <w:lang w:val="en-US"/>
        </w:rPr>
        <w:t>2</w:t>
      </w:r>
      <w:r w:rsidR="001F30C2">
        <w:rPr>
          <w:rFonts w:ascii="Arial" w:hAnsi="Arial" w:cs="Arial"/>
          <w:noProof/>
          <w:vertAlign w:val="superscript"/>
          <w:lang w:val="en-US"/>
        </w:rPr>
        <w:t>3</w:t>
      </w:r>
      <w:r w:rsidR="0063742F">
        <w:rPr>
          <w:rFonts w:ascii="Arial" w:hAnsi="Arial" w:cs="Arial"/>
          <w:noProof/>
          <w:lang w:val="en-US"/>
        </w:rPr>
        <w:t xml:space="preserve"> </w:t>
      </w:r>
      <w:r w:rsidR="00204FA5">
        <w:rPr>
          <w:rFonts w:ascii="Arial" w:hAnsi="Arial" w:cs="Arial"/>
          <w:noProof/>
          <w:lang w:val="en-US"/>
        </w:rPr>
        <w:t>Besides</w:t>
      </w:r>
      <w:r w:rsidR="0063742F">
        <w:rPr>
          <w:rFonts w:ascii="Arial" w:hAnsi="Arial" w:cs="Arial"/>
          <w:noProof/>
          <w:lang w:val="en-US"/>
        </w:rPr>
        <w:t xml:space="preserve">, </w:t>
      </w:r>
      <w:r w:rsidR="00396549">
        <w:rPr>
          <w:rFonts w:ascii="Arial" w:hAnsi="Arial" w:cs="Arial"/>
          <w:noProof/>
          <w:lang w:val="en-US"/>
        </w:rPr>
        <w:t xml:space="preserve">treatment decisions such as the prescription of stimulants at </w:t>
      </w:r>
      <w:r w:rsidR="004A00B0">
        <w:rPr>
          <w:rFonts w:ascii="Arial" w:hAnsi="Arial" w:cs="Arial"/>
          <w:noProof/>
          <w:lang w:val="en-US"/>
        </w:rPr>
        <w:t xml:space="preserve">licensed or unlicensed </w:t>
      </w:r>
      <w:r w:rsidR="00396549">
        <w:rPr>
          <w:rFonts w:ascii="Arial" w:hAnsi="Arial" w:cs="Arial"/>
          <w:noProof/>
          <w:lang w:val="en-US"/>
        </w:rPr>
        <w:t xml:space="preserve">doses are dichotomous, </w:t>
      </w:r>
      <w:r w:rsidR="006D7C6C">
        <w:rPr>
          <w:rFonts w:ascii="Arial" w:hAnsi="Arial" w:cs="Arial"/>
          <w:noProof/>
          <w:lang w:val="en-US"/>
        </w:rPr>
        <w:t>which is not captured by</w:t>
      </w:r>
      <w:r w:rsidR="00396549">
        <w:rPr>
          <w:rFonts w:ascii="Arial" w:hAnsi="Arial" w:cs="Arial"/>
          <w:noProof/>
          <w:lang w:val="en-US"/>
        </w:rPr>
        <w:t xml:space="preserve"> dose-response </w:t>
      </w:r>
      <w:r w:rsidR="00DA3F08">
        <w:rPr>
          <w:rFonts w:ascii="Arial" w:hAnsi="Arial" w:cs="Arial"/>
          <w:noProof/>
          <w:lang w:val="en-US"/>
        </w:rPr>
        <w:t>meta-</w:t>
      </w:r>
      <w:r w:rsidR="00396549">
        <w:rPr>
          <w:rFonts w:ascii="Arial" w:hAnsi="Arial" w:cs="Arial"/>
          <w:noProof/>
          <w:lang w:val="en-US"/>
        </w:rPr>
        <w:t xml:space="preserve">analyses </w:t>
      </w:r>
      <w:r w:rsidR="001667A2">
        <w:rPr>
          <w:rFonts w:ascii="Arial" w:hAnsi="Arial" w:cs="Arial"/>
          <w:noProof/>
          <w:lang w:val="en-US"/>
        </w:rPr>
        <w:t xml:space="preserve">that </w:t>
      </w:r>
      <w:r w:rsidR="006D7C6C">
        <w:rPr>
          <w:rFonts w:ascii="Arial" w:hAnsi="Arial" w:cs="Arial"/>
          <w:noProof/>
          <w:lang w:val="en-US"/>
        </w:rPr>
        <w:t>assess</w:t>
      </w:r>
      <w:r w:rsidR="00396549">
        <w:rPr>
          <w:rFonts w:ascii="Arial" w:hAnsi="Arial" w:cs="Arial"/>
          <w:noProof/>
          <w:lang w:val="en-US"/>
        </w:rPr>
        <w:t xml:space="preserve"> doses continuous</w:t>
      </w:r>
      <w:r w:rsidR="006D7C6C">
        <w:rPr>
          <w:rFonts w:ascii="Arial" w:hAnsi="Arial" w:cs="Arial"/>
          <w:noProof/>
          <w:lang w:val="en-US"/>
        </w:rPr>
        <w:t>ly</w:t>
      </w:r>
      <w:r w:rsidR="00396549">
        <w:rPr>
          <w:rFonts w:ascii="Arial" w:hAnsi="Arial" w:cs="Arial"/>
          <w:noProof/>
          <w:lang w:val="en-US"/>
        </w:rPr>
        <w:t xml:space="preserve">. </w:t>
      </w:r>
      <w:r w:rsidR="00E13B5C">
        <w:rPr>
          <w:rFonts w:ascii="Arial" w:hAnsi="Arial" w:cs="Arial"/>
          <w:noProof/>
          <w:lang w:val="en-US"/>
        </w:rPr>
        <w:t>T</w:t>
      </w:r>
      <w:r w:rsidR="001B7AC6">
        <w:rPr>
          <w:rFonts w:ascii="Arial" w:hAnsi="Arial" w:cs="Arial"/>
          <w:noProof/>
          <w:lang w:val="en-US"/>
        </w:rPr>
        <w:t>herefore</w:t>
      </w:r>
      <w:r w:rsidR="00E13B5C">
        <w:rPr>
          <w:rFonts w:ascii="Arial" w:hAnsi="Arial" w:cs="Arial"/>
          <w:noProof/>
          <w:lang w:val="en-US"/>
        </w:rPr>
        <w:t xml:space="preserve">, </w:t>
      </w:r>
      <w:r w:rsidR="00365714">
        <w:rPr>
          <w:rFonts w:ascii="Arial" w:hAnsi="Arial" w:cs="Arial"/>
          <w:noProof/>
          <w:lang w:val="en-US"/>
        </w:rPr>
        <w:t xml:space="preserve">we also conducted network meta-analyses (NMAs) </w:t>
      </w:r>
      <w:r w:rsidR="00B50024">
        <w:rPr>
          <w:rFonts w:ascii="Arial" w:hAnsi="Arial" w:cs="Arial"/>
          <w:noProof/>
          <w:lang w:val="en-US"/>
        </w:rPr>
        <w:t xml:space="preserve">with fixed-dose and flexible-dose RCTs </w:t>
      </w:r>
      <w:r w:rsidR="00204FA5">
        <w:rPr>
          <w:rFonts w:ascii="Arial" w:hAnsi="Arial" w:cs="Arial"/>
          <w:noProof/>
          <w:lang w:val="en-US"/>
        </w:rPr>
        <w:t>to estimate</w:t>
      </w:r>
      <w:r w:rsidR="00E13B5C">
        <w:rPr>
          <w:rFonts w:ascii="Arial" w:hAnsi="Arial" w:cs="Arial"/>
          <w:noProof/>
          <w:lang w:val="en-US"/>
        </w:rPr>
        <w:t xml:space="preserve"> the compar</w:t>
      </w:r>
      <w:r w:rsidR="00A50FB8">
        <w:rPr>
          <w:rFonts w:ascii="Arial" w:hAnsi="Arial" w:cs="Arial"/>
          <w:noProof/>
          <w:lang w:val="en-US"/>
        </w:rPr>
        <w:t>a</w:t>
      </w:r>
      <w:r w:rsidR="00E13B5C">
        <w:rPr>
          <w:rFonts w:ascii="Arial" w:hAnsi="Arial" w:cs="Arial"/>
          <w:noProof/>
          <w:lang w:val="en-US"/>
        </w:rPr>
        <w:t xml:space="preserve">tive outcomes of stimulants at </w:t>
      </w:r>
      <w:r w:rsidR="004A00B0">
        <w:rPr>
          <w:rFonts w:ascii="Arial" w:hAnsi="Arial" w:cs="Arial"/>
          <w:noProof/>
          <w:lang w:val="en-US"/>
        </w:rPr>
        <w:t xml:space="preserve">unlicensed </w:t>
      </w:r>
      <w:r w:rsidR="00E13B5C">
        <w:rPr>
          <w:rFonts w:ascii="Arial" w:hAnsi="Arial" w:cs="Arial"/>
          <w:noProof/>
          <w:lang w:val="en-US"/>
        </w:rPr>
        <w:t xml:space="preserve">doses in relation to </w:t>
      </w:r>
      <w:r w:rsidR="00204FA5">
        <w:rPr>
          <w:rFonts w:ascii="Arial" w:hAnsi="Arial" w:cs="Arial"/>
          <w:noProof/>
          <w:lang w:val="en-US"/>
        </w:rPr>
        <w:t>licensed</w:t>
      </w:r>
      <w:r w:rsidR="00E13B5C">
        <w:rPr>
          <w:rFonts w:ascii="Arial" w:hAnsi="Arial" w:cs="Arial"/>
          <w:noProof/>
          <w:lang w:val="en-US"/>
        </w:rPr>
        <w:t xml:space="preserve"> doses.</w:t>
      </w:r>
      <w:r w:rsidR="0009642C">
        <w:rPr>
          <w:rFonts w:ascii="Arial" w:hAnsi="Arial" w:cs="Arial"/>
          <w:noProof/>
          <w:lang w:val="en-US"/>
        </w:rPr>
        <w:t xml:space="preserve"> </w:t>
      </w:r>
      <w:r w:rsidR="004C192F">
        <w:rPr>
          <w:rFonts w:ascii="Arial" w:hAnsi="Arial" w:cs="Arial"/>
          <w:noProof/>
          <w:lang w:val="en-US"/>
        </w:rPr>
        <w:t xml:space="preserve">NMAs </w:t>
      </w:r>
      <w:r w:rsidR="00AA5618">
        <w:rPr>
          <w:rFonts w:ascii="Arial" w:hAnsi="Arial" w:cs="Arial"/>
          <w:noProof/>
          <w:lang w:val="en-US"/>
        </w:rPr>
        <w:t xml:space="preserve">allowed us </w:t>
      </w:r>
      <w:r w:rsidR="00AA64D4">
        <w:rPr>
          <w:rFonts w:ascii="Arial" w:hAnsi="Arial" w:cs="Arial"/>
          <w:noProof/>
          <w:lang w:val="en-US"/>
        </w:rPr>
        <w:t xml:space="preserve">to extend beyond the direct evidence </w:t>
      </w:r>
      <w:r w:rsidR="001160E1">
        <w:rPr>
          <w:rFonts w:ascii="Arial" w:hAnsi="Arial" w:cs="Arial"/>
          <w:noProof/>
          <w:lang w:val="en-US"/>
        </w:rPr>
        <w:t>(</w:t>
      </w:r>
      <w:r w:rsidR="00AA64D4">
        <w:rPr>
          <w:rFonts w:ascii="Arial" w:hAnsi="Arial" w:cs="Arial"/>
          <w:noProof/>
          <w:lang w:val="en-US"/>
        </w:rPr>
        <w:t>from fixed-</w:t>
      </w:r>
      <w:r w:rsidR="00AA64D4">
        <w:rPr>
          <w:rFonts w:ascii="Arial" w:hAnsi="Arial" w:cs="Arial"/>
          <w:noProof/>
          <w:lang w:val="en-US"/>
        </w:rPr>
        <w:lastRenderedPageBreak/>
        <w:t xml:space="preserve">dose RCTs </w:t>
      </w:r>
      <w:r w:rsidR="005E73F0">
        <w:rPr>
          <w:rFonts w:ascii="Arial" w:hAnsi="Arial" w:cs="Arial"/>
          <w:noProof/>
          <w:lang w:val="en-US"/>
        </w:rPr>
        <w:t xml:space="preserve">with stimulant arms at </w:t>
      </w:r>
      <w:r w:rsidR="004A00B0">
        <w:rPr>
          <w:rFonts w:ascii="Arial" w:hAnsi="Arial" w:cs="Arial"/>
          <w:noProof/>
          <w:lang w:val="en-US"/>
        </w:rPr>
        <w:t xml:space="preserve">licensed and unlicensed </w:t>
      </w:r>
      <w:r w:rsidR="005E73F0">
        <w:rPr>
          <w:rFonts w:ascii="Arial" w:hAnsi="Arial" w:cs="Arial"/>
          <w:noProof/>
          <w:lang w:val="en-US"/>
        </w:rPr>
        <w:t xml:space="preserve">doses) and </w:t>
      </w:r>
      <w:r w:rsidR="007620EB">
        <w:rPr>
          <w:rFonts w:ascii="Arial" w:hAnsi="Arial" w:cs="Arial"/>
          <w:noProof/>
          <w:lang w:val="en-US"/>
        </w:rPr>
        <w:t xml:space="preserve">incorporate </w:t>
      </w:r>
      <w:r w:rsidR="00DA3F08">
        <w:rPr>
          <w:rFonts w:ascii="Arial" w:hAnsi="Arial" w:cs="Arial"/>
          <w:noProof/>
          <w:lang w:val="en-US"/>
        </w:rPr>
        <w:t xml:space="preserve">indirect evidence </w:t>
      </w:r>
      <w:r w:rsidR="001160E1">
        <w:rPr>
          <w:rFonts w:ascii="Arial" w:hAnsi="Arial" w:cs="Arial"/>
          <w:noProof/>
          <w:lang w:val="en-US"/>
        </w:rPr>
        <w:t>(</w:t>
      </w:r>
      <w:r w:rsidR="005E73F0">
        <w:rPr>
          <w:rFonts w:ascii="Arial" w:hAnsi="Arial" w:cs="Arial"/>
          <w:noProof/>
          <w:lang w:val="en-US"/>
        </w:rPr>
        <w:t xml:space="preserve">from RCTs </w:t>
      </w:r>
      <w:r w:rsidR="00B50024">
        <w:rPr>
          <w:rFonts w:ascii="Arial" w:hAnsi="Arial" w:cs="Arial"/>
          <w:noProof/>
          <w:lang w:val="en-US"/>
        </w:rPr>
        <w:t>of</w:t>
      </w:r>
      <w:r w:rsidR="005E73F0">
        <w:rPr>
          <w:rFonts w:ascii="Arial" w:hAnsi="Arial" w:cs="Arial"/>
          <w:noProof/>
          <w:lang w:val="en-US"/>
        </w:rPr>
        <w:t xml:space="preserve"> </w:t>
      </w:r>
      <w:r w:rsidR="00B50024">
        <w:rPr>
          <w:rFonts w:ascii="Arial" w:hAnsi="Arial" w:cs="Arial"/>
          <w:noProof/>
          <w:lang w:val="en-US"/>
        </w:rPr>
        <w:t xml:space="preserve">any dosing design with </w:t>
      </w:r>
      <w:r w:rsidR="005E73F0">
        <w:rPr>
          <w:rFonts w:ascii="Arial" w:hAnsi="Arial" w:cs="Arial"/>
          <w:noProof/>
          <w:lang w:val="en-US"/>
        </w:rPr>
        <w:t>stimulant arms at any dose against placebo)</w:t>
      </w:r>
      <w:r w:rsidR="001160E1">
        <w:rPr>
          <w:rFonts w:ascii="Arial" w:hAnsi="Arial" w:cs="Arial"/>
          <w:noProof/>
          <w:lang w:val="en-US"/>
        </w:rPr>
        <w:t xml:space="preserve"> </w:t>
      </w:r>
      <w:r w:rsidR="007620EB">
        <w:rPr>
          <w:rFonts w:ascii="Arial" w:hAnsi="Arial" w:cs="Arial"/>
          <w:noProof/>
          <w:lang w:val="en-US"/>
        </w:rPr>
        <w:t>in network estimates</w:t>
      </w:r>
      <w:r w:rsidR="00D622A3">
        <w:rPr>
          <w:rFonts w:ascii="Arial" w:hAnsi="Arial" w:cs="Arial"/>
          <w:noProof/>
          <w:lang w:val="en-US"/>
        </w:rPr>
        <w:t xml:space="preserve">, ensuring increased statistical power and precision of </w:t>
      </w:r>
      <w:r w:rsidR="007363A8">
        <w:rPr>
          <w:rFonts w:ascii="Arial" w:hAnsi="Arial" w:cs="Arial"/>
          <w:noProof/>
          <w:lang w:val="en-US"/>
        </w:rPr>
        <w:t>th</w:t>
      </w:r>
      <w:r w:rsidR="00973FA4">
        <w:rPr>
          <w:rFonts w:ascii="Arial" w:hAnsi="Arial" w:cs="Arial"/>
          <w:noProof/>
          <w:lang w:val="en-US"/>
        </w:rPr>
        <w:t>e</w:t>
      </w:r>
      <w:r w:rsidR="00D622A3">
        <w:rPr>
          <w:rFonts w:ascii="Arial" w:hAnsi="Arial" w:cs="Arial"/>
          <w:noProof/>
          <w:lang w:val="en-US"/>
        </w:rPr>
        <w:t xml:space="preserve"> </w:t>
      </w:r>
      <w:r w:rsidR="00F26035">
        <w:rPr>
          <w:rFonts w:ascii="Arial" w:hAnsi="Arial" w:cs="Arial"/>
          <w:noProof/>
          <w:lang w:val="en-US"/>
        </w:rPr>
        <w:t xml:space="preserve">resulting </w:t>
      </w:r>
      <w:r w:rsidR="00D622A3">
        <w:rPr>
          <w:rFonts w:ascii="Arial" w:hAnsi="Arial" w:cs="Arial"/>
          <w:noProof/>
          <w:lang w:val="en-US"/>
        </w:rPr>
        <w:t>estimates</w:t>
      </w:r>
      <w:r w:rsidR="00B87472">
        <w:rPr>
          <w:rFonts w:ascii="Arial" w:hAnsi="Arial" w:cs="Arial"/>
          <w:lang w:val="en-US"/>
        </w:rPr>
        <w:t>.</w:t>
      </w:r>
      <w:r w:rsidR="00AE49E7">
        <w:rPr>
          <w:rFonts w:ascii="Arial" w:hAnsi="Arial" w:cs="Arial"/>
          <w:vertAlign w:val="superscript"/>
          <w:lang w:val="en-US"/>
        </w:rPr>
        <w:t>2</w:t>
      </w:r>
      <w:r w:rsidR="001F30C2">
        <w:rPr>
          <w:rFonts w:ascii="Arial" w:hAnsi="Arial" w:cs="Arial"/>
          <w:vertAlign w:val="superscript"/>
          <w:lang w:val="en-US"/>
        </w:rPr>
        <w:t>4</w:t>
      </w:r>
    </w:p>
    <w:bookmarkEnd w:id="7"/>
    <w:p w14:paraId="57DBB930" w14:textId="23947C91" w:rsidR="0018065F" w:rsidRDefault="0018065F" w:rsidP="00630249">
      <w:pPr>
        <w:keepNext/>
        <w:spacing w:line="480" w:lineRule="auto"/>
        <w:jc w:val="center"/>
        <w:rPr>
          <w:rFonts w:ascii="Arial" w:hAnsi="Arial" w:cs="Arial"/>
          <w:b/>
          <w:bCs/>
          <w:lang w:val="en-US"/>
        </w:rPr>
      </w:pPr>
      <w:r w:rsidRPr="003A6DE4">
        <w:rPr>
          <w:rFonts w:ascii="Arial" w:hAnsi="Arial" w:cs="Arial"/>
          <w:b/>
          <w:bCs/>
          <w:lang w:val="en-US"/>
        </w:rPr>
        <w:t>METHODS</w:t>
      </w:r>
    </w:p>
    <w:p w14:paraId="1D729B9F" w14:textId="224B17D2" w:rsidR="002E17EF" w:rsidRPr="00AC5CE7" w:rsidRDefault="002E17EF" w:rsidP="00EA6A22">
      <w:pPr>
        <w:spacing w:after="120" w:line="480" w:lineRule="auto"/>
        <w:rPr>
          <w:rFonts w:ascii="Arial" w:hAnsi="Arial" w:cs="Arial"/>
          <w:lang w:val="en-US"/>
        </w:rPr>
      </w:pPr>
      <w:r w:rsidRPr="00AC5CE7">
        <w:rPr>
          <w:rFonts w:ascii="Arial" w:hAnsi="Arial" w:cs="Arial"/>
          <w:lang w:val="en-US"/>
        </w:rPr>
        <w:tab/>
      </w:r>
      <w:r w:rsidR="001E5A95">
        <w:rPr>
          <w:rFonts w:ascii="Arial" w:hAnsi="Arial" w:cs="Arial"/>
          <w:lang w:val="en-US"/>
        </w:rPr>
        <w:t>We followed</w:t>
      </w:r>
      <w:r w:rsidRPr="00AC5CE7">
        <w:rPr>
          <w:rFonts w:ascii="Arial" w:hAnsi="Arial" w:cs="Arial"/>
          <w:lang w:val="en-US"/>
        </w:rPr>
        <w:t xml:space="preserve"> the Cochrane Handbook</w:t>
      </w:r>
      <w:r w:rsidR="00AE49E7">
        <w:rPr>
          <w:rFonts w:ascii="Arial" w:hAnsi="Arial" w:cs="Arial"/>
          <w:noProof/>
          <w:vertAlign w:val="superscript"/>
          <w:lang w:val="en-US"/>
        </w:rPr>
        <w:t>2</w:t>
      </w:r>
      <w:r w:rsidR="001F30C2">
        <w:rPr>
          <w:rFonts w:ascii="Arial" w:hAnsi="Arial" w:cs="Arial"/>
          <w:noProof/>
          <w:vertAlign w:val="superscript"/>
          <w:lang w:val="en-US"/>
        </w:rPr>
        <w:t>5</w:t>
      </w:r>
      <w:r w:rsidRPr="00AC5CE7">
        <w:rPr>
          <w:rFonts w:ascii="Arial" w:hAnsi="Arial" w:cs="Arial"/>
          <w:lang w:val="en-US"/>
        </w:rPr>
        <w:t xml:space="preserve"> and PRISMA</w:t>
      </w:r>
      <w:r w:rsidR="00AE49E7">
        <w:rPr>
          <w:rFonts w:ascii="Arial" w:hAnsi="Arial" w:cs="Arial"/>
          <w:noProof/>
          <w:vertAlign w:val="superscript"/>
          <w:lang w:val="en-US"/>
        </w:rPr>
        <w:t>2</w:t>
      </w:r>
      <w:r w:rsidR="001F30C2">
        <w:rPr>
          <w:rFonts w:ascii="Arial" w:hAnsi="Arial" w:cs="Arial"/>
          <w:noProof/>
          <w:vertAlign w:val="superscript"/>
          <w:lang w:val="en-US"/>
        </w:rPr>
        <w:t>6</w:t>
      </w:r>
      <w:r w:rsidRPr="00AC5CE7">
        <w:rPr>
          <w:rFonts w:ascii="Arial" w:hAnsi="Arial" w:cs="Arial"/>
          <w:lang w:val="en-US"/>
        </w:rPr>
        <w:t xml:space="preserve"> (e</w:t>
      </w:r>
      <w:r w:rsidR="00E43804">
        <w:rPr>
          <w:rFonts w:ascii="Arial" w:hAnsi="Arial" w:cs="Arial"/>
          <w:lang w:val="en-US"/>
        </w:rPr>
        <w:t>Methods</w:t>
      </w:r>
      <w:r w:rsidRPr="00AC5CE7">
        <w:rPr>
          <w:rFonts w:ascii="Arial" w:hAnsi="Arial" w:cs="Arial"/>
          <w:lang w:val="en-US"/>
        </w:rPr>
        <w:t xml:space="preserve"> 1)</w:t>
      </w:r>
      <w:r w:rsidR="001E5A95">
        <w:rPr>
          <w:rFonts w:ascii="Arial" w:hAnsi="Arial" w:cs="Arial"/>
          <w:lang w:val="en-US"/>
        </w:rPr>
        <w:t xml:space="preserve"> and </w:t>
      </w:r>
      <w:r w:rsidRPr="00AC5CE7">
        <w:rPr>
          <w:rFonts w:ascii="Arial" w:hAnsi="Arial" w:cs="Arial"/>
          <w:lang w:val="en-US"/>
        </w:rPr>
        <w:t xml:space="preserve">pre-registered </w:t>
      </w:r>
      <w:r w:rsidR="001E5A95">
        <w:rPr>
          <w:rFonts w:ascii="Arial" w:hAnsi="Arial" w:cs="Arial"/>
          <w:lang w:val="en-US"/>
        </w:rPr>
        <w:t xml:space="preserve">the protocol </w:t>
      </w:r>
      <w:r w:rsidRPr="00AC5CE7">
        <w:rPr>
          <w:rFonts w:ascii="Arial" w:hAnsi="Arial" w:cs="Arial"/>
          <w:lang w:val="en-US"/>
        </w:rPr>
        <w:t>(</w:t>
      </w:r>
      <w:r w:rsidR="001E5A95" w:rsidRPr="00AC5CE7">
        <w:rPr>
          <w:rFonts w:ascii="Arial" w:hAnsi="Arial" w:cs="Arial"/>
          <w:lang w:val="en-US"/>
        </w:rPr>
        <w:t xml:space="preserve">PROSPERO </w:t>
      </w:r>
      <w:r w:rsidRPr="00AC5CE7">
        <w:rPr>
          <w:rFonts w:ascii="Arial" w:hAnsi="Arial" w:cs="Arial"/>
          <w:lang w:val="en-US"/>
        </w:rPr>
        <w:t>CRD42020161804)</w:t>
      </w:r>
      <w:r w:rsidR="00D4574D">
        <w:rPr>
          <w:rFonts w:ascii="Arial" w:hAnsi="Arial" w:cs="Arial"/>
          <w:lang w:val="en-US"/>
        </w:rPr>
        <w:t xml:space="preserve"> (e</w:t>
      </w:r>
      <w:r w:rsidR="00E43804">
        <w:rPr>
          <w:rFonts w:ascii="Arial" w:hAnsi="Arial" w:cs="Arial"/>
          <w:lang w:val="en-US"/>
        </w:rPr>
        <w:t>Methods</w:t>
      </w:r>
      <w:r w:rsidR="00D4574D">
        <w:rPr>
          <w:rFonts w:ascii="Arial" w:hAnsi="Arial" w:cs="Arial"/>
          <w:lang w:val="en-US"/>
        </w:rPr>
        <w:t xml:space="preserve"> 2)</w:t>
      </w:r>
      <w:r w:rsidR="00875EA2">
        <w:rPr>
          <w:rFonts w:ascii="Arial" w:hAnsi="Arial" w:cs="Arial"/>
          <w:lang w:val="en-US"/>
        </w:rPr>
        <w:t>.</w:t>
      </w:r>
    </w:p>
    <w:p w14:paraId="17C05417" w14:textId="72624A27" w:rsidR="0065453F" w:rsidRPr="003A6DE4" w:rsidRDefault="00AE4D97" w:rsidP="00630249">
      <w:pPr>
        <w:keepNext/>
        <w:spacing w:line="480" w:lineRule="auto"/>
        <w:rPr>
          <w:rFonts w:ascii="Arial" w:hAnsi="Arial" w:cs="Arial"/>
          <w:b/>
          <w:bCs/>
          <w:lang w:val="en-US"/>
        </w:rPr>
      </w:pPr>
      <w:r>
        <w:rPr>
          <w:rFonts w:ascii="Arial" w:hAnsi="Arial" w:cs="Arial"/>
          <w:b/>
          <w:bCs/>
          <w:lang w:val="en-US"/>
        </w:rPr>
        <w:t>Data sources</w:t>
      </w:r>
    </w:p>
    <w:p w14:paraId="02F4BF5C" w14:textId="35DDA9E8" w:rsidR="00EB3058" w:rsidRDefault="007E005D" w:rsidP="00EA6A22">
      <w:pPr>
        <w:spacing w:after="120" w:line="480" w:lineRule="auto"/>
        <w:ind w:firstLine="720"/>
        <w:rPr>
          <w:rFonts w:ascii="Arial" w:hAnsi="Arial" w:cs="Arial"/>
          <w:lang w:val="en-US"/>
        </w:rPr>
      </w:pPr>
      <w:r w:rsidRPr="003A6DE4">
        <w:rPr>
          <w:rFonts w:ascii="Arial" w:hAnsi="Arial" w:cs="Arial"/>
          <w:lang w:val="en-US"/>
        </w:rPr>
        <w:t xml:space="preserve">We </w:t>
      </w:r>
      <w:r w:rsidR="006B142A">
        <w:rPr>
          <w:rFonts w:ascii="Arial" w:hAnsi="Arial" w:cs="Arial"/>
          <w:lang w:val="en-US"/>
        </w:rPr>
        <w:t xml:space="preserve">drew on </w:t>
      </w:r>
      <w:r w:rsidRPr="003A6DE4">
        <w:rPr>
          <w:rFonts w:ascii="Arial" w:hAnsi="Arial" w:cs="Arial"/>
          <w:lang w:val="en-US"/>
        </w:rPr>
        <w:t xml:space="preserve">a database of </w:t>
      </w:r>
      <w:r w:rsidR="00F8000E" w:rsidRPr="003A6DE4">
        <w:rPr>
          <w:rFonts w:ascii="Arial" w:hAnsi="Arial" w:cs="Arial"/>
          <w:lang w:val="en-US"/>
        </w:rPr>
        <w:t>RCTs</w:t>
      </w:r>
      <w:r w:rsidRPr="003A6DE4">
        <w:rPr>
          <w:rFonts w:ascii="Arial" w:hAnsi="Arial" w:cs="Arial"/>
          <w:lang w:val="en-US"/>
        </w:rPr>
        <w:t xml:space="preserve"> of ADHD</w:t>
      </w:r>
      <w:r w:rsidR="00A919A2">
        <w:rPr>
          <w:rFonts w:ascii="Arial" w:hAnsi="Arial" w:cs="Arial"/>
          <w:lang w:val="en-US"/>
        </w:rPr>
        <w:t xml:space="preserve"> medications</w:t>
      </w:r>
      <w:r w:rsidR="008A695D">
        <w:rPr>
          <w:rFonts w:ascii="Arial" w:hAnsi="Arial" w:cs="Arial"/>
          <w:lang w:val="en-US"/>
        </w:rPr>
        <w:t>,</w:t>
      </w:r>
      <w:r w:rsidR="00716476" w:rsidRPr="00716476">
        <w:rPr>
          <w:rFonts w:ascii="Arial" w:hAnsi="Arial" w:cs="Arial"/>
          <w:noProof/>
          <w:vertAlign w:val="superscript"/>
          <w:lang w:val="en-US"/>
        </w:rPr>
        <w:t>1</w:t>
      </w:r>
      <w:r w:rsidR="001F30C2">
        <w:rPr>
          <w:rFonts w:ascii="Arial" w:hAnsi="Arial" w:cs="Arial"/>
          <w:noProof/>
          <w:vertAlign w:val="superscript"/>
          <w:lang w:val="en-US"/>
        </w:rPr>
        <w:t>3</w:t>
      </w:r>
      <w:r w:rsidRPr="003A6DE4">
        <w:rPr>
          <w:rFonts w:ascii="Arial" w:hAnsi="Arial" w:cs="Arial"/>
          <w:lang w:val="en-US"/>
        </w:rPr>
        <w:t xml:space="preserve"> collated </w:t>
      </w:r>
      <w:r w:rsidR="006838EC" w:rsidRPr="003A6DE4">
        <w:rPr>
          <w:rFonts w:ascii="Arial" w:hAnsi="Arial" w:cs="Arial"/>
          <w:lang w:val="en-US"/>
        </w:rPr>
        <w:t>through</w:t>
      </w:r>
      <w:r w:rsidRPr="003A6DE4">
        <w:rPr>
          <w:rFonts w:ascii="Arial" w:hAnsi="Arial" w:cs="Arial"/>
          <w:lang w:val="en-US"/>
        </w:rPr>
        <w:t xml:space="preserve"> </w:t>
      </w:r>
      <w:r w:rsidR="006838EC" w:rsidRPr="003A6DE4">
        <w:rPr>
          <w:rFonts w:ascii="Arial" w:hAnsi="Arial" w:cs="Arial"/>
          <w:lang w:val="en-US"/>
        </w:rPr>
        <w:t>searches in</w:t>
      </w:r>
      <w:r w:rsidRPr="003A6DE4">
        <w:rPr>
          <w:rFonts w:ascii="Arial" w:hAnsi="Arial" w:cs="Arial"/>
          <w:lang w:val="en-US"/>
        </w:rPr>
        <w:t xml:space="preserve"> </w:t>
      </w:r>
      <w:r w:rsidR="00422458" w:rsidRPr="003A6DE4">
        <w:rPr>
          <w:rFonts w:ascii="Arial" w:hAnsi="Arial" w:cs="Arial"/>
          <w:lang w:val="en-US"/>
        </w:rPr>
        <w:t>12 electronic databases including published (e.g., PubMed, the Cochrane Central Register of Controlled Trials, Embase, Web of Science Core Collection) and unpublished (e.g.,</w:t>
      </w:r>
      <w:r w:rsidR="00DE60E6">
        <w:rPr>
          <w:rFonts w:ascii="Arial" w:hAnsi="Arial" w:cs="Arial"/>
          <w:lang w:val="en-US"/>
        </w:rPr>
        <w:t xml:space="preserve"> </w:t>
      </w:r>
      <w:r w:rsidR="00422458" w:rsidRPr="003A6DE4">
        <w:rPr>
          <w:rFonts w:ascii="Arial" w:hAnsi="Arial" w:cs="Arial"/>
          <w:lang w:val="en-US"/>
        </w:rPr>
        <w:t>ClinicalTrials.gov) literature</w:t>
      </w:r>
      <w:r w:rsidR="00691B61">
        <w:rPr>
          <w:rFonts w:ascii="Arial" w:hAnsi="Arial" w:cs="Arial"/>
          <w:lang w:val="en-US"/>
        </w:rPr>
        <w:t>,</w:t>
      </w:r>
      <w:r w:rsidR="00422458" w:rsidRPr="003A6DE4">
        <w:rPr>
          <w:rFonts w:ascii="Arial" w:hAnsi="Arial" w:cs="Arial"/>
          <w:lang w:val="en-US"/>
        </w:rPr>
        <w:t xml:space="preserve"> from inception to</w:t>
      </w:r>
      <w:r w:rsidR="009A50B7">
        <w:rPr>
          <w:rFonts w:ascii="Arial" w:hAnsi="Arial" w:cs="Arial"/>
          <w:lang w:val="en-US"/>
        </w:rPr>
        <w:t xml:space="preserve"> </w:t>
      </w:r>
      <w:r w:rsidR="00C74785">
        <w:rPr>
          <w:rFonts w:ascii="Arial" w:hAnsi="Arial" w:cs="Arial"/>
          <w:lang w:val="en-US"/>
        </w:rPr>
        <w:t>February</w:t>
      </w:r>
      <w:r w:rsidR="00EB3058">
        <w:rPr>
          <w:rFonts w:ascii="Arial" w:hAnsi="Arial" w:cs="Arial"/>
          <w:lang w:val="en-US"/>
        </w:rPr>
        <w:t xml:space="preserve"> 22</w:t>
      </w:r>
      <w:r w:rsidR="00C74785" w:rsidRPr="00C74785">
        <w:rPr>
          <w:rFonts w:ascii="Arial" w:hAnsi="Arial" w:cs="Arial"/>
          <w:vertAlign w:val="superscript"/>
          <w:lang w:val="en-US"/>
        </w:rPr>
        <w:t>nd</w:t>
      </w:r>
      <w:r w:rsidR="00C74785">
        <w:rPr>
          <w:rFonts w:ascii="Arial" w:hAnsi="Arial" w:cs="Arial"/>
          <w:lang w:val="en-US"/>
        </w:rPr>
        <w:t>,</w:t>
      </w:r>
      <w:r w:rsidR="00422458" w:rsidRPr="003A6DE4">
        <w:rPr>
          <w:rFonts w:ascii="Arial" w:hAnsi="Arial" w:cs="Arial"/>
          <w:lang w:val="en-US"/>
        </w:rPr>
        <w:t xml:space="preserve"> 2023 (e</w:t>
      </w:r>
      <w:r w:rsidR="00E43804">
        <w:rPr>
          <w:rFonts w:ascii="Arial" w:hAnsi="Arial" w:cs="Arial"/>
          <w:lang w:val="en-US"/>
        </w:rPr>
        <w:t>Methods</w:t>
      </w:r>
      <w:r w:rsidR="00422458" w:rsidRPr="003A6DE4">
        <w:rPr>
          <w:rFonts w:ascii="Arial" w:hAnsi="Arial" w:cs="Arial"/>
          <w:lang w:val="en-US"/>
        </w:rPr>
        <w:t xml:space="preserve"> </w:t>
      </w:r>
      <w:r w:rsidR="00C74785">
        <w:rPr>
          <w:rFonts w:ascii="Arial" w:hAnsi="Arial" w:cs="Arial"/>
          <w:lang w:val="en-US"/>
        </w:rPr>
        <w:t>3</w:t>
      </w:r>
      <w:r w:rsidR="00422458" w:rsidRPr="003A6DE4">
        <w:rPr>
          <w:rFonts w:ascii="Arial" w:hAnsi="Arial" w:cs="Arial"/>
          <w:lang w:val="en-US"/>
        </w:rPr>
        <w:t>)</w:t>
      </w:r>
      <w:r w:rsidR="001E5A95">
        <w:rPr>
          <w:rFonts w:ascii="Arial" w:hAnsi="Arial" w:cs="Arial"/>
          <w:lang w:val="en-US"/>
        </w:rPr>
        <w:t>, without</w:t>
      </w:r>
      <w:r w:rsidR="00B30CAC" w:rsidRPr="003A6DE4">
        <w:rPr>
          <w:rFonts w:ascii="Arial" w:hAnsi="Arial" w:cs="Arial"/>
          <w:lang w:val="en-US"/>
        </w:rPr>
        <w:t xml:space="preserve"> language restrictions.</w:t>
      </w:r>
    </w:p>
    <w:p w14:paraId="6577B7C5" w14:textId="4CA51826" w:rsidR="00FE6A24" w:rsidRPr="00FE6A24" w:rsidRDefault="00FE6A24" w:rsidP="00630249">
      <w:pPr>
        <w:spacing w:line="480" w:lineRule="auto"/>
        <w:rPr>
          <w:rFonts w:ascii="Arial" w:hAnsi="Arial" w:cs="Arial"/>
          <w:b/>
          <w:bCs/>
          <w:lang w:val="en-US"/>
        </w:rPr>
      </w:pPr>
      <w:r>
        <w:rPr>
          <w:rFonts w:ascii="Arial" w:hAnsi="Arial" w:cs="Arial"/>
          <w:b/>
          <w:bCs/>
          <w:lang w:val="en-US"/>
        </w:rPr>
        <w:t>Study selection</w:t>
      </w:r>
    </w:p>
    <w:p w14:paraId="499318F1" w14:textId="658C9695" w:rsidR="005027D2" w:rsidRPr="003A6DE4" w:rsidRDefault="00B30CAC" w:rsidP="00EA6A22">
      <w:pPr>
        <w:spacing w:after="120" w:line="480" w:lineRule="auto"/>
        <w:ind w:firstLine="720"/>
        <w:rPr>
          <w:rFonts w:ascii="Arial" w:hAnsi="Arial" w:cs="Arial"/>
          <w:lang w:val="en-US"/>
        </w:rPr>
      </w:pPr>
      <w:r w:rsidRPr="003A6DE4">
        <w:rPr>
          <w:rFonts w:ascii="Arial" w:hAnsi="Arial" w:cs="Arial"/>
          <w:lang w:val="en-US"/>
        </w:rPr>
        <w:t xml:space="preserve">Two </w:t>
      </w:r>
      <w:r w:rsidR="009735FC" w:rsidRPr="003A6DE4">
        <w:rPr>
          <w:rFonts w:ascii="Arial" w:hAnsi="Arial" w:cs="Arial"/>
          <w:lang w:val="en-US"/>
        </w:rPr>
        <w:t xml:space="preserve">researchers </w:t>
      </w:r>
      <w:r w:rsidR="00EB3058">
        <w:rPr>
          <w:rFonts w:ascii="Arial" w:hAnsi="Arial" w:cs="Arial"/>
          <w:lang w:val="en-US"/>
        </w:rPr>
        <w:t xml:space="preserve">independently </w:t>
      </w:r>
      <w:r w:rsidRPr="003A6DE4">
        <w:rPr>
          <w:rFonts w:ascii="Arial" w:hAnsi="Arial" w:cs="Arial"/>
          <w:lang w:val="en-US"/>
        </w:rPr>
        <w:t xml:space="preserve">screened </w:t>
      </w:r>
      <w:r w:rsidR="00EB3058">
        <w:rPr>
          <w:rFonts w:ascii="Arial" w:hAnsi="Arial" w:cs="Arial"/>
          <w:lang w:val="en-US"/>
        </w:rPr>
        <w:t>titles/abstracts</w:t>
      </w:r>
      <w:r w:rsidRPr="003A6DE4">
        <w:rPr>
          <w:rFonts w:ascii="Arial" w:hAnsi="Arial" w:cs="Arial"/>
          <w:lang w:val="en-US"/>
        </w:rPr>
        <w:t xml:space="preserve"> and </w:t>
      </w:r>
      <w:r w:rsidR="00EB3058">
        <w:rPr>
          <w:rFonts w:ascii="Arial" w:hAnsi="Arial" w:cs="Arial"/>
          <w:lang w:val="en-US"/>
        </w:rPr>
        <w:t>then conducted full-text assessmen</w:t>
      </w:r>
      <w:r w:rsidRPr="003A6DE4">
        <w:rPr>
          <w:rFonts w:ascii="Arial" w:hAnsi="Arial" w:cs="Arial"/>
          <w:lang w:val="en-US"/>
        </w:rPr>
        <w:t xml:space="preserve">t of </w:t>
      </w:r>
      <w:r w:rsidR="00EB3058">
        <w:rPr>
          <w:rFonts w:ascii="Arial" w:hAnsi="Arial" w:cs="Arial"/>
          <w:lang w:val="en-US"/>
        </w:rPr>
        <w:t>selected records</w:t>
      </w:r>
      <w:r w:rsidRPr="003A6DE4">
        <w:rPr>
          <w:rFonts w:ascii="Arial" w:hAnsi="Arial" w:cs="Arial"/>
          <w:lang w:val="en-US"/>
        </w:rPr>
        <w:t xml:space="preserve"> to </w:t>
      </w:r>
      <w:r w:rsidR="00BA6D5E">
        <w:rPr>
          <w:rFonts w:ascii="Arial" w:hAnsi="Arial" w:cs="Arial"/>
          <w:lang w:val="en-US"/>
        </w:rPr>
        <w:t>confirm</w:t>
      </w:r>
      <w:r w:rsidRPr="003A6DE4">
        <w:rPr>
          <w:rFonts w:ascii="Arial" w:hAnsi="Arial" w:cs="Arial"/>
          <w:lang w:val="en-US"/>
        </w:rPr>
        <w:t xml:space="preserve"> eligibility</w:t>
      </w:r>
      <w:r w:rsidR="009735FC" w:rsidRPr="003A6DE4">
        <w:rPr>
          <w:rFonts w:ascii="Arial" w:hAnsi="Arial" w:cs="Arial"/>
          <w:lang w:val="en-US"/>
        </w:rPr>
        <w:t xml:space="preserve">. Any discrepancies were discussed with a third </w:t>
      </w:r>
      <w:r w:rsidR="00DE1B1F">
        <w:rPr>
          <w:rFonts w:ascii="Arial" w:hAnsi="Arial" w:cs="Arial"/>
          <w:lang w:val="en-US"/>
        </w:rPr>
        <w:t xml:space="preserve">senior </w:t>
      </w:r>
      <w:r w:rsidR="009735FC" w:rsidRPr="003A6DE4">
        <w:rPr>
          <w:rFonts w:ascii="Arial" w:hAnsi="Arial" w:cs="Arial"/>
          <w:lang w:val="en-US"/>
        </w:rPr>
        <w:t>researcher.</w:t>
      </w:r>
      <w:r w:rsidR="00555A7C">
        <w:rPr>
          <w:rFonts w:ascii="Arial" w:hAnsi="Arial" w:cs="Arial"/>
          <w:lang w:val="en-US"/>
        </w:rPr>
        <w:t xml:space="preserve"> </w:t>
      </w:r>
      <w:r w:rsidR="005027D2" w:rsidRPr="003A6DE4">
        <w:rPr>
          <w:rFonts w:ascii="Arial" w:hAnsi="Arial" w:cs="Arial"/>
          <w:lang w:val="en-US"/>
        </w:rPr>
        <w:t xml:space="preserve">We included </w:t>
      </w:r>
      <w:r w:rsidR="00A97240" w:rsidRPr="003A6DE4">
        <w:rPr>
          <w:rFonts w:ascii="Arial" w:hAnsi="Arial" w:cs="Arial"/>
          <w:lang w:val="en-US"/>
        </w:rPr>
        <w:t xml:space="preserve">double-blinded </w:t>
      </w:r>
      <w:r w:rsidR="005027D2" w:rsidRPr="003A6DE4">
        <w:rPr>
          <w:rFonts w:ascii="Arial" w:hAnsi="Arial" w:cs="Arial"/>
          <w:lang w:val="en-US"/>
        </w:rPr>
        <w:t xml:space="preserve">placebo-controlled RCTs that examined </w:t>
      </w:r>
      <w:r w:rsidR="009071AE" w:rsidRPr="003A6DE4">
        <w:rPr>
          <w:rFonts w:ascii="Arial" w:hAnsi="Arial" w:cs="Arial"/>
          <w:lang w:val="en-US"/>
        </w:rPr>
        <w:t>methylphenidate</w:t>
      </w:r>
      <w:r w:rsidR="00014C8B">
        <w:rPr>
          <w:rFonts w:ascii="Arial" w:hAnsi="Arial" w:cs="Arial"/>
          <w:lang w:val="en-US"/>
        </w:rPr>
        <w:t xml:space="preserve"> or amphetamine</w:t>
      </w:r>
      <w:r w:rsidR="00B0353C">
        <w:rPr>
          <w:rFonts w:ascii="Arial" w:hAnsi="Arial" w:cs="Arial"/>
          <w:lang w:val="en-US"/>
        </w:rPr>
        <w:t>s</w:t>
      </w:r>
      <w:r w:rsidR="005027D2" w:rsidRPr="003A6DE4">
        <w:rPr>
          <w:rFonts w:ascii="Arial" w:hAnsi="Arial" w:cs="Arial"/>
          <w:lang w:val="en-US"/>
        </w:rPr>
        <w:t xml:space="preserve"> </w:t>
      </w:r>
      <w:r w:rsidR="002F2B49" w:rsidRPr="003A6DE4">
        <w:rPr>
          <w:rFonts w:ascii="Arial" w:hAnsi="Arial" w:cs="Arial"/>
          <w:lang w:val="en-US"/>
        </w:rPr>
        <w:t xml:space="preserve">as monotherapy </w:t>
      </w:r>
      <w:r w:rsidR="005027D2" w:rsidRPr="003A6DE4">
        <w:rPr>
          <w:rFonts w:ascii="Arial" w:hAnsi="Arial" w:cs="Arial"/>
          <w:lang w:val="en-US"/>
        </w:rPr>
        <w:t xml:space="preserve">for </w:t>
      </w:r>
      <w:r w:rsidRPr="003A6DE4">
        <w:rPr>
          <w:rFonts w:ascii="Arial" w:hAnsi="Arial" w:cs="Arial"/>
          <w:lang w:val="en-US"/>
        </w:rPr>
        <w:t xml:space="preserve">at least one week in </w:t>
      </w:r>
      <w:r w:rsidR="005027D2" w:rsidRPr="003A6DE4">
        <w:rPr>
          <w:rFonts w:ascii="Arial" w:hAnsi="Arial" w:cs="Arial"/>
          <w:lang w:val="en-US"/>
        </w:rPr>
        <w:t xml:space="preserve">adults (≥ 18 years) with ADHD </w:t>
      </w:r>
      <w:r w:rsidRPr="003A6DE4">
        <w:rPr>
          <w:rFonts w:ascii="Arial" w:hAnsi="Arial" w:cs="Arial"/>
          <w:lang w:val="en-US"/>
        </w:rPr>
        <w:t xml:space="preserve">according to </w:t>
      </w:r>
      <w:r w:rsidR="00C66E2D">
        <w:rPr>
          <w:rFonts w:ascii="Arial" w:hAnsi="Arial" w:cs="Arial"/>
          <w:lang w:val="en-US"/>
        </w:rPr>
        <w:t>t</w:t>
      </w:r>
      <w:r w:rsidR="009071AE" w:rsidRPr="003A6DE4">
        <w:rPr>
          <w:rFonts w:ascii="Arial" w:hAnsi="Arial" w:cs="Arial"/>
          <w:lang w:val="en-US"/>
        </w:rPr>
        <w:t>he Diagnostic and Statistical Manual of Mental Disorders</w:t>
      </w:r>
      <w:r w:rsidR="006D7C6C">
        <w:rPr>
          <w:rFonts w:ascii="Arial" w:hAnsi="Arial" w:cs="Arial"/>
          <w:lang w:val="en-US"/>
        </w:rPr>
        <w:t xml:space="preserve"> </w:t>
      </w:r>
      <w:r w:rsidRPr="003A6DE4">
        <w:rPr>
          <w:rFonts w:ascii="Arial" w:hAnsi="Arial" w:cs="Arial"/>
          <w:lang w:val="en-US"/>
        </w:rPr>
        <w:t>(</w:t>
      </w:r>
      <w:r w:rsidR="0071682D">
        <w:rPr>
          <w:rFonts w:ascii="Arial" w:hAnsi="Arial" w:cs="Arial"/>
          <w:lang w:val="en-US"/>
        </w:rPr>
        <w:t>eMethods</w:t>
      </w:r>
      <w:r w:rsidRPr="003A6DE4">
        <w:rPr>
          <w:rFonts w:ascii="Arial" w:hAnsi="Arial" w:cs="Arial"/>
          <w:lang w:val="en-US"/>
        </w:rPr>
        <w:t xml:space="preserve"> </w:t>
      </w:r>
      <w:r w:rsidR="002519BA">
        <w:rPr>
          <w:rFonts w:ascii="Arial" w:hAnsi="Arial" w:cs="Arial"/>
          <w:lang w:val="en-US"/>
        </w:rPr>
        <w:t>4</w:t>
      </w:r>
      <w:r w:rsidRPr="003A6DE4">
        <w:rPr>
          <w:rFonts w:ascii="Arial" w:hAnsi="Arial" w:cs="Arial"/>
          <w:lang w:val="en-US"/>
        </w:rPr>
        <w:t>)</w:t>
      </w:r>
      <w:r w:rsidR="002F2B49" w:rsidRPr="003A6DE4">
        <w:rPr>
          <w:rFonts w:ascii="Arial" w:hAnsi="Arial" w:cs="Arial"/>
          <w:lang w:val="en-US"/>
        </w:rPr>
        <w:t>.</w:t>
      </w:r>
    </w:p>
    <w:p w14:paraId="4D4435DD" w14:textId="30E64D6A" w:rsidR="0065453F" w:rsidRPr="003A6DE4" w:rsidRDefault="0065453F" w:rsidP="00630249">
      <w:pPr>
        <w:keepNext/>
        <w:spacing w:line="480" w:lineRule="auto"/>
        <w:rPr>
          <w:rFonts w:ascii="Arial" w:hAnsi="Arial" w:cs="Arial"/>
          <w:b/>
          <w:bCs/>
          <w:lang w:val="en-US"/>
        </w:rPr>
      </w:pPr>
      <w:r w:rsidRPr="003A6DE4">
        <w:rPr>
          <w:rFonts w:ascii="Arial" w:hAnsi="Arial" w:cs="Arial"/>
          <w:b/>
          <w:bCs/>
          <w:lang w:val="en-US"/>
        </w:rPr>
        <w:lastRenderedPageBreak/>
        <w:t>Data extraction</w:t>
      </w:r>
    </w:p>
    <w:p w14:paraId="45FB4B04" w14:textId="33C74B1E" w:rsidR="00BE2382" w:rsidRDefault="009559CB" w:rsidP="00EA6A22">
      <w:pPr>
        <w:spacing w:after="120" w:line="480" w:lineRule="auto"/>
        <w:ind w:firstLine="720"/>
        <w:rPr>
          <w:rFonts w:ascii="Arial" w:hAnsi="Arial" w:cs="Arial"/>
          <w:lang w:val="en-US"/>
        </w:rPr>
      </w:pPr>
      <w:r>
        <w:rPr>
          <w:rFonts w:ascii="Arial" w:hAnsi="Arial" w:cs="Arial"/>
          <w:lang w:val="en-US"/>
        </w:rPr>
        <w:t>Aggregate d</w:t>
      </w:r>
      <w:r w:rsidR="009735FC" w:rsidRPr="003A6DE4">
        <w:rPr>
          <w:rFonts w:ascii="Arial" w:hAnsi="Arial" w:cs="Arial"/>
          <w:lang w:val="en-US"/>
        </w:rPr>
        <w:t xml:space="preserve">ata were extracted </w:t>
      </w:r>
      <w:r w:rsidR="00DB448D">
        <w:rPr>
          <w:rFonts w:ascii="Arial" w:hAnsi="Arial" w:cs="Arial"/>
          <w:lang w:val="en-US"/>
        </w:rPr>
        <w:t xml:space="preserve">independently </w:t>
      </w:r>
      <w:r w:rsidR="009735FC" w:rsidRPr="003A6DE4">
        <w:rPr>
          <w:rFonts w:ascii="Arial" w:hAnsi="Arial" w:cs="Arial"/>
          <w:lang w:val="en-US"/>
        </w:rPr>
        <w:t>by two investigators</w:t>
      </w:r>
      <w:r w:rsidR="00A829F7">
        <w:rPr>
          <w:rFonts w:ascii="Arial" w:hAnsi="Arial" w:cs="Arial"/>
          <w:lang w:val="en-US"/>
        </w:rPr>
        <w:t xml:space="preserve"> (</w:t>
      </w:r>
      <w:r w:rsidR="0071682D">
        <w:rPr>
          <w:rFonts w:ascii="Arial" w:hAnsi="Arial" w:cs="Arial"/>
          <w:lang w:val="en-US"/>
        </w:rPr>
        <w:t>eMethods</w:t>
      </w:r>
      <w:r w:rsidR="00A829F7">
        <w:rPr>
          <w:rFonts w:ascii="Arial" w:hAnsi="Arial" w:cs="Arial"/>
          <w:lang w:val="en-US"/>
        </w:rPr>
        <w:t xml:space="preserve"> 5)</w:t>
      </w:r>
      <w:r w:rsidR="00DB448D">
        <w:rPr>
          <w:rFonts w:ascii="Arial" w:hAnsi="Arial" w:cs="Arial"/>
          <w:lang w:val="en-US"/>
        </w:rPr>
        <w:t>.</w:t>
      </w:r>
      <w:r w:rsidR="00441B40">
        <w:rPr>
          <w:rFonts w:ascii="Arial" w:hAnsi="Arial" w:cs="Arial"/>
          <w:lang w:val="en-US"/>
        </w:rPr>
        <w:t xml:space="preserve"> </w:t>
      </w:r>
      <w:r w:rsidR="00596539" w:rsidRPr="003A6DE4">
        <w:rPr>
          <w:rFonts w:ascii="Arial" w:hAnsi="Arial" w:cs="Arial"/>
          <w:lang w:val="en-US"/>
        </w:rPr>
        <w:t xml:space="preserve">For fixed-dose RCTs, we extracted the group’s assigned dose in mg/d. For flexible-dose RCTs, we extracted the </w:t>
      </w:r>
      <w:r w:rsidR="00D82F12" w:rsidRPr="003A6DE4">
        <w:rPr>
          <w:rFonts w:ascii="Arial" w:hAnsi="Arial" w:cs="Arial"/>
          <w:lang w:val="en-US"/>
        </w:rPr>
        <w:t>maximum</w:t>
      </w:r>
      <w:r w:rsidR="00596539" w:rsidRPr="003A6DE4">
        <w:rPr>
          <w:rFonts w:ascii="Arial" w:hAnsi="Arial" w:cs="Arial"/>
          <w:lang w:val="en-US"/>
        </w:rPr>
        <w:t xml:space="preserve"> dose in the titration schedule</w:t>
      </w:r>
      <w:r w:rsidR="00D63F6E">
        <w:rPr>
          <w:rFonts w:ascii="Arial" w:hAnsi="Arial" w:cs="Arial"/>
          <w:lang w:val="en-US"/>
        </w:rPr>
        <w:t xml:space="preserve"> </w:t>
      </w:r>
      <w:r w:rsidR="00D63F6E" w:rsidRPr="003A6DE4">
        <w:rPr>
          <w:rFonts w:ascii="Arial" w:hAnsi="Arial" w:cs="Arial"/>
          <w:lang w:val="en-US"/>
        </w:rPr>
        <w:t>in mg/d</w:t>
      </w:r>
      <w:r w:rsidR="00596539" w:rsidRPr="003A6DE4">
        <w:rPr>
          <w:rFonts w:ascii="Arial" w:hAnsi="Arial" w:cs="Arial"/>
          <w:lang w:val="en-US"/>
        </w:rPr>
        <w:t xml:space="preserve">. When doses were determined by weight (e.g., 1 mg/kg/d), we calculated the </w:t>
      </w:r>
      <w:r w:rsidR="00D82F12" w:rsidRPr="003A6DE4">
        <w:rPr>
          <w:rFonts w:ascii="Arial" w:hAnsi="Arial" w:cs="Arial"/>
          <w:lang w:val="en-US"/>
        </w:rPr>
        <w:t xml:space="preserve">doses in </w:t>
      </w:r>
      <w:r w:rsidR="00596539" w:rsidRPr="003A6DE4">
        <w:rPr>
          <w:rFonts w:ascii="Arial" w:hAnsi="Arial" w:cs="Arial"/>
          <w:lang w:val="en-US"/>
        </w:rPr>
        <w:t xml:space="preserve">mg/d considering the </w:t>
      </w:r>
      <w:r w:rsidR="008A25B7">
        <w:rPr>
          <w:rFonts w:ascii="Arial" w:hAnsi="Arial" w:cs="Arial"/>
          <w:lang w:val="en-US"/>
        </w:rPr>
        <w:t xml:space="preserve">sample’s </w:t>
      </w:r>
      <w:r w:rsidR="00596539" w:rsidRPr="003A6DE4">
        <w:rPr>
          <w:rFonts w:ascii="Arial" w:hAnsi="Arial" w:cs="Arial"/>
          <w:lang w:val="en-US"/>
        </w:rPr>
        <w:t>average weight</w:t>
      </w:r>
      <w:r w:rsidR="00155B2A" w:rsidRPr="003A6DE4">
        <w:rPr>
          <w:rFonts w:ascii="Arial" w:hAnsi="Arial" w:cs="Arial"/>
          <w:lang w:val="en-US"/>
        </w:rPr>
        <w:t xml:space="preserve">. </w:t>
      </w:r>
      <w:r w:rsidR="00BE2382">
        <w:rPr>
          <w:rFonts w:ascii="Arial" w:hAnsi="Arial" w:cs="Arial"/>
          <w:lang w:val="en-US"/>
        </w:rPr>
        <w:t>We also</w:t>
      </w:r>
      <w:r w:rsidR="00155B2A" w:rsidRPr="003A6DE4">
        <w:rPr>
          <w:rFonts w:ascii="Arial" w:hAnsi="Arial" w:cs="Arial"/>
          <w:lang w:val="en-US"/>
        </w:rPr>
        <w:t xml:space="preserve"> coded whether doses were within </w:t>
      </w:r>
      <w:r w:rsidR="006E0879">
        <w:rPr>
          <w:rFonts w:ascii="Arial" w:hAnsi="Arial" w:cs="Arial"/>
          <w:lang w:val="en-US"/>
        </w:rPr>
        <w:t xml:space="preserve">(licensed) </w:t>
      </w:r>
      <w:r w:rsidR="00155B2A" w:rsidRPr="003A6DE4">
        <w:rPr>
          <w:rFonts w:ascii="Arial" w:hAnsi="Arial" w:cs="Arial"/>
          <w:lang w:val="en-US"/>
        </w:rPr>
        <w:t>or beyond</w:t>
      </w:r>
      <w:r w:rsidR="006E0879">
        <w:rPr>
          <w:rFonts w:ascii="Arial" w:hAnsi="Arial" w:cs="Arial"/>
          <w:lang w:val="en-US"/>
        </w:rPr>
        <w:t xml:space="preserve"> (unlicensed)</w:t>
      </w:r>
      <w:r w:rsidR="00155B2A" w:rsidRPr="003A6DE4">
        <w:rPr>
          <w:rFonts w:ascii="Arial" w:hAnsi="Arial" w:cs="Arial"/>
          <w:lang w:val="en-US"/>
        </w:rPr>
        <w:t xml:space="preserve"> the FDA recommended range for each medication</w:t>
      </w:r>
      <w:r w:rsidR="00BE2382">
        <w:rPr>
          <w:rFonts w:ascii="Arial" w:hAnsi="Arial" w:cs="Arial"/>
          <w:lang w:val="en-US"/>
        </w:rPr>
        <w:t xml:space="preserve"> (eTable 1). Lastly, we converted doses of methylphenidate and amphetamines formulation</w:t>
      </w:r>
      <w:r w:rsidR="00BA4C5D">
        <w:rPr>
          <w:rFonts w:ascii="Arial" w:hAnsi="Arial" w:cs="Arial"/>
          <w:lang w:val="en-US"/>
        </w:rPr>
        <w:t>s</w:t>
      </w:r>
      <w:r w:rsidR="00BE2382">
        <w:rPr>
          <w:rFonts w:ascii="Arial" w:hAnsi="Arial" w:cs="Arial"/>
          <w:lang w:val="en-US"/>
        </w:rPr>
        <w:t xml:space="preserve"> in equivalent doses considering immediate</w:t>
      </w:r>
      <w:r w:rsidR="00BA4C5D">
        <w:rPr>
          <w:rFonts w:ascii="Arial" w:hAnsi="Arial" w:cs="Arial"/>
          <w:lang w:val="en-US"/>
        </w:rPr>
        <w:t>-</w:t>
      </w:r>
      <w:r w:rsidR="00BE2382">
        <w:rPr>
          <w:rFonts w:ascii="Arial" w:hAnsi="Arial" w:cs="Arial"/>
          <w:lang w:val="en-US"/>
        </w:rPr>
        <w:t>release methylphenidate hydrochloride and mixed amphetamine salts as the reference medications, respectively (</w:t>
      </w:r>
      <w:r w:rsidR="00704EDA">
        <w:rPr>
          <w:rFonts w:ascii="Arial" w:hAnsi="Arial" w:cs="Arial"/>
          <w:lang w:val="en-US"/>
        </w:rPr>
        <w:t xml:space="preserve">eTable 1, </w:t>
      </w:r>
      <w:r w:rsidR="0071682D">
        <w:rPr>
          <w:rFonts w:ascii="Arial" w:hAnsi="Arial" w:cs="Arial"/>
          <w:lang w:val="en-US"/>
        </w:rPr>
        <w:t>eMethods</w:t>
      </w:r>
      <w:r w:rsidR="00BE2382">
        <w:rPr>
          <w:rFonts w:ascii="Arial" w:hAnsi="Arial" w:cs="Arial"/>
          <w:lang w:val="en-US"/>
        </w:rPr>
        <w:t xml:space="preserve"> 6).</w:t>
      </w:r>
    </w:p>
    <w:p w14:paraId="4D674AF9" w14:textId="03EDD92B" w:rsidR="00634BDA" w:rsidRPr="00FB2DED" w:rsidRDefault="00634BDA" w:rsidP="00630249">
      <w:pPr>
        <w:spacing w:line="480" w:lineRule="auto"/>
        <w:rPr>
          <w:rFonts w:ascii="Arial" w:hAnsi="Arial" w:cs="Arial"/>
          <w:b/>
          <w:bCs/>
          <w:lang w:val="en-US"/>
        </w:rPr>
      </w:pPr>
      <w:r w:rsidRPr="00FB2DED">
        <w:rPr>
          <w:rFonts w:ascii="Arial" w:hAnsi="Arial" w:cs="Arial"/>
          <w:b/>
          <w:bCs/>
          <w:lang w:val="en-US"/>
        </w:rPr>
        <w:t>Outcomes</w:t>
      </w:r>
    </w:p>
    <w:p w14:paraId="72E52645" w14:textId="147E0F7D" w:rsidR="00FA0632" w:rsidRPr="003A6DE4" w:rsidRDefault="00AC51C3" w:rsidP="00EA6A22">
      <w:pPr>
        <w:spacing w:after="120" w:line="480" w:lineRule="auto"/>
        <w:ind w:firstLine="720"/>
        <w:rPr>
          <w:rFonts w:ascii="Arial" w:hAnsi="Arial" w:cs="Arial"/>
          <w:lang w:val="en-US"/>
        </w:rPr>
      </w:pPr>
      <w:r w:rsidRPr="003A6DE4">
        <w:rPr>
          <w:rFonts w:ascii="Arial" w:hAnsi="Arial" w:cs="Arial"/>
          <w:lang w:val="en-US"/>
        </w:rPr>
        <w:t xml:space="preserve">The primary outcome was </w:t>
      </w:r>
      <w:proofErr w:type="gramStart"/>
      <w:r w:rsidR="00603231">
        <w:rPr>
          <w:rFonts w:ascii="Arial" w:hAnsi="Arial" w:cs="Arial"/>
          <w:lang w:val="en-US"/>
        </w:rPr>
        <w:t>change</w:t>
      </w:r>
      <w:proofErr w:type="gramEnd"/>
      <w:r w:rsidR="00391A1E">
        <w:rPr>
          <w:rFonts w:ascii="Arial" w:hAnsi="Arial" w:cs="Arial"/>
          <w:lang w:val="en-US"/>
        </w:rPr>
        <w:t xml:space="preserve"> in</w:t>
      </w:r>
      <w:r w:rsidRPr="003A6DE4">
        <w:rPr>
          <w:rFonts w:ascii="Arial" w:hAnsi="Arial" w:cs="Arial"/>
          <w:lang w:val="en-US"/>
        </w:rPr>
        <w:t xml:space="preserve"> ADHD symptom</w:t>
      </w:r>
      <w:r w:rsidR="00E910E0">
        <w:rPr>
          <w:rFonts w:ascii="Arial" w:hAnsi="Arial" w:cs="Arial"/>
          <w:lang w:val="en-US"/>
        </w:rPr>
        <w:t>s</w:t>
      </w:r>
      <w:r w:rsidR="006A1071">
        <w:rPr>
          <w:rFonts w:ascii="Arial" w:hAnsi="Arial" w:cs="Arial"/>
          <w:lang w:val="en-US"/>
        </w:rPr>
        <w:t xml:space="preserve"> </w:t>
      </w:r>
      <w:r w:rsidRPr="003A6DE4">
        <w:rPr>
          <w:rFonts w:ascii="Arial" w:hAnsi="Arial" w:cs="Arial"/>
          <w:lang w:val="en-US"/>
        </w:rPr>
        <w:t>from baseline to endpoint.</w:t>
      </w:r>
      <w:r w:rsidR="00C74A23" w:rsidRPr="003A6DE4">
        <w:rPr>
          <w:rFonts w:ascii="Arial" w:hAnsi="Arial" w:cs="Arial"/>
          <w:lang w:val="en-US"/>
        </w:rPr>
        <w:t xml:space="preserve"> When data from multiple informants were </w:t>
      </w:r>
      <w:r w:rsidR="00B91D03">
        <w:rPr>
          <w:rFonts w:ascii="Arial" w:hAnsi="Arial" w:cs="Arial"/>
          <w:lang w:val="en-US"/>
        </w:rPr>
        <w:t>available</w:t>
      </w:r>
      <w:r w:rsidR="00C74A23" w:rsidRPr="003A6DE4">
        <w:rPr>
          <w:rFonts w:ascii="Arial" w:hAnsi="Arial" w:cs="Arial"/>
          <w:lang w:val="en-US"/>
        </w:rPr>
        <w:t xml:space="preserve">, we </w:t>
      </w:r>
      <w:r w:rsidR="00D964FD">
        <w:rPr>
          <w:rFonts w:ascii="Arial" w:hAnsi="Arial" w:cs="Arial"/>
          <w:lang w:val="en-US"/>
        </w:rPr>
        <w:t>preferred</w:t>
      </w:r>
      <w:r w:rsidR="00BE3348">
        <w:rPr>
          <w:rFonts w:ascii="Arial" w:hAnsi="Arial" w:cs="Arial"/>
          <w:lang w:val="en-US"/>
        </w:rPr>
        <w:t xml:space="preserve"> </w:t>
      </w:r>
      <w:r w:rsidR="00C74A23" w:rsidRPr="003A6DE4">
        <w:rPr>
          <w:rFonts w:ascii="Arial" w:hAnsi="Arial" w:cs="Arial"/>
          <w:lang w:val="en-US"/>
        </w:rPr>
        <w:t>observer/clinician</w:t>
      </w:r>
      <w:r w:rsidR="00D754A3">
        <w:rPr>
          <w:rFonts w:ascii="Arial" w:hAnsi="Arial" w:cs="Arial"/>
          <w:lang w:val="en-US"/>
        </w:rPr>
        <w:t xml:space="preserve"> </w:t>
      </w:r>
      <w:r w:rsidR="00C74A23" w:rsidRPr="003A6DE4">
        <w:rPr>
          <w:rFonts w:ascii="Arial" w:hAnsi="Arial" w:cs="Arial"/>
          <w:lang w:val="en-US"/>
        </w:rPr>
        <w:t>report</w:t>
      </w:r>
      <w:r w:rsidR="00D754A3">
        <w:rPr>
          <w:rFonts w:ascii="Arial" w:hAnsi="Arial" w:cs="Arial"/>
          <w:lang w:val="en-US"/>
        </w:rPr>
        <w:t>s</w:t>
      </w:r>
      <w:r w:rsidR="00C74A23" w:rsidRPr="003A6DE4">
        <w:rPr>
          <w:rFonts w:ascii="Arial" w:hAnsi="Arial" w:cs="Arial"/>
          <w:lang w:val="en-US"/>
        </w:rPr>
        <w:t xml:space="preserve">. When data from multiple rating scales were </w:t>
      </w:r>
      <w:r w:rsidR="00B91D03">
        <w:rPr>
          <w:rFonts w:ascii="Arial" w:hAnsi="Arial" w:cs="Arial"/>
          <w:lang w:val="en-US"/>
        </w:rPr>
        <w:t>available</w:t>
      </w:r>
      <w:r w:rsidR="00C74A23" w:rsidRPr="003A6DE4">
        <w:rPr>
          <w:rFonts w:ascii="Arial" w:hAnsi="Arial" w:cs="Arial"/>
          <w:lang w:val="en-US"/>
        </w:rPr>
        <w:t>, we preferred the ADHD rating scale (ADHD-RS),</w:t>
      </w:r>
      <w:r w:rsidR="001F30C2">
        <w:rPr>
          <w:rFonts w:ascii="Arial" w:hAnsi="Arial" w:cs="Arial"/>
          <w:noProof/>
          <w:vertAlign w:val="superscript"/>
          <w:lang w:val="en-US"/>
        </w:rPr>
        <w:t>27</w:t>
      </w:r>
      <w:r w:rsidR="00C74A23" w:rsidRPr="003A6DE4">
        <w:rPr>
          <w:rFonts w:ascii="Arial" w:hAnsi="Arial" w:cs="Arial"/>
          <w:lang w:val="en-US"/>
        </w:rPr>
        <w:t xml:space="preserve"> the Conners Adult ADHD Rating Scale (CAARS)</w:t>
      </w:r>
      <w:r w:rsidR="001F30C2">
        <w:rPr>
          <w:rFonts w:ascii="Arial" w:hAnsi="Arial" w:cs="Arial"/>
          <w:noProof/>
          <w:vertAlign w:val="superscript"/>
          <w:lang w:val="en-US"/>
        </w:rPr>
        <w:t>28</w:t>
      </w:r>
      <w:r w:rsidR="00C74A23" w:rsidRPr="003A6DE4">
        <w:rPr>
          <w:rFonts w:ascii="Arial" w:hAnsi="Arial" w:cs="Arial"/>
          <w:lang w:val="en-US"/>
        </w:rPr>
        <w:t xml:space="preserve"> or any other rating scale, in that order.</w:t>
      </w:r>
      <w:r w:rsidRPr="003A6DE4">
        <w:rPr>
          <w:rFonts w:ascii="Arial" w:hAnsi="Arial" w:cs="Arial"/>
          <w:lang w:val="en-US"/>
        </w:rPr>
        <w:t xml:space="preserve"> </w:t>
      </w:r>
      <w:r w:rsidR="00FA3D8F">
        <w:rPr>
          <w:rFonts w:ascii="Arial" w:hAnsi="Arial" w:cs="Arial"/>
          <w:lang w:val="en-US"/>
        </w:rPr>
        <w:t>We considered results from i</w:t>
      </w:r>
      <w:r w:rsidR="00465EFF" w:rsidRPr="003A6DE4">
        <w:rPr>
          <w:rFonts w:ascii="Arial" w:hAnsi="Arial" w:cs="Arial"/>
          <w:lang w:val="en-US"/>
        </w:rPr>
        <w:t xml:space="preserve">ntention-to-treat (ITT) analyses, </w:t>
      </w:r>
      <w:r w:rsidR="002A2C02">
        <w:rPr>
          <w:rFonts w:ascii="Arial" w:hAnsi="Arial" w:cs="Arial"/>
          <w:lang w:val="en-US"/>
        </w:rPr>
        <w:t>using</w:t>
      </w:r>
      <w:r w:rsidR="00465EFF" w:rsidRPr="003A6DE4">
        <w:rPr>
          <w:rFonts w:ascii="Arial" w:hAnsi="Arial" w:cs="Arial"/>
          <w:lang w:val="en-US"/>
        </w:rPr>
        <w:t xml:space="preserve"> the method adopted by </w:t>
      </w:r>
      <w:r w:rsidR="00D737C2">
        <w:rPr>
          <w:rFonts w:ascii="Arial" w:hAnsi="Arial" w:cs="Arial"/>
          <w:lang w:val="en-US"/>
        </w:rPr>
        <w:t>each</w:t>
      </w:r>
      <w:r w:rsidR="00D737C2" w:rsidRPr="003A6DE4">
        <w:rPr>
          <w:rFonts w:ascii="Arial" w:hAnsi="Arial" w:cs="Arial"/>
          <w:lang w:val="en-US"/>
        </w:rPr>
        <w:t xml:space="preserve"> </w:t>
      </w:r>
      <w:r w:rsidR="00465EFF" w:rsidRPr="003A6DE4">
        <w:rPr>
          <w:rFonts w:ascii="Arial" w:hAnsi="Arial" w:cs="Arial"/>
          <w:lang w:val="en-US"/>
        </w:rPr>
        <w:t xml:space="preserve">study to handle missing data. </w:t>
      </w:r>
      <w:r w:rsidR="009F5987">
        <w:rPr>
          <w:rFonts w:ascii="Arial" w:hAnsi="Arial" w:cs="Arial"/>
          <w:lang w:val="en-US"/>
        </w:rPr>
        <w:t>However, w</w:t>
      </w:r>
      <w:r w:rsidR="00170CB8" w:rsidRPr="003A6DE4">
        <w:rPr>
          <w:rFonts w:ascii="Arial" w:hAnsi="Arial" w:cs="Arial"/>
          <w:lang w:val="en-US"/>
        </w:rPr>
        <w:t xml:space="preserve">e </w:t>
      </w:r>
      <w:r w:rsidR="009F5987">
        <w:rPr>
          <w:rFonts w:ascii="Arial" w:hAnsi="Arial" w:cs="Arial"/>
          <w:lang w:val="en-US"/>
        </w:rPr>
        <w:t xml:space="preserve">also considered </w:t>
      </w:r>
      <w:r w:rsidR="00170CB8" w:rsidRPr="003A6DE4">
        <w:rPr>
          <w:rFonts w:ascii="Arial" w:hAnsi="Arial" w:cs="Arial"/>
          <w:lang w:val="en-US"/>
        </w:rPr>
        <w:t>data from participants who completed the study (modified ITT) if those were the only data reported.</w:t>
      </w:r>
      <w:r w:rsidR="00623480">
        <w:rPr>
          <w:rFonts w:ascii="Arial" w:hAnsi="Arial" w:cs="Arial"/>
          <w:lang w:val="en-US"/>
        </w:rPr>
        <w:t xml:space="preserve"> </w:t>
      </w:r>
      <w:r w:rsidRPr="003A6DE4">
        <w:rPr>
          <w:rFonts w:ascii="Arial" w:hAnsi="Arial" w:cs="Arial"/>
          <w:lang w:val="en-US"/>
        </w:rPr>
        <w:t>Secondary outcomes were discontinuation rates due to adverse event</w:t>
      </w:r>
      <w:r w:rsidR="00E92C8D">
        <w:rPr>
          <w:rFonts w:ascii="Arial" w:hAnsi="Arial" w:cs="Arial"/>
          <w:lang w:val="en-US"/>
        </w:rPr>
        <w:t>s</w:t>
      </w:r>
      <w:r w:rsidRPr="003A6DE4">
        <w:rPr>
          <w:rFonts w:ascii="Arial" w:hAnsi="Arial" w:cs="Arial"/>
          <w:lang w:val="en-US"/>
        </w:rPr>
        <w:t xml:space="preserve"> </w:t>
      </w:r>
      <w:r w:rsidR="00E32CCB">
        <w:rPr>
          <w:rFonts w:ascii="Arial" w:hAnsi="Arial" w:cs="Arial"/>
          <w:lang w:val="en-US"/>
        </w:rPr>
        <w:t xml:space="preserve">(tolerability) </w:t>
      </w:r>
      <w:r w:rsidRPr="003A6DE4">
        <w:rPr>
          <w:rFonts w:ascii="Arial" w:hAnsi="Arial" w:cs="Arial"/>
          <w:lang w:val="en-US"/>
        </w:rPr>
        <w:t>and any reason</w:t>
      </w:r>
      <w:r w:rsidR="00E32CCB">
        <w:rPr>
          <w:rFonts w:ascii="Arial" w:hAnsi="Arial" w:cs="Arial"/>
          <w:lang w:val="en-US"/>
        </w:rPr>
        <w:t xml:space="preserve"> (acceptability)</w:t>
      </w:r>
      <w:r w:rsidRPr="003A6DE4">
        <w:rPr>
          <w:rFonts w:ascii="Arial" w:hAnsi="Arial" w:cs="Arial"/>
          <w:lang w:val="en-US"/>
        </w:rPr>
        <w:t>.</w:t>
      </w:r>
    </w:p>
    <w:p w14:paraId="6B886644" w14:textId="700E127F" w:rsidR="00FA0632" w:rsidRPr="003A6DE4" w:rsidRDefault="00303559" w:rsidP="00630249">
      <w:pPr>
        <w:keepNext/>
        <w:spacing w:line="480" w:lineRule="auto"/>
        <w:rPr>
          <w:rFonts w:ascii="Arial" w:hAnsi="Arial" w:cs="Arial"/>
          <w:b/>
          <w:bCs/>
          <w:lang w:val="en-US"/>
        </w:rPr>
      </w:pPr>
      <w:r>
        <w:rPr>
          <w:rFonts w:ascii="Arial" w:hAnsi="Arial" w:cs="Arial"/>
          <w:b/>
          <w:bCs/>
          <w:lang w:val="en-US"/>
        </w:rPr>
        <w:lastRenderedPageBreak/>
        <w:t>Data synthesis</w:t>
      </w:r>
    </w:p>
    <w:p w14:paraId="5C9CF08D" w14:textId="2F60A425" w:rsidR="00FB2DED" w:rsidRDefault="00FB2DED" w:rsidP="00630249">
      <w:pPr>
        <w:spacing w:line="480" w:lineRule="auto"/>
        <w:ind w:firstLine="720"/>
        <w:rPr>
          <w:rFonts w:ascii="Arial" w:hAnsi="Arial" w:cs="Arial"/>
          <w:lang w:val="en-US"/>
        </w:rPr>
      </w:pPr>
      <w:r>
        <w:rPr>
          <w:rFonts w:ascii="Arial" w:hAnsi="Arial" w:cs="Arial"/>
          <w:lang w:val="en-US"/>
        </w:rPr>
        <w:t xml:space="preserve">We calculated </w:t>
      </w:r>
      <w:r w:rsidR="00ED2C7C">
        <w:rPr>
          <w:rFonts w:ascii="Arial" w:hAnsi="Arial" w:cs="Arial"/>
          <w:lang w:val="en-US"/>
        </w:rPr>
        <w:t xml:space="preserve">standardized mean difference (SMD) (change in </w:t>
      </w:r>
      <w:r w:rsidR="00E910E0">
        <w:rPr>
          <w:rFonts w:ascii="Arial" w:hAnsi="Arial" w:cs="Arial"/>
          <w:lang w:val="en-US"/>
        </w:rPr>
        <w:t xml:space="preserve">ADHD </w:t>
      </w:r>
      <w:r w:rsidR="00ED2C7C">
        <w:rPr>
          <w:rFonts w:ascii="Arial" w:hAnsi="Arial" w:cs="Arial"/>
          <w:lang w:val="en-US"/>
        </w:rPr>
        <w:t>symptom</w:t>
      </w:r>
      <w:r w:rsidR="001E5A95">
        <w:rPr>
          <w:rFonts w:ascii="Arial" w:hAnsi="Arial" w:cs="Arial"/>
          <w:lang w:val="en-US"/>
        </w:rPr>
        <w:t>s</w:t>
      </w:r>
      <w:r w:rsidR="00ED2C7C">
        <w:rPr>
          <w:rFonts w:ascii="Arial" w:hAnsi="Arial" w:cs="Arial"/>
          <w:lang w:val="en-US"/>
        </w:rPr>
        <w:t xml:space="preserve">) and </w:t>
      </w:r>
      <w:r>
        <w:rPr>
          <w:rFonts w:ascii="Arial" w:hAnsi="Arial" w:cs="Arial"/>
          <w:lang w:val="en-US"/>
        </w:rPr>
        <w:t>odds ratio (OR) (tolerability, acceptability)</w:t>
      </w:r>
      <w:r w:rsidR="006673BB">
        <w:rPr>
          <w:rFonts w:ascii="Arial" w:hAnsi="Arial" w:cs="Arial"/>
          <w:lang w:val="en-US"/>
        </w:rPr>
        <w:t xml:space="preserve"> with 95% confidence intervals (CI)</w:t>
      </w:r>
      <w:r>
        <w:rPr>
          <w:rFonts w:ascii="Arial" w:hAnsi="Arial" w:cs="Arial"/>
          <w:lang w:val="en-US"/>
        </w:rPr>
        <w:t>.</w:t>
      </w:r>
      <w:r w:rsidR="00DE3B5D" w:rsidRPr="00DE3B5D">
        <w:rPr>
          <w:rFonts w:ascii="Arial" w:hAnsi="Arial" w:cs="Arial"/>
          <w:lang w:val="en-US"/>
        </w:rPr>
        <w:t xml:space="preserve"> </w:t>
      </w:r>
      <w:r w:rsidR="00ED2C7C">
        <w:rPr>
          <w:rFonts w:ascii="Arial" w:hAnsi="Arial" w:cs="Arial"/>
          <w:lang w:val="en-US"/>
        </w:rPr>
        <w:t>We</w:t>
      </w:r>
      <w:r w:rsidR="00DE3B5D" w:rsidRPr="003A6DE4">
        <w:rPr>
          <w:rFonts w:ascii="Arial" w:hAnsi="Arial" w:cs="Arial"/>
          <w:lang w:val="en-US"/>
        </w:rPr>
        <w:t xml:space="preserve"> conducted</w:t>
      </w:r>
      <w:r w:rsidR="00ED2C7C">
        <w:rPr>
          <w:rFonts w:ascii="Arial" w:hAnsi="Arial" w:cs="Arial"/>
          <w:lang w:val="en-US"/>
        </w:rPr>
        <w:t xml:space="preserve"> analyses</w:t>
      </w:r>
      <w:r w:rsidR="00DE3B5D" w:rsidRPr="003A6DE4">
        <w:rPr>
          <w:rFonts w:ascii="Arial" w:hAnsi="Arial" w:cs="Arial"/>
          <w:lang w:val="en-US"/>
        </w:rPr>
        <w:t xml:space="preserve"> for methylphenidate</w:t>
      </w:r>
      <w:r w:rsidR="00DE3B5D">
        <w:rPr>
          <w:rFonts w:ascii="Arial" w:hAnsi="Arial" w:cs="Arial"/>
          <w:lang w:val="en-US"/>
        </w:rPr>
        <w:t xml:space="preserve"> and amphetamines</w:t>
      </w:r>
      <w:r w:rsidR="007F29F2">
        <w:rPr>
          <w:rFonts w:ascii="Arial" w:hAnsi="Arial" w:cs="Arial"/>
          <w:lang w:val="en-US"/>
        </w:rPr>
        <w:t xml:space="preserve"> separately</w:t>
      </w:r>
      <w:r w:rsidR="00DE3B5D" w:rsidRPr="003A6DE4">
        <w:rPr>
          <w:rFonts w:ascii="Arial" w:hAnsi="Arial" w:cs="Arial"/>
          <w:lang w:val="en-US"/>
        </w:rPr>
        <w:t>.</w:t>
      </w:r>
    </w:p>
    <w:p w14:paraId="268B95B2" w14:textId="6B6D645D" w:rsidR="00ED2C7C" w:rsidRPr="00791989" w:rsidRDefault="00ED2C7C" w:rsidP="00630249">
      <w:pPr>
        <w:spacing w:line="480" w:lineRule="auto"/>
        <w:ind w:firstLine="720"/>
        <w:rPr>
          <w:rFonts w:ascii="Arial" w:hAnsi="Arial" w:cs="Arial"/>
          <w:lang w:val="en-US"/>
        </w:rPr>
      </w:pPr>
      <w:r>
        <w:rPr>
          <w:rFonts w:ascii="Arial" w:hAnsi="Arial" w:cs="Arial"/>
          <w:lang w:val="en-US"/>
        </w:rPr>
        <w:t>We conducted one-stage random-effects dose-response meta-analyses</w:t>
      </w:r>
      <w:r w:rsidR="001F30C2">
        <w:rPr>
          <w:rFonts w:ascii="Arial" w:hAnsi="Arial" w:cs="Arial"/>
          <w:noProof/>
          <w:vertAlign w:val="superscript"/>
          <w:lang w:val="en-US"/>
        </w:rPr>
        <w:t>29</w:t>
      </w:r>
      <w:r>
        <w:rPr>
          <w:rFonts w:ascii="Arial" w:hAnsi="Arial" w:cs="Arial"/>
          <w:noProof/>
          <w:vertAlign w:val="superscript"/>
          <w:lang w:val="en-US"/>
        </w:rPr>
        <w:t xml:space="preserve"> </w:t>
      </w:r>
      <w:r>
        <w:rPr>
          <w:rFonts w:ascii="Arial" w:hAnsi="Arial" w:cs="Arial"/>
          <w:noProof/>
          <w:lang w:val="en-US"/>
        </w:rPr>
        <w:t xml:space="preserve">using </w:t>
      </w:r>
      <w:r w:rsidRPr="003A6DE4">
        <w:rPr>
          <w:rFonts w:ascii="Arial" w:hAnsi="Arial" w:cs="Arial"/>
          <w:lang w:val="en-US"/>
        </w:rPr>
        <w:t>restricted cubic spline</w:t>
      </w:r>
      <w:r w:rsidR="00146B4A">
        <w:rPr>
          <w:rFonts w:ascii="Arial" w:hAnsi="Arial" w:cs="Arial"/>
          <w:lang w:val="en-US"/>
        </w:rPr>
        <w:t>s</w:t>
      </w:r>
      <w:r>
        <w:rPr>
          <w:rFonts w:ascii="Arial" w:hAnsi="Arial" w:cs="Arial"/>
          <w:lang w:val="en-US"/>
        </w:rPr>
        <w:t xml:space="preserve"> </w:t>
      </w:r>
      <w:r w:rsidRPr="003A6DE4">
        <w:rPr>
          <w:rFonts w:ascii="Arial" w:hAnsi="Arial" w:cs="Arial"/>
          <w:lang w:val="en-US"/>
        </w:rPr>
        <w:t>with knots at the 10</w:t>
      </w:r>
      <w:r w:rsidRPr="003A6DE4">
        <w:rPr>
          <w:rFonts w:ascii="Arial" w:hAnsi="Arial" w:cs="Arial"/>
          <w:vertAlign w:val="superscript"/>
          <w:lang w:val="en-US"/>
        </w:rPr>
        <w:t>th</w:t>
      </w:r>
      <w:r w:rsidRPr="003A6DE4">
        <w:rPr>
          <w:rFonts w:ascii="Arial" w:hAnsi="Arial" w:cs="Arial"/>
          <w:lang w:val="en-US"/>
        </w:rPr>
        <w:t>, 50</w:t>
      </w:r>
      <w:r w:rsidRPr="003A6DE4">
        <w:rPr>
          <w:rFonts w:ascii="Arial" w:hAnsi="Arial" w:cs="Arial"/>
          <w:vertAlign w:val="superscript"/>
          <w:lang w:val="en-US"/>
        </w:rPr>
        <w:t>th</w:t>
      </w:r>
      <w:r w:rsidRPr="003A6DE4">
        <w:rPr>
          <w:rFonts w:ascii="Arial" w:hAnsi="Arial" w:cs="Arial"/>
          <w:lang w:val="en-US"/>
        </w:rPr>
        <w:t xml:space="preserve"> and 90</w:t>
      </w:r>
      <w:r w:rsidRPr="003A6DE4">
        <w:rPr>
          <w:rFonts w:ascii="Arial" w:hAnsi="Arial" w:cs="Arial"/>
          <w:vertAlign w:val="superscript"/>
          <w:lang w:val="en-US"/>
        </w:rPr>
        <w:t>th</w:t>
      </w:r>
      <w:r w:rsidRPr="003A6DE4">
        <w:rPr>
          <w:rFonts w:ascii="Arial" w:hAnsi="Arial" w:cs="Arial"/>
          <w:lang w:val="en-US"/>
        </w:rPr>
        <w:t xml:space="preserve"> percentiles</w:t>
      </w:r>
      <w:r w:rsidR="002F52BB">
        <w:rPr>
          <w:rFonts w:ascii="Arial" w:hAnsi="Arial" w:cs="Arial"/>
          <w:vertAlign w:val="superscript"/>
          <w:lang w:val="en-US"/>
        </w:rPr>
        <w:t>3</w:t>
      </w:r>
      <w:r w:rsidR="001F30C2">
        <w:rPr>
          <w:rFonts w:ascii="Arial" w:hAnsi="Arial" w:cs="Arial"/>
          <w:vertAlign w:val="superscript"/>
          <w:lang w:val="en-US"/>
        </w:rPr>
        <w:t>0</w:t>
      </w:r>
      <w:r w:rsidR="001E5A95">
        <w:rPr>
          <w:rFonts w:ascii="Arial" w:hAnsi="Arial" w:cs="Arial"/>
          <w:lang w:val="en-US"/>
        </w:rPr>
        <w:t xml:space="preserve"> </w:t>
      </w:r>
      <w:r w:rsidRPr="003A6DE4">
        <w:rPr>
          <w:rFonts w:ascii="Arial" w:hAnsi="Arial" w:cs="Arial"/>
          <w:lang w:val="en-US"/>
        </w:rPr>
        <w:t xml:space="preserve">or </w:t>
      </w:r>
      <w:r>
        <w:rPr>
          <w:rFonts w:ascii="Arial" w:hAnsi="Arial" w:cs="Arial"/>
          <w:lang w:val="en-US"/>
        </w:rPr>
        <w:t>log-linear/</w:t>
      </w:r>
      <w:r w:rsidRPr="003A6DE4">
        <w:rPr>
          <w:rFonts w:ascii="Arial" w:hAnsi="Arial" w:cs="Arial"/>
          <w:lang w:val="en-US"/>
        </w:rPr>
        <w:t xml:space="preserve">linear regression to model the dose-response associations. The </w:t>
      </w:r>
      <w:r w:rsidR="00E910E0">
        <w:rPr>
          <w:rFonts w:ascii="Arial" w:hAnsi="Arial" w:cs="Arial"/>
          <w:lang w:val="en-US"/>
        </w:rPr>
        <w:t>log-linear/</w:t>
      </w:r>
      <w:r w:rsidRPr="003A6DE4">
        <w:rPr>
          <w:rFonts w:ascii="Arial" w:hAnsi="Arial" w:cs="Arial"/>
          <w:lang w:val="en-US"/>
        </w:rPr>
        <w:t xml:space="preserve">linear function was only chosen if the second coefficient of the spline was not significantly different </w:t>
      </w:r>
      <w:r>
        <w:rPr>
          <w:rFonts w:ascii="Arial" w:hAnsi="Arial" w:cs="Arial"/>
          <w:lang w:val="en-US"/>
        </w:rPr>
        <w:t>from</w:t>
      </w:r>
      <w:r w:rsidRPr="003A6DE4">
        <w:rPr>
          <w:rFonts w:ascii="Arial" w:hAnsi="Arial" w:cs="Arial"/>
          <w:lang w:val="en-US"/>
        </w:rPr>
        <w:t xml:space="preserve"> zero.</w:t>
      </w:r>
      <w:r w:rsidR="002F52BB" w:rsidRPr="002F52BB">
        <w:rPr>
          <w:rFonts w:ascii="Arial" w:hAnsi="Arial" w:cs="Arial"/>
          <w:vertAlign w:val="superscript"/>
          <w:lang w:val="en-US"/>
        </w:rPr>
        <w:t>3</w:t>
      </w:r>
      <w:r w:rsidR="001F30C2">
        <w:rPr>
          <w:rFonts w:ascii="Arial" w:hAnsi="Arial" w:cs="Arial"/>
          <w:vertAlign w:val="superscript"/>
          <w:lang w:val="en-US"/>
        </w:rPr>
        <w:t>1</w:t>
      </w:r>
      <w:r w:rsidRPr="003A6DE4">
        <w:rPr>
          <w:rFonts w:ascii="Arial" w:hAnsi="Arial" w:cs="Arial"/>
          <w:lang w:val="en-US"/>
        </w:rPr>
        <w:t xml:space="preserve"> We converted SMD and OR to change in ADHD-RS values and number needed to harm</w:t>
      </w:r>
      <w:r>
        <w:rPr>
          <w:rFonts w:ascii="Arial" w:hAnsi="Arial" w:cs="Arial"/>
          <w:lang w:val="en-US"/>
        </w:rPr>
        <w:t xml:space="preserve"> (NNH), respectively,</w:t>
      </w:r>
      <w:r w:rsidRPr="003A6DE4">
        <w:rPr>
          <w:rFonts w:ascii="Arial" w:hAnsi="Arial" w:cs="Arial"/>
          <w:lang w:val="en-US"/>
        </w:rPr>
        <w:t xml:space="preserve"> because those are clinically interpretable measures (</w:t>
      </w:r>
      <w:r w:rsidR="00EC798A">
        <w:rPr>
          <w:rFonts w:ascii="Arial" w:hAnsi="Arial" w:cs="Arial"/>
          <w:lang w:val="en-US"/>
        </w:rPr>
        <w:t>eMethods</w:t>
      </w:r>
      <w:r w:rsidRPr="003A6DE4">
        <w:rPr>
          <w:rFonts w:ascii="Arial" w:hAnsi="Arial" w:cs="Arial"/>
          <w:lang w:val="en-US"/>
        </w:rPr>
        <w:t xml:space="preserve"> </w:t>
      </w:r>
      <w:r>
        <w:rPr>
          <w:rFonts w:ascii="Arial" w:hAnsi="Arial" w:cs="Arial"/>
          <w:lang w:val="en-US"/>
        </w:rPr>
        <w:t>7</w:t>
      </w:r>
      <w:r w:rsidRPr="003A6DE4">
        <w:rPr>
          <w:rFonts w:ascii="Arial" w:hAnsi="Arial" w:cs="Arial"/>
          <w:lang w:val="en-US"/>
        </w:rPr>
        <w:t>)</w:t>
      </w:r>
      <w:r>
        <w:rPr>
          <w:rFonts w:ascii="Arial" w:hAnsi="Arial" w:cs="Arial"/>
          <w:lang w:val="en-US"/>
        </w:rPr>
        <w:t xml:space="preserve">. For change in </w:t>
      </w:r>
      <w:r w:rsidR="00E910E0">
        <w:rPr>
          <w:rFonts w:ascii="Arial" w:hAnsi="Arial" w:cs="Arial"/>
          <w:lang w:val="en-US"/>
        </w:rPr>
        <w:t xml:space="preserve">ADHD </w:t>
      </w:r>
      <w:r>
        <w:rPr>
          <w:rFonts w:ascii="Arial" w:hAnsi="Arial" w:cs="Arial"/>
          <w:lang w:val="en-US"/>
        </w:rPr>
        <w:t>symptom</w:t>
      </w:r>
      <w:r w:rsidR="001E5A95">
        <w:rPr>
          <w:rFonts w:ascii="Arial" w:hAnsi="Arial" w:cs="Arial"/>
          <w:lang w:val="en-US"/>
        </w:rPr>
        <w:t>s</w:t>
      </w:r>
      <w:r>
        <w:rPr>
          <w:rFonts w:ascii="Arial" w:hAnsi="Arial" w:cs="Arial"/>
          <w:lang w:val="en-US"/>
        </w:rPr>
        <w:t xml:space="preserve">, we also estimated the 50% and 95% effective doses (ED50, ED95), which represent the mean dose that is associated with 50% and 95% of the maximum </w:t>
      </w:r>
      <w:r w:rsidR="00DF62B6">
        <w:rPr>
          <w:rFonts w:ascii="Arial" w:hAnsi="Arial" w:cs="Arial"/>
          <w:lang w:val="en-US"/>
        </w:rPr>
        <w:t>change</w:t>
      </w:r>
      <w:r>
        <w:rPr>
          <w:rFonts w:ascii="Arial" w:hAnsi="Arial" w:cs="Arial"/>
          <w:lang w:val="en-US"/>
        </w:rPr>
        <w:t xml:space="preserve"> in ADHD symptom</w:t>
      </w:r>
      <w:r w:rsidR="00E910E0">
        <w:rPr>
          <w:rFonts w:ascii="Arial" w:hAnsi="Arial" w:cs="Arial"/>
          <w:lang w:val="en-US"/>
        </w:rPr>
        <w:t>s</w:t>
      </w:r>
      <w:r>
        <w:rPr>
          <w:rFonts w:ascii="Arial" w:hAnsi="Arial" w:cs="Arial"/>
          <w:lang w:val="en-US"/>
        </w:rPr>
        <w:t xml:space="preserve"> compared to placebo, respectively.</w:t>
      </w:r>
      <w:r w:rsidR="00791989">
        <w:rPr>
          <w:rFonts w:ascii="Arial" w:hAnsi="Arial" w:cs="Arial"/>
          <w:vertAlign w:val="superscript"/>
          <w:lang w:val="en-US"/>
        </w:rPr>
        <w:t>3</w:t>
      </w:r>
      <w:r w:rsidR="001F30C2">
        <w:rPr>
          <w:rFonts w:ascii="Arial" w:hAnsi="Arial" w:cs="Arial"/>
          <w:vertAlign w:val="superscript"/>
          <w:lang w:val="en-US"/>
        </w:rPr>
        <w:t>2</w:t>
      </w:r>
    </w:p>
    <w:p w14:paraId="5F79718D" w14:textId="5EB02EA2" w:rsidR="00ED2C7C" w:rsidRDefault="00584B69" w:rsidP="00630249">
      <w:pPr>
        <w:spacing w:line="480" w:lineRule="auto"/>
        <w:ind w:firstLine="720"/>
        <w:rPr>
          <w:rFonts w:ascii="Arial" w:hAnsi="Arial" w:cs="Arial"/>
          <w:lang w:val="en-US"/>
        </w:rPr>
      </w:pPr>
      <w:r>
        <w:rPr>
          <w:rFonts w:ascii="Arial" w:hAnsi="Arial" w:cs="Arial"/>
          <w:lang w:val="en-US"/>
        </w:rPr>
        <w:t>W</w:t>
      </w:r>
      <w:r w:rsidR="00AA48C4">
        <w:rPr>
          <w:rFonts w:ascii="Arial" w:hAnsi="Arial" w:cs="Arial"/>
          <w:lang w:val="en-US"/>
        </w:rPr>
        <w:t xml:space="preserve">e </w:t>
      </w:r>
      <w:r w:rsidR="00057762">
        <w:rPr>
          <w:rFonts w:ascii="Arial" w:hAnsi="Arial" w:cs="Arial"/>
          <w:lang w:val="en-US"/>
        </w:rPr>
        <w:t xml:space="preserve">then </w:t>
      </w:r>
      <w:r w:rsidR="00AA48C4">
        <w:rPr>
          <w:rFonts w:ascii="Arial" w:hAnsi="Arial" w:cs="Arial"/>
          <w:lang w:val="en-US"/>
        </w:rPr>
        <w:t xml:space="preserve">conducted </w:t>
      </w:r>
      <w:r w:rsidR="007E4A45">
        <w:rPr>
          <w:rFonts w:ascii="Arial" w:hAnsi="Arial" w:cs="Arial"/>
          <w:lang w:val="en-US"/>
        </w:rPr>
        <w:t xml:space="preserve">frequentist random-effects </w:t>
      </w:r>
      <w:r w:rsidR="00AA48C4">
        <w:rPr>
          <w:rFonts w:ascii="Arial" w:hAnsi="Arial" w:cs="Arial"/>
          <w:lang w:val="en-US"/>
        </w:rPr>
        <w:t>NMAs</w:t>
      </w:r>
      <w:r w:rsidR="00F43868">
        <w:rPr>
          <w:rFonts w:ascii="Arial" w:hAnsi="Arial" w:cs="Arial"/>
          <w:noProof/>
          <w:vertAlign w:val="superscript"/>
          <w:lang w:val="en-US"/>
        </w:rPr>
        <w:t>3</w:t>
      </w:r>
      <w:r w:rsidR="001F30C2">
        <w:rPr>
          <w:rFonts w:ascii="Arial" w:hAnsi="Arial" w:cs="Arial"/>
          <w:noProof/>
          <w:vertAlign w:val="superscript"/>
          <w:lang w:val="en-US"/>
        </w:rPr>
        <w:t>3</w:t>
      </w:r>
      <w:r w:rsidR="00AA48C4">
        <w:rPr>
          <w:rFonts w:ascii="Arial" w:hAnsi="Arial" w:cs="Arial"/>
          <w:noProof/>
          <w:vertAlign w:val="superscript"/>
          <w:lang w:val="en-US"/>
        </w:rPr>
        <w:t xml:space="preserve"> </w:t>
      </w:r>
      <w:r w:rsidR="007E4A45">
        <w:rPr>
          <w:rFonts w:ascii="Arial" w:hAnsi="Arial" w:cs="Arial"/>
          <w:noProof/>
          <w:lang w:val="en-US"/>
        </w:rPr>
        <w:t>to</w:t>
      </w:r>
      <w:r w:rsidR="00AA48C4">
        <w:rPr>
          <w:rFonts w:ascii="Arial" w:hAnsi="Arial" w:cs="Arial"/>
          <w:noProof/>
          <w:lang w:val="en-US"/>
        </w:rPr>
        <w:t xml:space="preserve"> compare </w:t>
      </w:r>
      <w:r w:rsidR="00AA48C4">
        <w:rPr>
          <w:rFonts w:ascii="Arial" w:hAnsi="Arial" w:cs="Arial"/>
          <w:lang w:val="en-US"/>
        </w:rPr>
        <w:t xml:space="preserve">placebo, </w:t>
      </w:r>
      <w:r w:rsidR="006E0879">
        <w:rPr>
          <w:rFonts w:ascii="Arial" w:hAnsi="Arial" w:cs="Arial"/>
          <w:lang w:val="en-US"/>
        </w:rPr>
        <w:t>licensed</w:t>
      </w:r>
      <w:r w:rsidR="00AA48C4">
        <w:rPr>
          <w:rFonts w:ascii="Arial" w:hAnsi="Arial" w:cs="Arial"/>
          <w:lang w:val="en-US"/>
        </w:rPr>
        <w:t xml:space="preserve"> and </w:t>
      </w:r>
      <w:r w:rsidR="006E0879">
        <w:rPr>
          <w:rFonts w:ascii="Arial" w:hAnsi="Arial" w:cs="Arial"/>
          <w:lang w:val="en-US"/>
        </w:rPr>
        <w:t>unlicensed doses of stimulants</w:t>
      </w:r>
      <w:r w:rsidR="007E4A45">
        <w:rPr>
          <w:rFonts w:ascii="Arial" w:hAnsi="Arial" w:cs="Arial"/>
          <w:lang w:val="en-US"/>
        </w:rPr>
        <w:t>.</w:t>
      </w:r>
      <w:r w:rsidR="007E4A45" w:rsidRPr="007E4A45">
        <w:rPr>
          <w:rFonts w:ascii="Arial" w:hAnsi="Arial" w:cs="Arial"/>
          <w:lang w:val="en-US"/>
        </w:rPr>
        <w:t xml:space="preserve"> </w:t>
      </w:r>
      <w:r w:rsidR="007E4A45">
        <w:rPr>
          <w:rFonts w:ascii="Arial" w:hAnsi="Arial" w:cs="Arial"/>
          <w:lang w:val="en-US"/>
        </w:rPr>
        <w:t>We evaluated the plausibility of the transitivity assumption by comparing the distribution of clinical and methodological characteristics across comparisons (</w:t>
      </w:r>
      <w:r w:rsidR="00EC798A">
        <w:rPr>
          <w:rFonts w:ascii="Arial" w:hAnsi="Arial" w:cs="Arial"/>
          <w:lang w:val="en-US"/>
        </w:rPr>
        <w:t>eMethods</w:t>
      </w:r>
      <w:r w:rsidR="007E4A45">
        <w:rPr>
          <w:rFonts w:ascii="Arial" w:hAnsi="Arial" w:cs="Arial"/>
          <w:lang w:val="en-US"/>
        </w:rPr>
        <w:t xml:space="preserve"> 8). We assumed common heterogeneity variance </w:t>
      </w:r>
      <m:oMath>
        <m:sSup>
          <m:sSupPr>
            <m:ctrlPr>
              <w:rPr>
                <w:rFonts w:ascii="Cambria Math" w:hAnsi="Cambria Math" w:cs="Arial"/>
                <w:i/>
                <w:lang w:val="en-US"/>
              </w:rPr>
            </m:ctrlPr>
          </m:sSupPr>
          <m:e>
            <m:r>
              <w:rPr>
                <w:rFonts w:ascii="Cambria Math" w:hAnsi="Cambria Math" w:cs="Arial"/>
                <w:lang w:val="en-US"/>
              </w:rPr>
              <m:t>τ</m:t>
            </m:r>
          </m:e>
          <m:sup>
            <m:r>
              <w:rPr>
                <w:rFonts w:ascii="Cambria Math" w:hAnsi="Cambria Math" w:cs="Arial"/>
                <w:lang w:val="en-US"/>
              </w:rPr>
              <m:t>2</m:t>
            </m:r>
          </m:sup>
        </m:sSup>
      </m:oMath>
      <w:r w:rsidR="007E4A45">
        <w:rPr>
          <w:rFonts w:ascii="Arial" w:hAnsi="Arial" w:cs="Arial"/>
          <w:lang w:val="en-US"/>
        </w:rPr>
        <w:t xml:space="preserve"> across comparisons.</w:t>
      </w:r>
    </w:p>
    <w:p w14:paraId="5E0EE41E" w14:textId="1B6AD5BF" w:rsidR="007E4A45" w:rsidRDefault="003545FB" w:rsidP="00630249">
      <w:pPr>
        <w:spacing w:line="480" w:lineRule="auto"/>
        <w:ind w:firstLine="720"/>
        <w:rPr>
          <w:rFonts w:ascii="Arial" w:eastAsiaTheme="minorEastAsia" w:hAnsi="Arial" w:cs="Arial"/>
          <w:lang w:val="en-US"/>
        </w:rPr>
      </w:pPr>
      <w:r>
        <w:rPr>
          <w:rFonts w:ascii="Arial" w:hAnsi="Arial" w:cs="Arial"/>
          <w:lang w:val="en-US"/>
        </w:rPr>
        <w:t xml:space="preserve">We quantified heterogeneity </w:t>
      </w:r>
      <w:r w:rsidR="00FC6DBE">
        <w:rPr>
          <w:rFonts w:ascii="Arial" w:hAnsi="Arial" w:cs="Arial"/>
          <w:lang w:val="en-US"/>
        </w:rPr>
        <w:t>in dose-response meta-analys</w:t>
      </w:r>
      <w:r w:rsidR="00D964FD">
        <w:rPr>
          <w:rFonts w:ascii="Arial" w:hAnsi="Arial" w:cs="Arial"/>
          <w:lang w:val="en-US"/>
        </w:rPr>
        <w:t>e</w:t>
      </w:r>
      <w:r w:rsidR="00FC6DBE">
        <w:rPr>
          <w:rFonts w:ascii="Arial" w:hAnsi="Arial" w:cs="Arial"/>
          <w:lang w:val="en-US"/>
        </w:rPr>
        <w:t>s with the variance partition coefficient</w:t>
      </w:r>
      <w:r w:rsidR="00B0303D">
        <w:rPr>
          <w:rFonts w:ascii="Arial" w:hAnsi="Arial" w:cs="Arial"/>
          <w:lang w:val="en-US"/>
        </w:rPr>
        <w:t xml:space="preserve"> (VPC)</w:t>
      </w:r>
      <w:r w:rsidR="001F30C2">
        <w:rPr>
          <w:rFonts w:ascii="Arial" w:hAnsi="Arial" w:cs="Arial"/>
          <w:noProof/>
          <w:vertAlign w:val="superscript"/>
          <w:lang w:val="en-US"/>
        </w:rPr>
        <w:t>29</w:t>
      </w:r>
      <w:r w:rsidR="00FC6DBE">
        <w:rPr>
          <w:rFonts w:ascii="Arial" w:hAnsi="Arial" w:cs="Arial"/>
          <w:lang w:val="en-US"/>
        </w:rPr>
        <w:t xml:space="preserve"> and in </w:t>
      </w:r>
      <w:r w:rsidR="007E4A45">
        <w:rPr>
          <w:rFonts w:ascii="Arial" w:hAnsi="Arial" w:cs="Arial"/>
          <w:lang w:val="en-US"/>
        </w:rPr>
        <w:t>NMAs</w:t>
      </w:r>
      <w:r w:rsidR="00FC6DBE">
        <w:rPr>
          <w:rFonts w:ascii="Arial" w:hAnsi="Arial" w:cs="Arial"/>
          <w:lang w:val="en-US"/>
        </w:rPr>
        <w:t xml:space="preserve"> by comparing </w:t>
      </w:r>
      <m:oMath>
        <m:r>
          <w:rPr>
            <w:rFonts w:ascii="Cambria Math" w:hAnsi="Cambria Math" w:cs="Arial"/>
            <w:lang w:val="en-US"/>
          </w:rPr>
          <m:t>τ</m:t>
        </m:r>
      </m:oMath>
      <w:r w:rsidR="00FC6DBE" w:rsidRPr="00FC6DBE">
        <w:rPr>
          <w:rFonts w:ascii="Arial" w:eastAsiaTheme="minorEastAsia" w:hAnsi="Arial" w:cs="Arial"/>
          <w:vertAlign w:val="superscript"/>
          <w:lang w:val="en-US"/>
        </w:rPr>
        <w:t>2</w:t>
      </w:r>
      <w:r w:rsidR="00FC6DBE">
        <w:rPr>
          <w:rFonts w:ascii="Arial" w:eastAsiaTheme="minorEastAsia" w:hAnsi="Arial" w:cs="Arial"/>
          <w:vertAlign w:val="superscript"/>
          <w:lang w:val="en-US"/>
        </w:rPr>
        <w:t xml:space="preserve"> </w:t>
      </w:r>
      <w:r w:rsidR="00FC6DBE" w:rsidRPr="00FC6DBE">
        <w:rPr>
          <w:rFonts w:ascii="Arial" w:eastAsiaTheme="minorEastAsia" w:hAnsi="Arial" w:cs="Arial"/>
          <w:lang w:val="en-US"/>
        </w:rPr>
        <w:t>w</w:t>
      </w:r>
      <w:r w:rsidR="00FC6DBE">
        <w:rPr>
          <w:rFonts w:ascii="Arial" w:eastAsiaTheme="minorEastAsia" w:hAnsi="Arial" w:cs="Arial"/>
          <w:lang w:val="en-US"/>
        </w:rPr>
        <w:t>ith its empirical distribution.</w:t>
      </w:r>
      <w:r w:rsidR="003B5D53">
        <w:rPr>
          <w:rFonts w:ascii="Arial" w:eastAsiaTheme="minorEastAsia" w:hAnsi="Arial" w:cs="Arial"/>
          <w:noProof/>
          <w:vertAlign w:val="superscript"/>
          <w:lang w:val="en-US"/>
        </w:rPr>
        <w:t>3</w:t>
      </w:r>
      <w:r w:rsidR="001F30C2">
        <w:rPr>
          <w:rFonts w:ascii="Arial" w:eastAsiaTheme="minorEastAsia" w:hAnsi="Arial" w:cs="Arial"/>
          <w:noProof/>
          <w:vertAlign w:val="superscript"/>
          <w:lang w:val="en-US"/>
        </w:rPr>
        <w:t>4</w:t>
      </w:r>
      <w:r w:rsidR="00F43868">
        <w:rPr>
          <w:rFonts w:ascii="Arial" w:eastAsiaTheme="minorEastAsia" w:hAnsi="Arial" w:cs="Arial"/>
          <w:noProof/>
          <w:vertAlign w:val="superscript"/>
          <w:lang w:val="en-US"/>
        </w:rPr>
        <w:t>,</w:t>
      </w:r>
      <w:r w:rsidR="00A4528E">
        <w:rPr>
          <w:rFonts w:ascii="Arial" w:eastAsiaTheme="minorEastAsia" w:hAnsi="Arial" w:cs="Arial"/>
          <w:noProof/>
          <w:vertAlign w:val="superscript"/>
          <w:lang w:val="en-US"/>
        </w:rPr>
        <w:t>3</w:t>
      </w:r>
      <w:r w:rsidR="001F30C2">
        <w:rPr>
          <w:rFonts w:ascii="Arial" w:eastAsiaTheme="minorEastAsia" w:hAnsi="Arial" w:cs="Arial"/>
          <w:noProof/>
          <w:vertAlign w:val="superscript"/>
          <w:lang w:val="en-US"/>
        </w:rPr>
        <w:t>5</w:t>
      </w:r>
      <w:r w:rsidR="00FC6DBE">
        <w:rPr>
          <w:rFonts w:ascii="Arial" w:eastAsiaTheme="minorEastAsia" w:hAnsi="Arial" w:cs="Arial"/>
          <w:lang w:val="en-US"/>
        </w:rPr>
        <w:t xml:space="preserve"> </w:t>
      </w:r>
      <w:r w:rsidR="00DE07AA">
        <w:rPr>
          <w:rFonts w:ascii="Arial" w:eastAsiaTheme="minorEastAsia" w:hAnsi="Arial" w:cs="Arial"/>
          <w:lang w:val="en-US"/>
        </w:rPr>
        <w:t xml:space="preserve">In </w:t>
      </w:r>
      <w:r w:rsidR="007E4A45">
        <w:rPr>
          <w:rFonts w:ascii="Arial" w:eastAsiaTheme="minorEastAsia" w:hAnsi="Arial" w:cs="Arial"/>
          <w:lang w:val="en-US"/>
        </w:rPr>
        <w:t>NMAs</w:t>
      </w:r>
      <w:r w:rsidR="00DE07AA">
        <w:rPr>
          <w:rFonts w:ascii="Arial" w:eastAsiaTheme="minorEastAsia" w:hAnsi="Arial" w:cs="Arial"/>
          <w:lang w:val="en-US"/>
        </w:rPr>
        <w:t>, w</w:t>
      </w:r>
      <w:r w:rsidR="00C43B9B">
        <w:rPr>
          <w:rFonts w:ascii="Arial" w:eastAsiaTheme="minorEastAsia" w:hAnsi="Arial" w:cs="Arial"/>
          <w:lang w:val="en-US"/>
        </w:rPr>
        <w:t>e</w:t>
      </w:r>
      <w:r w:rsidR="00DE07AA">
        <w:rPr>
          <w:rFonts w:ascii="Arial" w:eastAsiaTheme="minorEastAsia" w:hAnsi="Arial" w:cs="Arial"/>
          <w:lang w:val="en-US"/>
        </w:rPr>
        <w:t xml:space="preserve"> </w:t>
      </w:r>
      <w:r w:rsidR="00C43B9B">
        <w:rPr>
          <w:rFonts w:ascii="Arial" w:eastAsiaTheme="minorEastAsia" w:hAnsi="Arial" w:cs="Arial"/>
          <w:lang w:val="en-US"/>
        </w:rPr>
        <w:t>assessed incoherence with global and local tests</w:t>
      </w:r>
      <w:r w:rsidR="0017648F">
        <w:rPr>
          <w:rFonts w:ascii="Arial" w:eastAsiaTheme="minorEastAsia" w:hAnsi="Arial" w:cs="Arial"/>
          <w:lang w:val="en-US"/>
        </w:rPr>
        <w:t>.</w:t>
      </w:r>
      <w:r w:rsidR="00770359">
        <w:rPr>
          <w:rFonts w:ascii="Arial" w:eastAsiaTheme="minorEastAsia" w:hAnsi="Arial" w:cs="Arial"/>
          <w:noProof/>
          <w:vertAlign w:val="superscript"/>
          <w:lang w:val="en-US"/>
        </w:rPr>
        <w:t>3</w:t>
      </w:r>
      <w:r w:rsidR="001F30C2">
        <w:rPr>
          <w:rFonts w:ascii="Arial" w:eastAsiaTheme="minorEastAsia" w:hAnsi="Arial" w:cs="Arial"/>
          <w:noProof/>
          <w:vertAlign w:val="superscript"/>
          <w:lang w:val="en-US"/>
        </w:rPr>
        <w:t>6</w:t>
      </w:r>
      <w:r w:rsidR="008A4945" w:rsidRPr="008A4945">
        <w:rPr>
          <w:rFonts w:ascii="Arial" w:eastAsiaTheme="minorEastAsia" w:hAnsi="Arial" w:cs="Arial"/>
          <w:noProof/>
          <w:vertAlign w:val="superscript"/>
          <w:lang w:val="en-US"/>
        </w:rPr>
        <w:t>,</w:t>
      </w:r>
      <w:r w:rsidR="001F30C2">
        <w:rPr>
          <w:rFonts w:ascii="Arial" w:eastAsiaTheme="minorEastAsia" w:hAnsi="Arial" w:cs="Arial"/>
          <w:noProof/>
          <w:vertAlign w:val="superscript"/>
          <w:lang w:val="en-US"/>
        </w:rPr>
        <w:t>37</w:t>
      </w:r>
    </w:p>
    <w:p w14:paraId="3CA3CD90" w14:textId="3F696861" w:rsidR="00DD2740" w:rsidRPr="00FC6DBE" w:rsidRDefault="007E4A45" w:rsidP="00630249">
      <w:pPr>
        <w:spacing w:line="480" w:lineRule="auto"/>
        <w:ind w:firstLine="720"/>
        <w:rPr>
          <w:rFonts w:ascii="Arial" w:hAnsi="Arial" w:cs="Arial"/>
          <w:lang w:val="en-US"/>
        </w:rPr>
      </w:pPr>
      <w:r>
        <w:rPr>
          <w:rFonts w:ascii="Arial" w:eastAsiaTheme="minorEastAsia" w:hAnsi="Arial" w:cs="Arial"/>
          <w:lang w:val="en-US"/>
        </w:rPr>
        <w:lastRenderedPageBreak/>
        <w:t>We assessed risk of bias of RCTs for each outcome with the Cochrane risk of bias tool-2 (</w:t>
      </w:r>
      <w:r w:rsidR="00EC798A">
        <w:rPr>
          <w:rFonts w:ascii="Arial" w:eastAsiaTheme="minorEastAsia" w:hAnsi="Arial" w:cs="Arial"/>
          <w:lang w:val="en-US"/>
        </w:rPr>
        <w:t>eMethods</w:t>
      </w:r>
      <w:r>
        <w:rPr>
          <w:rFonts w:ascii="Arial" w:eastAsiaTheme="minorEastAsia" w:hAnsi="Arial" w:cs="Arial"/>
          <w:lang w:val="en-US"/>
        </w:rPr>
        <w:t xml:space="preserve"> 9).</w:t>
      </w:r>
      <w:r w:rsidR="00477713">
        <w:rPr>
          <w:rFonts w:ascii="Arial" w:eastAsiaTheme="minorEastAsia" w:hAnsi="Arial" w:cs="Arial"/>
          <w:noProof/>
          <w:vertAlign w:val="superscript"/>
          <w:lang w:val="en-US"/>
        </w:rPr>
        <w:t>38</w:t>
      </w:r>
      <w:r>
        <w:rPr>
          <w:rFonts w:ascii="Arial" w:eastAsiaTheme="minorEastAsia" w:hAnsi="Arial" w:cs="Arial"/>
          <w:lang w:val="en-US"/>
        </w:rPr>
        <w:t xml:space="preserve"> </w:t>
      </w:r>
      <w:r w:rsidR="0017648F">
        <w:rPr>
          <w:rFonts w:ascii="Arial" w:eastAsiaTheme="minorEastAsia" w:hAnsi="Arial" w:cs="Arial"/>
          <w:lang w:val="en-US"/>
        </w:rPr>
        <w:t>We</w:t>
      </w:r>
      <w:r w:rsidR="00DE07AA">
        <w:rPr>
          <w:rFonts w:ascii="Arial" w:eastAsiaTheme="minorEastAsia" w:hAnsi="Arial" w:cs="Arial"/>
          <w:lang w:val="en-US"/>
        </w:rPr>
        <w:t xml:space="preserve"> plotted contour-enhanced funnel plots</w:t>
      </w:r>
      <w:r w:rsidR="00477713">
        <w:rPr>
          <w:rFonts w:ascii="Arial" w:eastAsiaTheme="minorEastAsia" w:hAnsi="Arial" w:cs="Arial"/>
          <w:noProof/>
          <w:vertAlign w:val="superscript"/>
          <w:lang w:val="en-US"/>
        </w:rPr>
        <w:t>39</w:t>
      </w:r>
      <w:r w:rsidR="00DE07AA">
        <w:rPr>
          <w:rFonts w:ascii="Arial" w:eastAsiaTheme="minorEastAsia" w:hAnsi="Arial" w:cs="Arial"/>
          <w:lang w:val="en-US"/>
        </w:rPr>
        <w:t xml:space="preserve"> for the placebo-controlled comparisons </w:t>
      </w:r>
      <w:r w:rsidR="0010481D">
        <w:rPr>
          <w:rFonts w:ascii="Arial" w:eastAsiaTheme="minorEastAsia" w:hAnsi="Arial" w:cs="Arial"/>
          <w:lang w:val="en-US"/>
        </w:rPr>
        <w:t>to evaluate publication bias</w:t>
      </w:r>
      <w:r w:rsidR="00064C41">
        <w:rPr>
          <w:rFonts w:ascii="Arial" w:eastAsiaTheme="minorEastAsia" w:hAnsi="Arial" w:cs="Arial"/>
          <w:lang w:val="en-US"/>
        </w:rPr>
        <w:t xml:space="preserve"> if more than ten studies were available</w:t>
      </w:r>
      <w:r w:rsidR="0010481D">
        <w:rPr>
          <w:rFonts w:ascii="Arial" w:eastAsiaTheme="minorEastAsia" w:hAnsi="Arial" w:cs="Arial"/>
          <w:lang w:val="en-US"/>
        </w:rPr>
        <w:t xml:space="preserve">. We assessed the certainty of findings from the </w:t>
      </w:r>
      <w:r w:rsidR="00D964FD">
        <w:rPr>
          <w:rFonts w:ascii="Arial" w:eastAsiaTheme="minorEastAsia" w:hAnsi="Arial" w:cs="Arial"/>
          <w:lang w:val="en-US"/>
        </w:rPr>
        <w:t>NMAs</w:t>
      </w:r>
      <w:r w:rsidR="0010481D">
        <w:rPr>
          <w:rFonts w:ascii="Arial" w:eastAsiaTheme="minorEastAsia" w:hAnsi="Arial" w:cs="Arial"/>
          <w:lang w:val="en-US"/>
        </w:rPr>
        <w:t xml:space="preserve"> with the Confidence in Network Meta-Analysis (CINeMA) framework</w:t>
      </w:r>
      <w:r w:rsidR="00770359">
        <w:rPr>
          <w:rFonts w:ascii="Arial" w:eastAsiaTheme="minorEastAsia" w:hAnsi="Arial" w:cs="Arial"/>
          <w:noProof/>
          <w:vertAlign w:val="superscript"/>
          <w:lang w:val="en-US"/>
        </w:rPr>
        <w:t>4</w:t>
      </w:r>
      <w:r w:rsidR="00477713">
        <w:rPr>
          <w:rFonts w:ascii="Arial" w:eastAsiaTheme="minorEastAsia" w:hAnsi="Arial" w:cs="Arial"/>
          <w:noProof/>
          <w:vertAlign w:val="superscript"/>
          <w:lang w:val="en-US"/>
        </w:rPr>
        <w:t>0</w:t>
      </w:r>
      <w:r w:rsidR="00770359">
        <w:rPr>
          <w:rFonts w:ascii="Arial" w:eastAsiaTheme="minorEastAsia" w:hAnsi="Arial" w:cs="Arial"/>
          <w:noProof/>
          <w:vertAlign w:val="superscript"/>
          <w:lang w:val="en-US"/>
        </w:rPr>
        <w:t>,4</w:t>
      </w:r>
      <w:r w:rsidR="00477713">
        <w:rPr>
          <w:rFonts w:ascii="Arial" w:eastAsiaTheme="minorEastAsia" w:hAnsi="Arial" w:cs="Arial"/>
          <w:noProof/>
          <w:vertAlign w:val="superscript"/>
          <w:lang w:val="en-US"/>
        </w:rPr>
        <w:t>1</w:t>
      </w:r>
      <w:r w:rsidR="0010481D">
        <w:rPr>
          <w:rFonts w:ascii="Arial" w:eastAsiaTheme="minorEastAsia" w:hAnsi="Arial" w:cs="Arial"/>
          <w:lang w:val="en-US"/>
        </w:rPr>
        <w:t xml:space="preserve"> (</w:t>
      </w:r>
      <w:r w:rsidR="00E342F7">
        <w:rPr>
          <w:rFonts w:ascii="Arial" w:eastAsiaTheme="minorEastAsia" w:hAnsi="Arial" w:cs="Arial"/>
          <w:lang w:val="en-US"/>
        </w:rPr>
        <w:t xml:space="preserve">eMethods </w:t>
      </w:r>
      <w:r w:rsidR="00825671">
        <w:rPr>
          <w:rFonts w:ascii="Arial" w:eastAsiaTheme="minorEastAsia" w:hAnsi="Arial" w:cs="Arial"/>
          <w:lang w:val="en-US"/>
        </w:rPr>
        <w:t>9</w:t>
      </w:r>
      <w:r w:rsidR="0010481D">
        <w:rPr>
          <w:rFonts w:ascii="Arial" w:eastAsiaTheme="minorEastAsia" w:hAnsi="Arial" w:cs="Arial"/>
          <w:lang w:val="en-US"/>
        </w:rPr>
        <w:t>).</w:t>
      </w:r>
    </w:p>
    <w:p w14:paraId="33870FF8" w14:textId="17C21286" w:rsidR="00825671" w:rsidRDefault="00F5586D" w:rsidP="00630249">
      <w:pPr>
        <w:spacing w:line="480" w:lineRule="auto"/>
        <w:ind w:firstLine="720"/>
        <w:rPr>
          <w:rFonts w:ascii="Arial" w:hAnsi="Arial" w:cs="Arial"/>
          <w:lang w:val="en-US"/>
        </w:rPr>
      </w:pPr>
      <w:r>
        <w:rPr>
          <w:rFonts w:ascii="Arial" w:hAnsi="Arial" w:cs="Arial"/>
          <w:lang w:val="en-US"/>
        </w:rPr>
        <w:t xml:space="preserve">The robustness of our findings was examined </w:t>
      </w:r>
      <w:r w:rsidR="004D201F">
        <w:rPr>
          <w:rFonts w:ascii="Arial" w:hAnsi="Arial" w:cs="Arial"/>
          <w:lang w:val="en-US"/>
        </w:rPr>
        <w:t>in</w:t>
      </w:r>
      <w:r w:rsidR="00825671">
        <w:rPr>
          <w:rFonts w:ascii="Arial" w:hAnsi="Arial" w:cs="Arial"/>
          <w:lang w:val="en-US"/>
        </w:rPr>
        <w:t xml:space="preserve"> numerous</w:t>
      </w:r>
      <w:r>
        <w:rPr>
          <w:rFonts w:ascii="Arial" w:hAnsi="Arial" w:cs="Arial"/>
          <w:lang w:val="en-US"/>
        </w:rPr>
        <w:t xml:space="preserve"> sensitivity analyses</w:t>
      </w:r>
      <w:r w:rsidR="00825671">
        <w:rPr>
          <w:rFonts w:ascii="Arial" w:hAnsi="Arial" w:cs="Arial"/>
          <w:lang w:val="en-US"/>
        </w:rPr>
        <w:t xml:space="preserve"> for both dose-response meta-analyses and </w:t>
      </w:r>
      <w:r w:rsidR="007E4A45">
        <w:rPr>
          <w:rFonts w:ascii="Arial" w:hAnsi="Arial" w:cs="Arial"/>
          <w:lang w:val="en-US"/>
        </w:rPr>
        <w:t>NMAs</w:t>
      </w:r>
      <w:r w:rsidR="00E910E0">
        <w:rPr>
          <w:rFonts w:ascii="Arial" w:hAnsi="Arial" w:cs="Arial"/>
          <w:lang w:val="en-US"/>
        </w:rPr>
        <w:t xml:space="preserve"> (</w:t>
      </w:r>
      <w:r w:rsidR="007A2132">
        <w:rPr>
          <w:rFonts w:ascii="Arial" w:hAnsi="Arial" w:cs="Arial"/>
          <w:lang w:val="en-US"/>
        </w:rPr>
        <w:t>eMethods</w:t>
      </w:r>
      <w:r w:rsidR="00E910E0">
        <w:rPr>
          <w:rFonts w:ascii="Arial" w:hAnsi="Arial" w:cs="Arial"/>
          <w:lang w:val="en-US"/>
        </w:rPr>
        <w:t xml:space="preserve"> 10)</w:t>
      </w:r>
      <w:r>
        <w:rPr>
          <w:rFonts w:ascii="Arial" w:hAnsi="Arial" w:cs="Arial"/>
          <w:lang w:val="en-US"/>
        </w:rPr>
        <w:t>.</w:t>
      </w:r>
    </w:p>
    <w:p w14:paraId="75C19F19" w14:textId="240F1C9C" w:rsidR="00DA6CD5" w:rsidRPr="000533A3" w:rsidRDefault="00DA6CD5" w:rsidP="00630249">
      <w:pPr>
        <w:widowControl w:val="0"/>
        <w:spacing w:after="240" w:line="480" w:lineRule="auto"/>
        <w:ind w:firstLine="720"/>
        <w:rPr>
          <w:rFonts w:ascii="Arial" w:hAnsi="Arial" w:cs="Arial"/>
          <w:lang w:val="en-US"/>
        </w:rPr>
      </w:pPr>
      <w:r>
        <w:rPr>
          <w:rFonts w:ascii="Arial" w:hAnsi="Arial" w:cs="Arial"/>
          <w:lang w:val="en-US"/>
        </w:rPr>
        <w:t xml:space="preserve">All analyses were conducted in </w:t>
      </w:r>
      <w:r w:rsidR="000533A3">
        <w:rPr>
          <w:rFonts w:ascii="Arial" w:hAnsi="Arial" w:cs="Arial"/>
          <w:lang w:val="en-US"/>
        </w:rPr>
        <w:t xml:space="preserve">R (version 4.2.2) with packages </w:t>
      </w:r>
      <w:r w:rsidR="000533A3">
        <w:rPr>
          <w:rFonts w:ascii="Arial" w:hAnsi="Arial" w:cs="Arial"/>
          <w:i/>
          <w:iCs/>
          <w:lang w:val="en-US"/>
        </w:rPr>
        <w:t>dosresmeta</w:t>
      </w:r>
      <w:r w:rsidR="00770359">
        <w:rPr>
          <w:rFonts w:ascii="Arial" w:hAnsi="Arial" w:cs="Arial"/>
          <w:noProof/>
          <w:vertAlign w:val="superscript"/>
          <w:lang w:val="en-US"/>
        </w:rPr>
        <w:t>3</w:t>
      </w:r>
      <w:r w:rsidR="00477713">
        <w:rPr>
          <w:rFonts w:ascii="Arial" w:hAnsi="Arial" w:cs="Arial"/>
          <w:noProof/>
          <w:vertAlign w:val="superscript"/>
          <w:lang w:val="en-US"/>
        </w:rPr>
        <w:t>1</w:t>
      </w:r>
      <w:r w:rsidR="00F943CA">
        <w:rPr>
          <w:rFonts w:ascii="Arial" w:hAnsi="Arial" w:cs="Arial"/>
          <w:i/>
          <w:iCs/>
          <w:lang w:val="en-US"/>
        </w:rPr>
        <w:t xml:space="preserve"> </w:t>
      </w:r>
      <w:r w:rsidR="00F943CA">
        <w:rPr>
          <w:rFonts w:ascii="Arial" w:hAnsi="Arial" w:cs="Arial"/>
          <w:lang w:val="en-US"/>
        </w:rPr>
        <w:t>(version 2.0.1)</w:t>
      </w:r>
      <w:r w:rsidR="000533A3" w:rsidRPr="000533A3">
        <w:rPr>
          <w:rFonts w:ascii="Arial" w:hAnsi="Arial" w:cs="Arial"/>
          <w:lang w:val="en-US"/>
        </w:rPr>
        <w:t>,</w:t>
      </w:r>
      <w:r w:rsidR="000533A3">
        <w:rPr>
          <w:rFonts w:ascii="Arial" w:hAnsi="Arial" w:cs="Arial"/>
          <w:lang w:val="en-US"/>
        </w:rPr>
        <w:t xml:space="preserve"> </w:t>
      </w:r>
      <w:r w:rsidR="000533A3" w:rsidRPr="000533A3">
        <w:rPr>
          <w:rFonts w:ascii="Arial" w:hAnsi="Arial" w:cs="Arial"/>
          <w:i/>
          <w:iCs/>
          <w:lang w:val="en-US"/>
        </w:rPr>
        <w:t>meta</w:t>
      </w:r>
      <w:r w:rsidR="00770359">
        <w:rPr>
          <w:rFonts w:ascii="Arial" w:hAnsi="Arial" w:cs="Arial"/>
          <w:noProof/>
          <w:vertAlign w:val="superscript"/>
          <w:lang w:val="en-US"/>
        </w:rPr>
        <w:t>4</w:t>
      </w:r>
      <w:r w:rsidR="00477713">
        <w:rPr>
          <w:rFonts w:ascii="Arial" w:hAnsi="Arial" w:cs="Arial"/>
          <w:noProof/>
          <w:vertAlign w:val="superscript"/>
          <w:lang w:val="en-US"/>
        </w:rPr>
        <w:t>2</w:t>
      </w:r>
      <w:r w:rsidR="000533A3">
        <w:rPr>
          <w:rFonts w:ascii="Arial" w:hAnsi="Arial" w:cs="Arial"/>
          <w:lang w:val="en-US"/>
        </w:rPr>
        <w:t xml:space="preserve"> </w:t>
      </w:r>
      <w:r w:rsidR="00F943CA">
        <w:rPr>
          <w:rFonts w:ascii="Arial" w:hAnsi="Arial" w:cs="Arial"/>
          <w:lang w:val="en-US"/>
        </w:rPr>
        <w:t xml:space="preserve">(version 6.2-1) </w:t>
      </w:r>
      <w:r w:rsidR="000533A3">
        <w:rPr>
          <w:rFonts w:ascii="Arial" w:hAnsi="Arial" w:cs="Arial"/>
          <w:lang w:val="en-US"/>
        </w:rPr>
        <w:t xml:space="preserve">and </w:t>
      </w:r>
      <w:r w:rsidR="000533A3" w:rsidRPr="000533A3">
        <w:rPr>
          <w:rFonts w:ascii="Arial" w:hAnsi="Arial" w:cs="Arial"/>
          <w:i/>
          <w:iCs/>
          <w:lang w:val="en-US"/>
        </w:rPr>
        <w:t>netmeta</w:t>
      </w:r>
      <w:r w:rsidR="00770359">
        <w:rPr>
          <w:rFonts w:ascii="Arial" w:hAnsi="Arial" w:cs="Arial"/>
          <w:noProof/>
          <w:vertAlign w:val="superscript"/>
          <w:lang w:val="en-US"/>
        </w:rPr>
        <w:t>4</w:t>
      </w:r>
      <w:r w:rsidR="00477713">
        <w:rPr>
          <w:rFonts w:ascii="Arial" w:hAnsi="Arial" w:cs="Arial"/>
          <w:noProof/>
          <w:vertAlign w:val="superscript"/>
          <w:lang w:val="en-US"/>
        </w:rPr>
        <w:t>3</w:t>
      </w:r>
      <w:r w:rsidR="000533A3">
        <w:rPr>
          <w:rFonts w:ascii="Arial" w:hAnsi="Arial" w:cs="Arial"/>
          <w:i/>
          <w:iCs/>
          <w:lang w:val="en-US"/>
        </w:rPr>
        <w:t xml:space="preserve"> </w:t>
      </w:r>
      <w:r w:rsidR="000533A3">
        <w:rPr>
          <w:rFonts w:ascii="Arial" w:hAnsi="Arial" w:cs="Arial"/>
          <w:lang w:val="en-US"/>
        </w:rPr>
        <w:t>(version 2.8-0).</w:t>
      </w:r>
    </w:p>
    <w:p w14:paraId="339D41EF" w14:textId="065E660B" w:rsidR="0018065F" w:rsidRPr="003A6DE4" w:rsidRDefault="0018065F" w:rsidP="00FE6A24">
      <w:pPr>
        <w:keepNext/>
        <w:spacing w:line="480" w:lineRule="auto"/>
        <w:jc w:val="center"/>
        <w:rPr>
          <w:rFonts w:ascii="Arial" w:hAnsi="Arial" w:cs="Arial"/>
          <w:b/>
          <w:bCs/>
          <w:lang w:val="en-US"/>
        </w:rPr>
      </w:pPr>
      <w:r w:rsidRPr="003A6DE4">
        <w:rPr>
          <w:rFonts w:ascii="Arial" w:hAnsi="Arial" w:cs="Arial"/>
          <w:b/>
          <w:bCs/>
          <w:lang w:val="en-US"/>
        </w:rPr>
        <w:t>RESULTS</w:t>
      </w:r>
    </w:p>
    <w:p w14:paraId="6E7D56AF" w14:textId="64C1360B" w:rsidR="003A6DE4" w:rsidRDefault="003A6DE4" w:rsidP="00194EFB">
      <w:pPr>
        <w:spacing w:line="480" w:lineRule="auto"/>
        <w:rPr>
          <w:rFonts w:ascii="Arial" w:hAnsi="Arial" w:cs="Arial"/>
          <w:b/>
          <w:bCs/>
          <w:lang w:val="en-US"/>
        </w:rPr>
      </w:pPr>
      <w:r>
        <w:rPr>
          <w:rFonts w:ascii="Arial" w:hAnsi="Arial" w:cs="Arial"/>
          <w:b/>
          <w:bCs/>
          <w:lang w:val="en-US"/>
        </w:rPr>
        <w:t>Study selection and characteristics</w:t>
      </w:r>
    </w:p>
    <w:p w14:paraId="59E30B15" w14:textId="27659015" w:rsidR="007B5EBA" w:rsidRDefault="00836F94" w:rsidP="00CE5503">
      <w:pPr>
        <w:spacing w:after="120" w:line="480" w:lineRule="auto"/>
        <w:rPr>
          <w:rFonts w:ascii="Arial" w:hAnsi="Arial" w:cs="Arial"/>
          <w:lang w:val="en-US"/>
        </w:rPr>
      </w:pPr>
      <w:r>
        <w:rPr>
          <w:rFonts w:ascii="Arial" w:hAnsi="Arial" w:cs="Arial"/>
          <w:lang w:val="en-US"/>
        </w:rPr>
        <w:tab/>
        <w:t xml:space="preserve">Of the initial </w:t>
      </w:r>
      <w:r w:rsidR="00EB46FE">
        <w:rPr>
          <w:rFonts w:ascii="Arial" w:hAnsi="Arial" w:cs="Arial"/>
          <w:lang w:val="en-US"/>
        </w:rPr>
        <w:t>14,331</w:t>
      </w:r>
      <w:r>
        <w:rPr>
          <w:rFonts w:ascii="Arial" w:hAnsi="Arial" w:cs="Arial"/>
          <w:lang w:val="en-US"/>
        </w:rPr>
        <w:t xml:space="preserve"> </w:t>
      </w:r>
      <w:r w:rsidR="00BA64C2">
        <w:rPr>
          <w:rFonts w:ascii="Arial" w:hAnsi="Arial" w:cs="Arial"/>
          <w:lang w:val="en-US"/>
        </w:rPr>
        <w:t>records retrieved through literature searches</w:t>
      </w:r>
      <w:r w:rsidR="00EB46FE">
        <w:rPr>
          <w:rFonts w:ascii="Arial" w:hAnsi="Arial" w:cs="Arial"/>
          <w:lang w:val="en-US"/>
        </w:rPr>
        <w:t xml:space="preserve"> and</w:t>
      </w:r>
      <w:r w:rsidR="00BA64C2">
        <w:rPr>
          <w:rFonts w:ascii="Arial" w:hAnsi="Arial" w:cs="Arial"/>
          <w:lang w:val="en-US"/>
        </w:rPr>
        <w:t xml:space="preserve"> screened, 4</w:t>
      </w:r>
      <w:r w:rsidR="0006017C">
        <w:rPr>
          <w:rFonts w:ascii="Arial" w:hAnsi="Arial" w:cs="Arial"/>
          <w:lang w:val="en-US"/>
        </w:rPr>
        <w:t>7</w:t>
      </w:r>
      <w:r w:rsidR="00FE6A24">
        <w:rPr>
          <w:rFonts w:ascii="Arial" w:hAnsi="Arial" w:cs="Arial"/>
          <w:lang w:val="en-US"/>
        </w:rPr>
        <w:t xml:space="preserve"> </w:t>
      </w:r>
      <w:r w:rsidR="00BA64C2">
        <w:rPr>
          <w:rFonts w:ascii="Arial" w:hAnsi="Arial" w:cs="Arial"/>
          <w:lang w:val="en-US"/>
        </w:rPr>
        <w:t>RCTs</w:t>
      </w:r>
      <w:r w:rsidR="00676B3D">
        <w:rPr>
          <w:rFonts w:ascii="Arial" w:hAnsi="Arial" w:cs="Arial"/>
          <w:lang w:val="en-US"/>
        </w:rPr>
        <w:t xml:space="preserve"> (29 methylphenidate; 18 amphetamines)</w:t>
      </w:r>
      <w:r w:rsidR="00BA64C2">
        <w:rPr>
          <w:rFonts w:ascii="Arial" w:hAnsi="Arial" w:cs="Arial"/>
          <w:lang w:val="en-US"/>
        </w:rPr>
        <w:t xml:space="preserve"> were included</w:t>
      </w:r>
      <w:r w:rsidR="00741F55">
        <w:rPr>
          <w:rFonts w:ascii="Arial" w:hAnsi="Arial" w:cs="Arial"/>
          <w:lang w:val="en-US"/>
        </w:rPr>
        <w:t xml:space="preserve"> (Figure 1) (</w:t>
      </w:r>
      <w:proofErr w:type="spellStart"/>
      <w:r w:rsidR="00886EEC">
        <w:rPr>
          <w:rFonts w:ascii="Arial" w:hAnsi="Arial" w:cs="Arial"/>
          <w:lang w:val="en-US"/>
        </w:rPr>
        <w:t>eResults</w:t>
      </w:r>
      <w:proofErr w:type="spellEnd"/>
      <w:r w:rsidR="00886EEC">
        <w:rPr>
          <w:rFonts w:ascii="Arial" w:hAnsi="Arial" w:cs="Arial"/>
          <w:lang w:val="en-US"/>
        </w:rPr>
        <w:t xml:space="preserve"> 1</w:t>
      </w:r>
      <w:r w:rsidR="006E2301">
        <w:rPr>
          <w:rFonts w:ascii="Arial" w:hAnsi="Arial" w:cs="Arial"/>
          <w:lang w:val="en-US"/>
        </w:rPr>
        <w:t>)</w:t>
      </w:r>
      <w:r w:rsidR="00741F55">
        <w:rPr>
          <w:rFonts w:ascii="Arial" w:hAnsi="Arial" w:cs="Arial"/>
          <w:lang w:val="en-US"/>
        </w:rPr>
        <w:t>.</w:t>
      </w:r>
      <w:r w:rsidR="009E5589">
        <w:rPr>
          <w:rFonts w:ascii="Arial" w:hAnsi="Arial" w:cs="Arial"/>
          <w:lang w:val="en-US"/>
        </w:rPr>
        <w:t xml:space="preserve"> These trials comprised 7,714 participants (</w:t>
      </w:r>
      <w:r w:rsidR="00E706E6">
        <w:rPr>
          <w:rFonts w:ascii="Arial" w:hAnsi="Arial" w:cs="Arial"/>
          <w:lang w:val="en-US"/>
        </w:rPr>
        <w:t>5,125</w:t>
      </w:r>
      <w:r w:rsidR="00D17917">
        <w:rPr>
          <w:rFonts w:ascii="Arial" w:hAnsi="Arial" w:cs="Arial"/>
          <w:lang w:val="en-US"/>
        </w:rPr>
        <w:t xml:space="preserve"> </w:t>
      </w:r>
      <w:r w:rsidR="00E706E6">
        <w:rPr>
          <w:rFonts w:ascii="Arial" w:hAnsi="Arial" w:cs="Arial"/>
          <w:lang w:val="en-US"/>
        </w:rPr>
        <w:t>methylphenidate</w:t>
      </w:r>
      <w:r w:rsidR="00FC5BE2">
        <w:rPr>
          <w:rFonts w:ascii="Arial" w:hAnsi="Arial" w:cs="Arial"/>
          <w:lang w:val="en-US"/>
        </w:rPr>
        <w:t>; 2,589 amphetamine</w:t>
      </w:r>
      <w:r w:rsidR="00FE6A24">
        <w:rPr>
          <w:rFonts w:ascii="Arial" w:hAnsi="Arial" w:cs="Arial"/>
          <w:lang w:val="en-US"/>
        </w:rPr>
        <w:t>s</w:t>
      </w:r>
      <w:r w:rsidR="009E5589">
        <w:rPr>
          <w:rFonts w:ascii="Arial" w:hAnsi="Arial" w:cs="Arial"/>
          <w:lang w:val="en-US"/>
        </w:rPr>
        <w:t>) with a mean age of 3</w:t>
      </w:r>
      <w:r w:rsidR="00F4300F">
        <w:rPr>
          <w:rFonts w:ascii="Arial" w:hAnsi="Arial" w:cs="Arial"/>
          <w:lang w:val="en-US"/>
        </w:rPr>
        <w:t>5</w:t>
      </w:r>
      <w:r w:rsidR="009E5589">
        <w:rPr>
          <w:rFonts w:ascii="Arial" w:hAnsi="Arial" w:cs="Arial"/>
          <w:lang w:val="en-US"/>
        </w:rPr>
        <w:t xml:space="preserve"> (SD 1</w:t>
      </w:r>
      <w:r w:rsidR="00F4300F">
        <w:rPr>
          <w:rFonts w:ascii="Arial" w:hAnsi="Arial" w:cs="Arial"/>
          <w:lang w:val="en-US"/>
        </w:rPr>
        <w:t>1</w:t>
      </w:r>
      <w:r w:rsidR="009E5589">
        <w:rPr>
          <w:rFonts w:ascii="Arial" w:hAnsi="Arial" w:cs="Arial"/>
          <w:lang w:val="en-US"/>
        </w:rPr>
        <w:t>), of whom 4,204 (56% of those with available data) were males and 5,153 (87% of those with available data) self-identified as White</w:t>
      </w:r>
      <w:r w:rsidR="00823C03">
        <w:rPr>
          <w:rFonts w:ascii="Arial" w:hAnsi="Arial" w:cs="Arial"/>
          <w:lang w:val="en-US"/>
        </w:rPr>
        <w:t xml:space="preserve"> (eTable 2)</w:t>
      </w:r>
      <w:r w:rsidR="009E5589">
        <w:rPr>
          <w:rFonts w:ascii="Arial" w:hAnsi="Arial" w:cs="Arial"/>
          <w:lang w:val="en-US"/>
        </w:rPr>
        <w:t>.</w:t>
      </w:r>
      <w:r w:rsidR="002F3DC5">
        <w:rPr>
          <w:rFonts w:ascii="Arial" w:hAnsi="Arial" w:cs="Arial"/>
          <w:lang w:val="en-US"/>
        </w:rPr>
        <w:t xml:space="preserve"> Most RCTs recruited participants diagnosed with DSM-IV criteria (40, 85%) and were exclusively conducted in the United States (32, 68%)</w:t>
      </w:r>
      <w:r w:rsidR="00823C03">
        <w:rPr>
          <w:rFonts w:ascii="Arial" w:hAnsi="Arial" w:cs="Arial"/>
          <w:lang w:val="en-US"/>
        </w:rPr>
        <w:t xml:space="preserve"> (eTable 2)</w:t>
      </w:r>
      <w:r w:rsidR="002F3DC5">
        <w:rPr>
          <w:rFonts w:ascii="Arial" w:hAnsi="Arial" w:cs="Arial"/>
          <w:lang w:val="en-US"/>
        </w:rPr>
        <w:t xml:space="preserve">. Additionally, most RCTs adopted a flexible-dose design (27, </w:t>
      </w:r>
      <w:r w:rsidR="00466283">
        <w:rPr>
          <w:rFonts w:ascii="Arial" w:hAnsi="Arial" w:cs="Arial"/>
          <w:lang w:val="en-US"/>
        </w:rPr>
        <w:t>57%)</w:t>
      </w:r>
      <w:r w:rsidR="00466202">
        <w:rPr>
          <w:rFonts w:ascii="Arial" w:hAnsi="Arial" w:cs="Arial"/>
          <w:lang w:val="en-US"/>
        </w:rPr>
        <w:t xml:space="preserve"> (eTable </w:t>
      </w:r>
      <w:r w:rsidR="00823C03">
        <w:rPr>
          <w:rFonts w:ascii="Arial" w:hAnsi="Arial" w:cs="Arial"/>
          <w:lang w:val="en-US"/>
        </w:rPr>
        <w:t>3</w:t>
      </w:r>
      <w:r w:rsidR="00466202">
        <w:rPr>
          <w:rFonts w:ascii="Arial" w:hAnsi="Arial" w:cs="Arial"/>
          <w:lang w:val="en-US"/>
        </w:rPr>
        <w:t>)</w:t>
      </w:r>
      <w:r w:rsidR="00F4300F">
        <w:rPr>
          <w:rFonts w:ascii="Arial" w:hAnsi="Arial" w:cs="Arial"/>
          <w:lang w:val="en-US"/>
        </w:rPr>
        <w:t xml:space="preserve">, </w:t>
      </w:r>
      <w:r w:rsidR="00352906">
        <w:rPr>
          <w:rFonts w:ascii="Arial" w:hAnsi="Arial" w:cs="Arial"/>
          <w:lang w:val="en-US"/>
        </w:rPr>
        <w:t xml:space="preserve">had </w:t>
      </w:r>
      <w:r w:rsidR="001859FD">
        <w:rPr>
          <w:rFonts w:ascii="Arial" w:hAnsi="Arial" w:cs="Arial"/>
          <w:lang w:val="en-US"/>
        </w:rPr>
        <w:t xml:space="preserve">parallel </w:t>
      </w:r>
      <w:r w:rsidR="00352906">
        <w:rPr>
          <w:rFonts w:ascii="Arial" w:hAnsi="Arial" w:cs="Arial"/>
          <w:lang w:val="en-US"/>
        </w:rPr>
        <w:t>arm</w:t>
      </w:r>
      <w:r w:rsidR="001859FD">
        <w:rPr>
          <w:rFonts w:ascii="Arial" w:hAnsi="Arial" w:cs="Arial"/>
          <w:lang w:val="en-US"/>
        </w:rPr>
        <w:t>s</w:t>
      </w:r>
      <w:r w:rsidR="00F4300F">
        <w:rPr>
          <w:rFonts w:ascii="Arial" w:hAnsi="Arial" w:cs="Arial"/>
          <w:lang w:val="en-US"/>
        </w:rPr>
        <w:t xml:space="preserve"> </w:t>
      </w:r>
      <w:r w:rsidR="00352906">
        <w:rPr>
          <w:rFonts w:ascii="Arial" w:hAnsi="Arial" w:cs="Arial"/>
          <w:lang w:val="en-US"/>
        </w:rPr>
        <w:t>(29, 62%)</w:t>
      </w:r>
      <w:r w:rsidR="00F4300F">
        <w:rPr>
          <w:rFonts w:ascii="Arial" w:hAnsi="Arial" w:cs="Arial"/>
          <w:lang w:val="en-US"/>
        </w:rPr>
        <w:t xml:space="preserve"> and were conducted in the short-term (median duration 4.5 weeks, IQR [3-6])</w:t>
      </w:r>
      <w:r w:rsidR="00823C03">
        <w:rPr>
          <w:rFonts w:ascii="Arial" w:hAnsi="Arial" w:cs="Arial"/>
          <w:lang w:val="en-US"/>
        </w:rPr>
        <w:t xml:space="preserve"> (eTable 2)</w:t>
      </w:r>
      <w:r w:rsidR="002F3DC5">
        <w:rPr>
          <w:rFonts w:ascii="Arial" w:hAnsi="Arial" w:cs="Arial"/>
          <w:lang w:val="en-US"/>
        </w:rPr>
        <w:t>.</w:t>
      </w:r>
      <w:r w:rsidR="00F61D62">
        <w:rPr>
          <w:rFonts w:ascii="Arial" w:hAnsi="Arial" w:cs="Arial"/>
          <w:lang w:val="en-US"/>
        </w:rPr>
        <w:t xml:space="preserve"> </w:t>
      </w:r>
      <w:r w:rsidR="006E2301">
        <w:rPr>
          <w:rFonts w:ascii="Arial" w:hAnsi="Arial" w:cs="Arial"/>
          <w:lang w:val="en-US"/>
        </w:rPr>
        <w:t>Eight (18.2%) RCTs were rated at high risk of bias, 14 (31.8%) at low risk of bias and 22 (50%) at some concerns of risk of bias</w:t>
      </w:r>
      <w:r w:rsidR="00FC5BE2">
        <w:rPr>
          <w:rFonts w:ascii="Arial" w:hAnsi="Arial" w:cs="Arial"/>
          <w:lang w:val="en-US"/>
        </w:rPr>
        <w:t xml:space="preserve"> for the primary outcome</w:t>
      </w:r>
      <w:r w:rsidR="006E2301">
        <w:rPr>
          <w:rFonts w:ascii="Arial" w:hAnsi="Arial" w:cs="Arial"/>
          <w:lang w:val="en-US"/>
        </w:rPr>
        <w:t xml:space="preserve"> (</w:t>
      </w:r>
      <w:proofErr w:type="spellStart"/>
      <w:r w:rsidR="00871F8D">
        <w:rPr>
          <w:rFonts w:ascii="Arial" w:hAnsi="Arial" w:cs="Arial"/>
          <w:lang w:val="en-US"/>
        </w:rPr>
        <w:t>eResults</w:t>
      </w:r>
      <w:proofErr w:type="spellEnd"/>
      <w:r w:rsidR="006E2301">
        <w:rPr>
          <w:rFonts w:ascii="Arial" w:hAnsi="Arial" w:cs="Arial"/>
          <w:lang w:val="en-US"/>
        </w:rPr>
        <w:t xml:space="preserve"> </w:t>
      </w:r>
      <w:r w:rsidR="00823C03">
        <w:rPr>
          <w:rFonts w:ascii="Arial" w:hAnsi="Arial" w:cs="Arial"/>
          <w:lang w:val="en-US"/>
        </w:rPr>
        <w:t>2</w:t>
      </w:r>
      <w:r w:rsidR="006E2301">
        <w:rPr>
          <w:rFonts w:ascii="Arial" w:hAnsi="Arial" w:cs="Arial"/>
          <w:lang w:val="en-US"/>
        </w:rPr>
        <w:t>).</w:t>
      </w:r>
    </w:p>
    <w:p w14:paraId="71FCF484" w14:textId="12802A4A" w:rsidR="003A6DE4" w:rsidRPr="0075751A" w:rsidRDefault="000E488C" w:rsidP="00194EFB">
      <w:pPr>
        <w:spacing w:line="480" w:lineRule="auto"/>
        <w:rPr>
          <w:rFonts w:ascii="Arial" w:hAnsi="Arial" w:cs="Arial"/>
          <w:b/>
          <w:bCs/>
          <w:lang w:val="en-US"/>
        </w:rPr>
      </w:pPr>
      <w:r w:rsidRPr="0075751A">
        <w:rPr>
          <w:rFonts w:ascii="Arial" w:hAnsi="Arial" w:cs="Arial"/>
          <w:b/>
          <w:bCs/>
          <w:lang w:val="en-US"/>
        </w:rPr>
        <w:lastRenderedPageBreak/>
        <w:t>Methylphenidate</w:t>
      </w:r>
    </w:p>
    <w:p w14:paraId="3DAE331B" w14:textId="1A7A05A9" w:rsidR="007B5EBA" w:rsidRPr="00CE5503" w:rsidRDefault="0075751A" w:rsidP="00194EFB">
      <w:pPr>
        <w:spacing w:line="480" w:lineRule="auto"/>
        <w:rPr>
          <w:rFonts w:ascii="Arial" w:hAnsi="Arial" w:cs="Arial"/>
          <w:i/>
          <w:iCs/>
          <w:lang w:val="en-US"/>
        </w:rPr>
      </w:pPr>
      <w:r w:rsidRPr="00CE5503">
        <w:rPr>
          <w:rFonts w:ascii="Arial" w:hAnsi="Arial" w:cs="Arial"/>
          <w:i/>
          <w:iCs/>
          <w:lang w:val="en-US"/>
        </w:rPr>
        <w:t xml:space="preserve">Change in ADHD </w:t>
      </w:r>
      <w:proofErr w:type="gramStart"/>
      <w:r w:rsidRPr="00CE5503">
        <w:rPr>
          <w:rFonts w:ascii="Arial" w:hAnsi="Arial" w:cs="Arial"/>
          <w:i/>
          <w:iCs/>
          <w:lang w:val="en-US"/>
        </w:rPr>
        <w:t>s</w:t>
      </w:r>
      <w:r w:rsidR="007B5EBA" w:rsidRPr="00CE5503">
        <w:rPr>
          <w:rFonts w:ascii="Arial" w:hAnsi="Arial" w:cs="Arial"/>
          <w:i/>
          <w:iCs/>
          <w:lang w:val="en-US"/>
        </w:rPr>
        <w:t>ymptom</w:t>
      </w:r>
      <w:r w:rsidR="00F03EF0">
        <w:rPr>
          <w:rFonts w:ascii="Arial" w:hAnsi="Arial" w:cs="Arial"/>
          <w:i/>
          <w:iCs/>
          <w:lang w:val="en-US"/>
        </w:rPr>
        <w:t>s</w:t>
      </w:r>
      <w:proofErr w:type="gramEnd"/>
    </w:p>
    <w:p w14:paraId="1BABE5CA" w14:textId="1E2187F4" w:rsidR="00EE023D" w:rsidRDefault="007B5EBA" w:rsidP="0075751A">
      <w:pPr>
        <w:spacing w:line="480" w:lineRule="auto"/>
        <w:ind w:firstLine="720"/>
        <w:rPr>
          <w:rFonts w:ascii="Arial" w:hAnsi="Arial" w:cs="Arial"/>
          <w:lang w:val="en-US"/>
        </w:rPr>
      </w:pPr>
      <w:r>
        <w:rPr>
          <w:rFonts w:ascii="Arial" w:hAnsi="Arial" w:cs="Arial"/>
          <w:lang w:val="en-US"/>
        </w:rPr>
        <w:t>T</w:t>
      </w:r>
      <w:r w:rsidR="00D62E5F">
        <w:rPr>
          <w:rFonts w:ascii="Arial" w:hAnsi="Arial" w:cs="Arial"/>
          <w:lang w:val="en-US"/>
        </w:rPr>
        <w:t>he dose-response curve</w:t>
      </w:r>
      <w:r w:rsidR="0027573E">
        <w:rPr>
          <w:rFonts w:ascii="Arial" w:hAnsi="Arial" w:cs="Arial"/>
          <w:lang w:val="en-US"/>
        </w:rPr>
        <w:t xml:space="preserve"> based on eight </w:t>
      </w:r>
      <w:r w:rsidR="0075751A">
        <w:rPr>
          <w:rFonts w:ascii="Arial" w:hAnsi="Arial" w:cs="Arial"/>
          <w:lang w:val="en-US"/>
        </w:rPr>
        <w:t xml:space="preserve">fixed-dose </w:t>
      </w:r>
      <w:r w:rsidR="003C78E1">
        <w:rPr>
          <w:rFonts w:ascii="Arial" w:hAnsi="Arial" w:cs="Arial"/>
          <w:lang w:val="en-US"/>
        </w:rPr>
        <w:t>RCTs</w:t>
      </w:r>
      <w:r w:rsidR="0027573E">
        <w:rPr>
          <w:rFonts w:ascii="Arial" w:hAnsi="Arial" w:cs="Arial"/>
          <w:lang w:val="en-US"/>
        </w:rPr>
        <w:t xml:space="preserve"> and 1</w:t>
      </w:r>
      <w:r w:rsidR="007D2385">
        <w:rPr>
          <w:rFonts w:ascii="Arial" w:hAnsi="Arial" w:cs="Arial"/>
          <w:lang w:val="en-US"/>
        </w:rPr>
        <w:t>8</w:t>
      </w:r>
      <w:r w:rsidR="0027573E">
        <w:rPr>
          <w:rFonts w:ascii="Arial" w:hAnsi="Arial" w:cs="Arial"/>
          <w:lang w:val="en-US"/>
        </w:rPr>
        <w:t xml:space="preserve"> stimulant arms (dose range 15, 82.5 mg/d)</w:t>
      </w:r>
      <w:r w:rsidR="00D62E5F">
        <w:rPr>
          <w:rFonts w:ascii="Arial" w:hAnsi="Arial" w:cs="Arial"/>
          <w:lang w:val="en-US"/>
        </w:rPr>
        <w:t xml:space="preserve"> indicated that increments in </w:t>
      </w:r>
      <w:r w:rsidR="00C53247">
        <w:rPr>
          <w:rFonts w:ascii="Arial" w:hAnsi="Arial" w:cs="Arial"/>
          <w:lang w:val="en-US"/>
        </w:rPr>
        <w:t>dose</w:t>
      </w:r>
      <w:r w:rsidR="00D62E5F">
        <w:rPr>
          <w:rFonts w:ascii="Arial" w:hAnsi="Arial" w:cs="Arial"/>
          <w:lang w:val="en-US"/>
        </w:rPr>
        <w:t xml:space="preserve"> </w:t>
      </w:r>
      <w:r w:rsidR="008B279B">
        <w:rPr>
          <w:rFonts w:ascii="Arial" w:hAnsi="Arial" w:cs="Arial"/>
          <w:lang w:val="en-US"/>
        </w:rPr>
        <w:t>were associated with</w:t>
      </w:r>
      <w:r w:rsidR="00D62E5F">
        <w:rPr>
          <w:rFonts w:ascii="Arial" w:hAnsi="Arial" w:cs="Arial"/>
          <w:lang w:val="en-US"/>
        </w:rPr>
        <w:t xml:space="preserve"> </w:t>
      </w:r>
      <w:r w:rsidR="00077C4C">
        <w:rPr>
          <w:rFonts w:ascii="Arial" w:hAnsi="Arial" w:cs="Arial"/>
          <w:lang w:val="en-US"/>
        </w:rPr>
        <w:t>additional</w:t>
      </w:r>
      <w:r w:rsidR="00D62E5F">
        <w:rPr>
          <w:rFonts w:ascii="Arial" w:hAnsi="Arial" w:cs="Arial"/>
          <w:lang w:val="en-US"/>
        </w:rPr>
        <w:t xml:space="preserve"> </w:t>
      </w:r>
      <w:r w:rsidR="00391A1E">
        <w:rPr>
          <w:rFonts w:ascii="Arial" w:hAnsi="Arial" w:cs="Arial"/>
          <w:lang w:val="en-US"/>
        </w:rPr>
        <w:t xml:space="preserve">reductions </w:t>
      </w:r>
      <w:r w:rsidR="00B31AD3">
        <w:rPr>
          <w:rFonts w:ascii="Arial" w:hAnsi="Arial" w:cs="Arial"/>
          <w:lang w:val="en-US"/>
        </w:rPr>
        <w:t>of</w:t>
      </w:r>
      <w:r w:rsidR="00D62E5F">
        <w:rPr>
          <w:rFonts w:ascii="Arial" w:hAnsi="Arial" w:cs="Arial"/>
          <w:lang w:val="en-US"/>
        </w:rPr>
        <w:t xml:space="preserve"> symptom</w:t>
      </w:r>
      <w:r w:rsidR="00B31AD3">
        <w:rPr>
          <w:rFonts w:ascii="Arial" w:hAnsi="Arial" w:cs="Arial"/>
          <w:lang w:val="en-US"/>
        </w:rPr>
        <w:t>s</w:t>
      </w:r>
      <w:r w:rsidR="00F558A0">
        <w:rPr>
          <w:rFonts w:ascii="Arial" w:hAnsi="Arial" w:cs="Arial"/>
          <w:lang w:val="en-US"/>
        </w:rPr>
        <w:t xml:space="preserve"> </w:t>
      </w:r>
      <w:r w:rsidR="00D62E5F">
        <w:rPr>
          <w:rFonts w:ascii="Arial" w:hAnsi="Arial" w:cs="Arial"/>
          <w:lang w:val="en-US"/>
        </w:rPr>
        <w:t>throughout the entire dose range for which data were available. However, improvements were incrementally smaller beyond 35-40 mg/d (Figure 2A</w:t>
      </w:r>
      <w:r w:rsidR="00D054B0">
        <w:rPr>
          <w:rFonts w:ascii="Arial" w:hAnsi="Arial" w:cs="Arial"/>
          <w:lang w:val="en-US"/>
        </w:rPr>
        <w:t>;</w:t>
      </w:r>
      <w:r w:rsidR="00D62E5F">
        <w:rPr>
          <w:rFonts w:ascii="Arial" w:hAnsi="Arial" w:cs="Arial"/>
          <w:lang w:val="en-US"/>
        </w:rPr>
        <w:t xml:space="preserve"> Table </w:t>
      </w:r>
      <w:r w:rsidR="00444404">
        <w:rPr>
          <w:rFonts w:ascii="Arial" w:hAnsi="Arial" w:cs="Arial"/>
          <w:lang w:val="en-US"/>
        </w:rPr>
        <w:t>1</w:t>
      </w:r>
      <w:r w:rsidR="007116AE">
        <w:rPr>
          <w:rFonts w:ascii="Arial" w:hAnsi="Arial" w:cs="Arial"/>
          <w:lang w:val="en-US"/>
        </w:rPr>
        <w:t xml:space="preserve">, which </w:t>
      </w:r>
      <w:r w:rsidR="00823C03">
        <w:rPr>
          <w:rFonts w:ascii="Arial" w:hAnsi="Arial" w:cs="Arial"/>
          <w:lang w:val="en-US"/>
        </w:rPr>
        <w:t xml:space="preserve">also </w:t>
      </w:r>
      <w:r w:rsidR="007116AE">
        <w:rPr>
          <w:rFonts w:ascii="Arial" w:hAnsi="Arial" w:cs="Arial"/>
          <w:lang w:val="en-US"/>
        </w:rPr>
        <w:t xml:space="preserve">reports </w:t>
      </w:r>
      <w:r w:rsidR="00823C03">
        <w:rPr>
          <w:rFonts w:ascii="Arial" w:hAnsi="Arial" w:cs="Arial"/>
          <w:lang w:val="en-US"/>
        </w:rPr>
        <w:t>change in ADHD-RS</w:t>
      </w:r>
      <w:r w:rsidR="007116AE">
        <w:rPr>
          <w:rFonts w:ascii="Arial" w:hAnsi="Arial" w:cs="Arial"/>
          <w:lang w:val="en-US"/>
        </w:rPr>
        <w:t xml:space="preserve"> values</w:t>
      </w:r>
      <w:r w:rsidR="00D62E5F">
        <w:rPr>
          <w:rFonts w:ascii="Arial" w:hAnsi="Arial" w:cs="Arial"/>
          <w:lang w:val="en-US"/>
        </w:rPr>
        <w:t xml:space="preserve">). </w:t>
      </w:r>
      <w:r w:rsidR="008B279B">
        <w:rPr>
          <w:rFonts w:ascii="Arial" w:hAnsi="Arial" w:cs="Arial"/>
          <w:lang w:val="en-US"/>
        </w:rPr>
        <w:t>Consistently</w:t>
      </w:r>
      <w:r w:rsidR="00814052">
        <w:rPr>
          <w:rFonts w:ascii="Arial" w:hAnsi="Arial" w:cs="Arial"/>
          <w:lang w:val="en-US"/>
        </w:rPr>
        <w:t>, the ED50 was estimated at 25 mg/d while the ED95 was estimated at 72.5 mg/d.</w:t>
      </w:r>
    </w:p>
    <w:p w14:paraId="5786E2D6" w14:textId="0C226BCE" w:rsidR="007B5EBA" w:rsidRPr="00EE023D" w:rsidRDefault="004F104F" w:rsidP="00630249">
      <w:pPr>
        <w:spacing w:after="120" w:line="480" w:lineRule="auto"/>
        <w:ind w:firstLine="720"/>
        <w:rPr>
          <w:rFonts w:ascii="Arial" w:hAnsi="Arial" w:cs="Arial"/>
          <w:lang w:val="en-US"/>
        </w:rPr>
      </w:pPr>
      <w:r>
        <w:rPr>
          <w:rFonts w:ascii="Arial" w:hAnsi="Arial" w:cs="Arial"/>
          <w:lang w:val="en-US"/>
        </w:rPr>
        <w:t>NMA</w:t>
      </w:r>
      <w:r w:rsidR="008B279B">
        <w:rPr>
          <w:rFonts w:ascii="Arial" w:hAnsi="Arial" w:cs="Arial"/>
          <w:lang w:val="en-US"/>
        </w:rPr>
        <w:t xml:space="preserve"> corroborated that </w:t>
      </w:r>
      <w:r w:rsidR="00996EE7">
        <w:rPr>
          <w:rFonts w:ascii="Arial" w:hAnsi="Arial" w:cs="Arial"/>
          <w:lang w:val="en-US"/>
        </w:rPr>
        <w:t xml:space="preserve">unlicensed </w:t>
      </w:r>
      <w:r w:rsidR="008B279B">
        <w:rPr>
          <w:rFonts w:ascii="Arial" w:hAnsi="Arial" w:cs="Arial"/>
          <w:lang w:val="en-US"/>
        </w:rPr>
        <w:t xml:space="preserve">doses were </w:t>
      </w:r>
      <w:r w:rsidR="00B01C8D">
        <w:rPr>
          <w:rFonts w:ascii="Arial" w:hAnsi="Arial" w:cs="Arial"/>
          <w:lang w:val="en-US"/>
        </w:rPr>
        <w:t xml:space="preserve">associated with larger reductions </w:t>
      </w:r>
      <w:r w:rsidR="00B31AD3">
        <w:rPr>
          <w:rFonts w:ascii="Arial" w:hAnsi="Arial" w:cs="Arial"/>
          <w:lang w:val="en-US"/>
        </w:rPr>
        <w:t>of</w:t>
      </w:r>
      <w:r w:rsidR="00B01C8D">
        <w:rPr>
          <w:rFonts w:ascii="Arial" w:hAnsi="Arial" w:cs="Arial"/>
          <w:lang w:val="en-US"/>
        </w:rPr>
        <w:t xml:space="preserve"> symptom</w:t>
      </w:r>
      <w:r w:rsidR="00B31AD3">
        <w:rPr>
          <w:rFonts w:ascii="Arial" w:hAnsi="Arial" w:cs="Arial"/>
          <w:lang w:val="en-US"/>
        </w:rPr>
        <w:t>s</w:t>
      </w:r>
      <w:r w:rsidR="00B01C8D">
        <w:rPr>
          <w:rFonts w:ascii="Arial" w:hAnsi="Arial" w:cs="Arial"/>
          <w:lang w:val="en-US"/>
        </w:rPr>
        <w:t xml:space="preserve"> in relation to</w:t>
      </w:r>
      <w:r w:rsidR="008B279B">
        <w:rPr>
          <w:rFonts w:ascii="Arial" w:hAnsi="Arial" w:cs="Arial"/>
          <w:lang w:val="en-US"/>
        </w:rPr>
        <w:t xml:space="preserve"> </w:t>
      </w:r>
      <w:r w:rsidR="00B31AD3">
        <w:rPr>
          <w:rFonts w:ascii="Arial" w:hAnsi="Arial" w:cs="Arial"/>
          <w:lang w:val="en-US"/>
        </w:rPr>
        <w:t>licensed</w:t>
      </w:r>
      <w:r w:rsidR="008B279B">
        <w:rPr>
          <w:rFonts w:ascii="Arial" w:hAnsi="Arial" w:cs="Arial"/>
          <w:lang w:val="en-US"/>
        </w:rPr>
        <w:t xml:space="preserve"> doses, but the incremental benefit was small (26</w:t>
      </w:r>
      <w:r w:rsidR="007A3C15">
        <w:rPr>
          <w:rFonts w:ascii="Arial" w:hAnsi="Arial" w:cs="Arial"/>
          <w:lang w:val="en-US"/>
        </w:rPr>
        <w:t xml:space="preserve"> studies</w:t>
      </w:r>
      <w:r w:rsidR="000F34B0">
        <w:rPr>
          <w:rFonts w:ascii="Arial" w:hAnsi="Arial" w:cs="Arial"/>
          <w:lang w:val="en-US"/>
        </w:rPr>
        <w:t>;</w:t>
      </w:r>
      <w:r w:rsidR="008B279B">
        <w:rPr>
          <w:rFonts w:ascii="Arial" w:hAnsi="Arial" w:cs="Arial"/>
          <w:lang w:val="en-US"/>
        </w:rPr>
        <w:t xml:space="preserve"> SMD</w:t>
      </w:r>
      <w:r w:rsidR="007135DA">
        <w:rPr>
          <w:rFonts w:ascii="Arial" w:hAnsi="Arial" w:cs="Arial"/>
          <w:lang w:val="en-US"/>
        </w:rPr>
        <w:t xml:space="preserve"> </w:t>
      </w:r>
      <w:r w:rsidR="008B279B">
        <w:rPr>
          <w:rFonts w:ascii="Arial" w:hAnsi="Arial" w:cs="Arial"/>
          <w:lang w:val="en-US"/>
        </w:rPr>
        <w:t>-0.23</w:t>
      </w:r>
      <w:r w:rsidR="000F34B0">
        <w:rPr>
          <w:rFonts w:ascii="Arial" w:hAnsi="Arial" w:cs="Arial"/>
          <w:lang w:val="en-US"/>
        </w:rPr>
        <w:t>;</w:t>
      </w:r>
      <w:r w:rsidR="008B279B">
        <w:rPr>
          <w:rFonts w:ascii="Arial" w:hAnsi="Arial" w:cs="Arial"/>
          <w:lang w:val="en-US"/>
        </w:rPr>
        <w:t xml:space="preserve"> 95% CI -0.44, -0.02</w:t>
      </w:r>
      <w:r w:rsidR="000F34B0">
        <w:rPr>
          <w:rFonts w:ascii="Arial" w:hAnsi="Arial" w:cs="Arial"/>
          <w:lang w:val="en-US"/>
        </w:rPr>
        <w:t>;</w:t>
      </w:r>
      <w:r w:rsidR="008B279B">
        <w:rPr>
          <w:rFonts w:ascii="Arial" w:hAnsi="Arial" w:cs="Arial"/>
          <w:lang w:val="en-US"/>
        </w:rPr>
        <w:t xml:space="preserve"> P</w:t>
      </w:r>
      <w:r w:rsidR="004A552F">
        <w:rPr>
          <w:rFonts w:ascii="Arial" w:hAnsi="Arial" w:cs="Arial"/>
          <w:lang w:val="en-US"/>
        </w:rPr>
        <w:t xml:space="preserve"> </w:t>
      </w:r>
      <w:r w:rsidR="007A3C15">
        <w:rPr>
          <w:rFonts w:ascii="Arial" w:hAnsi="Arial" w:cs="Arial"/>
          <w:lang w:val="en-US"/>
        </w:rPr>
        <w:t>=</w:t>
      </w:r>
      <w:r w:rsidR="004A552F">
        <w:rPr>
          <w:rFonts w:ascii="Arial" w:hAnsi="Arial" w:cs="Arial"/>
          <w:lang w:val="en-US"/>
        </w:rPr>
        <w:t xml:space="preserve"> </w:t>
      </w:r>
      <w:r w:rsidR="008B279B">
        <w:rPr>
          <w:rFonts w:ascii="Arial" w:hAnsi="Arial" w:cs="Arial"/>
          <w:lang w:val="en-US"/>
        </w:rPr>
        <w:t>.03; very low certainty of evidence) (Figure 3A</w:t>
      </w:r>
      <w:r w:rsidR="00D054B0">
        <w:rPr>
          <w:rFonts w:ascii="Arial" w:hAnsi="Arial" w:cs="Arial"/>
          <w:lang w:val="en-US"/>
        </w:rPr>
        <w:t>;</w:t>
      </w:r>
      <w:r w:rsidR="00725D43">
        <w:rPr>
          <w:rFonts w:ascii="Arial" w:hAnsi="Arial" w:cs="Arial"/>
          <w:lang w:val="en-US"/>
        </w:rPr>
        <w:t xml:space="preserve"> </w:t>
      </w:r>
      <w:r w:rsidR="0045337A">
        <w:rPr>
          <w:rFonts w:ascii="Arial" w:eastAsiaTheme="minorEastAsia" w:hAnsi="Arial" w:cs="Arial"/>
          <w:lang w:val="en-US"/>
        </w:rPr>
        <w:t xml:space="preserve">eFigure </w:t>
      </w:r>
      <w:r w:rsidR="001062DE">
        <w:rPr>
          <w:rFonts w:ascii="Arial" w:eastAsiaTheme="minorEastAsia" w:hAnsi="Arial" w:cs="Arial"/>
          <w:lang w:val="en-US"/>
        </w:rPr>
        <w:t>1</w:t>
      </w:r>
      <w:r w:rsidR="00F3440F">
        <w:rPr>
          <w:rFonts w:ascii="Arial" w:eastAsiaTheme="minorEastAsia" w:hAnsi="Arial" w:cs="Arial"/>
          <w:lang w:val="en-US"/>
        </w:rPr>
        <w:t>,</w:t>
      </w:r>
      <w:r w:rsidR="0045337A">
        <w:rPr>
          <w:rFonts w:ascii="Arial" w:eastAsiaTheme="minorEastAsia" w:hAnsi="Arial" w:cs="Arial"/>
          <w:lang w:val="en-US"/>
        </w:rPr>
        <w:t xml:space="preserve">2; eTable </w:t>
      </w:r>
      <w:r w:rsidR="00355EDB">
        <w:rPr>
          <w:rFonts w:ascii="Arial" w:eastAsiaTheme="minorEastAsia" w:hAnsi="Arial" w:cs="Arial"/>
          <w:lang w:val="en-US"/>
        </w:rPr>
        <w:t>4</w:t>
      </w:r>
      <w:r w:rsidR="008B279B">
        <w:rPr>
          <w:rFonts w:ascii="Arial" w:hAnsi="Arial" w:cs="Arial"/>
          <w:lang w:val="en-US"/>
        </w:rPr>
        <w:t>).</w:t>
      </w:r>
    </w:p>
    <w:p w14:paraId="767CFD29" w14:textId="69398A09" w:rsidR="007B5EBA" w:rsidRPr="00CE5503" w:rsidRDefault="007B5EBA" w:rsidP="007B5EBA">
      <w:pPr>
        <w:spacing w:line="480" w:lineRule="auto"/>
        <w:rPr>
          <w:rFonts w:ascii="Arial" w:hAnsi="Arial" w:cs="Arial"/>
          <w:i/>
          <w:iCs/>
          <w:lang w:val="en-US"/>
        </w:rPr>
      </w:pPr>
      <w:r w:rsidRPr="00CE5503">
        <w:rPr>
          <w:rFonts w:ascii="Arial" w:hAnsi="Arial" w:cs="Arial"/>
          <w:i/>
          <w:iCs/>
          <w:lang w:val="en-US"/>
        </w:rPr>
        <w:t>T</w:t>
      </w:r>
      <w:r w:rsidR="008A4518" w:rsidRPr="00CE5503">
        <w:rPr>
          <w:rFonts w:ascii="Arial" w:hAnsi="Arial" w:cs="Arial"/>
          <w:i/>
          <w:iCs/>
          <w:lang w:val="en-US"/>
        </w:rPr>
        <w:t>olerability</w:t>
      </w:r>
    </w:p>
    <w:p w14:paraId="3C46857C" w14:textId="64885D3B" w:rsidR="00EE023D" w:rsidRDefault="00EE023D" w:rsidP="00EE023D">
      <w:pPr>
        <w:spacing w:line="480" w:lineRule="auto"/>
        <w:ind w:firstLine="720"/>
        <w:rPr>
          <w:rFonts w:ascii="Arial" w:hAnsi="Arial" w:cs="Arial"/>
          <w:lang w:val="en-US"/>
        </w:rPr>
      </w:pPr>
      <w:r>
        <w:rPr>
          <w:rFonts w:ascii="Arial" w:hAnsi="Arial" w:cs="Arial"/>
          <w:lang w:val="en-US"/>
        </w:rPr>
        <w:t>The d</w:t>
      </w:r>
      <w:r w:rsidR="00D62E5F">
        <w:rPr>
          <w:rFonts w:ascii="Arial" w:hAnsi="Arial" w:cs="Arial"/>
          <w:lang w:val="en-US"/>
        </w:rPr>
        <w:t xml:space="preserve">ose-response </w:t>
      </w:r>
      <w:r w:rsidR="00931067">
        <w:rPr>
          <w:rFonts w:ascii="Arial" w:hAnsi="Arial" w:cs="Arial"/>
          <w:lang w:val="en-US"/>
        </w:rPr>
        <w:t>curve</w:t>
      </w:r>
      <w:r w:rsidR="008101D2">
        <w:rPr>
          <w:rFonts w:ascii="Arial" w:hAnsi="Arial" w:cs="Arial"/>
          <w:lang w:val="en-US"/>
        </w:rPr>
        <w:t xml:space="preserve"> based on </w:t>
      </w:r>
      <w:r w:rsidR="00F31AB5">
        <w:rPr>
          <w:rFonts w:ascii="Arial" w:hAnsi="Arial" w:cs="Arial"/>
          <w:lang w:val="en-US"/>
        </w:rPr>
        <w:t>seven</w:t>
      </w:r>
      <w:r w:rsidR="008101D2">
        <w:rPr>
          <w:rFonts w:ascii="Arial" w:hAnsi="Arial" w:cs="Arial"/>
          <w:lang w:val="en-US"/>
        </w:rPr>
        <w:t xml:space="preserve"> </w:t>
      </w:r>
      <w:r>
        <w:rPr>
          <w:rFonts w:ascii="Arial" w:hAnsi="Arial" w:cs="Arial"/>
          <w:lang w:val="en-US"/>
        </w:rPr>
        <w:t xml:space="preserve">fixed-dose </w:t>
      </w:r>
      <w:r w:rsidR="003C78E1">
        <w:rPr>
          <w:rFonts w:ascii="Arial" w:hAnsi="Arial" w:cs="Arial"/>
          <w:lang w:val="en-US"/>
        </w:rPr>
        <w:t>RCTs</w:t>
      </w:r>
      <w:r w:rsidR="008101D2">
        <w:rPr>
          <w:rFonts w:ascii="Arial" w:hAnsi="Arial" w:cs="Arial"/>
          <w:lang w:val="en-US"/>
        </w:rPr>
        <w:t xml:space="preserve"> and </w:t>
      </w:r>
      <w:r w:rsidR="00F31AB5">
        <w:rPr>
          <w:rFonts w:ascii="Arial" w:hAnsi="Arial" w:cs="Arial"/>
          <w:lang w:val="en-US"/>
        </w:rPr>
        <w:t>17</w:t>
      </w:r>
      <w:r w:rsidR="008101D2">
        <w:rPr>
          <w:rFonts w:ascii="Arial" w:hAnsi="Arial" w:cs="Arial"/>
          <w:lang w:val="en-US"/>
        </w:rPr>
        <w:t xml:space="preserve"> stimulant arms (dose range 15, 82.5 mg/d)</w:t>
      </w:r>
      <w:r w:rsidR="00D62E5F">
        <w:rPr>
          <w:rFonts w:ascii="Arial" w:hAnsi="Arial" w:cs="Arial"/>
          <w:lang w:val="en-US"/>
        </w:rPr>
        <w:t xml:space="preserve"> indicated a log-linear association with increments of 2.2</w:t>
      </w:r>
      <w:r w:rsidR="000E66F8">
        <w:rPr>
          <w:rFonts w:ascii="Arial" w:hAnsi="Arial" w:cs="Arial"/>
          <w:lang w:val="en-US"/>
        </w:rPr>
        <w:t>3</w:t>
      </w:r>
      <w:r w:rsidR="00D62E5F">
        <w:rPr>
          <w:rFonts w:ascii="Arial" w:hAnsi="Arial" w:cs="Arial"/>
          <w:lang w:val="en-US"/>
        </w:rPr>
        <w:t>% (95% CI 1.11%, 3.3</w:t>
      </w:r>
      <w:r w:rsidR="000C6B79">
        <w:rPr>
          <w:rFonts w:ascii="Arial" w:hAnsi="Arial" w:cs="Arial"/>
          <w:lang w:val="en-US"/>
        </w:rPr>
        <w:t>5</w:t>
      </w:r>
      <w:r w:rsidR="00D62E5F">
        <w:rPr>
          <w:rFonts w:ascii="Arial" w:hAnsi="Arial" w:cs="Arial"/>
          <w:lang w:val="en-US"/>
        </w:rPr>
        <w:t>%) on an exponential scale in the risk of dropping out due to adverse events for every 1 mg/d increase throughout the entire dose range for which data were available (Figure 2B</w:t>
      </w:r>
      <w:r w:rsidR="006C392C">
        <w:rPr>
          <w:rFonts w:ascii="Arial" w:hAnsi="Arial" w:cs="Arial"/>
          <w:lang w:val="en-US"/>
        </w:rPr>
        <w:t>;</w:t>
      </w:r>
      <w:r w:rsidR="00D62E5F">
        <w:rPr>
          <w:rFonts w:ascii="Arial" w:hAnsi="Arial" w:cs="Arial"/>
          <w:lang w:val="en-US"/>
        </w:rPr>
        <w:t xml:space="preserve"> Table </w:t>
      </w:r>
      <w:r w:rsidR="00FC4308">
        <w:rPr>
          <w:rFonts w:ascii="Arial" w:hAnsi="Arial" w:cs="Arial"/>
          <w:lang w:val="en-US"/>
        </w:rPr>
        <w:t>1</w:t>
      </w:r>
      <w:r w:rsidR="00823C03">
        <w:rPr>
          <w:rFonts w:ascii="Arial" w:hAnsi="Arial" w:cs="Arial"/>
          <w:lang w:val="en-US"/>
        </w:rPr>
        <w:t>, which also reports NNH values</w:t>
      </w:r>
      <w:r w:rsidR="00D62E5F">
        <w:rPr>
          <w:rFonts w:ascii="Arial" w:hAnsi="Arial" w:cs="Arial"/>
          <w:lang w:val="en-US"/>
        </w:rPr>
        <w:t>).</w:t>
      </w:r>
    </w:p>
    <w:p w14:paraId="05DB6BC0" w14:textId="0400A811" w:rsidR="007B5EBA" w:rsidRDefault="004F104F" w:rsidP="00CE5503">
      <w:pPr>
        <w:spacing w:after="120" w:line="480" w:lineRule="auto"/>
        <w:ind w:firstLine="720"/>
        <w:rPr>
          <w:rFonts w:ascii="Arial" w:eastAsiaTheme="minorEastAsia" w:hAnsi="Arial" w:cs="Arial"/>
          <w:lang w:val="en-US"/>
        </w:rPr>
      </w:pPr>
      <w:r>
        <w:rPr>
          <w:rFonts w:ascii="Arial" w:eastAsiaTheme="minorEastAsia" w:hAnsi="Arial" w:cs="Arial"/>
          <w:lang w:val="en-US"/>
        </w:rPr>
        <w:t>NMA</w:t>
      </w:r>
      <w:r w:rsidR="00181BA3">
        <w:rPr>
          <w:rFonts w:ascii="Arial" w:eastAsiaTheme="minorEastAsia" w:hAnsi="Arial" w:cs="Arial"/>
          <w:lang w:val="en-US"/>
        </w:rPr>
        <w:t xml:space="preserve"> </w:t>
      </w:r>
      <w:r w:rsidR="00766985">
        <w:rPr>
          <w:rFonts w:ascii="Arial" w:eastAsiaTheme="minorEastAsia" w:hAnsi="Arial" w:cs="Arial"/>
          <w:lang w:val="en-US"/>
        </w:rPr>
        <w:t>corroborated</w:t>
      </w:r>
      <w:r w:rsidR="00181BA3">
        <w:rPr>
          <w:rFonts w:ascii="Arial" w:eastAsiaTheme="minorEastAsia" w:hAnsi="Arial" w:cs="Arial"/>
          <w:lang w:val="en-US"/>
        </w:rPr>
        <w:t xml:space="preserve"> that </w:t>
      </w:r>
      <w:r w:rsidR="00996EE7">
        <w:rPr>
          <w:rFonts w:ascii="Arial" w:eastAsiaTheme="minorEastAsia" w:hAnsi="Arial" w:cs="Arial"/>
          <w:lang w:val="en-US"/>
        </w:rPr>
        <w:t xml:space="preserve">unlicensed </w:t>
      </w:r>
      <w:r w:rsidR="00181BA3">
        <w:rPr>
          <w:rFonts w:ascii="Arial" w:eastAsiaTheme="minorEastAsia" w:hAnsi="Arial" w:cs="Arial"/>
          <w:lang w:val="en-US"/>
        </w:rPr>
        <w:t xml:space="preserve">doses were </w:t>
      </w:r>
      <w:r w:rsidR="00D2124B">
        <w:rPr>
          <w:rFonts w:ascii="Arial" w:eastAsiaTheme="minorEastAsia" w:hAnsi="Arial" w:cs="Arial"/>
          <w:lang w:val="en-US"/>
        </w:rPr>
        <w:t>associated with decreased</w:t>
      </w:r>
      <w:r w:rsidR="008F6DA5">
        <w:rPr>
          <w:rFonts w:ascii="Arial" w:eastAsiaTheme="minorEastAsia" w:hAnsi="Arial" w:cs="Arial"/>
          <w:lang w:val="en-US"/>
        </w:rPr>
        <w:t xml:space="preserve"> </w:t>
      </w:r>
      <w:r w:rsidR="00D2124B">
        <w:rPr>
          <w:rFonts w:ascii="Arial" w:eastAsiaTheme="minorEastAsia" w:hAnsi="Arial" w:cs="Arial"/>
          <w:lang w:val="en-US"/>
        </w:rPr>
        <w:t>tolerability in relation to</w:t>
      </w:r>
      <w:r w:rsidR="00181BA3">
        <w:rPr>
          <w:rFonts w:ascii="Arial" w:eastAsiaTheme="minorEastAsia" w:hAnsi="Arial" w:cs="Arial"/>
          <w:lang w:val="en-US"/>
        </w:rPr>
        <w:t xml:space="preserve"> l</w:t>
      </w:r>
      <w:r w:rsidR="00B31AD3">
        <w:rPr>
          <w:rFonts w:ascii="Arial" w:eastAsiaTheme="minorEastAsia" w:hAnsi="Arial" w:cs="Arial"/>
          <w:lang w:val="en-US"/>
        </w:rPr>
        <w:t>icensed</w:t>
      </w:r>
      <w:r w:rsidR="00181BA3">
        <w:rPr>
          <w:rFonts w:ascii="Arial" w:eastAsiaTheme="minorEastAsia" w:hAnsi="Arial" w:cs="Arial"/>
          <w:lang w:val="en-US"/>
        </w:rPr>
        <w:t xml:space="preserve"> doses (16</w:t>
      </w:r>
      <w:r w:rsidR="007A3C15">
        <w:rPr>
          <w:rFonts w:ascii="Arial" w:eastAsiaTheme="minorEastAsia" w:hAnsi="Arial" w:cs="Arial"/>
          <w:lang w:val="en-US"/>
        </w:rPr>
        <w:t xml:space="preserve"> studies</w:t>
      </w:r>
      <w:r w:rsidR="000F34B0">
        <w:rPr>
          <w:rFonts w:ascii="Arial" w:eastAsiaTheme="minorEastAsia" w:hAnsi="Arial" w:cs="Arial"/>
          <w:lang w:val="en-US"/>
        </w:rPr>
        <w:t>;</w:t>
      </w:r>
      <w:r w:rsidR="00181BA3">
        <w:rPr>
          <w:rFonts w:ascii="Arial" w:eastAsiaTheme="minorEastAsia" w:hAnsi="Arial" w:cs="Arial"/>
          <w:lang w:val="en-US"/>
        </w:rPr>
        <w:t xml:space="preserve"> OR 2.02</w:t>
      </w:r>
      <w:r w:rsidR="000F34B0">
        <w:rPr>
          <w:rFonts w:ascii="Arial" w:eastAsiaTheme="minorEastAsia" w:hAnsi="Arial" w:cs="Arial"/>
          <w:lang w:val="en-US"/>
        </w:rPr>
        <w:t>;</w:t>
      </w:r>
      <w:r w:rsidR="00181BA3">
        <w:rPr>
          <w:rFonts w:ascii="Arial" w:eastAsiaTheme="minorEastAsia" w:hAnsi="Arial" w:cs="Arial"/>
          <w:lang w:val="en-US"/>
        </w:rPr>
        <w:t xml:space="preserve"> 95% CI 1.19, 3.43</w:t>
      </w:r>
      <w:r w:rsidR="000F34B0">
        <w:rPr>
          <w:rFonts w:ascii="Arial" w:eastAsiaTheme="minorEastAsia" w:hAnsi="Arial" w:cs="Arial"/>
          <w:lang w:val="en-US"/>
        </w:rPr>
        <w:t>;</w:t>
      </w:r>
      <w:r w:rsidR="00181BA3">
        <w:rPr>
          <w:rFonts w:ascii="Arial" w:eastAsiaTheme="minorEastAsia" w:hAnsi="Arial" w:cs="Arial"/>
          <w:lang w:val="en-US"/>
        </w:rPr>
        <w:t xml:space="preserve"> P</w:t>
      </w:r>
      <w:r w:rsidR="00C0256A">
        <w:rPr>
          <w:rFonts w:ascii="Arial" w:eastAsiaTheme="minorEastAsia" w:hAnsi="Arial" w:cs="Arial"/>
          <w:lang w:val="en-US"/>
        </w:rPr>
        <w:t xml:space="preserve"> </w:t>
      </w:r>
      <w:r w:rsidR="007A3C15">
        <w:rPr>
          <w:rFonts w:ascii="Arial" w:eastAsiaTheme="minorEastAsia" w:hAnsi="Arial" w:cs="Arial"/>
          <w:lang w:val="en-US"/>
        </w:rPr>
        <w:t>=</w:t>
      </w:r>
      <w:r w:rsidR="00C0256A">
        <w:rPr>
          <w:rFonts w:ascii="Arial" w:eastAsiaTheme="minorEastAsia" w:hAnsi="Arial" w:cs="Arial"/>
          <w:lang w:val="en-US"/>
        </w:rPr>
        <w:t xml:space="preserve"> </w:t>
      </w:r>
      <w:r w:rsidR="00181BA3">
        <w:rPr>
          <w:rFonts w:ascii="Arial" w:eastAsiaTheme="minorEastAsia" w:hAnsi="Arial" w:cs="Arial"/>
          <w:lang w:val="en-US"/>
        </w:rPr>
        <w:t>.01; moderate) (Figure 3B</w:t>
      </w:r>
      <w:r w:rsidR="00D054B0">
        <w:rPr>
          <w:rFonts w:ascii="Arial" w:eastAsiaTheme="minorEastAsia" w:hAnsi="Arial" w:cs="Arial"/>
          <w:lang w:val="en-US"/>
        </w:rPr>
        <w:t>;</w:t>
      </w:r>
      <w:r w:rsidR="00725D43">
        <w:rPr>
          <w:rFonts w:ascii="Arial" w:eastAsiaTheme="minorEastAsia" w:hAnsi="Arial" w:cs="Arial"/>
          <w:lang w:val="en-US"/>
        </w:rPr>
        <w:t xml:space="preserve"> </w:t>
      </w:r>
      <w:r w:rsidR="00D054B0">
        <w:rPr>
          <w:rFonts w:ascii="Arial" w:eastAsiaTheme="minorEastAsia" w:hAnsi="Arial" w:cs="Arial"/>
          <w:lang w:val="en-US"/>
        </w:rPr>
        <w:t>eFigure 1</w:t>
      </w:r>
      <w:r w:rsidR="00F3440F">
        <w:rPr>
          <w:rFonts w:ascii="Arial" w:eastAsiaTheme="minorEastAsia" w:hAnsi="Arial" w:cs="Arial"/>
          <w:lang w:val="en-US"/>
        </w:rPr>
        <w:t>,3</w:t>
      </w:r>
      <w:r w:rsidR="00D054B0">
        <w:rPr>
          <w:rFonts w:ascii="Arial" w:eastAsiaTheme="minorEastAsia" w:hAnsi="Arial" w:cs="Arial"/>
          <w:lang w:val="en-US"/>
        </w:rPr>
        <w:t xml:space="preserve">; eTable </w:t>
      </w:r>
      <w:r w:rsidR="00B70311">
        <w:rPr>
          <w:rFonts w:ascii="Arial" w:eastAsiaTheme="minorEastAsia" w:hAnsi="Arial" w:cs="Arial"/>
          <w:lang w:val="en-US"/>
        </w:rPr>
        <w:t>4</w:t>
      </w:r>
      <w:r w:rsidR="00181BA3">
        <w:rPr>
          <w:rFonts w:ascii="Arial" w:eastAsiaTheme="minorEastAsia" w:hAnsi="Arial" w:cs="Arial"/>
          <w:lang w:val="en-US"/>
        </w:rPr>
        <w:t>)</w:t>
      </w:r>
      <w:r w:rsidR="003D574D">
        <w:rPr>
          <w:rFonts w:ascii="Arial" w:eastAsiaTheme="minorEastAsia" w:hAnsi="Arial" w:cs="Arial"/>
          <w:lang w:val="en-US"/>
        </w:rPr>
        <w:t>.</w:t>
      </w:r>
    </w:p>
    <w:p w14:paraId="285CB978" w14:textId="150B9DFF" w:rsidR="00814D13" w:rsidRPr="00CE5503" w:rsidRDefault="00814D13" w:rsidP="003C2992">
      <w:pPr>
        <w:keepNext/>
        <w:spacing w:line="480" w:lineRule="auto"/>
        <w:rPr>
          <w:rFonts w:ascii="Arial" w:eastAsiaTheme="minorEastAsia" w:hAnsi="Arial" w:cs="Arial"/>
          <w:lang w:val="en-US"/>
        </w:rPr>
      </w:pPr>
      <w:r w:rsidRPr="00CE5503">
        <w:rPr>
          <w:rFonts w:ascii="Arial" w:eastAsiaTheme="minorEastAsia" w:hAnsi="Arial" w:cs="Arial"/>
          <w:i/>
          <w:iCs/>
          <w:lang w:val="en-US"/>
        </w:rPr>
        <w:lastRenderedPageBreak/>
        <w:t>Acceptability</w:t>
      </w:r>
    </w:p>
    <w:p w14:paraId="5B138B9F" w14:textId="4BD46A61" w:rsidR="007A3C15" w:rsidRPr="007A3C15" w:rsidRDefault="00814D13" w:rsidP="00CE5503">
      <w:pPr>
        <w:spacing w:after="120" w:line="480" w:lineRule="auto"/>
        <w:rPr>
          <w:rFonts w:ascii="Arial" w:hAnsi="Arial" w:cs="Arial"/>
          <w:lang w:val="en-US"/>
        </w:rPr>
      </w:pPr>
      <w:r>
        <w:rPr>
          <w:rFonts w:ascii="Arial" w:eastAsiaTheme="minorEastAsia" w:hAnsi="Arial" w:cs="Arial"/>
          <w:lang w:val="en-US"/>
        </w:rPr>
        <w:tab/>
      </w:r>
      <w:r w:rsidRPr="00BF0F16">
        <w:rPr>
          <w:rFonts w:ascii="Arial" w:eastAsiaTheme="minorEastAsia" w:hAnsi="Arial" w:cs="Arial"/>
          <w:lang w:val="en-US"/>
        </w:rPr>
        <w:t xml:space="preserve">The dose-response curve </w:t>
      </w:r>
      <w:r w:rsidR="007A3C15" w:rsidRPr="00BF0F16">
        <w:rPr>
          <w:rFonts w:ascii="Arial" w:eastAsiaTheme="minorEastAsia" w:hAnsi="Arial" w:cs="Arial"/>
          <w:lang w:val="en-US"/>
        </w:rPr>
        <w:t>for acceptability indicated similar findings to those for tolerability. NMA did not indicate significant differences in acceptability (</w:t>
      </w:r>
      <w:r w:rsidR="00B31AD3" w:rsidRPr="00BF0F16">
        <w:rPr>
          <w:rFonts w:ascii="Arial" w:eastAsiaTheme="minorEastAsia" w:hAnsi="Arial" w:cs="Arial"/>
          <w:lang w:val="en-US"/>
        </w:rPr>
        <w:t xml:space="preserve">20 studies; OR 1.59; 95% CI 0.93, 2.73; </w:t>
      </w:r>
      <w:r w:rsidR="007A3C15" w:rsidRPr="00BF0F16">
        <w:rPr>
          <w:rFonts w:ascii="Arial" w:eastAsiaTheme="minorEastAsia" w:hAnsi="Arial" w:cs="Arial"/>
          <w:lang w:val="en-US"/>
        </w:rPr>
        <w:t>P</w:t>
      </w:r>
      <w:r w:rsidR="00ED3527" w:rsidRPr="00BF0F16">
        <w:rPr>
          <w:rFonts w:ascii="Arial" w:eastAsiaTheme="minorEastAsia" w:hAnsi="Arial" w:cs="Arial"/>
          <w:lang w:val="en-US"/>
        </w:rPr>
        <w:t xml:space="preserve"> </w:t>
      </w:r>
      <w:r w:rsidR="007A3C15" w:rsidRPr="00BF0F16">
        <w:rPr>
          <w:rFonts w:ascii="Arial" w:eastAsiaTheme="minorEastAsia" w:hAnsi="Arial" w:cs="Arial"/>
          <w:lang w:val="en-US"/>
        </w:rPr>
        <w:t>=</w:t>
      </w:r>
      <w:r w:rsidR="00ED3527" w:rsidRPr="00BF0F16">
        <w:rPr>
          <w:rFonts w:ascii="Arial" w:eastAsiaTheme="minorEastAsia" w:hAnsi="Arial" w:cs="Arial"/>
          <w:lang w:val="en-US"/>
        </w:rPr>
        <w:t xml:space="preserve"> </w:t>
      </w:r>
      <w:r w:rsidR="007A3C15" w:rsidRPr="00BF0F16">
        <w:rPr>
          <w:rFonts w:ascii="Arial" w:eastAsiaTheme="minorEastAsia" w:hAnsi="Arial" w:cs="Arial"/>
          <w:lang w:val="en-US"/>
        </w:rPr>
        <w:t>.09</w:t>
      </w:r>
      <w:r w:rsidR="00B31AD3" w:rsidRPr="00BF0F16">
        <w:rPr>
          <w:rFonts w:ascii="Arial" w:eastAsiaTheme="minorEastAsia" w:hAnsi="Arial" w:cs="Arial"/>
          <w:lang w:val="en-US"/>
        </w:rPr>
        <w:t>; low</w:t>
      </w:r>
      <w:r w:rsidR="007A3C15" w:rsidRPr="00BF0F16">
        <w:rPr>
          <w:rFonts w:ascii="Arial" w:eastAsiaTheme="minorEastAsia" w:hAnsi="Arial" w:cs="Arial"/>
          <w:lang w:val="en-US"/>
        </w:rPr>
        <w:t>)</w:t>
      </w:r>
      <w:r w:rsidR="007A3C15">
        <w:rPr>
          <w:rFonts w:ascii="Arial" w:eastAsiaTheme="minorEastAsia" w:hAnsi="Arial" w:cs="Arial"/>
          <w:lang w:val="en-US"/>
        </w:rPr>
        <w:t xml:space="preserve"> between </w:t>
      </w:r>
      <w:r w:rsidR="00996EE7">
        <w:rPr>
          <w:rFonts w:ascii="Arial" w:eastAsiaTheme="minorEastAsia" w:hAnsi="Arial" w:cs="Arial"/>
          <w:lang w:val="en-US"/>
        </w:rPr>
        <w:t xml:space="preserve">unlicensed and licensed </w:t>
      </w:r>
      <w:r w:rsidR="007A3C15">
        <w:rPr>
          <w:rFonts w:ascii="Arial" w:eastAsiaTheme="minorEastAsia" w:hAnsi="Arial" w:cs="Arial"/>
          <w:lang w:val="en-US"/>
        </w:rPr>
        <w:t xml:space="preserve">doses </w:t>
      </w:r>
      <w:r w:rsidR="007A3C15">
        <w:rPr>
          <w:rFonts w:ascii="Arial" w:hAnsi="Arial" w:cs="Arial"/>
          <w:lang w:val="en-US"/>
        </w:rPr>
        <w:t>(</w:t>
      </w:r>
      <w:proofErr w:type="spellStart"/>
      <w:r w:rsidR="00B51306">
        <w:rPr>
          <w:rFonts w:ascii="Arial" w:hAnsi="Arial" w:cs="Arial"/>
          <w:lang w:val="en-US"/>
        </w:rPr>
        <w:t>eResults</w:t>
      </w:r>
      <w:proofErr w:type="spellEnd"/>
      <w:r w:rsidR="007A3C15">
        <w:rPr>
          <w:rFonts w:ascii="Arial" w:hAnsi="Arial" w:cs="Arial"/>
          <w:lang w:val="en-US"/>
        </w:rPr>
        <w:t xml:space="preserve"> 3).</w:t>
      </w:r>
    </w:p>
    <w:p w14:paraId="12DB8BF5" w14:textId="26E5D47F" w:rsidR="007B5EBA" w:rsidRPr="00CE5503" w:rsidRDefault="007B5EBA" w:rsidP="00766985">
      <w:pPr>
        <w:keepNext/>
        <w:spacing w:line="480" w:lineRule="auto"/>
        <w:rPr>
          <w:rFonts w:ascii="Arial" w:hAnsi="Arial" w:cs="Arial"/>
          <w:i/>
          <w:iCs/>
          <w:lang w:val="en-US"/>
        </w:rPr>
      </w:pPr>
      <w:r w:rsidRPr="00CE5503">
        <w:rPr>
          <w:rFonts w:ascii="Arial" w:hAnsi="Arial" w:cs="Arial"/>
          <w:i/>
          <w:iCs/>
          <w:lang w:val="en-US"/>
        </w:rPr>
        <w:t xml:space="preserve">Heterogeneity, </w:t>
      </w:r>
      <w:r w:rsidR="004F104F" w:rsidRPr="00CE5503">
        <w:rPr>
          <w:rFonts w:ascii="Arial" w:hAnsi="Arial" w:cs="Arial"/>
          <w:i/>
          <w:iCs/>
          <w:lang w:val="en-US"/>
        </w:rPr>
        <w:t>incoherence,</w:t>
      </w:r>
      <w:r w:rsidRPr="00CE5503">
        <w:rPr>
          <w:rFonts w:ascii="Arial" w:hAnsi="Arial" w:cs="Arial"/>
          <w:i/>
          <w:iCs/>
          <w:lang w:val="en-US"/>
        </w:rPr>
        <w:t xml:space="preserve"> and sensitivity analyses</w:t>
      </w:r>
    </w:p>
    <w:p w14:paraId="79D8B48A" w14:textId="3ADEE9F7" w:rsidR="00E83FE8" w:rsidRDefault="004F104F" w:rsidP="00E83FE8">
      <w:pPr>
        <w:spacing w:line="480" w:lineRule="auto"/>
        <w:ind w:firstLine="720"/>
        <w:rPr>
          <w:rFonts w:ascii="Arial" w:hAnsi="Arial" w:cs="Arial"/>
          <w:lang w:val="en-US"/>
        </w:rPr>
      </w:pPr>
      <w:r>
        <w:rPr>
          <w:rFonts w:ascii="Arial" w:hAnsi="Arial" w:cs="Arial"/>
          <w:lang w:val="en-US"/>
        </w:rPr>
        <w:t>T</w:t>
      </w:r>
      <w:r w:rsidR="004848DB">
        <w:rPr>
          <w:rFonts w:ascii="Arial" w:hAnsi="Arial" w:cs="Arial"/>
          <w:lang w:val="en-US"/>
        </w:rPr>
        <w:t>here was</w:t>
      </w:r>
      <w:r w:rsidR="00E83FE8">
        <w:rPr>
          <w:rFonts w:ascii="Arial" w:hAnsi="Arial" w:cs="Arial"/>
          <w:lang w:val="en-US"/>
        </w:rPr>
        <w:t xml:space="preserve"> low</w:t>
      </w:r>
      <w:r w:rsidR="007A3C15">
        <w:rPr>
          <w:rFonts w:ascii="Arial" w:hAnsi="Arial" w:cs="Arial"/>
          <w:lang w:val="en-US"/>
        </w:rPr>
        <w:t xml:space="preserve"> (VPC </w:t>
      </w:r>
      <m:oMath>
        <m:r>
          <w:rPr>
            <w:rFonts w:ascii="Cambria Math" w:hAnsi="Cambria Math" w:cs="Times New Roman"/>
          </w:rPr>
          <m:t>≅</m:t>
        </m:r>
      </m:oMath>
      <w:r w:rsidR="007A3C15" w:rsidRPr="006C5198">
        <w:rPr>
          <w:rFonts w:ascii="Arial" w:eastAsiaTheme="minorEastAsia" w:hAnsi="Arial" w:cs="Arial"/>
          <w:lang w:val="en-US"/>
        </w:rPr>
        <w:t xml:space="preserve"> 0</w:t>
      </w:r>
      <w:r w:rsidR="007A3C15">
        <w:rPr>
          <w:rFonts w:ascii="Arial" w:eastAsiaTheme="minorEastAsia" w:hAnsi="Arial" w:cs="Arial"/>
          <w:lang w:val="en-US"/>
        </w:rPr>
        <w:t>%)</w:t>
      </w:r>
      <w:r w:rsidR="00E83FE8">
        <w:rPr>
          <w:rFonts w:ascii="Arial" w:hAnsi="Arial" w:cs="Arial"/>
          <w:lang w:val="en-US"/>
        </w:rPr>
        <w:t xml:space="preserve"> (change in ADHD symptom</w:t>
      </w:r>
      <w:r w:rsidR="00B31AD3">
        <w:rPr>
          <w:rFonts w:ascii="Arial" w:hAnsi="Arial" w:cs="Arial"/>
          <w:lang w:val="en-US"/>
        </w:rPr>
        <w:t>s</w:t>
      </w:r>
      <w:r w:rsidR="00E83FE8">
        <w:rPr>
          <w:rFonts w:ascii="Arial" w:hAnsi="Arial" w:cs="Arial"/>
          <w:lang w:val="en-US"/>
        </w:rPr>
        <w:t>; acceptability) and low-to-moderate</w:t>
      </w:r>
      <w:r w:rsidR="007A3C15">
        <w:rPr>
          <w:rFonts w:ascii="Arial" w:hAnsi="Arial" w:cs="Arial"/>
          <w:lang w:val="en-US"/>
        </w:rPr>
        <w:t xml:space="preserve"> (VPC &lt; 50%</w:t>
      </w:r>
      <w:r w:rsidR="007A3C15">
        <w:rPr>
          <w:rFonts w:ascii="Arial" w:eastAsiaTheme="minorEastAsia" w:hAnsi="Arial" w:cs="Arial"/>
          <w:lang w:val="en-US"/>
        </w:rPr>
        <w:t>)</w:t>
      </w:r>
      <w:r w:rsidR="00E83FE8">
        <w:rPr>
          <w:rFonts w:ascii="Arial" w:hAnsi="Arial" w:cs="Arial"/>
          <w:lang w:val="en-US"/>
        </w:rPr>
        <w:t xml:space="preserve"> (tolerability) heterogeneity in the dose-response meta-analyses (eFigure 4,5; </w:t>
      </w:r>
      <w:proofErr w:type="spellStart"/>
      <w:r w:rsidR="00B51306">
        <w:rPr>
          <w:rFonts w:ascii="Arial" w:hAnsi="Arial" w:cs="Arial"/>
          <w:lang w:val="en-US"/>
        </w:rPr>
        <w:t>eResults</w:t>
      </w:r>
      <w:proofErr w:type="spellEnd"/>
      <w:r w:rsidR="00E83FE8">
        <w:rPr>
          <w:rFonts w:ascii="Arial" w:hAnsi="Arial" w:cs="Arial"/>
          <w:lang w:val="en-US"/>
        </w:rPr>
        <w:t xml:space="preserve"> 3).</w:t>
      </w:r>
    </w:p>
    <w:p w14:paraId="25203680" w14:textId="01EE5454" w:rsidR="00E83FE8" w:rsidRPr="00E83FE8" w:rsidRDefault="00E83FE8" w:rsidP="00E83FE8">
      <w:pPr>
        <w:spacing w:line="480" w:lineRule="auto"/>
        <w:ind w:firstLine="720"/>
        <w:rPr>
          <w:rFonts w:ascii="Arial" w:eastAsiaTheme="minorEastAsia" w:hAnsi="Arial" w:cs="Arial"/>
          <w:lang w:val="en-US"/>
        </w:rPr>
      </w:pPr>
      <w:r>
        <w:rPr>
          <w:rFonts w:ascii="Arial" w:hAnsi="Arial" w:cs="Arial"/>
          <w:lang w:val="en-US"/>
        </w:rPr>
        <w:t xml:space="preserve">There was low-moderate </w:t>
      </w:r>
      <w:r>
        <w:rPr>
          <w:rFonts w:ascii="Arial" w:eastAsiaTheme="minorEastAsia" w:hAnsi="Arial" w:cs="Arial"/>
          <w:lang w:val="en-US"/>
        </w:rPr>
        <w:t xml:space="preserve">(tolerability: </w:t>
      </w:r>
      <m:oMath>
        <m:r>
          <w:rPr>
            <w:rFonts w:ascii="Cambria Math" w:hAnsi="Cambria Math" w:cs="Arial"/>
            <w:lang w:val="en-US"/>
          </w:rPr>
          <m:t>τ</m:t>
        </m:r>
      </m:oMath>
      <w:r>
        <w:rPr>
          <w:rFonts w:ascii="Arial" w:eastAsiaTheme="minorEastAsia" w:hAnsi="Arial" w:cs="Arial"/>
          <w:vertAlign w:val="superscript"/>
          <w:lang w:val="en-US"/>
        </w:rPr>
        <w:t>2</w:t>
      </w:r>
      <w:r>
        <w:rPr>
          <w:rFonts w:ascii="Arial" w:eastAsiaTheme="minorEastAsia" w:hAnsi="Arial" w:cs="Arial"/>
          <w:lang w:val="en-US"/>
        </w:rPr>
        <w:t xml:space="preserve"> 0.05; I</w:t>
      </w:r>
      <w:r>
        <w:rPr>
          <w:rFonts w:ascii="Arial" w:eastAsiaTheme="minorEastAsia" w:hAnsi="Arial" w:cs="Arial"/>
          <w:vertAlign w:val="superscript"/>
          <w:lang w:val="en-US"/>
        </w:rPr>
        <w:t xml:space="preserve">2 </w:t>
      </w:r>
      <w:r>
        <w:rPr>
          <w:rFonts w:ascii="Arial" w:eastAsiaTheme="minorEastAsia" w:hAnsi="Arial" w:cs="Arial"/>
          <w:lang w:val="en-US"/>
        </w:rPr>
        <w:t>8%) and moderate-high (change in ADHD symptom</w:t>
      </w:r>
      <w:r w:rsidR="00B31AD3">
        <w:rPr>
          <w:rFonts w:ascii="Arial" w:eastAsiaTheme="minorEastAsia" w:hAnsi="Arial" w:cs="Arial"/>
          <w:lang w:val="en-US"/>
        </w:rPr>
        <w:t>s</w:t>
      </w:r>
      <w:r>
        <w:rPr>
          <w:rFonts w:ascii="Arial" w:eastAsiaTheme="minorEastAsia" w:hAnsi="Arial" w:cs="Arial"/>
          <w:lang w:val="en-US"/>
        </w:rPr>
        <w:t xml:space="preserve">: </w:t>
      </w:r>
      <m:oMath>
        <m:r>
          <w:rPr>
            <w:rFonts w:ascii="Cambria Math" w:hAnsi="Cambria Math" w:cs="Arial"/>
            <w:lang w:val="en-US"/>
          </w:rPr>
          <m:t>τ</m:t>
        </m:r>
      </m:oMath>
      <w:r>
        <w:rPr>
          <w:rFonts w:ascii="Arial" w:eastAsiaTheme="minorEastAsia" w:hAnsi="Arial" w:cs="Arial"/>
          <w:vertAlign w:val="superscript"/>
          <w:lang w:val="en-US"/>
        </w:rPr>
        <w:t>2</w:t>
      </w:r>
      <w:r>
        <w:rPr>
          <w:rFonts w:ascii="Arial" w:eastAsiaTheme="minorEastAsia" w:hAnsi="Arial" w:cs="Arial"/>
          <w:lang w:val="en-US"/>
        </w:rPr>
        <w:t xml:space="preserve"> 0.05; I</w:t>
      </w:r>
      <w:r>
        <w:rPr>
          <w:rFonts w:ascii="Arial" w:eastAsiaTheme="minorEastAsia" w:hAnsi="Arial" w:cs="Arial"/>
          <w:vertAlign w:val="superscript"/>
          <w:lang w:val="en-US"/>
        </w:rPr>
        <w:t xml:space="preserve">2 </w:t>
      </w:r>
      <w:r>
        <w:rPr>
          <w:rFonts w:ascii="Arial" w:eastAsiaTheme="minorEastAsia" w:hAnsi="Arial" w:cs="Arial"/>
          <w:lang w:val="en-US"/>
        </w:rPr>
        <w:t xml:space="preserve">68%; acceptability: </w:t>
      </w:r>
      <m:oMath>
        <m:r>
          <w:rPr>
            <w:rFonts w:ascii="Cambria Math" w:hAnsi="Cambria Math" w:cs="Arial"/>
            <w:lang w:val="en-US"/>
          </w:rPr>
          <m:t>τ</m:t>
        </m:r>
      </m:oMath>
      <w:r>
        <w:rPr>
          <w:rFonts w:ascii="Arial" w:eastAsiaTheme="minorEastAsia" w:hAnsi="Arial" w:cs="Arial"/>
          <w:vertAlign w:val="superscript"/>
          <w:lang w:val="en-US"/>
        </w:rPr>
        <w:t>2</w:t>
      </w:r>
      <w:r>
        <w:rPr>
          <w:rFonts w:ascii="Arial" w:eastAsiaTheme="minorEastAsia" w:hAnsi="Arial" w:cs="Arial"/>
          <w:lang w:val="en-US"/>
        </w:rPr>
        <w:t xml:space="preserve"> 0.24; I</w:t>
      </w:r>
      <w:r>
        <w:rPr>
          <w:rFonts w:ascii="Arial" w:eastAsiaTheme="minorEastAsia" w:hAnsi="Arial" w:cs="Arial"/>
          <w:vertAlign w:val="superscript"/>
          <w:lang w:val="en-US"/>
        </w:rPr>
        <w:t xml:space="preserve">2 </w:t>
      </w:r>
      <w:r>
        <w:rPr>
          <w:rFonts w:ascii="Arial" w:eastAsiaTheme="minorEastAsia" w:hAnsi="Arial" w:cs="Arial"/>
          <w:lang w:val="en-US"/>
        </w:rPr>
        <w:t xml:space="preserve">63%) heterogeneity in NMAs. There was no evidence of incoherence in any of the NMAs (eTable 5,6; </w:t>
      </w:r>
      <w:proofErr w:type="spellStart"/>
      <w:r w:rsidR="00B51306">
        <w:rPr>
          <w:rFonts w:ascii="Arial" w:eastAsiaTheme="minorEastAsia" w:hAnsi="Arial" w:cs="Arial"/>
          <w:lang w:val="en-US"/>
        </w:rPr>
        <w:t>eResults</w:t>
      </w:r>
      <w:proofErr w:type="spellEnd"/>
      <w:r>
        <w:rPr>
          <w:rFonts w:ascii="Arial" w:eastAsiaTheme="minorEastAsia" w:hAnsi="Arial" w:cs="Arial"/>
          <w:lang w:val="en-US"/>
        </w:rPr>
        <w:t xml:space="preserve"> 3). Contour-enhanced funnel plots indicated some asymmetry for change in ADHD symptom</w:t>
      </w:r>
      <w:r w:rsidR="00B31AD3">
        <w:rPr>
          <w:rFonts w:ascii="Arial" w:eastAsiaTheme="minorEastAsia" w:hAnsi="Arial" w:cs="Arial"/>
          <w:lang w:val="en-US"/>
        </w:rPr>
        <w:t>s</w:t>
      </w:r>
      <w:r>
        <w:rPr>
          <w:rFonts w:ascii="Arial" w:eastAsiaTheme="minorEastAsia" w:hAnsi="Arial" w:cs="Arial"/>
          <w:lang w:val="en-US"/>
        </w:rPr>
        <w:t xml:space="preserve"> (eFigure 6-8; </w:t>
      </w:r>
      <w:proofErr w:type="spellStart"/>
      <w:r w:rsidR="00B51306">
        <w:rPr>
          <w:rFonts w:ascii="Arial" w:eastAsiaTheme="minorEastAsia" w:hAnsi="Arial" w:cs="Arial"/>
          <w:lang w:val="en-US"/>
        </w:rPr>
        <w:t>eResults</w:t>
      </w:r>
      <w:proofErr w:type="spellEnd"/>
      <w:r>
        <w:rPr>
          <w:rFonts w:ascii="Arial" w:eastAsiaTheme="minorEastAsia" w:hAnsi="Arial" w:cs="Arial"/>
          <w:lang w:val="en-US"/>
        </w:rPr>
        <w:t xml:space="preserve"> 3).</w:t>
      </w:r>
    </w:p>
    <w:p w14:paraId="48B56906" w14:textId="53B7520D" w:rsidR="007B5EBA" w:rsidRPr="003C78E1" w:rsidRDefault="00725D43" w:rsidP="004F4983">
      <w:pPr>
        <w:spacing w:after="120" w:line="480" w:lineRule="auto"/>
        <w:ind w:firstLine="720"/>
        <w:rPr>
          <w:rFonts w:ascii="Arial" w:eastAsiaTheme="minorEastAsia" w:hAnsi="Arial" w:cs="Arial"/>
          <w:lang w:val="en-US"/>
        </w:rPr>
      </w:pPr>
      <w:r>
        <w:rPr>
          <w:rFonts w:ascii="Arial" w:hAnsi="Arial" w:cs="Arial"/>
          <w:lang w:val="en-US"/>
        </w:rPr>
        <w:t xml:space="preserve">The findings </w:t>
      </w:r>
      <w:r w:rsidR="00482845">
        <w:rPr>
          <w:rFonts w:ascii="Arial" w:hAnsi="Arial" w:cs="Arial"/>
          <w:lang w:val="en-US"/>
        </w:rPr>
        <w:t xml:space="preserve">from the dose-response </w:t>
      </w:r>
      <w:r w:rsidR="0006747F">
        <w:rPr>
          <w:rFonts w:ascii="Arial" w:hAnsi="Arial" w:cs="Arial"/>
          <w:lang w:val="en-US"/>
        </w:rPr>
        <w:t xml:space="preserve">meta-analyses </w:t>
      </w:r>
      <w:r w:rsidR="00482845">
        <w:rPr>
          <w:rFonts w:ascii="Arial" w:hAnsi="Arial" w:cs="Arial"/>
          <w:lang w:val="en-US"/>
        </w:rPr>
        <w:t>(</w:t>
      </w:r>
      <w:proofErr w:type="spellStart"/>
      <w:r w:rsidR="00482845">
        <w:rPr>
          <w:rFonts w:ascii="Arial" w:hAnsi="Arial" w:cs="Arial"/>
          <w:lang w:val="en-US"/>
        </w:rPr>
        <w:t>eFigures</w:t>
      </w:r>
      <w:proofErr w:type="spellEnd"/>
      <w:r w:rsidR="00482845">
        <w:rPr>
          <w:rFonts w:ascii="Arial" w:hAnsi="Arial" w:cs="Arial"/>
          <w:lang w:val="en-US"/>
        </w:rPr>
        <w:t xml:space="preserve"> 9-1</w:t>
      </w:r>
      <w:r w:rsidR="0070061A">
        <w:rPr>
          <w:rFonts w:ascii="Arial" w:hAnsi="Arial" w:cs="Arial"/>
          <w:lang w:val="en-US"/>
        </w:rPr>
        <w:t>3</w:t>
      </w:r>
      <w:r w:rsidR="00E83FE8">
        <w:rPr>
          <w:rFonts w:ascii="Arial" w:hAnsi="Arial" w:cs="Arial"/>
          <w:lang w:val="en-US"/>
        </w:rPr>
        <w:t xml:space="preserve">; </w:t>
      </w:r>
      <w:proofErr w:type="spellStart"/>
      <w:r w:rsidR="00E83FE8">
        <w:rPr>
          <w:rFonts w:ascii="Arial" w:hAnsi="Arial" w:cs="Arial"/>
          <w:lang w:val="en-US"/>
        </w:rPr>
        <w:t>e</w:t>
      </w:r>
      <w:r w:rsidR="0070061A">
        <w:rPr>
          <w:rFonts w:ascii="Arial" w:hAnsi="Arial" w:cs="Arial"/>
          <w:lang w:val="en-US"/>
        </w:rPr>
        <w:t>Results</w:t>
      </w:r>
      <w:proofErr w:type="spellEnd"/>
      <w:r w:rsidR="00E83FE8">
        <w:rPr>
          <w:rFonts w:ascii="Arial" w:hAnsi="Arial" w:cs="Arial"/>
          <w:lang w:val="en-US"/>
        </w:rPr>
        <w:t xml:space="preserve"> 3</w:t>
      </w:r>
      <w:r w:rsidR="00482845">
        <w:rPr>
          <w:rFonts w:ascii="Arial" w:hAnsi="Arial" w:cs="Arial"/>
          <w:lang w:val="en-US"/>
        </w:rPr>
        <w:t>) or the NMAs (Figure 3</w:t>
      </w:r>
      <w:r w:rsidR="00E83FE8">
        <w:rPr>
          <w:rFonts w:ascii="Arial" w:hAnsi="Arial" w:cs="Arial"/>
          <w:lang w:val="en-US"/>
        </w:rPr>
        <w:t xml:space="preserve">; </w:t>
      </w:r>
      <w:proofErr w:type="spellStart"/>
      <w:r w:rsidR="0070061A">
        <w:rPr>
          <w:rFonts w:ascii="Arial" w:hAnsi="Arial" w:cs="Arial"/>
          <w:lang w:val="en-US"/>
        </w:rPr>
        <w:t>eResults</w:t>
      </w:r>
      <w:proofErr w:type="spellEnd"/>
      <w:r w:rsidR="00E83FE8">
        <w:rPr>
          <w:rFonts w:ascii="Arial" w:hAnsi="Arial" w:cs="Arial"/>
          <w:lang w:val="en-US"/>
        </w:rPr>
        <w:t xml:space="preserve"> 3</w:t>
      </w:r>
      <w:r w:rsidR="00482845">
        <w:rPr>
          <w:rFonts w:ascii="Arial" w:hAnsi="Arial" w:cs="Arial"/>
          <w:lang w:val="en-US"/>
        </w:rPr>
        <w:t xml:space="preserve">) </w:t>
      </w:r>
      <w:r>
        <w:rPr>
          <w:rFonts w:ascii="Arial" w:hAnsi="Arial" w:cs="Arial"/>
          <w:lang w:val="en-US"/>
        </w:rPr>
        <w:t xml:space="preserve">did not change considerably </w:t>
      </w:r>
      <w:r w:rsidR="00B44A0C">
        <w:rPr>
          <w:rFonts w:ascii="Arial" w:hAnsi="Arial" w:cs="Arial"/>
          <w:lang w:val="en-US"/>
        </w:rPr>
        <w:t>i</w:t>
      </w:r>
      <w:r>
        <w:rPr>
          <w:rFonts w:ascii="Arial" w:hAnsi="Arial" w:cs="Arial"/>
          <w:lang w:val="en-US"/>
        </w:rPr>
        <w:t xml:space="preserve">n </w:t>
      </w:r>
      <w:r w:rsidR="00823C03">
        <w:rPr>
          <w:rFonts w:ascii="Arial" w:hAnsi="Arial" w:cs="Arial"/>
          <w:lang w:val="en-US"/>
        </w:rPr>
        <w:t xml:space="preserve">any of the </w:t>
      </w:r>
      <w:r>
        <w:rPr>
          <w:rFonts w:ascii="Arial" w:hAnsi="Arial" w:cs="Arial"/>
          <w:lang w:val="en-US"/>
        </w:rPr>
        <w:t xml:space="preserve">sensitivity analyses. </w:t>
      </w:r>
      <w:r w:rsidR="005B42A9">
        <w:rPr>
          <w:rFonts w:ascii="Arial" w:hAnsi="Arial" w:cs="Arial"/>
          <w:lang w:val="en-US"/>
        </w:rPr>
        <w:t>Notably, f</w:t>
      </w:r>
      <w:r>
        <w:rPr>
          <w:rFonts w:ascii="Arial" w:hAnsi="Arial" w:cs="Arial"/>
          <w:lang w:val="en-US"/>
        </w:rPr>
        <w:t>lexible</w:t>
      </w:r>
      <w:r w:rsidR="008C2A7C">
        <w:rPr>
          <w:rFonts w:ascii="Arial" w:hAnsi="Arial" w:cs="Arial"/>
          <w:lang w:val="en-US"/>
        </w:rPr>
        <w:t xml:space="preserve">-dose RCTs </w:t>
      </w:r>
      <w:r>
        <w:rPr>
          <w:rFonts w:ascii="Arial" w:hAnsi="Arial" w:cs="Arial"/>
          <w:lang w:val="en-US"/>
        </w:rPr>
        <w:t xml:space="preserve">allowing titration beyond FDA </w:t>
      </w:r>
      <w:r w:rsidR="005B42A9">
        <w:rPr>
          <w:rFonts w:ascii="Arial" w:hAnsi="Arial" w:cs="Arial"/>
          <w:lang w:val="en-US"/>
        </w:rPr>
        <w:t>recommendations</w:t>
      </w:r>
      <w:r>
        <w:rPr>
          <w:rFonts w:ascii="Arial" w:hAnsi="Arial" w:cs="Arial"/>
          <w:lang w:val="en-US"/>
        </w:rPr>
        <w:t xml:space="preserve"> were no</w:t>
      </w:r>
      <w:r w:rsidR="00E353A2">
        <w:rPr>
          <w:rFonts w:ascii="Arial" w:hAnsi="Arial" w:cs="Arial"/>
          <w:lang w:val="en-US"/>
        </w:rPr>
        <w:t xml:space="preserve">t </w:t>
      </w:r>
      <w:r w:rsidR="008C2A7C">
        <w:rPr>
          <w:rFonts w:ascii="Arial" w:hAnsi="Arial" w:cs="Arial"/>
          <w:lang w:val="en-US"/>
        </w:rPr>
        <w:t xml:space="preserve">associated with additional reductions </w:t>
      </w:r>
      <w:r w:rsidR="00B31AD3">
        <w:rPr>
          <w:rFonts w:ascii="Arial" w:hAnsi="Arial" w:cs="Arial"/>
          <w:lang w:val="en-US"/>
        </w:rPr>
        <w:t xml:space="preserve">of </w:t>
      </w:r>
      <w:r w:rsidR="008C2A7C">
        <w:rPr>
          <w:rFonts w:ascii="Arial" w:hAnsi="Arial" w:cs="Arial"/>
          <w:lang w:val="en-US"/>
        </w:rPr>
        <w:t>symptom</w:t>
      </w:r>
      <w:r w:rsidR="00B31AD3">
        <w:rPr>
          <w:rFonts w:ascii="Arial" w:hAnsi="Arial" w:cs="Arial"/>
          <w:lang w:val="en-US"/>
        </w:rPr>
        <w:t>s</w:t>
      </w:r>
      <w:r w:rsidR="008C2A7C">
        <w:rPr>
          <w:rFonts w:ascii="Arial" w:hAnsi="Arial" w:cs="Arial"/>
          <w:lang w:val="en-US"/>
        </w:rPr>
        <w:t xml:space="preserve"> in relation to</w:t>
      </w:r>
      <w:r>
        <w:rPr>
          <w:rFonts w:ascii="Arial" w:hAnsi="Arial" w:cs="Arial"/>
          <w:lang w:val="en-US"/>
        </w:rPr>
        <w:t xml:space="preserve"> fixed</w:t>
      </w:r>
      <w:r w:rsidR="008C2A7C">
        <w:rPr>
          <w:rFonts w:ascii="Arial" w:hAnsi="Arial" w:cs="Arial"/>
          <w:lang w:val="en-US"/>
        </w:rPr>
        <w:t>-</w:t>
      </w:r>
      <w:r>
        <w:rPr>
          <w:rFonts w:ascii="Arial" w:hAnsi="Arial" w:cs="Arial"/>
          <w:lang w:val="en-US"/>
        </w:rPr>
        <w:t>dos</w:t>
      </w:r>
      <w:r w:rsidR="008C2A7C">
        <w:rPr>
          <w:rFonts w:ascii="Arial" w:hAnsi="Arial" w:cs="Arial"/>
          <w:lang w:val="en-US"/>
        </w:rPr>
        <w:t>e RCTs</w:t>
      </w:r>
      <w:r>
        <w:rPr>
          <w:rFonts w:ascii="Arial" w:hAnsi="Arial" w:cs="Arial"/>
          <w:lang w:val="en-US"/>
        </w:rPr>
        <w:t xml:space="preserve"> within FDA </w:t>
      </w:r>
      <w:r w:rsidR="005B42A9">
        <w:rPr>
          <w:rFonts w:ascii="Arial" w:hAnsi="Arial" w:cs="Arial"/>
          <w:lang w:val="en-US"/>
        </w:rPr>
        <w:t>recommendations</w:t>
      </w:r>
      <w:r>
        <w:rPr>
          <w:rFonts w:ascii="Arial" w:hAnsi="Arial" w:cs="Arial"/>
          <w:lang w:val="en-US"/>
        </w:rPr>
        <w:t xml:space="preserve"> (</w:t>
      </w:r>
      <w:r w:rsidR="006519A2">
        <w:rPr>
          <w:rFonts w:ascii="Arial" w:hAnsi="Arial" w:cs="Arial"/>
          <w:lang w:val="en-US"/>
        </w:rPr>
        <w:t>SMD -0.34; 95% CI -0.82, 0.13; P</w:t>
      </w:r>
      <w:r w:rsidR="00DA27CD">
        <w:rPr>
          <w:rFonts w:ascii="Arial" w:hAnsi="Arial" w:cs="Arial"/>
          <w:lang w:val="en-US"/>
        </w:rPr>
        <w:t xml:space="preserve"> </w:t>
      </w:r>
      <w:r w:rsidR="007A3C15">
        <w:rPr>
          <w:rFonts w:ascii="Arial" w:hAnsi="Arial" w:cs="Arial"/>
          <w:lang w:val="en-US"/>
        </w:rPr>
        <w:t>=</w:t>
      </w:r>
      <w:r w:rsidR="00DA27CD">
        <w:rPr>
          <w:rFonts w:ascii="Arial" w:hAnsi="Arial" w:cs="Arial"/>
          <w:lang w:val="en-US"/>
        </w:rPr>
        <w:t xml:space="preserve"> </w:t>
      </w:r>
      <w:r w:rsidR="006519A2">
        <w:rPr>
          <w:rFonts w:ascii="Arial" w:hAnsi="Arial" w:cs="Arial"/>
          <w:lang w:val="en-US"/>
        </w:rPr>
        <w:t>.16</w:t>
      </w:r>
      <w:r>
        <w:rPr>
          <w:rFonts w:ascii="Arial" w:hAnsi="Arial" w:cs="Arial"/>
          <w:lang w:val="en-US"/>
        </w:rPr>
        <w:t>).</w:t>
      </w:r>
    </w:p>
    <w:p w14:paraId="66E326B6" w14:textId="1005C724" w:rsidR="00C945B7" w:rsidRPr="009D5550" w:rsidRDefault="00C945B7" w:rsidP="005A12EB">
      <w:pPr>
        <w:keepNext/>
        <w:spacing w:line="480" w:lineRule="auto"/>
        <w:rPr>
          <w:rFonts w:ascii="Arial" w:hAnsi="Arial" w:cs="Arial"/>
          <w:b/>
          <w:bCs/>
          <w:lang w:val="en-US"/>
        </w:rPr>
      </w:pPr>
      <w:r w:rsidRPr="009D5550">
        <w:rPr>
          <w:rFonts w:ascii="Arial" w:hAnsi="Arial" w:cs="Arial"/>
          <w:b/>
          <w:bCs/>
          <w:lang w:val="en-US"/>
        </w:rPr>
        <w:t>Amphetamine</w:t>
      </w:r>
      <w:r w:rsidR="00D61AE0" w:rsidRPr="009D5550">
        <w:rPr>
          <w:rFonts w:ascii="Arial" w:hAnsi="Arial" w:cs="Arial"/>
          <w:b/>
          <w:bCs/>
          <w:lang w:val="en-US"/>
        </w:rPr>
        <w:t>s</w:t>
      </w:r>
    </w:p>
    <w:p w14:paraId="2B2C9D5C" w14:textId="730B68D9" w:rsidR="003C78E1" w:rsidRPr="009D5550" w:rsidRDefault="003C78E1" w:rsidP="005A12EB">
      <w:pPr>
        <w:keepNext/>
        <w:spacing w:line="480" w:lineRule="auto"/>
        <w:rPr>
          <w:rFonts w:ascii="Arial" w:hAnsi="Arial" w:cs="Arial"/>
          <w:i/>
          <w:iCs/>
          <w:lang w:val="en-US"/>
        </w:rPr>
      </w:pPr>
      <w:r w:rsidRPr="009D5550">
        <w:rPr>
          <w:rFonts w:ascii="Arial" w:hAnsi="Arial" w:cs="Arial"/>
          <w:i/>
          <w:iCs/>
          <w:lang w:val="en-US"/>
        </w:rPr>
        <w:t xml:space="preserve">Change in ADHD </w:t>
      </w:r>
      <w:proofErr w:type="gramStart"/>
      <w:r w:rsidRPr="009D5550">
        <w:rPr>
          <w:rFonts w:ascii="Arial" w:hAnsi="Arial" w:cs="Arial"/>
          <w:i/>
          <w:iCs/>
          <w:lang w:val="en-US"/>
        </w:rPr>
        <w:t>symptom</w:t>
      </w:r>
      <w:r w:rsidR="003E471F">
        <w:rPr>
          <w:rFonts w:ascii="Arial" w:hAnsi="Arial" w:cs="Arial"/>
          <w:i/>
          <w:iCs/>
          <w:lang w:val="en-US"/>
        </w:rPr>
        <w:t>s</w:t>
      </w:r>
      <w:proofErr w:type="gramEnd"/>
    </w:p>
    <w:p w14:paraId="1C4EC5D8" w14:textId="2455C25B" w:rsidR="00B44A0C" w:rsidRDefault="007B5EBA" w:rsidP="003C78E1">
      <w:pPr>
        <w:spacing w:line="480" w:lineRule="auto"/>
        <w:ind w:firstLine="720"/>
        <w:rPr>
          <w:rFonts w:ascii="Arial" w:hAnsi="Arial" w:cs="Arial"/>
          <w:lang w:val="en-US"/>
        </w:rPr>
      </w:pPr>
      <w:r>
        <w:rPr>
          <w:rFonts w:ascii="Arial" w:hAnsi="Arial" w:cs="Arial"/>
          <w:lang w:val="en-US"/>
        </w:rPr>
        <w:t>T</w:t>
      </w:r>
      <w:r w:rsidR="00C945B7">
        <w:rPr>
          <w:rFonts w:ascii="Arial" w:hAnsi="Arial" w:cs="Arial"/>
          <w:lang w:val="en-US"/>
        </w:rPr>
        <w:t xml:space="preserve">he </w:t>
      </w:r>
      <w:r w:rsidR="00FE1D30">
        <w:rPr>
          <w:rFonts w:ascii="Arial" w:hAnsi="Arial" w:cs="Arial"/>
          <w:lang w:val="en-US"/>
        </w:rPr>
        <w:t xml:space="preserve">dose-response curve based on ten </w:t>
      </w:r>
      <w:r w:rsidR="003C78E1">
        <w:rPr>
          <w:rFonts w:ascii="Arial" w:hAnsi="Arial" w:cs="Arial"/>
          <w:lang w:val="en-US"/>
        </w:rPr>
        <w:t>fixed-dose RCTs</w:t>
      </w:r>
      <w:r w:rsidR="00FE1D30" w:rsidRPr="00FE1D30">
        <w:rPr>
          <w:rFonts w:ascii="Arial" w:hAnsi="Arial" w:cs="Arial"/>
          <w:lang w:val="en-US"/>
        </w:rPr>
        <w:t xml:space="preserve"> </w:t>
      </w:r>
      <w:r w:rsidR="00FE1D30">
        <w:rPr>
          <w:rFonts w:ascii="Arial" w:hAnsi="Arial" w:cs="Arial"/>
          <w:lang w:val="en-US"/>
        </w:rPr>
        <w:t xml:space="preserve">and 21 stimulant arms (dose range 12.5, 75 mg/d) demonstrated an initial sharp decrease followed by a </w:t>
      </w:r>
      <w:r w:rsidR="00FE1D30">
        <w:rPr>
          <w:rFonts w:ascii="Arial" w:hAnsi="Arial" w:cs="Arial"/>
          <w:lang w:val="en-US"/>
        </w:rPr>
        <w:lastRenderedPageBreak/>
        <w:t xml:space="preserve">plateau beyond 30-35 mg/d (Figure </w:t>
      </w:r>
      <w:r w:rsidR="002070F8">
        <w:rPr>
          <w:rFonts w:ascii="Arial" w:hAnsi="Arial" w:cs="Arial"/>
          <w:lang w:val="en-US"/>
        </w:rPr>
        <w:t>4A</w:t>
      </w:r>
      <w:r w:rsidR="00F441A7">
        <w:rPr>
          <w:rFonts w:ascii="Arial" w:hAnsi="Arial" w:cs="Arial"/>
          <w:lang w:val="en-US"/>
        </w:rPr>
        <w:t>;</w:t>
      </w:r>
      <w:r w:rsidR="00FE1D30">
        <w:rPr>
          <w:rFonts w:ascii="Arial" w:hAnsi="Arial" w:cs="Arial"/>
          <w:lang w:val="en-US"/>
        </w:rPr>
        <w:t xml:space="preserve"> Table </w:t>
      </w:r>
      <w:r w:rsidR="00D2124B">
        <w:rPr>
          <w:rFonts w:ascii="Arial" w:hAnsi="Arial" w:cs="Arial"/>
          <w:lang w:val="en-US"/>
        </w:rPr>
        <w:t>1</w:t>
      </w:r>
      <w:r w:rsidR="00FE1D30">
        <w:rPr>
          <w:rFonts w:ascii="Arial" w:hAnsi="Arial" w:cs="Arial"/>
          <w:lang w:val="en-US"/>
        </w:rPr>
        <w:t>).</w:t>
      </w:r>
      <w:r w:rsidR="005B42A9">
        <w:rPr>
          <w:rFonts w:ascii="Arial" w:hAnsi="Arial" w:cs="Arial"/>
          <w:lang w:val="en-US"/>
        </w:rPr>
        <w:t xml:space="preserve"> Consistently, the ED50 was estimated at 12.5 mg/d while the ED95 was estimated at 30 mg/d.</w:t>
      </w:r>
      <w:r w:rsidR="005B42A9" w:rsidRPr="005B42A9">
        <w:rPr>
          <w:rFonts w:ascii="Arial" w:hAnsi="Arial" w:cs="Arial"/>
          <w:lang w:val="en-US"/>
        </w:rPr>
        <w:t xml:space="preserve"> </w:t>
      </w:r>
    </w:p>
    <w:p w14:paraId="3BE9045D" w14:textId="3CACAA03" w:rsidR="007B5EBA" w:rsidRDefault="00B44A0C" w:rsidP="004F4983">
      <w:pPr>
        <w:spacing w:after="120" w:line="480" w:lineRule="auto"/>
        <w:ind w:firstLine="720"/>
        <w:rPr>
          <w:rFonts w:ascii="Arial" w:hAnsi="Arial" w:cs="Arial"/>
          <w:lang w:val="en-US"/>
        </w:rPr>
      </w:pPr>
      <w:r>
        <w:rPr>
          <w:rFonts w:ascii="Arial" w:hAnsi="Arial" w:cs="Arial"/>
          <w:lang w:val="en-US"/>
        </w:rPr>
        <w:t>NMA</w:t>
      </w:r>
      <w:r w:rsidR="005B42A9">
        <w:rPr>
          <w:rFonts w:ascii="Arial" w:hAnsi="Arial" w:cs="Arial"/>
          <w:lang w:val="en-US"/>
        </w:rPr>
        <w:t xml:space="preserve"> corroborated </w:t>
      </w:r>
      <w:r w:rsidR="00DA0235">
        <w:rPr>
          <w:rFonts w:ascii="Arial" w:hAnsi="Arial" w:cs="Arial"/>
          <w:lang w:val="en-US"/>
        </w:rPr>
        <w:t xml:space="preserve">that </w:t>
      </w:r>
      <w:r w:rsidR="00996EE7">
        <w:rPr>
          <w:rFonts w:ascii="Arial" w:hAnsi="Arial" w:cs="Arial"/>
          <w:lang w:val="en-US"/>
        </w:rPr>
        <w:t xml:space="preserve">unlicensed </w:t>
      </w:r>
      <w:r w:rsidR="00B01C8D">
        <w:rPr>
          <w:rFonts w:ascii="Arial" w:hAnsi="Arial" w:cs="Arial"/>
          <w:lang w:val="en-US"/>
        </w:rPr>
        <w:t xml:space="preserve">doses were not </w:t>
      </w:r>
      <w:r w:rsidR="008C4F8D">
        <w:rPr>
          <w:rFonts w:ascii="Arial" w:hAnsi="Arial" w:cs="Arial"/>
          <w:lang w:val="en-US"/>
        </w:rPr>
        <w:t xml:space="preserve">associated with larger reductions </w:t>
      </w:r>
      <w:r w:rsidR="003E471F">
        <w:rPr>
          <w:rFonts w:ascii="Arial" w:hAnsi="Arial" w:cs="Arial"/>
          <w:lang w:val="en-US"/>
        </w:rPr>
        <w:t>of</w:t>
      </w:r>
      <w:r w:rsidR="008C4F8D">
        <w:rPr>
          <w:rFonts w:ascii="Arial" w:hAnsi="Arial" w:cs="Arial"/>
          <w:lang w:val="en-US"/>
        </w:rPr>
        <w:t xml:space="preserve"> symptom</w:t>
      </w:r>
      <w:r w:rsidR="003E471F">
        <w:rPr>
          <w:rFonts w:ascii="Arial" w:hAnsi="Arial" w:cs="Arial"/>
          <w:lang w:val="en-US"/>
        </w:rPr>
        <w:t>s</w:t>
      </w:r>
      <w:r w:rsidR="008C4F8D">
        <w:rPr>
          <w:rFonts w:ascii="Arial" w:hAnsi="Arial" w:cs="Arial"/>
          <w:lang w:val="en-US"/>
        </w:rPr>
        <w:t xml:space="preserve"> in comparison to </w:t>
      </w:r>
      <w:r w:rsidR="00996EE7">
        <w:rPr>
          <w:rFonts w:ascii="Arial" w:hAnsi="Arial" w:cs="Arial"/>
          <w:lang w:val="en-US"/>
        </w:rPr>
        <w:t>licensed</w:t>
      </w:r>
      <w:r w:rsidR="008C4F8D">
        <w:rPr>
          <w:rFonts w:ascii="Arial" w:hAnsi="Arial" w:cs="Arial"/>
          <w:lang w:val="en-US"/>
        </w:rPr>
        <w:t xml:space="preserve"> doses</w:t>
      </w:r>
      <w:r w:rsidR="005B42A9">
        <w:rPr>
          <w:rFonts w:ascii="Arial" w:hAnsi="Arial" w:cs="Arial"/>
          <w:lang w:val="en-US"/>
        </w:rPr>
        <w:t xml:space="preserve"> (1</w:t>
      </w:r>
      <w:r w:rsidR="005C075B">
        <w:rPr>
          <w:rFonts w:ascii="Arial" w:hAnsi="Arial" w:cs="Arial"/>
          <w:lang w:val="en-US"/>
        </w:rPr>
        <w:t>4</w:t>
      </w:r>
      <w:r w:rsidR="007A3C15">
        <w:rPr>
          <w:rFonts w:ascii="Arial" w:hAnsi="Arial" w:cs="Arial"/>
          <w:lang w:val="en-US"/>
        </w:rPr>
        <w:t xml:space="preserve"> studies</w:t>
      </w:r>
      <w:r w:rsidR="007A2F6C">
        <w:rPr>
          <w:rFonts w:ascii="Arial" w:hAnsi="Arial" w:cs="Arial"/>
          <w:lang w:val="en-US"/>
        </w:rPr>
        <w:t>;</w:t>
      </w:r>
      <w:r w:rsidR="005B42A9">
        <w:rPr>
          <w:rFonts w:ascii="Arial" w:hAnsi="Arial" w:cs="Arial"/>
          <w:lang w:val="en-US"/>
        </w:rPr>
        <w:t xml:space="preserve"> SMD -0.08</w:t>
      </w:r>
      <w:r w:rsidR="004938C3">
        <w:rPr>
          <w:rFonts w:ascii="Arial" w:hAnsi="Arial" w:cs="Arial"/>
          <w:lang w:val="en-US"/>
        </w:rPr>
        <w:t>;</w:t>
      </w:r>
      <w:r w:rsidR="005B42A9">
        <w:rPr>
          <w:rFonts w:ascii="Arial" w:hAnsi="Arial" w:cs="Arial"/>
          <w:lang w:val="en-US"/>
        </w:rPr>
        <w:t xml:space="preserve"> 95% CI -0.24, 0.08</w:t>
      </w:r>
      <w:r w:rsidR="00712CDF">
        <w:rPr>
          <w:rFonts w:ascii="Arial" w:hAnsi="Arial" w:cs="Arial"/>
          <w:lang w:val="en-US"/>
        </w:rPr>
        <w:t>;</w:t>
      </w:r>
      <w:r w:rsidR="005B42A9">
        <w:rPr>
          <w:rFonts w:ascii="Arial" w:hAnsi="Arial" w:cs="Arial"/>
          <w:lang w:val="en-US"/>
        </w:rPr>
        <w:t xml:space="preserve"> P</w:t>
      </w:r>
      <w:r w:rsidR="00470FE2">
        <w:rPr>
          <w:rFonts w:ascii="Arial" w:hAnsi="Arial" w:cs="Arial"/>
          <w:lang w:val="en-US"/>
        </w:rPr>
        <w:t xml:space="preserve"> </w:t>
      </w:r>
      <w:r w:rsidR="007A3C15">
        <w:rPr>
          <w:rFonts w:ascii="Arial" w:hAnsi="Arial" w:cs="Arial"/>
          <w:lang w:val="en-US"/>
        </w:rPr>
        <w:t>=</w:t>
      </w:r>
      <w:r w:rsidR="00470FE2">
        <w:rPr>
          <w:rFonts w:ascii="Arial" w:hAnsi="Arial" w:cs="Arial"/>
          <w:lang w:val="en-US"/>
        </w:rPr>
        <w:t xml:space="preserve"> </w:t>
      </w:r>
      <w:r w:rsidR="005B42A9">
        <w:rPr>
          <w:rFonts w:ascii="Arial" w:hAnsi="Arial" w:cs="Arial"/>
          <w:lang w:val="en-US"/>
        </w:rPr>
        <w:t>.31</w:t>
      </w:r>
      <w:r w:rsidR="00B0600A">
        <w:rPr>
          <w:rFonts w:ascii="Arial" w:hAnsi="Arial" w:cs="Arial"/>
          <w:lang w:val="en-US"/>
        </w:rPr>
        <w:t>;</w:t>
      </w:r>
      <w:r w:rsidR="005B42A9">
        <w:rPr>
          <w:rFonts w:ascii="Arial" w:hAnsi="Arial" w:cs="Arial"/>
          <w:lang w:val="en-US"/>
        </w:rPr>
        <w:t xml:space="preserve"> very low) (Figure 3A</w:t>
      </w:r>
      <w:r w:rsidR="00906ADC">
        <w:rPr>
          <w:rFonts w:ascii="Arial" w:hAnsi="Arial" w:cs="Arial"/>
          <w:lang w:val="en-US"/>
        </w:rPr>
        <w:t xml:space="preserve">; eFigure </w:t>
      </w:r>
      <w:r w:rsidR="0006747F">
        <w:rPr>
          <w:rFonts w:ascii="Arial" w:hAnsi="Arial" w:cs="Arial"/>
          <w:lang w:val="en-US"/>
        </w:rPr>
        <w:t>1</w:t>
      </w:r>
      <w:r w:rsidR="009935E2">
        <w:rPr>
          <w:rFonts w:ascii="Arial" w:hAnsi="Arial" w:cs="Arial"/>
          <w:lang w:val="en-US"/>
        </w:rPr>
        <w:t>4,</w:t>
      </w:r>
      <w:r w:rsidR="0006747F">
        <w:rPr>
          <w:rFonts w:ascii="Arial" w:hAnsi="Arial" w:cs="Arial"/>
          <w:lang w:val="en-US"/>
        </w:rPr>
        <w:t>1</w:t>
      </w:r>
      <w:r w:rsidR="009935E2">
        <w:rPr>
          <w:rFonts w:ascii="Arial" w:hAnsi="Arial" w:cs="Arial"/>
          <w:lang w:val="en-US"/>
        </w:rPr>
        <w:t>5</w:t>
      </w:r>
      <w:r w:rsidR="00906ADC">
        <w:rPr>
          <w:rFonts w:ascii="Arial" w:hAnsi="Arial" w:cs="Arial"/>
          <w:lang w:val="en-US"/>
        </w:rPr>
        <w:t xml:space="preserve">; eTable </w:t>
      </w:r>
      <w:r w:rsidR="0006747F">
        <w:rPr>
          <w:rFonts w:ascii="Arial" w:hAnsi="Arial" w:cs="Arial"/>
          <w:lang w:val="en-US"/>
        </w:rPr>
        <w:t>4</w:t>
      </w:r>
      <w:r w:rsidR="005B42A9">
        <w:rPr>
          <w:rFonts w:ascii="Arial" w:hAnsi="Arial" w:cs="Arial"/>
          <w:lang w:val="en-US"/>
        </w:rPr>
        <w:t>)</w:t>
      </w:r>
      <w:r w:rsidR="008C4F8D">
        <w:rPr>
          <w:rFonts w:ascii="Arial" w:hAnsi="Arial" w:cs="Arial"/>
          <w:lang w:val="en-US"/>
        </w:rPr>
        <w:t>.</w:t>
      </w:r>
    </w:p>
    <w:p w14:paraId="05ACF6E5" w14:textId="64626ED6" w:rsidR="007B5EBA" w:rsidRPr="00B44A0C" w:rsidRDefault="007B5EBA" w:rsidP="007B5EBA">
      <w:pPr>
        <w:spacing w:line="480" w:lineRule="auto"/>
        <w:rPr>
          <w:rFonts w:ascii="Arial" w:hAnsi="Arial" w:cs="Arial"/>
          <w:i/>
          <w:iCs/>
          <w:lang w:val="en-US"/>
        </w:rPr>
      </w:pPr>
      <w:r w:rsidRPr="00235D19">
        <w:rPr>
          <w:rFonts w:ascii="Arial" w:hAnsi="Arial" w:cs="Arial"/>
          <w:i/>
          <w:iCs/>
          <w:lang w:val="en-US"/>
        </w:rPr>
        <w:t>Tolerability</w:t>
      </w:r>
    </w:p>
    <w:p w14:paraId="4AE1D4A4" w14:textId="39F1B70A" w:rsidR="0069361B" w:rsidRDefault="007B5EBA" w:rsidP="0069361B">
      <w:pPr>
        <w:spacing w:line="480" w:lineRule="auto"/>
        <w:ind w:firstLine="720"/>
        <w:rPr>
          <w:rFonts w:ascii="Arial" w:hAnsi="Arial" w:cs="Arial"/>
          <w:lang w:val="en-US"/>
        </w:rPr>
      </w:pPr>
      <w:r>
        <w:rPr>
          <w:rFonts w:ascii="Arial" w:hAnsi="Arial" w:cs="Arial"/>
          <w:lang w:val="en-US"/>
        </w:rPr>
        <w:t>The</w:t>
      </w:r>
      <w:r w:rsidR="0083538F">
        <w:rPr>
          <w:rFonts w:ascii="Arial" w:hAnsi="Arial" w:cs="Arial"/>
          <w:lang w:val="en-US"/>
        </w:rPr>
        <w:t xml:space="preserve"> dose-response curve based on seven </w:t>
      </w:r>
      <w:r w:rsidR="004F78CE">
        <w:rPr>
          <w:rFonts w:ascii="Arial" w:hAnsi="Arial" w:cs="Arial"/>
          <w:lang w:val="en-US"/>
        </w:rPr>
        <w:t xml:space="preserve">fixed-dose </w:t>
      </w:r>
      <w:r w:rsidR="0069361B">
        <w:rPr>
          <w:rFonts w:ascii="Arial" w:hAnsi="Arial" w:cs="Arial"/>
          <w:lang w:val="en-US"/>
        </w:rPr>
        <w:t>RCTs</w:t>
      </w:r>
      <w:r w:rsidR="0083538F">
        <w:rPr>
          <w:rFonts w:ascii="Arial" w:hAnsi="Arial" w:cs="Arial"/>
          <w:lang w:val="en-US"/>
        </w:rPr>
        <w:t xml:space="preserve"> and 15 stimulant arms (dose range 12.5, 75 mg/d) indicated a log-linear association with increments of 1.44% (95% CI 0.41%, 2.49%) on an exponential scale in the risk of dropping out due to adverse events for every 1 mg/d increase throughout the entire dose range for which data were available (Figure </w:t>
      </w:r>
      <w:r w:rsidR="002070F8">
        <w:rPr>
          <w:rFonts w:ascii="Arial" w:hAnsi="Arial" w:cs="Arial"/>
          <w:lang w:val="en-US"/>
        </w:rPr>
        <w:t>4B</w:t>
      </w:r>
      <w:r w:rsidR="00DB0CCC">
        <w:rPr>
          <w:rFonts w:ascii="Arial" w:hAnsi="Arial" w:cs="Arial"/>
          <w:lang w:val="en-US"/>
        </w:rPr>
        <w:t>;</w:t>
      </w:r>
      <w:r w:rsidR="0083538F">
        <w:rPr>
          <w:rFonts w:ascii="Arial" w:hAnsi="Arial" w:cs="Arial"/>
          <w:lang w:val="en-US"/>
        </w:rPr>
        <w:t xml:space="preserve"> Table </w:t>
      </w:r>
      <w:r w:rsidR="00EB3DCD">
        <w:rPr>
          <w:rFonts w:ascii="Arial" w:hAnsi="Arial" w:cs="Arial"/>
          <w:lang w:val="en-US"/>
        </w:rPr>
        <w:t>1</w:t>
      </w:r>
      <w:r w:rsidR="0083538F">
        <w:rPr>
          <w:rFonts w:ascii="Arial" w:hAnsi="Arial" w:cs="Arial"/>
          <w:lang w:val="en-US"/>
        </w:rPr>
        <w:t>).</w:t>
      </w:r>
    </w:p>
    <w:p w14:paraId="67327451" w14:textId="672981E0" w:rsidR="00FF6928" w:rsidRDefault="0069361B" w:rsidP="004F4983">
      <w:pPr>
        <w:spacing w:after="120" w:line="480" w:lineRule="auto"/>
        <w:ind w:firstLine="720"/>
        <w:rPr>
          <w:rFonts w:ascii="Arial" w:eastAsiaTheme="minorEastAsia" w:hAnsi="Arial" w:cs="Arial"/>
          <w:lang w:val="en-US"/>
        </w:rPr>
      </w:pPr>
      <w:r>
        <w:rPr>
          <w:rFonts w:ascii="Arial" w:hAnsi="Arial" w:cs="Arial"/>
          <w:lang w:val="en-US"/>
        </w:rPr>
        <w:t>NMA</w:t>
      </w:r>
      <w:r w:rsidR="0083538F">
        <w:rPr>
          <w:rFonts w:ascii="Arial" w:eastAsiaTheme="minorEastAsia" w:hAnsi="Arial" w:cs="Arial"/>
          <w:lang w:val="en-US"/>
        </w:rPr>
        <w:t xml:space="preserve"> </w:t>
      </w:r>
      <w:r w:rsidR="007D1A3C">
        <w:rPr>
          <w:rFonts w:ascii="Arial" w:eastAsiaTheme="minorEastAsia" w:hAnsi="Arial" w:cs="Arial"/>
          <w:lang w:val="en-US"/>
        </w:rPr>
        <w:t>did not</w:t>
      </w:r>
      <w:r w:rsidR="0083538F">
        <w:rPr>
          <w:rFonts w:ascii="Arial" w:eastAsiaTheme="minorEastAsia" w:hAnsi="Arial" w:cs="Arial"/>
          <w:lang w:val="en-US"/>
        </w:rPr>
        <w:t xml:space="preserve"> </w:t>
      </w:r>
      <w:r w:rsidR="008C2A7C">
        <w:rPr>
          <w:rFonts w:ascii="Arial" w:eastAsiaTheme="minorEastAsia" w:hAnsi="Arial" w:cs="Arial"/>
          <w:lang w:val="en-US"/>
        </w:rPr>
        <w:t>indicate</w:t>
      </w:r>
      <w:r w:rsidR="0083538F">
        <w:rPr>
          <w:rFonts w:ascii="Arial" w:eastAsiaTheme="minorEastAsia" w:hAnsi="Arial" w:cs="Arial"/>
          <w:lang w:val="en-US"/>
        </w:rPr>
        <w:t xml:space="preserve"> significant differences in tolerability (</w:t>
      </w:r>
      <w:r w:rsidR="0083538F">
        <w:rPr>
          <w:rFonts w:ascii="Arial" w:hAnsi="Arial" w:cs="Arial"/>
          <w:lang w:val="en-US"/>
        </w:rPr>
        <w:t>9</w:t>
      </w:r>
      <w:r w:rsidR="007A3C15">
        <w:rPr>
          <w:rFonts w:ascii="Arial" w:hAnsi="Arial" w:cs="Arial"/>
          <w:lang w:val="en-US"/>
        </w:rPr>
        <w:t xml:space="preserve"> studies</w:t>
      </w:r>
      <w:r w:rsidR="002C41F0">
        <w:rPr>
          <w:rFonts w:ascii="Arial" w:hAnsi="Arial" w:cs="Arial"/>
          <w:lang w:val="en-US"/>
        </w:rPr>
        <w:t>;</w:t>
      </w:r>
      <w:r w:rsidR="0083538F">
        <w:rPr>
          <w:rFonts w:ascii="Arial" w:hAnsi="Arial" w:cs="Arial"/>
          <w:lang w:val="en-US"/>
        </w:rPr>
        <w:t xml:space="preserve"> OR 1.19</w:t>
      </w:r>
      <w:r w:rsidR="002C41F0">
        <w:rPr>
          <w:rFonts w:ascii="Arial" w:hAnsi="Arial" w:cs="Arial"/>
          <w:lang w:val="en-US"/>
        </w:rPr>
        <w:t>;</w:t>
      </w:r>
      <w:r w:rsidR="0083538F">
        <w:rPr>
          <w:rFonts w:ascii="Arial" w:hAnsi="Arial" w:cs="Arial"/>
          <w:lang w:val="en-US"/>
        </w:rPr>
        <w:t xml:space="preserve"> 95% CI 0.71, 2.02</w:t>
      </w:r>
      <w:r w:rsidR="002C41F0">
        <w:rPr>
          <w:rFonts w:ascii="Arial" w:hAnsi="Arial" w:cs="Arial"/>
          <w:lang w:val="en-US"/>
        </w:rPr>
        <w:t>;</w:t>
      </w:r>
      <w:r w:rsidR="0083538F">
        <w:rPr>
          <w:rFonts w:ascii="Arial" w:hAnsi="Arial" w:cs="Arial"/>
          <w:lang w:val="en-US"/>
        </w:rPr>
        <w:t xml:space="preserve"> P</w:t>
      </w:r>
      <w:r w:rsidR="00A8584B">
        <w:rPr>
          <w:rFonts w:ascii="Arial" w:hAnsi="Arial" w:cs="Arial"/>
          <w:lang w:val="en-US"/>
        </w:rPr>
        <w:t xml:space="preserve"> </w:t>
      </w:r>
      <w:r w:rsidR="007A3C15">
        <w:rPr>
          <w:rFonts w:ascii="Arial" w:hAnsi="Arial" w:cs="Arial"/>
          <w:lang w:val="en-US"/>
        </w:rPr>
        <w:t>=</w:t>
      </w:r>
      <w:r w:rsidR="00A8584B">
        <w:rPr>
          <w:rFonts w:ascii="Arial" w:hAnsi="Arial" w:cs="Arial"/>
          <w:lang w:val="en-US"/>
        </w:rPr>
        <w:t xml:space="preserve"> </w:t>
      </w:r>
      <w:r w:rsidR="007A3C15">
        <w:rPr>
          <w:rFonts w:ascii="Arial" w:hAnsi="Arial" w:cs="Arial"/>
          <w:lang w:val="en-US"/>
        </w:rPr>
        <w:t>.</w:t>
      </w:r>
      <w:r w:rsidR="0083538F">
        <w:rPr>
          <w:rFonts w:ascii="Arial" w:hAnsi="Arial" w:cs="Arial"/>
          <w:lang w:val="en-US"/>
        </w:rPr>
        <w:t>51</w:t>
      </w:r>
      <w:r w:rsidR="002C41F0">
        <w:rPr>
          <w:rFonts w:ascii="Arial" w:hAnsi="Arial" w:cs="Arial"/>
          <w:lang w:val="en-US"/>
        </w:rPr>
        <w:t>;</w:t>
      </w:r>
      <w:r w:rsidR="0083538F">
        <w:rPr>
          <w:rFonts w:ascii="Arial" w:hAnsi="Arial" w:cs="Arial"/>
          <w:lang w:val="en-US"/>
        </w:rPr>
        <w:t xml:space="preserve"> low</w:t>
      </w:r>
      <w:r w:rsidR="0083538F">
        <w:rPr>
          <w:rFonts w:ascii="Arial" w:eastAsiaTheme="minorEastAsia" w:hAnsi="Arial" w:cs="Arial"/>
          <w:lang w:val="en-US"/>
        </w:rPr>
        <w:t xml:space="preserve">) between </w:t>
      </w:r>
      <w:r w:rsidR="00996EE7">
        <w:rPr>
          <w:rFonts w:ascii="Arial" w:eastAsiaTheme="minorEastAsia" w:hAnsi="Arial" w:cs="Arial"/>
          <w:lang w:val="en-US"/>
        </w:rPr>
        <w:t xml:space="preserve">unlicensed and licensed </w:t>
      </w:r>
      <w:r w:rsidR="0083538F">
        <w:rPr>
          <w:rFonts w:ascii="Arial" w:hAnsi="Arial" w:cs="Arial"/>
          <w:lang w:val="en-US"/>
        </w:rPr>
        <w:t>doses (</w:t>
      </w:r>
      <w:r w:rsidR="00AF394A">
        <w:rPr>
          <w:rFonts w:ascii="Arial" w:eastAsiaTheme="minorEastAsia" w:hAnsi="Arial" w:cs="Arial"/>
          <w:lang w:val="en-US"/>
        </w:rPr>
        <w:t>Figure 3</w:t>
      </w:r>
      <w:r w:rsidR="00F0509A">
        <w:rPr>
          <w:rFonts w:ascii="Arial" w:eastAsiaTheme="minorEastAsia" w:hAnsi="Arial" w:cs="Arial"/>
          <w:lang w:val="en-US"/>
        </w:rPr>
        <w:t>B;</w:t>
      </w:r>
      <w:r w:rsidR="00AF394A">
        <w:rPr>
          <w:rFonts w:ascii="Arial" w:eastAsiaTheme="minorEastAsia" w:hAnsi="Arial" w:cs="Arial"/>
          <w:lang w:val="en-US"/>
        </w:rPr>
        <w:t xml:space="preserve"> </w:t>
      </w:r>
      <w:r w:rsidR="00F0509A">
        <w:rPr>
          <w:rFonts w:ascii="Arial" w:hAnsi="Arial" w:cs="Arial"/>
          <w:lang w:val="en-US"/>
        </w:rPr>
        <w:t xml:space="preserve">eFigure </w:t>
      </w:r>
      <w:r w:rsidR="0006747F">
        <w:rPr>
          <w:rFonts w:ascii="Arial" w:hAnsi="Arial" w:cs="Arial"/>
          <w:lang w:val="en-US"/>
        </w:rPr>
        <w:t>1</w:t>
      </w:r>
      <w:r w:rsidR="009935E2">
        <w:rPr>
          <w:rFonts w:ascii="Arial" w:hAnsi="Arial" w:cs="Arial"/>
          <w:lang w:val="en-US"/>
        </w:rPr>
        <w:t>4</w:t>
      </w:r>
      <w:r w:rsidR="00F0509A">
        <w:rPr>
          <w:rFonts w:ascii="Arial" w:hAnsi="Arial" w:cs="Arial"/>
          <w:lang w:val="en-US"/>
        </w:rPr>
        <w:t>,</w:t>
      </w:r>
      <w:r w:rsidR="0006747F">
        <w:rPr>
          <w:rFonts w:ascii="Arial" w:hAnsi="Arial" w:cs="Arial"/>
          <w:lang w:val="en-US"/>
        </w:rPr>
        <w:t>1</w:t>
      </w:r>
      <w:r w:rsidR="009935E2">
        <w:rPr>
          <w:rFonts w:ascii="Arial" w:hAnsi="Arial" w:cs="Arial"/>
          <w:lang w:val="en-US"/>
        </w:rPr>
        <w:t>6</w:t>
      </w:r>
      <w:r w:rsidR="00F0509A">
        <w:rPr>
          <w:rFonts w:ascii="Arial" w:hAnsi="Arial" w:cs="Arial"/>
          <w:lang w:val="en-US"/>
        </w:rPr>
        <w:t xml:space="preserve">; eTable </w:t>
      </w:r>
      <w:r w:rsidR="0006747F">
        <w:rPr>
          <w:rFonts w:ascii="Arial" w:hAnsi="Arial" w:cs="Arial"/>
          <w:lang w:val="en-US"/>
        </w:rPr>
        <w:t>4</w:t>
      </w:r>
      <w:r w:rsidR="0083538F">
        <w:rPr>
          <w:rFonts w:ascii="Arial" w:eastAsiaTheme="minorEastAsia" w:hAnsi="Arial" w:cs="Arial"/>
          <w:lang w:val="en-US"/>
        </w:rPr>
        <w:t>).</w:t>
      </w:r>
    </w:p>
    <w:p w14:paraId="7F451E0E" w14:textId="77777777" w:rsidR="004F4983" w:rsidRPr="00CE5503" w:rsidRDefault="004F4983" w:rsidP="00D076B8">
      <w:pPr>
        <w:keepNext/>
        <w:spacing w:line="480" w:lineRule="auto"/>
        <w:rPr>
          <w:rFonts w:ascii="Arial" w:eastAsiaTheme="minorEastAsia" w:hAnsi="Arial" w:cs="Arial"/>
          <w:lang w:val="en-US"/>
        </w:rPr>
      </w:pPr>
      <w:r w:rsidRPr="00CE5503">
        <w:rPr>
          <w:rFonts w:ascii="Arial" w:eastAsiaTheme="minorEastAsia" w:hAnsi="Arial" w:cs="Arial"/>
          <w:i/>
          <w:iCs/>
          <w:lang w:val="en-US"/>
        </w:rPr>
        <w:t>Acceptability</w:t>
      </w:r>
    </w:p>
    <w:p w14:paraId="76808CC5" w14:textId="183A6F0B" w:rsidR="00A14391" w:rsidRPr="007A3C15" w:rsidRDefault="00663A2D" w:rsidP="00A14391">
      <w:pPr>
        <w:spacing w:after="120" w:line="480" w:lineRule="auto"/>
        <w:rPr>
          <w:rFonts w:ascii="Arial" w:hAnsi="Arial" w:cs="Arial"/>
          <w:lang w:val="en-US"/>
        </w:rPr>
      </w:pPr>
      <w:r>
        <w:rPr>
          <w:rFonts w:ascii="Arial" w:eastAsiaTheme="minorEastAsia" w:hAnsi="Arial" w:cs="Arial"/>
          <w:lang w:val="en-US"/>
        </w:rPr>
        <w:tab/>
      </w:r>
      <w:bookmarkStart w:id="8" w:name="_Hlk138068315"/>
      <w:r>
        <w:rPr>
          <w:rFonts w:ascii="Arial" w:eastAsiaTheme="minorEastAsia" w:hAnsi="Arial" w:cs="Arial"/>
          <w:lang w:val="en-US"/>
        </w:rPr>
        <w:t xml:space="preserve">The dose-response curve </w:t>
      </w:r>
      <w:r w:rsidR="00897D6B">
        <w:rPr>
          <w:rFonts w:ascii="Arial" w:eastAsiaTheme="minorEastAsia" w:hAnsi="Arial" w:cs="Arial"/>
          <w:lang w:val="en-US"/>
        </w:rPr>
        <w:t xml:space="preserve">did not indicate a significant association with acceptability </w:t>
      </w:r>
      <w:r>
        <w:rPr>
          <w:rFonts w:ascii="Arial" w:eastAsiaTheme="minorEastAsia" w:hAnsi="Arial" w:cs="Arial"/>
          <w:lang w:val="en-US"/>
        </w:rPr>
        <w:t>(P</w:t>
      </w:r>
      <w:r w:rsidR="00A8584B">
        <w:rPr>
          <w:rFonts w:ascii="Arial" w:eastAsiaTheme="minorEastAsia" w:hAnsi="Arial" w:cs="Arial"/>
          <w:lang w:val="en-US"/>
        </w:rPr>
        <w:t xml:space="preserve"> </w:t>
      </w:r>
      <w:r w:rsidR="007A3C15">
        <w:rPr>
          <w:rFonts w:ascii="Arial" w:eastAsiaTheme="minorEastAsia" w:hAnsi="Arial" w:cs="Arial"/>
          <w:lang w:val="en-US"/>
        </w:rPr>
        <w:t>=</w:t>
      </w:r>
      <w:r w:rsidR="00A8584B">
        <w:rPr>
          <w:rFonts w:ascii="Arial" w:eastAsiaTheme="minorEastAsia" w:hAnsi="Arial" w:cs="Arial"/>
          <w:lang w:val="en-US"/>
        </w:rPr>
        <w:t xml:space="preserve"> </w:t>
      </w:r>
      <w:r>
        <w:rPr>
          <w:rFonts w:ascii="Arial" w:eastAsiaTheme="minorEastAsia" w:hAnsi="Arial" w:cs="Arial"/>
          <w:lang w:val="en-US"/>
        </w:rPr>
        <w:t>.79)</w:t>
      </w:r>
      <w:r w:rsidR="00897D6B">
        <w:rPr>
          <w:rFonts w:ascii="Arial" w:eastAsiaTheme="minorEastAsia" w:hAnsi="Arial" w:cs="Arial"/>
          <w:lang w:val="en-US"/>
        </w:rPr>
        <w:t xml:space="preserve">. </w:t>
      </w:r>
      <w:r>
        <w:rPr>
          <w:rFonts w:ascii="Arial" w:eastAsiaTheme="minorEastAsia" w:hAnsi="Arial" w:cs="Arial"/>
          <w:lang w:val="en-US"/>
        </w:rPr>
        <w:t xml:space="preserve">NMA </w:t>
      </w:r>
      <w:r w:rsidR="00897D6B">
        <w:rPr>
          <w:rFonts w:ascii="Arial" w:eastAsiaTheme="minorEastAsia" w:hAnsi="Arial" w:cs="Arial"/>
          <w:lang w:val="en-US"/>
        </w:rPr>
        <w:t>corroborated</w:t>
      </w:r>
      <w:r w:rsidR="00A14391">
        <w:rPr>
          <w:rFonts w:ascii="Arial" w:eastAsiaTheme="minorEastAsia" w:hAnsi="Arial" w:cs="Arial"/>
          <w:lang w:val="en-US"/>
        </w:rPr>
        <w:t xml:space="preserve"> </w:t>
      </w:r>
      <w:r w:rsidR="00897D6B">
        <w:rPr>
          <w:rFonts w:ascii="Arial" w:eastAsiaTheme="minorEastAsia" w:hAnsi="Arial" w:cs="Arial"/>
          <w:lang w:val="en-US"/>
        </w:rPr>
        <w:t xml:space="preserve">there were </w:t>
      </w:r>
      <w:r w:rsidR="00A14391">
        <w:rPr>
          <w:rFonts w:ascii="Arial" w:eastAsiaTheme="minorEastAsia" w:hAnsi="Arial" w:cs="Arial"/>
          <w:lang w:val="en-US"/>
        </w:rPr>
        <w:t>no differences in acceptability (</w:t>
      </w:r>
      <w:r w:rsidR="003E471F">
        <w:rPr>
          <w:rFonts w:ascii="Arial" w:eastAsiaTheme="minorEastAsia" w:hAnsi="Arial" w:cs="Arial"/>
          <w:lang w:val="en-US"/>
        </w:rPr>
        <w:t xml:space="preserve">10 studies; OR 0.81; 95% CI 0.54, 1.22; </w:t>
      </w:r>
      <w:r w:rsidR="00A14391">
        <w:rPr>
          <w:rFonts w:ascii="Arial" w:eastAsiaTheme="minorEastAsia" w:hAnsi="Arial" w:cs="Arial"/>
          <w:lang w:val="en-US"/>
        </w:rPr>
        <w:t>P</w:t>
      </w:r>
      <w:r w:rsidR="00A8584B">
        <w:rPr>
          <w:rFonts w:ascii="Arial" w:eastAsiaTheme="minorEastAsia" w:hAnsi="Arial" w:cs="Arial"/>
          <w:lang w:val="en-US"/>
        </w:rPr>
        <w:t xml:space="preserve"> </w:t>
      </w:r>
      <w:r w:rsidR="00A14391">
        <w:rPr>
          <w:rFonts w:ascii="Arial" w:eastAsiaTheme="minorEastAsia" w:hAnsi="Arial" w:cs="Arial"/>
          <w:lang w:val="en-US"/>
        </w:rPr>
        <w:t>=</w:t>
      </w:r>
      <w:r w:rsidR="00A8584B">
        <w:rPr>
          <w:rFonts w:ascii="Arial" w:eastAsiaTheme="minorEastAsia" w:hAnsi="Arial" w:cs="Arial"/>
          <w:lang w:val="en-US"/>
        </w:rPr>
        <w:t xml:space="preserve"> </w:t>
      </w:r>
      <w:r w:rsidR="00A14391">
        <w:rPr>
          <w:rFonts w:ascii="Arial" w:eastAsiaTheme="minorEastAsia" w:hAnsi="Arial" w:cs="Arial"/>
          <w:lang w:val="en-US"/>
        </w:rPr>
        <w:t>.31</w:t>
      </w:r>
      <w:r w:rsidR="003E471F">
        <w:rPr>
          <w:rFonts w:ascii="Arial" w:eastAsiaTheme="minorEastAsia" w:hAnsi="Arial" w:cs="Arial"/>
          <w:lang w:val="en-US"/>
        </w:rPr>
        <w:t>; low</w:t>
      </w:r>
      <w:r w:rsidR="00A14391">
        <w:rPr>
          <w:rFonts w:ascii="Arial" w:eastAsiaTheme="minorEastAsia" w:hAnsi="Arial" w:cs="Arial"/>
          <w:lang w:val="en-US"/>
        </w:rPr>
        <w:t xml:space="preserve">) </w:t>
      </w:r>
      <w:bookmarkEnd w:id="8"/>
      <w:r w:rsidR="00A14391">
        <w:rPr>
          <w:rFonts w:ascii="Arial" w:eastAsiaTheme="minorEastAsia" w:hAnsi="Arial" w:cs="Arial"/>
          <w:lang w:val="en-US"/>
        </w:rPr>
        <w:t xml:space="preserve">between </w:t>
      </w:r>
      <w:r w:rsidR="00996EE7">
        <w:rPr>
          <w:rFonts w:ascii="Arial" w:eastAsiaTheme="minorEastAsia" w:hAnsi="Arial" w:cs="Arial"/>
          <w:lang w:val="en-US"/>
        </w:rPr>
        <w:t xml:space="preserve">unlicensed and licensed </w:t>
      </w:r>
      <w:r w:rsidR="00A14391">
        <w:rPr>
          <w:rFonts w:ascii="Arial" w:eastAsiaTheme="minorEastAsia" w:hAnsi="Arial" w:cs="Arial"/>
          <w:lang w:val="en-US"/>
        </w:rPr>
        <w:t xml:space="preserve">doses </w:t>
      </w:r>
      <w:r w:rsidR="00A14391">
        <w:rPr>
          <w:rFonts w:ascii="Arial" w:hAnsi="Arial" w:cs="Arial"/>
          <w:lang w:val="en-US"/>
        </w:rPr>
        <w:t>(</w:t>
      </w:r>
      <w:proofErr w:type="spellStart"/>
      <w:r w:rsidR="00580F64">
        <w:rPr>
          <w:rFonts w:ascii="Arial" w:hAnsi="Arial" w:cs="Arial"/>
          <w:lang w:val="en-US"/>
        </w:rPr>
        <w:t>eResults</w:t>
      </w:r>
      <w:proofErr w:type="spellEnd"/>
      <w:r w:rsidR="00A14391">
        <w:rPr>
          <w:rFonts w:ascii="Arial" w:hAnsi="Arial" w:cs="Arial"/>
          <w:lang w:val="en-US"/>
        </w:rPr>
        <w:t xml:space="preserve"> 3).</w:t>
      </w:r>
    </w:p>
    <w:p w14:paraId="4E1C249B" w14:textId="2DCB8B50" w:rsidR="00FF6928" w:rsidRPr="00235D19" w:rsidRDefault="00FF6928" w:rsidP="00FF6928">
      <w:pPr>
        <w:spacing w:line="480" w:lineRule="auto"/>
        <w:rPr>
          <w:rFonts w:ascii="Arial" w:hAnsi="Arial" w:cs="Arial"/>
          <w:i/>
          <w:iCs/>
          <w:lang w:val="en-US"/>
        </w:rPr>
      </w:pPr>
      <w:r w:rsidRPr="00235D19">
        <w:rPr>
          <w:rFonts w:ascii="Arial" w:hAnsi="Arial" w:cs="Arial"/>
          <w:i/>
          <w:iCs/>
          <w:lang w:val="en-US"/>
        </w:rPr>
        <w:t>Heterogeneity</w:t>
      </w:r>
      <w:r>
        <w:rPr>
          <w:rFonts w:ascii="Arial" w:hAnsi="Arial" w:cs="Arial"/>
          <w:i/>
          <w:iCs/>
          <w:lang w:val="en-US"/>
        </w:rPr>
        <w:t xml:space="preserve">, </w:t>
      </w:r>
      <w:r w:rsidR="0069361B" w:rsidRPr="00235D19">
        <w:rPr>
          <w:rFonts w:ascii="Arial" w:hAnsi="Arial" w:cs="Arial"/>
          <w:i/>
          <w:iCs/>
          <w:lang w:val="en-US"/>
        </w:rPr>
        <w:t>incoherence,</w:t>
      </w:r>
      <w:r>
        <w:rPr>
          <w:rFonts w:ascii="Arial" w:hAnsi="Arial" w:cs="Arial"/>
          <w:i/>
          <w:iCs/>
          <w:lang w:val="en-US"/>
        </w:rPr>
        <w:t xml:space="preserve"> and sensitivity analyses</w:t>
      </w:r>
    </w:p>
    <w:p w14:paraId="3FE71AC1" w14:textId="307E1B1E" w:rsidR="00A14391" w:rsidRPr="00A14391" w:rsidRDefault="0069361B" w:rsidP="00A14391">
      <w:pPr>
        <w:spacing w:line="480" w:lineRule="auto"/>
        <w:ind w:firstLine="720"/>
        <w:rPr>
          <w:rFonts w:ascii="Arial" w:eastAsiaTheme="minorEastAsia" w:hAnsi="Arial" w:cs="Arial"/>
          <w:lang w:val="en-US"/>
        </w:rPr>
      </w:pPr>
      <w:r>
        <w:rPr>
          <w:rFonts w:ascii="Arial" w:hAnsi="Arial" w:cs="Arial"/>
          <w:lang w:val="en-US"/>
        </w:rPr>
        <w:t>T</w:t>
      </w:r>
      <w:r w:rsidR="00AF394A">
        <w:rPr>
          <w:rFonts w:ascii="Arial" w:hAnsi="Arial" w:cs="Arial"/>
          <w:lang w:val="en-US"/>
        </w:rPr>
        <w:t>here</w:t>
      </w:r>
      <w:r w:rsidR="00973B3D">
        <w:rPr>
          <w:rFonts w:ascii="Arial" w:hAnsi="Arial" w:cs="Arial"/>
          <w:lang w:val="en-US"/>
        </w:rPr>
        <w:t xml:space="preserve"> was</w:t>
      </w:r>
      <w:r w:rsidR="00AF394A">
        <w:rPr>
          <w:rFonts w:ascii="Arial" w:hAnsi="Arial" w:cs="Arial"/>
          <w:lang w:val="en-US"/>
        </w:rPr>
        <w:t xml:space="preserve"> </w:t>
      </w:r>
      <w:r w:rsidR="00A14391">
        <w:rPr>
          <w:rFonts w:ascii="Arial" w:hAnsi="Arial" w:cs="Arial"/>
          <w:lang w:val="en-US"/>
        </w:rPr>
        <w:t xml:space="preserve">low (tolerability), low-to-moderate (acceptability) and moderate-to-high (VPC ≥ 50%) </w:t>
      </w:r>
      <w:r w:rsidR="00B92BF6">
        <w:rPr>
          <w:rFonts w:ascii="Arial" w:hAnsi="Arial" w:cs="Arial"/>
          <w:lang w:val="en-US"/>
        </w:rPr>
        <w:t>(change in ADHD symptom</w:t>
      </w:r>
      <w:r w:rsidR="003E471F">
        <w:rPr>
          <w:rFonts w:ascii="Arial" w:hAnsi="Arial" w:cs="Arial"/>
          <w:lang w:val="en-US"/>
        </w:rPr>
        <w:t>s</w:t>
      </w:r>
      <w:r w:rsidR="00B92BF6">
        <w:rPr>
          <w:rFonts w:ascii="Arial" w:hAnsi="Arial" w:cs="Arial"/>
          <w:lang w:val="en-US"/>
        </w:rPr>
        <w:t xml:space="preserve">) </w:t>
      </w:r>
      <w:r w:rsidR="00A14391">
        <w:rPr>
          <w:rFonts w:ascii="Arial" w:hAnsi="Arial" w:cs="Arial"/>
          <w:lang w:val="en-US"/>
        </w:rPr>
        <w:t>heterogeneity in t</w:t>
      </w:r>
      <w:r w:rsidR="00A14391">
        <w:rPr>
          <w:rFonts w:ascii="Arial" w:eastAsiaTheme="minorEastAsia" w:hAnsi="Arial" w:cs="Arial"/>
          <w:lang w:val="en-US"/>
        </w:rPr>
        <w:t>he dose-response meta-analys</w:t>
      </w:r>
      <w:r w:rsidR="00A8584B">
        <w:rPr>
          <w:rFonts w:ascii="Arial" w:eastAsiaTheme="minorEastAsia" w:hAnsi="Arial" w:cs="Arial"/>
          <w:lang w:val="en-US"/>
        </w:rPr>
        <w:t>e</w:t>
      </w:r>
      <w:r w:rsidR="00A14391">
        <w:rPr>
          <w:rFonts w:ascii="Arial" w:eastAsiaTheme="minorEastAsia" w:hAnsi="Arial" w:cs="Arial"/>
          <w:lang w:val="en-US"/>
        </w:rPr>
        <w:t>s (eFigure 1</w:t>
      </w:r>
      <w:r w:rsidR="00D536E7">
        <w:rPr>
          <w:rFonts w:ascii="Arial" w:eastAsiaTheme="minorEastAsia" w:hAnsi="Arial" w:cs="Arial"/>
          <w:lang w:val="en-US"/>
        </w:rPr>
        <w:t>7</w:t>
      </w:r>
      <w:r w:rsidR="00F3440F">
        <w:rPr>
          <w:rFonts w:ascii="Arial" w:eastAsiaTheme="minorEastAsia" w:hAnsi="Arial" w:cs="Arial"/>
          <w:lang w:val="en-US"/>
        </w:rPr>
        <w:t>,</w:t>
      </w:r>
      <w:r w:rsidR="00A14391">
        <w:rPr>
          <w:rFonts w:ascii="Arial" w:eastAsiaTheme="minorEastAsia" w:hAnsi="Arial" w:cs="Arial"/>
          <w:lang w:val="en-US"/>
        </w:rPr>
        <w:t>1</w:t>
      </w:r>
      <w:r w:rsidR="00D536E7">
        <w:rPr>
          <w:rFonts w:ascii="Arial" w:eastAsiaTheme="minorEastAsia" w:hAnsi="Arial" w:cs="Arial"/>
          <w:lang w:val="en-US"/>
        </w:rPr>
        <w:t>8</w:t>
      </w:r>
      <w:r w:rsidR="00A14391">
        <w:rPr>
          <w:rFonts w:ascii="Arial" w:eastAsiaTheme="minorEastAsia" w:hAnsi="Arial" w:cs="Arial"/>
          <w:lang w:val="en-US"/>
        </w:rPr>
        <w:t xml:space="preserve">; </w:t>
      </w:r>
      <w:proofErr w:type="spellStart"/>
      <w:r w:rsidR="00A14391">
        <w:rPr>
          <w:rFonts w:ascii="Arial" w:eastAsiaTheme="minorEastAsia" w:hAnsi="Arial" w:cs="Arial"/>
          <w:lang w:val="en-US"/>
        </w:rPr>
        <w:t>e</w:t>
      </w:r>
      <w:r w:rsidR="00D536E7">
        <w:rPr>
          <w:rFonts w:ascii="Arial" w:eastAsiaTheme="minorEastAsia" w:hAnsi="Arial" w:cs="Arial"/>
          <w:lang w:val="en-US"/>
        </w:rPr>
        <w:t>Results</w:t>
      </w:r>
      <w:proofErr w:type="spellEnd"/>
      <w:r w:rsidR="00D536E7">
        <w:rPr>
          <w:rFonts w:ascii="Arial" w:eastAsiaTheme="minorEastAsia" w:hAnsi="Arial" w:cs="Arial"/>
          <w:lang w:val="en-US"/>
        </w:rPr>
        <w:t xml:space="preserve"> </w:t>
      </w:r>
      <w:r w:rsidR="00A14391">
        <w:rPr>
          <w:rFonts w:ascii="Arial" w:eastAsiaTheme="minorEastAsia" w:hAnsi="Arial" w:cs="Arial"/>
          <w:lang w:val="en-US"/>
        </w:rPr>
        <w:t>3).</w:t>
      </w:r>
    </w:p>
    <w:p w14:paraId="1B8451EF" w14:textId="1B2DB5FD" w:rsidR="00A14391" w:rsidRPr="00A14391" w:rsidRDefault="0069361B" w:rsidP="00A14391">
      <w:pPr>
        <w:spacing w:line="480" w:lineRule="auto"/>
        <w:ind w:firstLine="720"/>
        <w:rPr>
          <w:rFonts w:ascii="Arial" w:eastAsiaTheme="minorEastAsia" w:hAnsi="Arial" w:cs="Arial"/>
          <w:lang w:val="en-US"/>
        </w:rPr>
      </w:pPr>
      <w:r>
        <w:rPr>
          <w:rFonts w:ascii="Arial" w:hAnsi="Arial" w:cs="Arial"/>
          <w:lang w:val="en-US"/>
        </w:rPr>
        <w:lastRenderedPageBreak/>
        <w:t>T</w:t>
      </w:r>
      <w:r w:rsidR="00AF394A">
        <w:rPr>
          <w:rFonts w:ascii="Arial" w:hAnsi="Arial" w:cs="Arial"/>
          <w:lang w:val="en-US"/>
        </w:rPr>
        <w:t xml:space="preserve">here was </w:t>
      </w:r>
      <w:r w:rsidR="00A14391">
        <w:rPr>
          <w:rFonts w:ascii="Arial" w:hAnsi="Arial" w:cs="Arial"/>
          <w:lang w:val="en-US"/>
        </w:rPr>
        <w:t xml:space="preserve">low heterogeneity in the NMAs (change in ADHD symptom severity: </w:t>
      </w:r>
      <m:oMath>
        <m:r>
          <w:rPr>
            <w:rFonts w:ascii="Cambria Math" w:hAnsi="Cambria Math" w:cs="Arial"/>
            <w:lang w:val="en-US"/>
          </w:rPr>
          <m:t>τ</m:t>
        </m:r>
      </m:oMath>
      <w:r w:rsidR="00A14391">
        <w:rPr>
          <w:rFonts w:ascii="Arial" w:eastAsiaTheme="minorEastAsia" w:hAnsi="Arial" w:cs="Arial"/>
          <w:vertAlign w:val="superscript"/>
          <w:lang w:val="en-US"/>
        </w:rPr>
        <w:t>2</w:t>
      </w:r>
      <w:r w:rsidR="00A14391">
        <w:rPr>
          <w:rFonts w:ascii="Arial" w:eastAsiaTheme="minorEastAsia" w:hAnsi="Arial" w:cs="Arial"/>
          <w:lang w:val="en-US"/>
        </w:rPr>
        <w:t xml:space="preserve"> 0.002; I</w:t>
      </w:r>
      <w:r w:rsidR="00A14391">
        <w:rPr>
          <w:rFonts w:ascii="Arial" w:eastAsiaTheme="minorEastAsia" w:hAnsi="Arial" w:cs="Arial"/>
          <w:vertAlign w:val="superscript"/>
          <w:lang w:val="en-US"/>
        </w:rPr>
        <w:t xml:space="preserve">2 </w:t>
      </w:r>
      <w:r w:rsidR="00A14391">
        <w:rPr>
          <w:rFonts w:ascii="Arial" w:eastAsiaTheme="minorEastAsia" w:hAnsi="Arial" w:cs="Arial"/>
          <w:lang w:val="en-US"/>
        </w:rPr>
        <w:t xml:space="preserve">55%; tolerability: </w:t>
      </w:r>
      <m:oMath>
        <m:r>
          <w:rPr>
            <w:rFonts w:ascii="Cambria Math" w:hAnsi="Cambria Math" w:cs="Arial"/>
            <w:lang w:val="en-US"/>
          </w:rPr>
          <m:t>τ</m:t>
        </m:r>
      </m:oMath>
      <w:r w:rsidR="00A14391">
        <w:rPr>
          <w:rFonts w:ascii="Arial" w:eastAsiaTheme="minorEastAsia" w:hAnsi="Arial" w:cs="Arial"/>
          <w:vertAlign w:val="superscript"/>
          <w:lang w:val="en-US"/>
        </w:rPr>
        <w:t>2</w:t>
      </w:r>
      <w:r w:rsidR="00A14391">
        <w:rPr>
          <w:rFonts w:ascii="Arial" w:eastAsiaTheme="minorEastAsia" w:hAnsi="Arial" w:cs="Arial"/>
          <w:lang w:val="en-US"/>
        </w:rPr>
        <w:t xml:space="preserve"> &lt; 0.0001; I</w:t>
      </w:r>
      <w:r w:rsidR="00A14391">
        <w:rPr>
          <w:rFonts w:ascii="Arial" w:eastAsiaTheme="minorEastAsia" w:hAnsi="Arial" w:cs="Arial"/>
          <w:vertAlign w:val="superscript"/>
          <w:lang w:val="en-US"/>
        </w:rPr>
        <w:t xml:space="preserve">2 </w:t>
      </w:r>
      <w:r w:rsidR="00A14391">
        <w:rPr>
          <w:rFonts w:ascii="Arial" w:eastAsiaTheme="minorEastAsia" w:hAnsi="Arial" w:cs="Arial"/>
          <w:lang w:val="en-US"/>
        </w:rPr>
        <w:t xml:space="preserve">0%; acceptability: </w:t>
      </w:r>
      <m:oMath>
        <m:r>
          <w:rPr>
            <w:rFonts w:ascii="Cambria Math" w:hAnsi="Cambria Math" w:cs="Arial"/>
            <w:lang w:val="en-US"/>
          </w:rPr>
          <m:t>τ</m:t>
        </m:r>
      </m:oMath>
      <w:r w:rsidR="00A14391">
        <w:rPr>
          <w:rFonts w:ascii="Arial" w:eastAsiaTheme="minorEastAsia" w:hAnsi="Arial" w:cs="Arial"/>
          <w:vertAlign w:val="superscript"/>
          <w:lang w:val="en-US"/>
        </w:rPr>
        <w:t>2</w:t>
      </w:r>
      <w:r w:rsidR="00A14391">
        <w:rPr>
          <w:rFonts w:ascii="Arial" w:eastAsiaTheme="minorEastAsia" w:hAnsi="Arial" w:cs="Arial"/>
          <w:lang w:val="en-US"/>
        </w:rPr>
        <w:t xml:space="preserve"> 0.04; I</w:t>
      </w:r>
      <w:r w:rsidR="00A14391">
        <w:rPr>
          <w:rFonts w:ascii="Arial" w:eastAsiaTheme="minorEastAsia" w:hAnsi="Arial" w:cs="Arial"/>
          <w:vertAlign w:val="superscript"/>
          <w:lang w:val="en-US"/>
        </w:rPr>
        <w:t xml:space="preserve">2 </w:t>
      </w:r>
      <w:r w:rsidR="00A14391">
        <w:rPr>
          <w:rFonts w:ascii="Arial" w:eastAsiaTheme="minorEastAsia" w:hAnsi="Arial" w:cs="Arial"/>
          <w:lang w:val="en-US"/>
        </w:rPr>
        <w:t xml:space="preserve">10%). There was some evidence of global incoherence (Q 5.09; P=.07) in the NMA for acceptability. There was no further evidence of incoherence in any of the NMAs (eTable 5,6; </w:t>
      </w:r>
      <w:proofErr w:type="spellStart"/>
      <w:r w:rsidR="00D536E7">
        <w:rPr>
          <w:rFonts w:ascii="Arial" w:eastAsiaTheme="minorEastAsia" w:hAnsi="Arial" w:cs="Arial"/>
          <w:lang w:val="en-US"/>
        </w:rPr>
        <w:t>eResults</w:t>
      </w:r>
      <w:proofErr w:type="spellEnd"/>
      <w:r w:rsidR="00A14391">
        <w:rPr>
          <w:rFonts w:ascii="Arial" w:eastAsiaTheme="minorEastAsia" w:hAnsi="Arial" w:cs="Arial"/>
          <w:lang w:val="en-US"/>
        </w:rPr>
        <w:t xml:space="preserve"> 3).</w:t>
      </w:r>
      <w:r w:rsidR="00A14391" w:rsidRPr="00A14391">
        <w:rPr>
          <w:rFonts w:ascii="Arial" w:eastAsiaTheme="minorEastAsia" w:hAnsi="Arial" w:cs="Arial"/>
          <w:lang w:val="en-US"/>
        </w:rPr>
        <w:t xml:space="preserve"> </w:t>
      </w:r>
      <w:r w:rsidR="00A14391">
        <w:rPr>
          <w:rFonts w:ascii="Arial" w:eastAsiaTheme="minorEastAsia" w:hAnsi="Arial" w:cs="Arial"/>
          <w:lang w:val="en-US"/>
        </w:rPr>
        <w:t>Contour-enhanced funnel plots did not indicate asymmetry for change in ADHD symptom severity (eFigure 1</w:t>
      </w:r>
      <w:r w:rsidR="00D536E7">
        <w:rPr>
          <w:rFonts w:ascii="Arial" w:eastAsiaTheme="minorEastAsia" w:hAnsi="Arial" w:cs="Arial"/>
          <w:lang w:val="en-US"/>
        </w:rPr>
        <w:t>9</w:t>
      </w:r>
      <w:r w:rsidR="00A14391">
        <w:rPr>
          <w:rFonts w:ascii="Arial" w:eastAsiaTheme="minorEastAsia" w:hAnsi="Arial" w:cs="Arial"/>
          <w:lang w:val="en-US"/>
        </w:rPr>
        <w:t>).</w:t>
      </w:r>
    </w:p>
    <w:p w14:paraId="007C3A0A" w14:textId="72C949A9" w:rsidR="00FF6928" w:rsidRPr="003C78E1" w:rsidRDefault="000D4542" w:rsidP="000E4974">
      <w:pPr>
        <w:spacing w:after="480" w:line="480" w:lineRule="auto"/>
        <w:ind w:firstLine="720"/>
        <w:rPr>
          <w:rFonts w:ascii="Arial" w:hAnsi="Arial" w:cs="Arial"/>
          <w:lang w:val="en-US"/>
        </w:rPr>
      </w:pPr>
      <w:r>
        <w:rPr>
          <w:rFonts w:ascii="Arial" w:hAnsi="Arial" w:cs="Arial"/>
          <w:lang w:val="en-US"/>
        </w:rPr>
        <w:t>The findings from the dose-response meta-analyses (</w:t>
      </w:r>
      <w:proofErr w:type="spellStart"/>
      <w:r>
        <w:rPr>
          <w:rFonts w:ascii="Arial" w:hAnsi="Arial" w:cs="Arial"/>
          <w:lang w:val="en-US"/>
        </w:rPr>
        <w:t>eFigures</w:t>
      </w:r>
      <w:proofErr w:type="spellEnd"/>
      <w:r>
        <w:rPr>
          <w:rFonts w:ascii="Arial" w:hAnsi="Arial" w:cs="Arial"/>
          <w:lang w:val="en-US"/>
        </w:rPr>
        <w:t xml:space="preserve"> </w:t>
      </w:r>
      <w:r w:rsidR="00D536E7">
        <w:rPr>
          <w:rFonts w:ascii="Arial" w:hAnsi="Arial" w:cs="Arial"/>
          <w:lang w:val="en-US"/>
        </w:rPr>
        <w:t>20</w:t>
      </w:r>
      <w:r>
        <w:rPr>
          <w:rFonts w:ascii="Arial" w:hAnsi="Arial" w:cs="Arial"/>
          <w:lang w:val="en-US"/>
        </w:rPr>
        <w:t>-2</w:t>
      </w:r>
      <w:r w:rsidR="008C2C14">
        <w:rPr>
          <w:rFonts w:ascii="Arial" w:hAnsi="Arial" w:cs="Arial"/>
          <w:lang w:val="en-US"/>
        </w:rPr>
        <w:t>6</w:t>
      </w:r>
      <w:r w:rsidR="00A14391">
        <w:rPr>
          <w:rFonts w:ascii="Arial" w:hAnsi="Arial" w:cs="Arial"/>
          <w:lang w:val="en-US"/>
        </w:rPr>
        <w:t xml:space="preserve">; </w:t>
      </w:r>
      <w:proofErr w:type="spellStart"/>
      <w:r w:rsidR="00D536E7">
        <w:rPr>
          <w:rFonts w:ascii="Arial" w:hAnsi="Arial" w:cs="Arial"/>
          <w:lang w:val="en-US"/>
        </w:rPr>
        <w:t>eResults</w:t>
      </w:r>
      <w:proofErr w:type="spellEnd"/>
      <w:r w:rsidR="00A14391">
        <w:rPr>
          <w:rFonts w:ascii="Arial" w:hAnsi="Arial" w:cs="Arial"/>
          <w:lang w:val="en-US"/>
        </w:rPr>
        <w:t xml:space="preserve"> 3</w:t>
      </w:r>
      <w:r>
        <w:rPr>
          <w:rFonts w:ascii="Arial" w:hAnsi="Arial" w:cs="Arial"/>
          <w:lang w:val="en-US"/>
        </w:rPr>
        <w:t>) or the NMAs (Figure 3</w:t>
      </w:r>
      <w:r w:rsidR="00A14391">
        <w:rPr>
          <w:rFonts w:ascii="Arial" w:hAnsi="Arial" w:cs="Arial"/>
          <w:lang w:val="en-US"/>
        </w:rPr>
        <w:t xml:space="preserve">; </w:t>
      </w:r>
      <w:proofErr w:type="spellStart"/>
      <w:r w:rsidR="00D536E7">
        <w:rPr>
          <w:rFonts w:ascii="Arial" w:hAnsi="Arial" w:cs="Arial"/>
          <w:lang w:val="en-US"/>
        </w:rPr>
        <w:t>eResults</w:t>
      </w:r>
      <w:proofErr w:type="spellEnd"/>
      <w:r w:rsidR="00A14391">
        <w:rPr>
          <w:rFonts w:ascii="Arial" w:hAnsi="Arial" w:cs="Arial"/>
          <w:lang w:val="en-US"/>
        </w:rPr>
        <w:t xml:space="preserve"> 3</w:t>
      </w:r>
      <w:r>
        <w:rPr>
          <w:rFonts w:ascii="Arial" w:hAnsi="Arial" w:cs="Arial"/>
          <w:lang w:val="en-US"/>
        </w:rPr>
        <w:t>) did not change considerably in any of the sensitivity analyses.</w:t>
      </w:r>
    </w:p>
    <w:p w14:paraId="19727E01" w14:textId="083BFD97" w:rsidR="0018065F" w:rsidRDefault="0018065F" w:rsidP="00355EDB">
      <w:pPr>
        <w:keepNext/>
        <w:spacing w:line="480" w:lineRule="auto"/>
        <w:jc w:val="center"/>
        <w:rPr>
          <w:rFonts w:ascii="Arial" w:hAnsi="Arial" w:cs="Arial"/>
          <w:b/>
          <w:bCs/>
          <w:lang w:val="en-US"/>
        </w:rPr>
      </w:pPr>
      <w:r w:rsidRPr="003A6DE4">
        <w:rPr>
          <w:rFonts w:ascii="Arial" w:hAnsi="Arial" w:cs="Arial"/>
          <w:b/>
          <w:bCs/>
          <w:lang w:val="en-US"/>
        </w:rPr>
        <w:t>DISCUSSION</w:t>
      </w:r>
    </w:p>
    <w:p w14:paraId="4A78458E" w14:textId="7E09FBD8" w:rsidR="00316007" w:rsidRDefault="001F0DF9" w:rsidP="00316007">
      <w:pPr>
        <w:spacing w:line="480" w:lineRule="auto"/>
        <w:rPr>
          <w:rFonts w:ascii="Arial" w:hAnsi="Arial" w:cs="Arial"/>
          <w:lang w:val="en-US"/>
        </w:rPr>
      </w:pPr>
      <w:r>
        <w:rPr>
          <w:rFonts w:ascii="Arial" w:hAnsi="Arial" w:cs="Arial"/>
          <w:b/>
          <w:bCs/>
          <w:lang w:val="en-US"/>
        </w:rPr>
        <w:tab/>
      </w:r>
      <w:r w:rsidR="00250DED">
        <w:rPr>
          <w:rFonts w:ascii="Arial" w:hAnsi="Arial" w:cs="Arial"/>
          <w:lang w:val="en-US"/>
        </w:rPr>
        <w:t xml:space="preserve">This </w:t>
      </w:r>
      <w:r w:rsidR="003E471F">
        <w:rPr>
          <w:rFonts w:ascii="Arial" w:hAnsi="Arial" w:cs="Arial"/>
          <w:lang w:val="en-US"/>
        </w:rPr>
        <w:t>study</w:t>
      </w:r>
      <w:r w:rsidR="00250DED">
        <w:rPr>
          <w:rFonts w:ascii="Arial" w:hAnsi="Arial" w:cs="Arial"/>
          <w:lang w:val="en-US"/>
        </w:rPr>
        <w:t xml:space="preserve"> </w:t>
      </w:r>
      <w:r w:rsidR="00A377A1">
        <w:rPr>
          <w:rFonts w:ascii="Arial" w:hAnsi="Arial" w:cs="Arial"/>
          <w:lang w:val="en-US"/>
        </w:rPr>
        <w:t xml:space="preserve">included </w:t>
      </w:r>
      <w:r w:rsidR="003E471F">
        <w:rPr>
          <w:rFonts w:ascii="Arial" w:hAnsi="Arial" w:cs="Arial"/>
          <w:lang w:val="en-US"/>
        </w:rPr>
        <w:t xml:space="preserve">data from </w:t>
      </w:r>
      <w:r w:rsidR="00250DED">
        <w:rPr>
          <w:rFonts w:ascii="Arial" w:hAnsi="Arial" w:cs="Arial"/>
          <w:lang w:val="en-US"/>
        </w:rPr>
        <w:t>47 RCTs involving 7,714 participants</w:t>
      </w:r>
      <w:r w:rsidR="00A377A1">
        <w:rPr>
          <w:rFonts w:ascii="Arial" w:hAnsi="Arial" w:cs="Arial"/>
          <w:lang w:val="en-US"/>
        </w:rPr>
        <w:t xml:space="preserve"> </w:t>
      </w:r>
      <w:r w:rsidR="00250DED">
        <w:rPr>
          <w:rFonts w:ascii="Arial" w:hAnsi="Arial" w:cs="Arial"/>
          <w:lang w:val="en-US"/>
        </w:rPr>
        <w:t xml:space="preserve">to investigate treatment outcomes </w:t>
      </w:r>
      <w:r w:rsidR="00A377A1">
        <w:rPr>
          <w:rFonts w:ascii="Arial" w:hAnsi="Arial" w:cs="Arial"/>
          <w:lang w:val="en-US"/>
        </w:rPr>
        <w:t xml:space="preserve">with licensed and unlicensed doses of stimulants </w:t>
      </w:r>
      <w:r w:rsidR="00250DED">
        <w:rPr>
          <w:rFonts w:ascii="Arial" w:hAnsi="Arial" w:cs="Arial"/>
          <w:lang w:val="en-US"/>
        </w:rPr>
        <w:t xml:space="preserve">in adults with ADHD. </w:t>
      </w:r>
      <w:r w:rsidR="00365FC5">
        <w:rPr>
          <w:rFonts w:ascii="Arial" w:hAnsi="Arial" w:cs="Arial"/>
          <w:lang w:val="en-US"/>
        </w:rPr>
        <w:t>Based on averages, o</w:t>
      </w:r>
      <w:r w:rsidR="00DD188E">
        <w:rPr>
          <w:rFonts w:ascii="Arial" w:hAnsi="Arial" w:cs="Arial"/>
          <w:lang w:val="en-US"/>
        </w:rPr>
        <w:t>ur findings indicated that</w:t>
      </w:r>
      <w:r w:rsidR="00240263">
        <w:rPr>
          <w:rFonts w:ascii="Arial" w:hAnsi="Arial" w:cs="Arial"/>
          <w:lang w:val="en-US"/>
        </w:rPr>
        <w:t xml:space="preserve"> </w:t>
      </w:r>
      <w:r w:rsidR="00DD188E">
        <w:rPr>
          <w:rFonts w:ascii="Arial" w:hAnsi="Arial" w:cs="Arial"/>
          <w:lang w:val="en-US"/>
        </w:rPr>
        <w:t>higher doses of stimulant</w:t>
      </w:r>
      <w:r w:rsidR="0075717B">
        <w:rPr>
          <w:rFonts w:ascii="Arial" w:hAnsi="Arial" w:cs="Arial"/>
          <w:lang w:val="en-US"/>
        </w:rPr>
        <w:t>s</w:t>
      </w:r>
      <w:r w:rsidR="00DD188E">
        <w:rPr>
          <w:rFonts w:ascii="Arial" w:hAnsi="Arial" w:cs="Arial"/>
          <w:lang w:val="en-US"/>
        </w:rPr>
        <w:t xml:space="preserve"> were generally associated with larger </w:t>
      </w:r>
      <w:r w:rsidR="00391A1E">
        <w:rPr>
          <w:rFonts w:ascii="Arial" w:hAnsi="Arial" w:cs="Arial"/>
          <w:lang w:val="en-US"/>
        </w:rPr>
        <w:t xml:space="preserve">reductions </w:t>
      </w:r>
      <w:r w:rsidR="00A377A1">
        <w:rPr>
          <w:rFonts w:ascii="Arial" w:hAnsi="Arial" w:cs="Arial"/>
          <w:lang w:val="en-US"/>
        </w:rPr>
        <w:t>of</w:t>
      </w:r>
      <w:r w:rsidR="00DD188E">
        <w:rPr>
          <w:rFonts w:ascii="Arial" w:hAnsi="Arial" w:cs="Arial"/>
          <w:lang w:val="en-US"/>
        </w:rPr>
        <w:t xml:space="preserve"> symptom</w:t>
      </w:r>
      <w:r w:rsidR="00A377A1">
        <w:rPr>
          <w:rFonts w:ascii="Arial" w:hAnsi="Arial" w:cs="Arial"/>
          <w:lang w:val="en-US"/>
        </w:rPr>
        <w:t>s</w:t>
      </w:r>
      <w:r w:rsidR="00DD188E">
        <w:rPr>
          <w:rFonts w:ascii="Arial" w:hAnsi="Arial" w:cs="Arial"/>
          <w:lang w:val="en-US"/>
        </w:rPr>
        <w:t xml:space="preserve"> within the </w:t>
      </w:r>
      <w:r w:rsidR="00365FC5">
        <w:rPr>
          <w:rFonts w:ascii="Arial" w:hAnsi="Arial" w:cs="Arial"/>
          <w:lang w:val="en-US"/>
        </w:rPr>
        <w:t>licensed</w:t>
      </w:r>
      <w:r w:rsidR="00503B34">
        <w:rPr>
          <w:rFonts w:ascii="Arial" w:hAnsi="Arial" w:cs="Arial"/>
          <w:lang w:val="en-US"/>
        </w:rPr>
        <w:t xml:space="preserve"> range</w:t>
      </w:r>
      <w:r w:rsidR="00DD188E">
        <w:rPr>
          <w:rFonts w:ascii="Arial" w:hAnsi="Arial" w:cs="Arial"/>
          <w:lang w:val="en-US"/>
        </w:rPr>
        <w:t xml:space="preserve">. </w:t>
      </w:r>
      <w:r w:rsidR="00E55677">
        <w:rPr>
          <w:rFonts w:ascii="Arial" w:hAnsi="Arial" w:cs="Arial"/>
          <w:lang w:val="en-US"/>
        </w:rPr>
        <w:t>F</w:t>
      </w:r>
      <w:r w:rsidR="00316007">
        <w:rPr>
          <w:rFonts w:ascii="Arial" w:hAnsi="Arial" w:cs="Arial"/>
          <w:lang w:val="en-US"/>
        </w:rPr>
        <w:t xml:space="preserve">or methylphenidate, </w:t>
      </w:r>
      <w:r w:rsidR="00365FC5">
        <w:rPr>
          <w:rFonts w:ascii="Arial" w:hAnsi="Arial" w:cs="Arial"/>
          <w:lang w:val="en-US"/>
        </w:rPr>
        <w:t xml:space="preserve">unlicensed </w:t>
      </w:r>
      <w:r w:rsidR="00316007">
        <w:rPr>
          <w:rFonts w:ascii="Arial" w:hAnsi="Arial" w:cs="Arial"/>
          <w:lang w:val="en-US"/>
        </w:rPr>
        <w:t xml:space="preserve">doses were associated with greater </w:t>
      </w:r>
      <w:r w:rsidR="00391A1E">
        <w:rPr>
          <w:rFonts w:ascii="Arial" w:hAnsi="Arial" w:cs="Arial"/>
          <w:lang w:val="en-US"/>
        </w:rPr>
        <w:t>reduction</w:t>
      </w:r>
      <w:r w:rsidR="003E4D4F">
        <w:rPr>
          <w:rFonts w:ascii="Arial" w:hAnsi="Arial" w:cs="Arial"/>
          <w:lang w:val="en-US"/>
        </w:rPr>
        <w:t>s</w:t>
      </w:r>
      <w:r w:rsidR="00391A1E">
        <w:rPr>
          <w:rFonts w:ascii="Arial" w:hAnsi="Arial" w:cs="Arial"/>
          <w:lang w:val="en-US"/>
        </w:rPr>
        <w:t xml:space="preserve"> </w:t>
      </w:r>
      <w:r w:rsidR="00A377A1">
        <w:rPr>
          <w:rFonts w:ascii="Arial" w:hAnsi="Arial" w:cs="Arial"/>
          <w:lang w:val="en-US"/>
        </w:rPr>
        <w:t xml:space="preserve">of </w:t>
      </w:r>
      <w:r w:rsidR="00316007">
        <w:rPr>
          <w:rFonts w:ascii="Arial" w:hAnsi="Arial" w:cs="Arial"/>
          <w:lang w:val="en-US"/>
        </w:rPr>
        <w:t>symptom</w:t>
      </w:r>
      <w:r w:rsidR="00A377A1">
        <w:rPr>
          <w:rFonts w:ascii="Arial" w:hAnsi="Arial" w:cs="Arial"/>
          <w:lang w:val="en-US"/>
        </w:rPr>
        <w:t>s</w:t>
      </w:r>
      <w:r w:rsidR="00316007">
        <w:rPr>
          <w:rFonts w:ascii="Arial" w:hAnsi="Arial" w:cs="Arial"/>
          <w:lang w:val="en-US"/>
        </w:rPr>
        <w:t xml:space="preserve"> in relation to </w:t>
      </w:r>
      <w:r w:rsidR="007C4EEA">
        <w:rPr>
          <w:rFonts w:ascii="Arial" w:hAnsi="Arial" w:cs="Arial"/>
          <w:lang w:val="en-US"/>
        </w:rPr>
        <w:t>licensed</w:t>
      </w:r>
      <w:r w:rsidR="00316007">
        <w:rPr>
          <w:rFonts w:ascii="Arial" w:hAnsi="Arial" w:cs="Arial"/>
          <w:lang w:val="en-US"/>
        </w:rPr>
        <w:t xml:space="preserve"> doses</w:t>
      </w:r>
      <w:r w:rsidR="007E1783">
        <w:rPr>
          <w:rFonts w:ascii="Arial" w:hAnsi="Arial" w:cs="Arial"/>
          <w:lang w:val="en-US"/>
        </w:rPr>
        <w:t>; h</w:t>
      </w:r>
      <w:r w:rsidR="00316007">
        <w:rPr>
          <w:rFonts w:ascii="Arial" w:hAnsi="Arial" w:cs="Arial"/>
          <w:lang w:val="en-US"/>
        </w:rPr>
        <w:t>owever, the incremental benefit was small</w:t>
      </w:r>
      <w:r w:rsidR="00316007" w:rsidRPr="00DD188E">
        <w:rPr>
          <w:rFonts w:ascii="Arial" w:hAnsi="Arial" w:cs="Arial"/>
          <w:lang w:val="en-US"/>
        </w:rPr>
        <w:t xml:space="preserve"> </w:t>
      </w:r>
      <w:r w:rsidR="00316007">
        <w:rPr>
          <w:rFonts w:ascii="Arial" w:hAnsi="Arial" w:cs="Arial"/>
          <w:lang w:val="en-US"/>
        </w:rPr>
        <w:t xml:space="preserve">and accompanied by considerable increase in the risk of </w:t>
      </w:r>
      <w:r w:rsidR="00D67841">
        <w:rPr>
          <w:rFonts w:ascii="Arial" w:hAnsi="Arial" w:cs="Arial"/>
          <w:lang w:val="en-US"/>
        </w:rPr>
        <w:t>treatment discontinuation</w:t>
      </w:r>
      <w:r w:rsidR="00316007">
        <w:rPr>
          <w:rFonts w:ascii="Arial" w:hAnsi="Arial" w:cs="Arial"/>
          <w:lang w:val="en-US"/>
        </w:rPr>
        <w:t xml:space="preserve"> due to adverse events.</w:t>
      </w:r>
      <w:r w:rsidR="00316007" w:rsidRPr="00316007">
        <w:rPr>
          <w:rFonts w:ascii="Arial" w:hAnsi="Arial" w:cs="Arial"/>
          <w:lang w:val="en-US"/>
        </w:rPr>
        <w:t xml:space="preserve"> </w:t>
      </w:r>
      <w:r w:rsidR="00316007">
        <w:rPr>
          <w:rFonts w:ascii="Arial" w:hAnsi="Arial" w:cs="Arial"/>
          <w:lang w:val="en-US"/>
        </w:rPr>
        <w:t>For amphetamine</w:t>
      </w:r>
      <w:r w:rsidR="00240263">
        <w:rPr>
          <w:rFonts w:ascii="Arial" w:hAnsi="Arial" w:cs="Arial"/>
          <w:lang w:val="en-US"/>
        </w:rPr>
        <w:t>s</w:t>
      </w:r>
      <w:r w:rsidR="00316007">
        <w:rPr>
          <w:rFonts w:ascii="Arial" w:hAnsi="Arial" w:cs="Arial"/>
          <w:lang w:val="en-US"/>
        </w:rPr>
        <w:t xml:space="preserve">, </w:t>
      </w:r>
      <w:r w:rsidR="00365FC5">
        <w:rPr>
          <w:rFonts w:ascii="Arial" w:hAnsi="Arial" w:cs="Arial"/>
          <w:lang w:val="en-US"/>
        </w:rPr>
        <w:t xml:space="preserve">unlicensed </w:t>
      </w:r>
      <w:r w:rsidR="00316007">
        <w:rPr>
          <w:rFonts w:ascii="Arial" w:hAnsi="Arial" w:cs="Arial"/>
          <w:lang w:val="en-US"/>
        </w:rPr>
        <w:t xml:space="preserve">doses were not associated with </w:t>
      </w:r>
      <w:r w:rsidR="00346873">
        <w:rPr>
          <w:rFonts w:ascii="Arial" w:hAnsi="Arial" w:cs="Arial"/>
          <w:lang w:val="en-US"/>
        </w:rPr>
        <w:t>additional</w:t>
      </w:r>
      <w:r w:rsidR="00D85B9E">
        <w:rPr>
          <w:rFonts w:ascii="Arial" w:hAnsi="Arial" w:cs="Arial"/>
          <w:lang w:val="en-US"/>
        </w:rPr>
        <w:t xml:space="preserve"> </w:t>
      </w:r>
      <w:r w:rsidR="00391A1E">
        <w:rPr>
          <w:rFonts w:ascii="Arial" w:hAnsi="Arial" w:cs="Arial"/>
          <w:lang w:val="en-US"/>
        </w:rPr>
        <w:t>reduction</w:t>
      </w:r>
      <w:r w:rsidR="003E4D4F">
        <w:rPr>
          <w:rFonts w:ascii="Arial" w:hAnsi="Arial" w:cs="Arial"/>
          <w:lang w:val="en-US"/>
        </w:rPr>
        <w:t>s</w:t>
      </w:r>
      <w:r w:rsidR="00391A1E">
        <w:rPr>
          <w:rFonts w:ascii="Arial" w:hAnsi="Arial" w:cs="Arial"/>
          <w:lang w:val="en-US"/>
        </w:rPr>
        <w:t xml:space="preserve"> </w:t>
      </w:r>
      <w:r w:rsidR="00A377A1">
        <w:rPr>
          <w:rFonts w:ascii="Arial" w:hAnsi="Arial" w:cs="Arial"/>
          <w:lang w:val="en-US"/>
        </w:rPr>
        <w:t>of</w:t>
      </w:r>
      <w:r w:rsidR="00316007">
        <w:rPr>
          <w:rFonts w:ascii="Arial" w:hAnsi="Arial" w:cs="Arial"/>
          <w:lang w:val="en-US"/>
        </w:rPr>
        <w:t xml:space="preserve"> symptom</w:t>
      </w:r>
      <w:r w:rsidR="00A377A1">
        <w:rPr>
          <w:rFonts w:ascii="Arial" w:hAnsi="Arial" w:cs="Arial"/>
          <w:lang w:val="en-US"/>
        </w:rPr>
        <w:t>s</w:t>
      </w:r>
      <w:r w:rsidR="00316007">
        <w:rPr>
          <w:rFonts w:ascii="Arial" w:hAnsi="Arial" w:cs="Arial"/>
          <w:lang w:val="en-US"/>
        </w:rPr>
        <w:t xml:space="preserve"> in relation to </w:t>
      </w:r>
      <w:r w:rsidR="00AB6F80">
        <w:rPr>
          <w:rFonts w:ascii="Arial" w:hAnsi="Arial" w:cs="Arial"/>
          <w:lang w:val="en-US"/>
        </w:rPr>
        <w:t>licensed</w:t>
      </w:r>
      <w:r w:rsidR="00316007">
        <w:rPr>
          <w:rFonts w:ascii="Arial" w:hAnsi="Arial" w:cs="Arial"/>
          <w:lang w:val="en-US"/>
        </w:rPr>
        <w:t xml:space="preserve"> doses. </w:t>
      </w:r>
      <w:r w:rsidR="00266B0D">
        <w:rPr>
          <w:rFonts w:ascii="Arial" w:hAnsi="Arial" w:cs="Arial"/>
          <w:lang w:val="en-US"/>
        </w:rPr>
        <w:t>There were especially few RCTs</w:t>
      </w:r>
      <w:r w:rsidR="00C42016">
        <w:rPr>
          <w:rFonts w:ascii="Arial" w:hAnsi="Arial" w:cs="Arial"/>
          <w:lang w:val="en-US"/>
        </w:rPr>
        <w:t>, particularly</w:t>
      </w:r>
      <w:r w:rsidR="001D4CBD">
        <w:rPr>
          <w:rFonts w:ascii="Arial" w:hAnsi="Arial" w:cs="Arial"/>
          <w:lang w:val="en-US"/>
        </w:rPr>
        <w:t xml:space="preserve"> flexible-dose and</w:t>
      </w:r>
      <w:r w:rsidR="00C42016">
        <w:rPr>
          <w:rFonts w:ascii="Arial" w:hAnsi="Arial" w:cs="Arial"/>
          <w:lang w:val="en-US"/>
        </w:rPr>
        <w:t xml:space="preserve"> low risk of bias studies,</w:t>
      </w:r>
      <w:r w:rsidR="00266B0D">
        <w:rPr>
          <w:rFonts w:ascii="Arial" w:hAnsi="Arial" w:cs="Arial"/>
          <w:lang w:val="en-US"/>
        </w:rPr>
        <w:t xml:space="preserve"> evaluating unlicensed doses for amphetamines, and it is </w:t>
      </w:r>
      <w:r w:rsidR="00266B0D" w:rsidRPr="006850F4">
        <w:rPr>
          <w:rFonts w:ascii="Arial" w:hAnsi="Arial" w:cs="Arial"/>
          <w:lang w:val="en-US"/>
        </w:rPr>
        <w:t xml:space="preserve">possible that differences across stimulant classes at the unlicensed doses could be related to data availability. </w:t>
      </w:r>
      <w:r w:rsidR="00EF42B1">
        <w:rPr>
          <w:rFonts w:ascii="Arial" w:hAnsi="Arial" w:cs="Arial"/>
          <w:lang w:val="en-US"/>
        </w:rPr>
        <w:t>Therefore</w:t>
      </w:r>
      <w:r w:rsidR="006850F4" w:rsidRPr="006850F4">
        <w:rPr>
          <w:rFonts w:ascii="Arial" w:hAnsi="Arial" w:cs="Arial"/>
          <w:lang w:val="en-US"/>
        </w:rPr>
        <w:t xml:space="preserve">, our data could </w:t>
      </w:r>
      <w:r w:rsidR="009967BB">
        <w:rPr>
          <w:rFonts w:ascii="Arial" w:hAnsi="Arial" w:cs="Arial"/>
          <w:lang w:val="en-US"/>
        </w:rPr>
        <w:t xml:space="preserve">be interpreted as </w:t>
      </w:r>
      <w:r w:rsidR="006850F4" w:rsidRPr="006850F4">
        <w:rPr>
          <w:rFonts w:ascii="Arial" w:hAnsi="Arial" w:cs="Arial"/>
          <w:lang w:val="en-US"/>
        </w:rPr>
        <w:t>indica</w:t>
      </w:r>
      <w:r w:rsidR="009967BB">
        <w:rPr>
          <w:rFonts w:ascii="Arial" w:hAnsi="Arial" w:cs="Arial"/>
          <w:lang w:val="en-US"/>
        </w:rPr>
        <w:t>tive that</w:t>
      </w:r>
      <w:r w:rsidR="006850F4" w:rsidRPr="006850F4">
        <w:rPr>
          <w:rFonts w:ascii="Arial" w:hAnsi="Arial" w:cs="Arial"/>
          <w:lang w:val="en-US"/>
        </w:rPr>
        <w:t xml:space="preserve"> </w:t>
      </w:r>
      <w:r w:rsidR="006850F4">
        <w:rPr>
          <w:rFonts w:ascii="Arial" w:hAnsi="Arial" w:cs="Arial"/>
          <w:lang w:val="en-US"/>
        </w:rPr>
        <w:t>there are</w:t>
      </w:r>
      <w:r w:rsidR="006850F4" w:rsidRPr="006850F4">
        <w:rPr>
          <w:rFonts w:ascii="Arial" w:hAnsi="Arial" w:cs="Arial"/>
          <w:lang w:val="en-US"/>
        </w:rPr>
        <w:t xml:space="preserve"> </w:t>
      </w:r>
      <w:r w:rsidR="006850F4" w:rsidRPr="006850F4">
        <w:rPr>
          <w:rFonts w:ascii="Arial" w:hAnsi="Arial" w:cs="Arial"/>
          <w:color w:val="1A1A1A"/>
          <w:kern w:val="0"/>
          <w:lang w:val="en-US"/>
        </w:rPr>
        <w:t xml:space="preserve">signals for greater </w:t>
      </w:r>
      <w:r w:rsidR="00284304">
        <w:rPr>
          <w:rFonts w:ascii="Arial" w:hAnsi="Arial" w:cs="Arial"/>
          <w:color w:val="1A1A1A"/>
          <w:kern w:val="0"/>
          <w:lang w:val="en-US"/>
        </w:rPr>
        <w:t>improvement</w:t>
      </w:r>
      <w:r w:rsidR="006850F4" w:rsidRPr="006850F4">
        <w:rPr>
          <w:rFonts w:ascii="Arial" w:hAnsi="Arial" w:cs="Arial"/>
          <w:color w:val="1A1A1A"/>
          <w:kern w:val="0"/>
          <w:lang w:val="en-US"/>
        </w:rPr>
        <w:t xml:space="preserve"> above the </w:t>
      </w:r>
      <w:r w:rsidR="006850F4" w:rsidRPr="006850F4">
        <w:rPr>
          <w:rFonts w:ascii="Arial" w:hAnsi="Arial" w:cs="Arial"/>
          <w:color w:val="1A1A1A"/>
          <w:kern w:val="0"/>
          <w:lang w:val="en-US"/>
        </w:rPr>
        <w:lastRenderedPageBreak/>
        <w:t>licensed range</w:t>
      </w:r>
      <w:r w:rsidR="006850F4">
        <w:rPr>
          <w:rFonts w:ascii="Arial" w:hAnsi="Arial" w:cs="Arial"/>
          <w:color w:val="1A1A1A"/>
          <w:kern w:val="0"/>
          <w:lang w:val="en-US"/>
        </w:rPr>
        <w:t xml:space="preserve"> for stimulants</w:t>
      </w:r>
      <w:r w:rsidR="009967BB">
        <w:rPr>
          <w:rFonts w:ascii="Arial" w:hAnsi="Arial" w:cs="Arial"/>
          <w:color w:val="1A1A1A"/>
          <w:kern w:val="0"/>
          <w:lang w:val="en-US"/>
        </w:rPr>
        <w:t xml:space="preserve"> in general</w:t>
      </w:r>
      <w:r w:rsidR="006850F4">
        <w:rPr>
          <w:rFonts w:ascii="Arial" w:hAnsi="Arial" w:cs="Arial"/>
          <w:color w:val="1A1A1A"/>
          <w:kern w:val="0"/>
          <w:lang w:val="en-US"/>
        </w:rPr>
        <w:t xml:space="preserve">, albeit those </w:t>
      </w:r>
      <w:r w:rsidR="009967BB">
        <w:rPr>
          <w:rFonts w:ascii="Arial" w:hAnsi="Arial" w:cs="Arial"/>
          <w:color w:val="1A1A1A"/>
          <w:kern w:val="0"/>
          <w:lang w:val="en-US"/>
        </w:rPr>
        <w:t>were</w:t>
      </w:r>
      <w:r w:rsidR="006850F4" w:rsidRPr="006850F4">
        <w:rPr>
          <w:rFonts w:ascii="Arial" w:hAnsi="Arial" w:cs="Arial"/>
          <w:color w:val="1A1A1A"/>
          <w:kern w:val="0"/>
          <w:lang w:val="en-US"/>
        </w:rPr>
        <w:t xml:space="preserve"> </w:t>
      </w:r>
      <w:r w:rsidR="009967BB" w:rsidRPr="006850F4">
        <w:rPr>
          <w:rFonts w:ascii="Arial" w:hAnsi="Arial" w:cs="Arial"/>
          <w:color w:val="1A1A1A"/>
          <w:kern w:val="0"/>
          <w:lang w:val="en-US"/>
        </w:rPr>
        <w:t>clearer</w:t>
      </w:r>
      <w:r w:rsidR="006850F4" w:rsidRPr="006850F4">
        <w:rPr>
          <w:rFonts w:ascii="Arial" w:hAnsi="Arial" w:cs="Arial"/>
          <w:color w:val="1A1A1A"/>
          <w:kern w:val="0"/>
          <w:lang w:val="en-US"/>
        </w:rPr>
        <w:t xml:space="preserve"> for </w:t>
      </w:r>
      <w:r w:rsidR="006850F4">
        <w:rPr>
          <w:rFonts w:ascii="Arial" w:hAnsi="Arial" w:cs="Arial"/>
          <w:color w:val="1A1A1A"/>
          <w:kern w:val="0"/>
          <w:lang w:val="en-US"/>
        </w:rPr>
        <w:t>methylphenidate</w:t>
      </w:r>
      <w:r w:rsidR="006850F4" w:rsidRPr="006850F4">
        <w:rPr>
          <w:rFonts w:ascii="Arial" w:hAnsi="Arial" w:cs="Arial"/>
          <w:color w:val="1A1A1A"/>
          <w:kern w:val="0"/>
          <w:lang w:val="en-US"/>
        </w:rPr>
        <w:t xml:space="preserve"> than </w:t>
      </w:r>
      <w:r w:rsidR="006850F4">
        <w:rPr>
          <w:rFonts w:ascii="Arial" w:hAnsi="Arial" w:cs="Arial"/>
          <w:color w:val="1A1A1A"/>
          <w:kern w:val="0"/>
          <w:lang w:val="en-US"/>
        </w:rPr>
        <w:t>amphetamines</w:t>
      </w:r>
      <w:r w:rsidR="009967BB">
        <w:rPr>
          <w:rFonts w:ascii="Arial" w:hAnsi="Arial" w:cs="Arial"/>
          <w:color w:val="1A1A1A"/>
          <w:kern w:val="0"/>
          <w:lang w:val="en-US"/>
        </w:rPr>
        <w:t xml:space="preserve"> based on the currently available RCTs</w:t>
      </w:r>
      <w:r w:rsidR="006850F4" w:rsidRPr="006850F4">
        <w:rPr>
          <w:rFonts w:ascii="Arial" w:hAnsi="Arial" w:cs="Arial"/>
          <w:i/>
          <w:iCs/>
          <w:color w:val="1A1A1A"/>
          <w:kern w:val="0"/>
          <w:lang w:val="en-US"/>
        </w:rPr>
        <w:t>.</w:t>
      </w:r>
      <w:r w:rsidR="006850F4">
        <w:rPr>
          <w:rFonts w:ascii="Helvetica Neue" w:hAnsi="Helvetica Neue" w:cs="Helvetica Neue"/>
          <w:i/>
          <w:iCs/>
          <w:color w:val="1A1A1A"/>
          <w:kern w:val="0"/>
          <w:sz w:val="26"/>
          <w:szCs w:val="26"/>
          <w:lang w:val="en-US"/>
        </w:rPr>
        <w:t xml:space="preserve"> </w:t>
      </w:r>
      <w:r w:rsidR="001F30C2">
        <w:rPr>
          <w:rFonts w:ascii="Arial" w:hAnsi="Arial" w:cs="Arial"/>
          <w:lang w:val="en-US"/>
        </w:rPr>
        <w:t>Regardless, t</w:t>
      </w:r>
      <w:r w:rsidR="00316007">
        <w:rPr>
          <w:rFonts w:ascii="Arial" w:hAnsi="Arial" w:cs="Arial"/>
          <w:lang w:val="en-US"/>
        </w:rPr>
        <w:t xml:space="preserve">aken together </w:t>
      </w:r>
      <w:r w:rsidR="00365FC5">
        <w:rPr>
          <w:rFonts w:ascii="Arial" w:hAnsi="Arial" w:cs="Arial"/>
          <w:lang w:val="en-US"/>
        </w:rPr>
        <w:t xml:space="preserve">our </w:t>
      </w:r>
      <w:r w:rsidR="00316007">
        <w:rPr>
          <w:rFonts w:ascii="Arial" w:hAnsi="Arial" w:cs="Arial"/>
          <w:lang w:val="en-US"/>
        </w:rPr>
        <w:t>findings</w:t>
      </w:r>
      <w:r w:rsidR="00B72063">
        <w:rPr>
          <w:rFonts w:ascii="Arial" w:hAnsi="Arial" w:cs="Arial"/>
          <w:lang w:val="en-US"/>
        </w:rPr>
        <w:t xml:space="preserve"> </w:t>
      </w:r>
      <w:r w:rsidR="00316007">
        <w:rPr>
          <w:rFonts w:ascii="Arial" w:hAnsi="Arial" w:cs="Arial"/>
          <w:lang w:val="en-US"/>
        </w:rPr>
        <w:t>indicate</w:t>
      </w:r>
      <w:r w:rsidR="00A43A01">
        <w:rPr>
          <w:rFonts w:ascii="Arial" w:hAnsi="Arial" w:cs="Arial"/>
          <w:lang w:val="en-US"/>
        </w:rPr>
        <w:t>d</w:t>
      </w:r>
      <w:r w:rsidR="00316007">
        <w:rPr>
          <w:rFonts w:ascii="Arial" w:hAnsi="Arial" w:cs="Arial"/>
          <w:lang w:val="en-US"/>
        </w:rPr>
        <w:t xml:space="preserve"> that</w:t>
      </w:r>
      <w:r w:rsidR="00B43D29">
        <w:rPr>
          <w:rFonts w:ascii="Arial" w:hAnsi="Arial" w:cs="Arial"/>
          <w:lang w:val="en-US"/>
        </w:rPr>
        <w:t xml:space="preserve">, </w:t>
      </w:r>
      <w:r w:rsidR="00365FC5">
        <w:rPr>
          <w:rFonts w:ascii="Arial" w:hAnsi="Arial" w:cs="Arial"/>
          <w:lang w:val="en-US"/>
        </w:rPr>
        <w:t xml:space="preserve">based </w:t>
      </w:r>
      <w:r w:rsidR="00EE5B12">
        <w:rPr>
          <w:rFonts w:ascii="Arial" w:hAnsi="Arial" w:cs="Arial"/>
          <w:lang w:val="en-US"/>
        </w:rPr>
        <w:t>on average</w:t>
      </w:r>
      <w:r w:rsidR="00365FC5">
        <w:rPr>
          <w:rFonts w:ascii="Arial" w:hAnsi="Arial" w:cs="Arial"/>
          <w:lang w:val="en-US"/>
        </w:rPr>
        <w:t>s</w:t>
      </w:r>
      <w:r w:rsidR="00EE5B12">
        <w:rPr>
          <w:rFonts w:ascii="Arial" w:hAnsi="Arial" w:cs="Arial"/>
          <w:lang w:val="en-US"/>
        </w:rPr>
        <w:t>,</w:t>
      </w:r>
      <w:r w:rsidR="00316007">
        <w:rPr>
          <w:rFonts w:ascii="Arial" w:hAnsi="Arial" w:cs="Arial"/>
          <w:lang w:val="en-US"/>
        </w:rPr>
        <w:t xml:space="preserve"> </w:t>
      </w:r>
      <w:r w:rsidR="00120B1B">
        <w:rPr>
          <w:rFonts w:ascii="Arial" w:hAnsi="Arial" w:cs="Arial"/>
          <w:lang w:val="en-US"/>
        </w:rPr>
        <w:t xml:space="preserve">unlicensed </w:t>
      </w:r>
      <w:r w:rsidR="007B6D91">
        <w:rPr>
          <w:rFonts w:ascii="Arial" w:hAnsi="Arial" w:cs="Arial"/>
          <w:lang w:val="en-US"/>
        </w:rPr>
        <w:t>doses</w:t>
      </w:r>
      <w:r w:rsidR="00365FC5">
        <w:rPr>
          <w:rFonts w:ascii="Arial" w:hAnsi="Arial" w:cs="Arial"/>
          <w:lang w:val="en-US"/>
        </w:rPr>
        <w:t xml:space="preserve"> </w:t>
      </w:r>
      <w:r w:rsidR="002F4209">
        <w:rPr>
          <w:rFonts w:ascii="Arial" w:hAnsi="Arial" w:cs="Arial"/>
          <w:lang w:val="en-US"/>
        </w:rPr>
        <w:t xml:space="preserve">of stimulants </w:t>
      </w:r>
      <w:r w:rsidR="00316007">
        <w:rPr>
          <w:rFonts w:ascii="Arial" w:hAnsi="Arial" w:cs="Arial"/>
          <w:lang w:val="en-US"/>
        </w:rPr>
        <w:t>may not have positive risk-benefit</w:t>
      </w:r>
      <w:r w:rsidR="00365FC5">
        <w:rPr>
          <w:rFonts w:ascii="Arial" w:hAnsi="Arial" w:cs="Arial"/>
          <w:lang w:val="en-US"/>
        </w:rPr>
        <w:t>s</w:t>
      </w:r>
      <w:r w:rsidR="00012427">
        <w:rPr>
          <w:rFonts w:ascii="Arial" w:hAnsi="Arial" w:cs="Arial"/>
          <w:lang w:val="en-US"/>
        </w:rPr>
        <w:t xml:space="preserve"> for adults with ADHD</w:t>
      </w:r>
      <w:r w:rsidR="00316007">
        <w:rPr>
          <w:rFonts w:ascii="Arial" w:hAnsi="Arial" w:cs="Arial"/>
          <w:lang w:val="en-US"/>
        </w:rPr>
        <w:t>.</w:t>
      </w:r>
    </w:p>
    <w:p w14:paraId="42DBAA8B" w14:textId="628B6CD1" w:rsidR="006400B8" w:rsidRDefault="00254726" w:rsidP="00B5496F">
      <w:pPr>
        <w:spacing w:line="480" w:lineRule="auto"/>
        <w:ind w:firstLine="720"/>
        <w:rPr>
          <w:rFonts w:ascii="Arial" w:hAnsi="Arial" w:cs="Arial"/>
          <w:lang w:val="en-US"/>
        </w:rPr>
      </w:pPr>
      <w:bookmarkStart w:id="9" w:name="_Hlk137619589"/>
      <w:bookmarkStart w:id="10" w:name="_Hlk138612023"/>
      <w:r>
        <w:rPr>
          <w:rFonts w:ascii="Arial" w:hAnsi="Arial" w:cs="Arial"/>
          <w:lang w:val="en-US"/>
        </w:rPr>
        <w:t xml:space="preserve">Further </w:t>
      </w:r>
      <w:r w:rsidR="00516A20">
        <w:rPr>
          <w:rFonts w:ascii="Arial" w:hAnsi="Arial" w:cs="Arial"/>
          <w:lang w:val="en-US"/>
        </w:rPr>
        <w:t>advances</w:t>
      </w:r>
      <w:r>
        <w:rPr>
          <w:rFonts w:ascii="Arial" w:hAnsi="Arial" w:cs="Arial"/>
          <w:lang w:val="en-US"/>
        </w:rPr>
        <w:t xml:space="preserve"> in precision medicine</w:t>
      </w:r>
      <w:r>
        <w:rPr>
          <w:rFonts w:ascii="Arial" w:hAnsi="Arial" w:cs="Arial"/>
          <w:vertAlign w:val="superscript"/>
          <w:lang w:val="en-US"/>
        </w:rPr>
        <w:t>4</w:t>
      </w:r>
      <w:r w:rsidR="00A40E81">
        <w:rPr>
          <w:rFonts w:ascii="Arial" w:hAnsi="Arial" w:cs="Arial"/>
          <w:vertAlign w:val="superscript"/>
          <w:lang w:val="en-US"/>
        </w:rPr>
        <w:t>4</w:t>
      </w:r>
      <w:r>
        <w:rPr>
          <w:rFonts w:ascii="Arial" w:hAnsi="Arial" w:cs="Arial"/>
          <w:lang w:val="en-US"/>
        </w:rPr>
        <w:t xml:space="preserve"> may enable the identification of individualized optimal doses</w:t>
      </w:r>
      <w:r w:rsidR="00516A20">
        <w:rPr>
          <w:rFonts w:ascii="Arial" w:hAnsi="Arial" w:cs="Arial"/>
          <w:lang w:val="en-US"/>
        </w:rPr>
        <w:t xml:space="preserve"> and </w:t>
      </w:r>
      <w:r>
        <w:rPr>
          <w:rFonts w:ascii="Arial" w:hAnsi="Arial" w:cs="Arial"/>
          <w:lang w:val="en-US"/>
        </w:rPr>
        <w:t xml:space="preserve">the stratification of patients by predicted positive/negative risk-benefits with unlicensed doses without the need for a trial-and-error process. Nevertheless, in the </w:t>
      </w:r>
      <w:r w:rsidR="00516A20">
        <w:rPr>
          <w:rFonts w:ascii="Arial" w:hAnsi="Arial" w:cs="Arial"/>
          <w:lang w:val="en-US"/>
        </w:rPr>
        <w:t xml:space="preserve">current </w:t>
      </w:r>
      <w:r>
        <w:rPr>
          <w:rFonts w:ascii="Arial" w:hAnsi="Arial" w:cs="Arial"/>
          <w:lang w:val="en-US"/>
        </w:rPr>
        <w:t xml:space="preserve">absence of such personalized </w:t>
      </w:r>
      <w:r w:rsidR="00516A20">
        <w:rPr>
          <w:rFonts w:ascii="Arial" w:hAnsi="Arial" w:cs="Arial"/>
          <w:lang w:val="en-US"/>
        </w:rPr>
        <w:t>evidence base</w:t>
      </w:r>
      <w:r>
        <w:rPr>
          <w:rFonts w:ascii="Arial" w:hAnsi="Arial" w:cs="Arial"/>
          <w:lang w:val="en-US"/>
        </w:rPr>
        <w:t>,</w:t>
      </w:r>
      <w:r w:rsidDel="0016323C">
        <w:rPr>
          <w:rFonts w:ascii="Arial" w:hAnsi="Arial" w:cs="Arial"/>
          <w:lang w:val="en-US"/>
        </w:rPr>
        <w:t xml:space="preserve"> </w:t>
      </w:r>
      <w:r w:rsidR="00391866">
        <w:rPr>
          <w:rFonts w:ascii="Arial" w:hAnsi="Arial" w:cs="Arial"/>
          <w:lang w:val="en-US"/>
        </w:rPr>
        <w:t>intention-to-treat</w:t>
      </w:r>
      <w:r>
        <w:rPr>
          <w:rFonts w:ascii="Arial" w:hAnsi="Arial" w:cs="Arial"/>
          <w:lang w:val="en-US"/>
        </w:rPr>
        <w:t xml:space="preserve"> data from RCTs </w:t>
      </w:r>
      <w:r w:rsidDel="0016323C">
        <w:rPr>
          <w:rFonts w:ascii="Arial" w:hAnsi="Arial" w:cs="Arial"/>
          <w:lang w:val="en-US"/>
        </w:rPr>
        <w:t xml:space="preserve">provide the best evidence </w:t>
      </w:r>
      <w:r>
        <w:rPr>
          <w:rFonts w:ascii="Arial" w:hAnsi="Arial" w:cs="Arial"/>
          <w:lang w:val="en-US"/>
        </w:rPr>
        <w:t xml:space="preserve">currently </w:t>
      </w:r>
      <w:r w:rsidDel="0016323C">
        <w:rPr>
          <w:rFonts w:ascii="Arial" w:hAnsi="Arial" w:cs="Arial"/>
          <w:lang w:val="en-US"/>
        </w:rPr>
        <w:t xml:space="preserve">available </w:t>
      </w:r>
      <w:r>
        <w:rPr>
          <w:rFonts w:ascii="Arial" w:hAnsi="Arial" w:cs="Arial"/>
          <w:lang w:val="en-US"/>
        </w:rPr>
        <w:t xml:space="preserve">to guide decision making </w:t>
      </w:r>
      <w:r w:rsidR="001B12B5">
        <w:rPr>
          <w:rFonts w:ascii="Arial" w:hAnsi="Arial" w:cs="Arial"/>
          <w:lang w:val="en-US"/>
        </w:rPr>
        <w:t xml:space="preserve">in routine clinical practice </w:t>
      </w:r>
      <w:r w:rsidR="00BD18CB">
        <w:rPr>
          <w:rFonts w:ascii="Arial" w:hAnsi="Arial" w:cs="Arial"/>
          <w:lang w:val="en-US"/>
        </w:rPr>
        <w:t>at the group-level</w:t>
      </w:r>
      <w:r w:rsidR="000D7315">
        <w:rPr>
          <w:rFonts w:ascii="Arial" w:hAnsi="Arial" w:cs="Arial"/>
          <w:lang w:val="en-US"/>
        </w:rPr>
        <w:t xml:space="preserve"> (i.e., adults with ADHD)</w:t>
      </w:r>
      <w:r w:rsidR="006400B8">
        <w:rPr>
          <w:rFonts w:ascii="Arial" w:hAnsi="Arial" w:cs="Arial"/>
          <w:lang w:val="en-US"/>
        </w:rPr>
        <w:t xml:space="preserve">. </w:t>
      </w:r>
      <w:r w:rsidR="007E1530">
        <w:rPr>
          <w:rFonts w:ascii="Arial" w:hAnsi="Arial" w:cs="Arial"/>
          <w:lang w:val="en-US"/>
        </w:rPr>
        <w:t xml:space="preserve">In fact, as our </w:t>
      </w:r>
      <w:r>
        <w:rPr>
          <w:rFonts w:ascii="Arial" w:hAnsi="Arial" w:cs="Arial"/>
          <w:lang w:val="en-US"/>
        </w:rPr>
        <w:t xml:space="preserve">data </w:t>
      </w:r>
      <w:r w:rsidR="00A635CF">
        <w:rPr>
          <w:rFonts w:ascii="Arial" w:hAnsi="Arial" w:cs="Arial"/>
          <w:lang w:val="en-US"/>
        </w:rPr>
        <w:t>reflect</w:t>
      </w:r>
      <w:r>
        <w:rPr>
          <w:rFonts w:ascii="Arial" w:hAnsi="Arial" w:cs="Arial"/>
          <w:lang w:val="en-US"/>
        </w:rPr>
        <w:t xml:space="preserve"> all the available information from similar patients</w:t>
      </w:r>
      <w:r w:rsidR="006400B8">
        <w:rPr>
          <w:rFonts w:ascii="Arial" w:hAnsi="Arial" w:cs="Arial"/>
          <w:lang w:val="en-US"/>
        </w:rPr>
        <w:t xml:space="preserve"> </w:t>
      </w:r>
      <w:r w:rsidR="00362BED">
        <w:rPr>
          <w:rFonts w:ascii="Arial" w:hAnsi="Arial" w:cs="Arial"/>
          <w:lang w:val="en-US"/>
        </w:rPr>
        <w:t>who</w:t>
      </w:r>
      <w:r w:rsidR="006400B8">
        <w:rPr>
          <w:rFonts w:ascii="Arial" w:hAnsi="Arial" w:cs="Arial"/>
          <w:lang w:val="en-US"/>
        </w:rPr>
        <w:t xml:space="preserve"> were treated with stimulants, they may be used </w:t>
      </w:r>
      <w:r w:rsidR="00B5496F">
        <w:rPr>
          <w:rFonts w:ascii="Arial" w:hAnsi="Arial" w:cs="Arial"/>
          <w:lang w:val="en-US"/>
        </w:rPr>
        <w:t xml:space="preserve">by practitioners </w:t>
      </w:r>
      <w:r w:rsidR="006400B8">
        <w:rPr>
          <w:rFonts w:ascii="Arial" w:hAnsi="Arial" w:cs="Arial"/>
          <w:lang w:val="en-US"/>
        </w:rPr>
        <w:t xml:space="preserve">to inform </w:t>
      </w:r>
      <w:r w:rsidR="000D7315">
        <w:rPr>
          <w:rFonts w:ascii="Arial" w:hAnsi="Arial" w:cs="Arial"/>
          <w:lang w:val="en-US"/>
        </w:rPr>
        <w:t>clinical decision</w:t>
      </w:r>
      <w:r w:rsidR="00EB5B27">
        <w:rPr>
          <w:rFonts w:ascii="Arial" w:hAnsi="Arial" w:cs="Arial"/>
          <w:lang w:val="en-US"/>
        </w:rPr>
        <w:t xml:space="preserve"> </w:t>
      </w:r>
      <w:r w:rsidR="000D7315">
        <w:rPr>
          <w:rFonts w:ascii="Arial" w:hAnsi="Arial" w:cs="Arial"/>
          <w:lang w:val="en-US"/>
        </w:rPr>
        <w:t>making around the choice of maximum doses</w:t>
      </w:r>
      <w:r w:rsidR="00B5496F">
        <w:rPr>
          <w:rFonts w:ascii="Arial" w:hAnsi="Arial" w:cs="Arial"/>
          <w:lang w:val="en-US"/>
        </w:rPr>
        <w:t>.</w:t>
      </w:r>
    </w:p>
    <w:p w14:paraId="2D187C3D" w14:textId="0924BB28" w:rsidR="00A70457" w:rsidRDefault="00A70457" w:rsidP="00A70457">
      <w:pPr>
        <w:spacing w:line="480" w:lineRule="auto"/>
        <w:ind w:firstLine="720"/>
        <w:rPr>
          <w:rFonts w:ascii="Arial" w:hAnsi="Arial" w:cs="Arial"/>
          <w:vertAlign w:val="superscript"/>
          <w:lang w:val="en-US"/>
        </w:rPr>
      </w:pPr>
      <w:r>
        <w:rPr>
          <w:rFonts w:ascii="Arial" w:hAnsi="Arial" w:cs="Arial"/>
          <w:lang w:val="en-US"/>
        </w:rPr>
        <w:t>Our findings indicate that adults with ADHD may experience the most reductions of symptoms with stimulants at licensed doses. While the tolerability of stimulants may continuously decrease with increments in dose, the additional reductions of symptoms with unlicensed doses may be small and possibly non-clinically meaningful (e.g., &lt; 10-15 ADHD-RS reductions)</w:t>
      </w:r>
      <w:r>
        <w:rPr>
          <w:rFonts w:ascii="Arial" w:hAnsi="Arial" w:cs="Arial"/>
          <w:vertAlign w:val="superscript"/>
          <w:lang w:val="en-US"/>
        </w:rPr>
        <w:t>4</w:t>
      </w:r>
      <w:r w:rsidR="00A40E81">
        <w:rPr>
          <w:rFonts w:ascii="Arial" w:hAnsi="Arial" w:cs="Arial"/>
          <w:vertAlign w:val="superscript"/>
          <w:lang w:val="en-US"/>
        </w:rPr>
        <w:t>5</w:t>
      </w:r>
      <w:r>
        <w:rPr>
          <w:rFonts w:ascii="Arial" w:hAnsi="Arial" w:cs="Arial"/>
          <w:lang w:val="en-US"/>
        </w:rPr>
        <w:t xml:space="preserve"> in relation to the reductions of symptoms experienced with licensed doses. Therefore, in general practitioners should consider unlicensed doses cautiously.</w:t>
      </w:r>
    </w:p>
    <w:p w14:paraId="1D1E9CF9" w14:textId="4C8206DC" w:rsidR="00A70457" w:rsidRDefault="00A70457" w:rsidP="002643B1">
      <w:pPr>
        <w:spacing w:line="480" w:lineRule="auto"/>
        <w:ind w:firstLine="720"/>
        <w:rPr>
          <w:rFonts w:ascii="Arial" w:hAnsi="Arial" w:cs="Arial"/>
          <w:lang w:val="en-US"/>
        </w:rPr>
      </w:pPr>
      <w:r>
        <w:rPr>
          <w:rFonts w:ascii="Arial" w:hAnsi="Arial" w:cs="Arial"/>
          <w:lang w:val="en-US"/>
        </w:rPr>
        <w:t xml:space="preserve">Importantly, </w:t>
      </w:r>
      <w:r w:rsidR="0059590A">
        <w:rPr>
          <w:rFonts w:ascii="Arial" w:hAnsi="Arial" w:cs="Arial"/>
          <w:lang w:val="en-US"/>
        </w:rPr>
        <w:t>because t</w:t>
      </w:r>
      <w:r w:rsidR="00791E18">
        <w:rPr>
          <w:rFonts w:ascii="Arial" w:hAnsi="Arial" w:cs="Arial"/>
          <w:lang w:val="en-US"/>
        </w:rPr>
        <w:t>he risk-benefits based on averages from our study will not generalize to every patient</w:t>
      </w:r>
      <w:r w:rsidR="0059590A">
        <w:rPr>
          <w:rFonts w:ascii="Arial" w:hAnsi="Arial" w:cs="Arial"/>
          <w:lang w:val="en-US"/>
        </w:rPr>
        <w:t>,</w:t>
      </w:r>
      <w:r w:rsidR="00791E18">
        <w:rPr>
          <w:rFonts w:ascii="Arial" w:hAnsi="Arial" w:cs="Arial"/>
          <w:lang w:val="en-US"/>
        </w:rPr>
        <w:t xml:space="preserve"> </w:t>
      </w:r>
      <w:r w:rsidR="0059590A">
        <w:rPr>
          <w:rFonts w:ascii="Arial" w:hAnsi="Arial" w:cs="Arial"/>
          <w:lang w:val="en-US"/>
        </w:rPr>
        <w:t xml:space="preserve">our study does not provide evidence that practitioners should not trial unlicensed doses of stimulants in routine clinical practice. </w:t>
      </w:r>
      <w:r w:rsidR="00516A20">
        <w:rPr>
          <w:rFonts w:ascii="Arial" w:hAnsi="Arial" w:cs="Arial"/>
          <w:lang w:val="en-US"/>
        </w:rPr>
        <w:t xml:space="preserve">Indeed, </w:t>
      </w:r>
      <w:r w:rsidR="00516A20">
        <w:rPr>
          <w:rFonts w:ascii="Arial" w:hAnsi="Arial" w:cs="Arial"/>
          <w:lang w:val="en-US"/>
        </w:rPr>
        <w:lastRenderedPageBreak/>
        <w:t>i</w:t>
      </w:r>
      <w:r w:rsidR="00791E18">
        <w:rPr>
          <w:rFonts w:ascii="Arial" w:hAnsi="Arial" w:cs="Arial"/>
          <w:lang w:val="en-US"/>
        </w:rPr>
        <w:t xml:space="preserve">ndividuals differ in their response to </w:t>
      </w:r>
      <w:r w:rsidR="0059590A">
        <w:rPr>
          <w:rFonts w:ascii="Arial" w:hAnsi="Arial" w:cs="Arial"/>
          <w:lang w:val="en-US"/>
        </w:rPr>
        <w:t>these medications</w:t>
      </w:r>
      <w:r w:rsidR="0059590A">
        <w:rPr>
          <w:rFonts w:ascii="Arial" w:hAnsi="Arial" w:cs="Arial"/>
          <w:vertAlign w:val="superscript"/>
          <w:lang w:val="en-US"/>
        </w:rPr>
        <w:t>4</w:t>
      </w:r>
      <w:r w:rsidR="00A40E81">
        <w:rPr>
          <w:rFonts w:ascii="Arial" w:hAnsi="Arial" w:cs="Arial"/>
          <w:vertAlign w:val="superscript"/>
          <w:lang w:val="en-US"/>
        </w:rPr>
        <w:t>6</w:t>
      </w:r>
      <w:r w:rsidR="0059590A">
        <w:rPr>
          <w:rFonts w:ascii="Arial" w:hAnsi="Arial" w:cs="Arial"/>
          <w:lang w:val="en-US"/>
        </w:rPr>
        <w:t xml:space="preserve"> </w:t>
      </w:r>
      <w:r w:rsidR="00791E18">
        <w:rPr>
          <w:rFonts w:ascii="Arial" w:hAnsi="Arial" w:cs="Arial"/>
          <w:lang w:val="en-US"/>
        </w:rPr>
        <w:t xml:space="preserve">and some adults with ADHD may experience larger reductions of symptoms, or </w:t>
      </w:r>
      <w:r w:rsidR="00516A20">
        <w:rPr>
          <w:rFonts w:ascii="Arial" w:hAnsi="Arial" w:cs="Arial"/>
          <w:lang w:val="en-US"/>
        </w:rPr>
        <w:t>less evident</w:t>
      </w:r>
      <w:r w:rsidR="00791E18">
        <w:rPr>
          <w:rFonts w:ascii="Arial" w:hAnsi="Arial" w:cs="Arial"/>
          <w:lang w:val="en-US"/>
        </w:rPr>
        <w:t xml:space="preserve"> adverse events, with unlicensed doses than the average </w:t>
      </w:r>
      <w:r w:rsidR="00A82F46">
        <w:rPr>
          <w:rFonts w:ascii="Arial" w:hAnsi="Arial" w:cs="Arial"/>
          <w:lang w:val="en-US"/>
        </w:rPr>
        <w:t>patient as reflected in our findings</w:t>
      </w:r>
      <w:r w:rsidR="00791E18">
        <w:rPr>
          <w:rFonts w:ascii="Arial" w:hAnsi="Arial" w:cs="Arial"/>
          <w:lang w:val="en-US"/>
        </w:rPr>
        <w:t xml:space="preserve">. </w:t>
      </w:r>
      <w:r w:rsidR="00864FDF">
        <w:rPr>
          <w:rFonts w:ascii="Arial" w:hAnsi="Arial" w:cs="Arial"/>
          <w:lang w:val="en-US"/>
        </w:rPr>
        <w:t>Therefore, f</w:t>
      </w:r>
      <w:r w:rsidR="00791E18">
        <w:rPr>
          <w:rFonts w:ascii="Arial" w:hAnsi="Arial" w:cs="Arial"/>
          <w:lang w:val="en-US"/>
        </w:rPr>
        <w:t>or a subgroup of patients, unlicensed doses may be well tolerated and required for the maximal reductions of symptoms and improvement in functioning.</w:t>
      </w:r>
      <w:r w:rsidR="0059590A" w:rsidRPr="0059590A">
        <w:rPr>
          <w:rFonts w:ascii="Arial" w:hAnsi="Arial" w:cs="Arial"/>
          <w:lang w:val="en-US"/>
        </w:rPr>
        <w:t xml:space="preserve"> </w:t>
      </w:r>
      <w:r w:rsidR="00A83307">
        <w:rPr>
          <w:rFonts w:ascii="Arial" w:hAnsi="Arial" w:cs="Arial"/>
          <w:lang w:val="en-US"/>
        </w:rPr>
        <w:t>S</w:t>
      </w:r>
      <w:r w:rsidR="0059590A">
        <w:rPr>
          <w:rFonts w:ascii="Arial" w:hAnsi="Arial" w:cs="Arial"/>
          <w:lang w:val="en-US"/>
        </w:rPr>
        <w:t>timulants are short-acting and their effects washout within the day, which enables the assessment of benefits and harms quickly, within 5-7 days.</w:t>
      </w:r>
      <w:r w:rsidR="0059590A">
        <w:rPr>
          <w:rFonts w:ascii="Arial" w:hAnsi="Arial" w:cs="Arial"/>
          <w:noProof/>
          <w:vertAlign w:val="superscript"/>
          <w:lang w:val="en-US"/>
        </w:rPr>
        <w:t>9,12</w:t>
      </w:r>
      <w:r w:rsidR="0059590A">
        <w:rPr>
          <w:rFonts w:ascii="Arial" w:hAnsi="Arial" w:cs="Arial"/>
          <w:lang w:val="en-US"/>
        </w:rPr>
        <w:t xml:space="preserve"> If needed (i.e., if harms outweigh the benefits), practitioners may go back to lower doses. </w:t>
      </w:r>
      <w:bookmarkStart w:id="11" w:name="_Hlk137570557"/>
      <w:r w:rsidR="00A82F46">
        <w:rPr>
          <w:rFonts w:ascii="Arial" w:hAnsi="Arial" w:cs="Arial"/>
          <w:lang w:val="en-US"/>
        </w:rPr>
        <w:t>It should also be considered that</w:t>
      </w:r>
      <w:r>
        <w:rPr>
          <w:rFonts w:ascii="Arial" w:hAnsi="Arial" w:cs="Arial"/>
          <w:lang w:val="en-US"/>
        </w:rPr>
        <w:t xml:space="preserve"> </w:t>
      </w:r>
      <w:r w:rsidR="0059590A">
        <w:rPr>
          <w:rFonts w:ascii="Arial" w:hAnsi="Arial" w:cs="Arial"/>
          <w:lang w:val="en-US"/>
        </w:rPr>
        <w:t>f</w:t>
      </w:r>
      <w:r w:rsidR="0082136A">
        <w:rPr>
          <w:rFonts w:ascii="Arial" w:hAnsi="Arial" w:cs="Arial"/>
          <w:lang w:val="en-US"/>
        </w:rPr>
        <w:t>or some medications (e.g., mixed amphetamine salts), the licensed doses of extended-release formulations are smaller than those of immediate-release formulations, or of extended-release formulations in children, so that the unlicensed doses are not particularly high.</w:t>
      </w:r>
      <w:bookmarkStart w:id="12" w:name="_Hlk137620018"/>
      <w:bookmarkEnd w:id="9"/>
      <w:bookmarkEnd w:id="10"/>
      <w:bookmarkEnd w:id="11"/>
    </w:p>
    <w:p w14:paraId="513F9A1E" w14:textId="3EFFE300" w:rsidR="004C6837" w:rsidRPr="00A40E81" w:rsidRDefault="00516A20" w:rsidP="005F6DDD">
      <w:pPr>
        <w:spacing w:line="480" w:lineRule="auto"/>
        <w:ind w:firstLine="720"/>
        <w:rPr>
          <w:rFonts w:ascii="Arial" w:hAnsi="Arial" w:cs="Arial"/>
          <w:vertAlign w:val="superscript"/>
          <w:lang w:val="en-US"/>
        </w:rPr>
      </w:pPr>
      <w:r>
        <w:rPr>
          <w:rFonts w:ascii="Arial" w:hAnsi="Arial" w:cs="Arial"/>
          <w:lang w:val="en-US"/>
        </w:rPr>
        <w:t>Overall</w:t>
      </w:r>
      <w:r w:rsidR="00A70457">
        <w:rPr>
          <w:rFonts w:ascii="Arial" w:hAnsi="Arial" w:cs="Arial"/>
          <w:lang w:val="en-US"/>
        </w:rPr>
        <w:t xml:space="preserve">, our </w:t>
      </w:r>
      <w:r w:rsidR="00812FF7">
        <w:rPr>
          <w:rFonts w:ascii="Arial" w:hAnsi="Arial" w:cs="Arial"/>
          <w:lang w:val="en-US"/>
        </w:rPr>
        <w:t>study</w:t>
      </w:r>
      <w:r w:rsidR="00A70457">
        <w:rPr>
          <w:rFonts w:ascii="Arial" w:hAnsi="Arial" w:cs="Arial"/>
          <w:lang w:val="en-US"/>
        </w:rPr>
        <w:t xml:space="preserve"> provide</w:t>
      </w:r>
      <w:r w:rsidR="00812FF7">
        <w:rPr>
          <w:rFonts w:ascii="Arial" w:hAnsi="Arial" w:cs="Arial"/>
          <w:lang w:val="en-US"/>
        </w:rPr>
        <w:t>s</w:t>
      </w:r>
      <w:r w:rsidR="00A70457">
        <w:rPr>
          <w:rFonts w:ascii="Arial" w:hAnsi="Arial" w:cs="Arial"/>
          <w:lang w:val="en-US"/>
        </w:rPr>
        <w:t xml:space="preserve"> empirical support for expert-opinion that </w:t>
      </w:r>
      <w:r w:rsidR="00EA03D8">
        <w:rPr>
          <w:rFonts w:ascii="Arial" w:hAnsi="Arial" w:cs="Arial"/>
          <w:lang w:val="en-US"/>
        </w:rPr>
        <w:t>licensed doses may be sufficient for most patients</w:t>
      </w:r>
      <w:r w:rsidR="00EA03D8">
        <w:rPr>
          <w:rFonts w:ascii="Arial" w:hAnsi="Arial" w:cs="Arial"/>
          <w:vertAlign w:val="superscript"/>
          <w:lang w:val="en-US"/>
        </w:rPr>
        <w:t>10,11,</w:t>
      </w:r>
      <w:r w:rsidR="00A40E81">
        <w:rPr>
          <w:rFonts w:ascii="Arial" w:hAnsi="Arial" w:cs="Arial"/>
          <w:vertAlign w:val="superscript"/>
          <w:lang w:val="en-US"/>
        </w:rPr>
        <w:t>47</w:t>
      </w:r>
      <w:r w:rsidR="00EA03D8">
        <w:rPr>
          <w:rFonts w:ascii="Arial" w:hAnsi="Arial" w:cs="Arial"/>
          <w:lang w:val="en-US"/>
        </w:rPr>
        <w:t xml:space="preserve"> </w:t>
      </w:r>
      <w:r w:rsidR="00EA03D8">
        <w:rPr>
          <w:rFonts w:ascii="Arial" w:hAnsi="Arial" w:cs="Arial"/>
          <w:noProof/>
          <w:lang w:val="en-US"/>
        </w:rPr>
        <w:t>while unlicensed doses may be considered eventually</w:t>
      </w:r>
      <w:r w:rsidR="002643B1">
        <w:rPr>
          <w:rFonts w:ascii="Arial" w:hAnsi="Arial" w:cs="Arial"/>
          <w:noProof/>
          <w:lang w:val="en-US"/>
        </w:rPr>
        <w:t>.</w:t>
      </w:r>
      <w:r w:rsidR="00EA03D8">
        <w:rPr>
          <w:rFonts w:ascii="Arial" w:hAnsi="Arial" w:cs="Arial"/>
          <w:lang w:val="en-US"/>
        </w:rPr>
        <w:t xml:space="preserve"> </w:t>
      </w:r>
      <w:r w:rsidR="00080243">
        <w:rPr>
          <w:rFonts w:ascii="Arial" w:hAnsi="Arial" w:cs="Arial"/>
          <w:lang w:val="en-US"/>
        </w:rPr>
        <w:t>P</w:t>
      </w:r>
      <w:r w:rsidR="00EA03D8">
        <w:rPr>
          <w:rFonts w:ascii="Arial" w:hAnsi="Arial" w:cs="Arial"/>
          <w:lang w:val="en-US"/>
        </w:rPr>
        <w:t>ractitioners may trial unlicensed doses of stimulants in adults with ADHD who have shown partial response and good tolerability at the maximum licensed dose,</w:t>
      </w:r>
      <w:r w:rsidR="00080243">
        <w:rPr>
          <w:rFonts w:ascii="Arial" w:hAnsi="Arial" w:cs="Arial"/>
          <w:lang w:val="en-US"/>
        </w:rPr>
        <w:t xml:space="preserve"> but</w:t>
      </w:r>
      <w:r w:rsidR="00EA03D8">
        <w:rPr>
          <w:rFonts w:ascii="Arial" w:hAnsi="Arial" w:cs="Arial"/>
          <w:lang w:val="en-US"/>
        </w:rPr>
        <w:t xml:space="preserve"> they should be aware that </w:t>
      </w:r>
      <w:r w:rsidR="00080243">
        <w:rPr>
          <w:rFonts w:ascii="Arial" w:hAnsi="Arial" w:cs="Arial"/>
          <w:lang w:val="en-US"/>
        </w:rPr>
        <w:t>there may not be large gains in the</w:t>
      </w:r>
      <w:r w:rsidR="005F6DDD">
        <w:rPr>
          <w:rFonts w:ascii="Arial" w:hAnsi="Arial" w:cs="Arial"/>
          <w:lang w:val="en-US"/>
        </w:rPr>
        <w:t xml:space="preserve"> patients’</w:t>
      </w:r>
      <w:r w:rsidR="00080243">
        <w:rPr>
          <w:rFonts w:ascii="Arial" w:hAnsi="Arial" w:cs="Arial"/>
          <w:lang w:val="en-US"/>
        </w:rPr>
        <w:t xml:space="preserve"> response to the medication with those further increments in dose.</w:t>
      </w:r>
      <w:r w:rsidR="009B5985">
        <w:rPr>
          <w:rFonts w:ascii="Arial" w:hAnsi="Arial" w:cs="Arial"/>
          <w:lang w:val="en-US"/>
        </w:rPr>
        <w:t xml:space="preserve"> Other strategies to augment response </w:t>
      </w:r>
      <w:r w:rsidR="00080243">
        <w:rPr>
          <w:rFonts w:ascii="Arial" w:hAnsi="Arial" w:cs="Arial"/>
          <w:lang w:val="en-US"/>
        </w:rPr>
        <w:t>to stimulants</w:t>
      </w:r>
      <w:r w:rsidR="005F6DDD">
        <w:rPr>
          <w:rFonts w:ascii="Arial" w:hAnsi="Arial" w:cs="Arial"/>
          <w:lang w:val="en-US"/>
        </w:rPr>
        <w:t xml:space="preserve"> (e.g., switching to other stimulant class) should be considered and may be implemented </w:t>
      </w:r>
      <w:r>
        <w:rPr>
          <w:rFonts w:ascii="Arial" w:hAnsi="Arial" w:cs="Arial"/>
          <w:lang w:val="en-US"/>
        </w:rPr>
        <w:t>rather</w:t>
      </w:r>
      <w:r w:rsidR="005F6DDD">
        <w:rPr>
          <w:rFonts w:ascii="Arial" w:hAnsi="Arial" w:cs="Arial"/>
          <w:lang w:val="en-US"/>
        </w:rPr>
        <w:t xml:space="preserve"> than simply raising the dose of stimulants.</w:t>
      </w:r>
      <w:r w:rsidR="000F284D" w:rsidRPr="000F284D">
        <w:rPr>
          <w:rFonts w:ascii="Arial" w:hAnsi="Arial" w:cs="Arial"/>
          <w:vertAlign w:val="superscript"/>
          <w:lang w:val="en-US"/>
        </w:rPr>
        <w:t>10</w:t>
      </w:r>
      <w:r w:rsidR="005F6DDD">
        <w:rPr>
          <w:rFonts w:ascii="Arial" w:hAnsi="Arial" w:cs="Arial"/>
          <w:lang w:val="en-US"/>
        </w:rPr>
        <w:t xml:space="preserve"> </w:t>
      </w:r>
      <w:r w:rsidR="00A94998">
        <w:rPr>
          <w:rFonts w:ascii="Arial" w:hAnsi="Arial" w:cs="Arial"/>
          <w:lang w:val="en-US"/>
        </w:rPr>
        <w:t>O</w:t>
      </w:r>
      <w:r w:rsidR="005F6DDD">
        <w:rPr>
          <w:rFonts w:ascii="Arial" w:hAnsi="Arial" w:cs="Arial"/>
          <w:lang w:val="en-US"/>
        </w:rPr>
        <w:t xml:space="preserve">ur data calls into question the widespread use of </w:t>
      </w:r>
      <w:r w:rsidR="00D506F4">
        <w:rPr>
          <w:rFonts w:ascii="Arial" w:hAnsi="Arial" w:cs="Arial"/>
          <w:lang w:val="en-US"/>
        </w:rPr>
        <w:t>unlicensed</w:t>
      </w:r>
      <w:r w:rsidR="00A70457">
        <w:rPr>
          <w:rFonts w:ascii="Arial" w:hAnsi="Arial" w:cs="Arial"/>
          <w:lang w:val="en-US"/>
        </w:rPr>
        <w:t xml:space="preserve"> doses in routine practice</w:t>
      </w:r>
      <w:r w:rsidR="00D506F4">
        <w:rPr>
          <w:rFonts w:ascii="Arial" w:hAnsi="Arial" w:cs="Arial"/>
          <w:lang w:val="en-US"/>
        </w:rPr>
        <w:t xml:space="preserve"> as illustrated by data from the Swedish registry</w:t>
      </w:r>
      <w:r w:rsidR="005F6DDD">
        <w:rPr>
          <w:rFonts w:ascii="Arial" w:hAnsi="Arial" w:cs="Arial"/>
          <w:lang w:val="en-US"/>
        </w:rPr>
        <w:t>,</w:t>
      </w:r>
      <w:r w:rsidR="00A40E81">
        <w:rPr>
          <w:rFonts w:ascii="Arial" w:hAnsi="Arial" w:cs="Arial"/>
          <w:vertAlign w:val="superscript"/>
          <w:lang w:val="en-US"/>
        </w:rPr>
        <w:t>48</w:t>
      </w:r>
      <w:r w:rsidR="00A70457">
        <w:rPr>
          <w:rFonts w:ascii="Arial" w:hAnsi="Arial" w:cs="Arial"/>
          <w:vertAlign w:val="superscript"/>
          <w:lang w:val="en-US"/>
        </w:rPr>
        <w:t xml:space="preserve"> </w:t>
      </w:r>
      <w:r w:rsidR="005F6DDD">
        <w:rPr>
          <w:rFonts w:ascii="Arial" w:hAnsi="Arial" w:cs="Arial"/>
          <w:lang w:val="en-US"/>
        </w:rPr>
        <w:t>despite earlier reports</w:t>
      </w:r>
      <w:r w:rsidR="00D506F4">
        <w:rPr>
          <w:rFonts w:ascii="Arial" w:hAnsi="Arial" w:cs="Arial"/>
          <w:lang w:val="en-US"/>
        </w:rPr>
        <w:t xml:space="preserve"> of relatively low doses in community treated adults from the US</w:t>
      </w:r>
      <w:r w:rsidR="005F6DDD">
        <w:rPr>
          <w:rFonts w:ascii="Arial" w:hAnsi="Arial" w:cs="Arial"/>
          <w:lang w:val="en-US"/>
        </w:rPr>
        <w:t>.</w:t>
      </w:r>
      <w:r w:rsidR="00A40E81">
        <w:rPr>
          <w:rFonts w:ascii="Arial" w:hAnsi="Arial" w:cs="Arial"/>
          <w:vertAlign w:val="superscript"/>
          <w:lang w:val="en-US"/>
        </w:rPr>
        <w:t>49</w:t>
      </w:r>
    </w:p>
    <w:p w14:paraId="3DCB2C5E" w14:textId="3955A308" w:rsidR="0036287C" w:rsidRDefault="0022066F" w:rsidP="0036287C">
      <w:pPr>
        <w:spacing w:line="480" w:lineRule="auto"/>
        <w:ind w:firstLine="720"/>
        <w:rPr>
          <w:rFonts w:ascii="Arial" w:hAnsi="Arial" w:cs="Arial"/>
          <w:lang w:val="en-US"/>
        </w:rPr>
      </w:pPr>
      <w:bookmarkStart w:id="13" w:name="_Hlk138618857"/>
      <w:bookmarkEnd w:id="12"/>
      <w:r>
        <w:rPr>
          <w:rFonts w:ascii="Arial" w:hAnsi="Arial" w:cs="Arial"/>
          <w:lang w:val="en-US"/>
        </w:rPr>
        <w:lastRenderedPageBreak/>
        <w:t xml:space="preserve">Overall, the quality of evidence was not high, which underscores the importance of additional studies evaluating the impact of unlicensed doses of stimulants on the treatment outcomes of adults with ADHD. </w:t>
      </w:r>
      <w:r w:rsidR="0036287C">
        <w:rPr>
          <w:rFonts w:ascii="Arial" w:hAnsi="Arial" w:cs="Arial"/>
          <w:lang w:val="en-US"/>
        </w:rPr>
        <w:t>Flexible-dose RCTs may be particularly appropriate to study the risk-benefits of escalation to unlicensed doses because they ensure that participants receive optimal doses. Intriguingly, our sensitivity analyses focused on flexible-dose RCTs did not yield conclusive evidence of stronger associations between reductions of symptoms and unlicensed doses in comparison to associations from the main analyses. For methylphenidate, the point estimate was rather similar; for amphetamines, there was considerable imprecision, and the 95% CI was compatible with a relevant effect (SMD &gt; 0.2) in both directions. While the scarcity of flexible-dose RCTs, particularly for amphetamines, may have limited the statistical power to detect differences, if those were large, they would likely be detected anyway.</w:t>
      </w:r>
    </w:p>
    <w:p w14:paraId="6D3C69B1" w14:textId="7957C495" w:rsidR="001543FA" w:rsidRDefault="000F0E4D" w:rsidP="0036287C">
      <w:pPr>
        <w:spacing w:line="480" w:lineRule="auto"/>
        <w:ind w:firstLine="720"/>
        <w:rPr>
          <w:rFonts w:ascii="Arial" w:hAnsi="Arial" w:cs="Arial"/>
          <w:lang w:val="en-US"/>
        </w:rPr>
      </w:pPr>
      <w:r>
        <w:rPr>
          <w:rFonts w:ascii="Arial" w:hAnsi="Arial" w:cs="Arial"/>
          <w:lang w:val="en-US"/>
        </w:rPr>
        <w:t>V</w:t>
      </w:r>
      <w:r w:rsidR="00B62A04">
        <w:rPr>
          <w:rFonts w:ascii="Arial" w:hAnsi="Arial" w:cs="Arial"/>
          <w:lang w:val="en-US"/>
        </w:rPr>
        <w:t xml:space="preserve">ariation in how flexible-dose RCTs operationalized unlicensed doses may have contributed to the underestimation of the benefits of such high doses. </w:t>
      </w:r>
      <w:r w:rsidR="0036287C">
        <w:rPr>
          <w:rFonts w:ascii="Arial" w:hAnsi="Arial" w:cs="Arial"/>
          <w:lang w:val="en-US"/>
        </w:rPr>
        <w:t>F</w:t>
      </w:r>
      <w:r w:rsidR="00B62A04">
        <w:rPr>
          <w:rFonts w:ascii="Arial" w:hAnsi="Arial" w:cs="Arial"/>
          <w:lang w:val="en-US"/>
        </w:rPr>
        <w:t xml:space="preserve">or </w:t>
      </w:r>
      <w:r w:rsidR="009322ED">
        <w:rPr>
          <w:rFonts w:ascii="Arial" w:hAnsi="Arial" w:cs="Arial"/>
          <w:lang w:val="en-US"/>
        </w:rPr>
        <w:t xml:space="preserve">instance, for </w:t>
      </w:r>
      <w:r w:rsidR="00B62A04">
        <w:rPr>
          <w:rFonts w:ascii="Arial" w:hAnsi="Arial" w:cs="Arial"/>
          <w:lang w:val="en-US"/>
        </w:rPr>
        <w:t>methylphenidate, for which most of the data were available, RCTs evaluating unlicensed doses, which were predominantly (80%) flexible-dose studies, were more likely to use weight-adjusted doses. While weight-adjusted doses have been shown to correlate poorly with reductions of symptoms in youth,</w:t>
      </w:r>
      <w:r w:rsidR="00B62A04">
        <w:rPr>
          <w:rFonts w:ascii="Arial" w:hAnsi="Arial" w:cs="Arial"/>
          <w:vertAlign w:val="superscript"/>
          <w:lang w:val="en-US"/>
        </w:rPr>
        <w:t>50</w:t>
      </w:r>
      <w:r w:rsidR="00B62A04">
        <w:rPr>
          <w:rFonts w:ascii="Arial" w:hAnsi="Arial" w:cs="Arial"/>
          <w:lang w:val="en-US"/>
        </w:rPr>
        <w:t xml:space="preserve"> and current practices are generally based on fixed dose schedules, current recommendations from CPGs about stimulant dosing in adults with ADHD have been based on data from RCTs that adopted weight-adjusted dosing</w:t>
      </w:r>
      <w:r w:rsidR="00B62A04" w:rsidRPr="007546D5">
        <w:rPr>
          <w:rFonts w:ascii="Arial" w:hAnsi="Arial" w:cs="Arial"/>
          <w:vertAlign w:val="superscript"/>
          <w:lang w:val="en-US"/>
        </w:rPr>
        <w:t>1</w:t>
      </w:r>
      <w:r w:rsidR="00A40E81">
        <w:rPr>
          <w:rFonts w:ascii="Arial" w:hAnsi="Arial" w:cs="Arial"/>
          <w:vertAlign w:val="superscript"/>
          <w:lang w:val="en-US"/>
        </w:rPr>
        <w:t>4</w:t>
      </w:r>
      <w:r w:rsidR="00B62A04" w:rsidRPr="007546D5">
        <w:rPr>
          <w:rFonts w:ascii="Arial" w:hAnsi="Arial" w:cs="Arial"/>
          <w:vertAlign w:val="superscript"/>
          <w:lang w:val="en-US"/>
        </w:rPr>
        <w:t>,1</w:t>
      </w:r>
      <w:r w:rsidR="00A40E81">
        <w:rPr>
          <w:rFonts w:ascii="Arial" w:hAnsi="Arial" w:cs="Arial"/>
          <w:vertAlign w:val="superscript"/>
          <w:lang w:val="en-US"/>
        </w:rPr>
        <w:t>5</w:t>
      </w:r>
      <w:r w:rsidR="00B62A04">
        <w:rPr>
          <w:rFonts w:ascii="Arial" w:hAnsi="Arial" w:cs="Arial"/>
          <w:lang w:val="en-US"/>
        </w:rPr>
        <w:t xml:space="preserve"> and yielded the largest effect sizes across RCTs.</w:t>
      </w:r>
      <w:r w:rsidR="00B62A04">
        <w:rPr>
          <w:rFonts w:ascii="Arial" w:hAnsi="Arial" w:cs="Arial"/>
          <w:vertAlign w:val="superscript"/>
          <w:lang w:val="en-US"/>
        </w:rPr>
        <w:t>1</w:t>
      </w:r>
      <w:r w:rsidR="00A40E81">
        <w:rPr>
          <w:rFonts w:ascii="Arial" w:hAnsi="Arial" w:cs="Arial"/>
          <w:vertAlign w:val="superscript"/>
          <w:lang w:val="en-US"/>
        </w:rPr>
        <w:t>6</w:t>
      </w:r>
      <w:r w:rsidR="00B62A04">
        <w:rPr>
          <w:rFonts w:ascii="Arial" w:hAnsi="Arial" w:cs="Arial"/>
          <w:lang w:val="en-US"/>
        </w:rPr>
        <w:t xml:space="preserve"> Besides, RCTs evaluating unlicensed doses were also smaller and older than RCTs evaluating licensed doses; these characteristics may have contributed to larger effect sizes favoring </w:t>
      </w:r>
      <w:r w:rsidR="00B62A04">
        <w:rPr>
          <w:rFonts w:ascii="Arial" w:hAnsi="Arial" w:cs="Arial"/>
          <w:lang w:val="en-US"/>
        </w:rPr>
        <w:lastRenderedPageBreak/>
        <w:t>unlicensed doses in relation to licensed doses.</w:t>
      </w:r>
      <w:r w:rsidR="00B62A04">
        <w:rPr>
          <w:rFonts w:ascii="Arial" w:hAnsi="Arial" w:cs="Arial"/>
          <w:vertAlign w:val="superscript"/>
          <w:lang w:val="en-US"/>
        </w:rPr>
        <w:t>51</w:t>
      </w:r>
      <w:bookmarkStart w:id="14" w:name="_Hlk138620116"/>
      <w:bookmarkEnd w:id="13"/>
      <w:r w:rsidR="0036287C">
        <w:rPr>
          <w:rFonts w:ascii="Arial" w:hAnsi="Arial" w:cs="Arial"/>
          <w:lang w:val="en-US"/>
        </w:rPr>
        <w:t xml:space="preserve"> </w:t>
      </w:r>
      <w:r w:rsidR="00B62A04">
        <w:rPr>
          <w:rFonts w:ascii="Arial" w:hAnsi="Arial" w:cs="Arial"/>
          <w:lang w:val="en-US"/>
        </w:rPr>
        <w:t>Regardless</w:t>
      </w:r>
      <w:r w:rsidR="001543FA">
        <w:rPr>
          <w:rFonts w:ascii="Arial" w:hAnsi="Arial" w:cs="Arial"/>
          <w:lang w:val="en-US"/>
        </w:rPr>
        <w:t>, our study highlights the need for additional rigorously conducted flexible-dose RCTs, which is in contrast with current FDA guidance on the development of stimulant drugs</w:t>
      </w:r>
      <w:r w:rsidR="00BC5B40">
        <w:rPr>
          <w:rFonts w:ascii="Arial" w:hAnsi="Arial" w:cs="Arial"/>
          <w:lang w:val="en-US"/>
        </w:rPr>
        <w:t>.</w:t>
      </w:r>
    </w:p>
    <w:bookmarkEnd w:id="14"/>
    <w:p w14:paraId="3F74C0DC" w14:textId="433A904B" w:rsidR="000D2999" w:rsidRPr="00713C83" w:rsidRDefault="000D2999" w:rsidP="00F2785C">
      <w:pPr>
        <w:spacing w:after="240" w:line="480" w:lineRule="auto"/>
        <w:ind w:firstLine="720"/>
        <w:rPr>
          <w:rFonts w:ascii="Arial" w:hAnsi="Arial" w:cs="Arial"/>
          <w:vertAlign w:val="superscript"/>
          <w:lang w:val="en-US"/>
        </w:rPr>
      </w:pPr>
      <w:r>
        <w:rPr>
          <w:rFonts w:ascii="Arial" w:hAnsi="Arial" w:cs="Arial"/>
          <w:lang w:val="en-US"/>
        </w:rPr>
        <w:t xml:space="preserve">The </w:t>
      </w:r>
      <w:r w:rsidR="00050CA3">
        <w:rPr>
          <w:rFonts w:ascii="Arial" w:hAnsi="Arial" w:cs="Arial"/>
          <w:lang w:val="en-US"/>
        </w:rPr>
        <w:t xml:space="preserve">most notable </w:t>
      </w:r>
      <w:r>
        <w:rPr>
          <w:rFonts w:ascii="Arial" w:hAnsi="Arial" w:cs="Arial"/>
          <w:lang w:val="en-US"/>
        </w:rPr>
        <w:t>strengths of our study were our methodological rigor and the consistent results across different analytical strategies. However, our study also has limitations.</w:t>
      </w:r>
      <w:r w:rsidR="00A02502">
        <w:rPr>
          <w:rFonts w:ascii="Arial" w:hAnsi="Arial" w:cs="Arial"/>
          <w:lang w:val="en-US"/>
        </w:rPr>
        <w:t xml:space="preserve"> First, </w:t>
      </w:r>
      <w:r w:rsidR="008D76E7">
        <w:rPr>
          <w:rFonts w:ascii="Arial" w:hAnsi="Arial" w:cs="Arial"/>
          <w:lang w:val="en-US"/>
        </w:rPr>
        <w:t xml:space="preserve">although we made our best efforts to identify all available </w:t>
      </w:r>
      <w:r w:rsidR="00247F75">
        <w:rPr>
          <w:rFonts w:ascii="Arial" w:hAnsi="Arial" w:cs="Arial"/>
          <w:lang w:val="en-US"/>
        </w:rPr>
        <w:t>RCTs</w:t>
      </w:r>
      <w:r w:rsidR="008D76E7">
        <w:rPr>
          <w:rFonts w:ascii="Arial" w:hAnsi="Arial" w:cs="Arial"/>
          <w:lang w:val="en-US"/>
        </w:rPr>
        <w:t xml:space="preserve">, we cannot rule out the possibility of having missed relevant studies. Second, </w:t>
      </w:r>
      <w:r w:rsidR="00A02502">
        <w:rPr>
          <w:rFonts w:ascii="Arial" w:hAnsi="Arial" w:cs="Arial"/>
          <w:lang w:val="en-US"/>
        </w:rPr>
        <w:t>extended-release medications have differing pharmacokinetic properties which could influence treatment outcomes even if given in the same total daily dose</w:t>
      </w:r>
      <w:r w:rsidR="00F26104">
        <w:rPr>
          <w:rFonts w:ascii="Arial" w:hAnsi="Arial" w:cs="Arial"/>
          <w:lang w:val="en-US"/>
        </w:rPr>
        <w:t xml:space="preserve"> as immediate-release medications</w:t>
      </w:r>
      <w:r w:rsidR="00A02502">
        <w:rPr>
          <w:rFonts w:ascii="Arial" w:hAnsi="Arial" w:cs="Arial"/>
          <w:lang w:val="en-US"/>
        </w:rPr>
        <w:t>.</w:t>
      </w:r>
      <w:r w:rsidR="00032E1E">
        <w:rPr>
          <w:rFonts w:ascii="Arial" w:hAnsi="Arial" w:cs="Arial"/>
          <w:vertAlign w:val="superscript"/>
          <w:lang w:val="en-US"/>
        </w:rPr>
        <w:t>5</w:t>
      </w:r>
      <w:r w:rsidR="006C4A96">
        <w:rPr>
          <w:rFonts w:ascii="Arial" w:hAnsi="Arial" w:cs="Arial"/>
          <w:vertAlign w:val="superscript"/>
          <w:lang w:val="en-US"/>
        </w:rPr>
        <w:t>2</w:t>
      </w:r>
      <w:r w:rsidR="00032E1E">
        <w:rPr>
          <w:rFonts w:ascii="Arial" w:hAnsi="Arial" w:cs="Arial"/>
          <w:vertAlign w:val="superscript"/>
          <w:lang w:val="en-US"/>
        </w:rPr>
        <w:t>,5</w:t>
      </w:r>
      <w:r w:rsidR="006C4A96">
        <w:rPr>
          <w:rFonts w:ascii="Arial" w:hAnsi="Arial" w:cs="Arial"/>
          <w:vertAlign w:val="superscript"/>
          <w:lang w:val="en-US"/>
        </w:rPr>
        <w:t>3</w:t>
      </w:r>
      <w:r w:rsidR="00A02502">
        <w:rPr>
          <w:rFonts w:ascii="Arial" w:hAnsi="Arial" w:cs="Arial"/>
          <w:lang w:val="en-US"/>
        </w:rPr>
        <w:t xml:space="preserve"> However, we </w:t>
      </w:r>
      <w:r w:rsidR="00146B40">
        <w:rPr>
          <w:rFonts w:ascii="Arial" w:hAnsi="Arial" w:cs="Arial"/>
          <w:lang w:val="en-US"/>
        </w:rPr>
        <w:t>used</w:t>
      </w:r>
      <w:r w:rsidR="00A02502">
        <w:rPr>
          <w:rFonts w:ascii="Arial" w:hAnsi="Arial" w:cs="Arial"/>
          <w:lang w:val="en-US"/>
        </w:rPr>
        <w:t xml:space="preserve"> dose equivalence because there were few RCTs for each medication. Future </w:t>
      </w:r>
      <w:r w:rsidR="00146B40">
        <w:rPr>
          <w:rFonts w:ascii="Arial" w:hAnsi="Arial" w:cs="Arial"/>
          <w:lang w:val="en-US"/>
        </w:rPr>
        <w:t>research</w:t>
      </w:r>
      <w:r w:rsidR="00A02502">
        <w:rPr>
          <w:rFonts w:ascii="Arial" w:hAnsi="Arial" w:cs="Arial"/>
          <w:lang w:val="en-US"/>
        </w:rPr>
        <w:t xml:space="preserve"> should consider evaluating risk-benefit trade-offs for each medication separately if more data </w:t>
      </w:r>
      <w:proofErr w:type="gramStart"/>
      <w:r w:rsidR="00A02502">
        <w:rPr>
          <w:rFonts w:ascii="Arial" w:hAnsi="Arial" w:cs="Arial"/>
          <w:lang w:val="en-US"/>
        </w:rPr>
        <w:t>become</w:t>
      </w:r>
      <w:proofErr w:type="gramEnd"/>
      <w:r w:rsidR="00A02502">
        <w:rPr>
          <w:rFonts w:ascii="Arial" w:hAnsi="Arial" w:cs="Arial"/>
          <w:lang w:val="en-US"/>
        </w:rPr>
        <w:t xml:space="preserve"> available.</w:t>
      </w:r>
      <w:r w:rsidR="009526DC">
        <w:rPr>
          <w:rFonts w:ascii="Arial" w:hAnsi="Arial" w:cs="Arial"/>
          <w:lang w:val="en-US"/>
        </w:rPr>
        <w:t xml:space="preserve"> Third,</w:t>
      </w:r>
      <w:r w:rsidR="001B11F2">
        <w:rPr>
          <w:rFonts w:ascii="Arial" w:hAnsi="Arial" w:cs="Arial"/>
          <w:lang w:val="en-US"/>
        </w:rPr>
        <w:t xml:space="preserve"> </w:t>
      </w:r>
      <w:r w:rsidR="0083194A">
        <w:rPr>
          <w:rFonts w:ascii="Arial" w:hAnsi="Arial" w:cs="Arial"/>
          <w:lang w:val="en-US"/>
        </w:rPr>
        <w:t xml:space="preserve">relatedly, </w:t>
      </w:r>
      <w:r w:rsidR="00F4184E">
        <w:rPr>
          <w:rFonts w:ascii="Arial" w:hAnsi="Arial" w:cs="Arial"/>
          <w:lang w:val="en-US"/>
        </w:rPr>
        <w:t xml:space="preserve">our approach to compare doses of stimulants may not be directly </w:t>
      </w:r>
      <w:r w:rsidR="004320FE">
        <w:rPr>
          <w:rFonts w:ascii="Arial" w:hAnsi="Arial" w:cs="Arial"/>
          <w:lang w:val="en-US"/>
        </w:rPr>
        <w:t>translated</w:t>
      </w:r>
      <w:r w:rsidR="00F4184E">
        <w:rPr>
          <w:rFonts w:ascii="Arial" w:hAnsi="Arial" w:cs="Arial"/>
          <w:lang w:val="en-US"/>
        </w:rPr>
        <w:t xml:space="preserve"> </w:t>
      </w:r>
      <w:r w:rsidR="00C56021">
        <w:rPr>
          <w:rFonts w:ascii="Arial" w:hAnsi="Arial" w:cs="Arial"/>
          <w:lang w:val="en-US"/>
        </w:rPr>
        <w:t>in</w:t>
      </w:r>
      <w:r w:rsidR="00F4184E">
        <w:rPr>
          <w:rFonts w:ascii="Arial" w:hAnsi="Arial" w:cs="Arial"/>
          <w:lang w:val="en-US"/>
        </w:rPr>
        <w:t xml:space="preserve">to routine clinical practice because practitioners must </w:t>
      </w:r>
      <w:r w:rsidR="00C56021">
        <w:rPr>
          <w:rFonts w:ascii="Arial" w:hAnsi="Arial" w:cs="Arial"/>
          <w:lang w:val="en-US"/>
        </w:rPr>
        <w:t xml:space="preserve">also </w:t>
      </w:r>
      <w:r w:rsidR="00F4184E">
        <w:rPr>
          <w:rFonts w:ascii="Arial" w:hAnsi="Arial" w:cs="Arial"/>
          <w:lang w:val="en-US"/>
        </w:rPr>
        <w:t xml:space="preserve">account for the </w:t>
      </w:r>
      <w:r w:rsidR="001B11F2">
        <w:rPr>
          <w:rFonts w:ascii="Arial" w:hAnsi="Arial" w:cs="Arial"/>
          <w:lang w:val="en-US"/>
        </w:rPr>
        <w:t xml:space="preserve">differential impact of ADHD symptoms on </w:t>
      </w:r>
      <w:r w:rsidR="00F4184E">
        <w:rPr>
          <w:rFonts w:ascii="Arial" w:hAnsi="Arial" w:cs="Arial"/>
          <w:lang w:val="en-US"/>
        </w:rPr>
        <w:t>activities along the day (e.g., morning organization, self-care</w:t>
      </w:r>
      <w:r w:rsidR="001B11F2">
        <w:rPr>
          <w:rFonts w:ascii="Arial" w:hAnsi="Arial" w:cs="Arial"/>
          <w:lang w:val="en-US"/>
        </w:rPr>
        <w:t>; late-evening family interactions)</w:t>
      </w:r>
      <w:r w:rsidR="00B7608B">
        <w:rPr>
          <w:rFonts w:ascii="Arial" w:hAnsi="Arial" w:cs="Arial"/>
          <w:lang w:val="en-US"/>
        </w:rPr>
        <w:t xml:space="preserve"> when prescribing stimulants for adults with ADHD</w:t>
      </w:r>
      <w:r w:rsidR="001B11F2">
        <w:rPr>
          <w:rFonts w:ascii="Arial" w:hAnsi="Arial" w:cs="Arial"/>
          <w:lang w:val="en-US"/>
        </w:rPr>
        <w:t>.</w:t>
      </w:r>
      <w:r w:rsidR="0001783C">
        <w:rPr>
          <w:rFonts w:ascii="Arial" w:hAnsi="Arial" w:cs="Arial"/>
          <w:lang w:val="en-US"/>
        </w:rPr>
        <w:t xml:space="preserve"> </w:t>
      </w:r>
      <w:r w:rsidR="00816DAB">
        <w:rPr>
          <w:rFonts w:ascii="Arial" w:hAnsi="Arial" w:cs="Arial"/>
          <w:lang w:val="en-US"/>
        </w:rPr>
        <w:t>Indeed</w:t>
      </w:r>
      <w:r w:rsidR="0083194A">
        <w:rPr>
          <w:rFonts w:ascii="Arial" w:hAnsi="Arial" w:cs="Arial"/>
          <w:lang w:val="en-US"/>
        </w:rPr>
        <w:t>, the COMACS study</w:t>
      </w:r>
      <w:r w:rsidR="00B7608B">
        <w:rPr>
          <w:rFonts w:ascii="Arial" w:hAnsi="Arial" w:cs="Arial"/>
          <w:lang w:val="en-US"/>
        </w:rPr>
        <w:t>, albeit in children,</w:t>
      </w:r>
      <w:r w:rsidR="0083194A">
        <w:rPr>
          <w:rFonts w:ascii="Arial" w:hAnsi="Arial" w:cs="Arial"/>
          <w:lang w:val="en-US"/>
        </w:rPr>
        <w:t xml:space="preserve"> </w:t>
      </w:r>
      <w:r w:rsidR="00714E65">
        <w:rPr>
          <w:rFonts w:ascii="Arial" w:hAnsi="Arial" w:cs="Arial"/>
          <w:lang w:val="en-US"/>
        </w:rPr>
        <w:t xml:space="preserve">showed that </w:t>
      </w:r>
      <w:r w:rsidR="00AC7FF9">
        <w:rPr>
          <w:rFonts w:ascii="Arial" w:hAnsi="Arial" w:cs="Arial"/>
          <w:lang w:val="en-US"/>
        </w:rPr>
        <w:t xml:space="preserve">even two </w:t>
      </w:r>
      <w:r w:rsidR="00714E65">
        <w:rPr>
          <w:rFonts w:ascii="Arial" w:hAnsi="Arial" w:cs="Arial"/>
          <w:lang w:val="en-US"/>
        </w:rPr>
        <w:t xml:space="preserve">bioequivalent doses of </w:t>
      </w:r>
      <w:r w:rsidR="00AC7FF9">
        <w:rPr>
          <w:rFonts w:ascii="Arial" w:hAnsi="Arial" w:cs="Arial"/>
          <w:lang w:val="en-US"/>
        </w:rPr>
        <w:t>different</w:t>
      </w:r>
      <w:r w:rsidR="00714E65">
        <w:rPr>
          <w:rFonts w:ascii="Arial" w:hAnsi="Arial" w:cs="Arial"/>
          <w:lang w:val="en-US"/>
        </w:rPr>
        <w:t xml:space="preserve"> extended-release formulations of methylphenidate </w:t>
      </w:r>
      <w:r w:rsidR="00816DAB">
        <w:rPr>
          <w:rFonts w:ascii="Arial" w:hAnsi="Arial" w:cs="Arial"/>
          <w:lang w:val="en-US"/>
        </w:rPr>
        <w:t>may have different effects on reductions of symptoms across the day depending on their immediate-/extended-release ratios.</w:t>
      </w:r>
      <w:r w:rsidR="00816DAB">
        <w:rPr>
          <w:rFonts w:ascii="Arial" w:hAnsi="Arial" w:cs="Arial"/>
          <w:vertAlign w:val="superscript"/>
          <w:lang w:val="en-US"/>
        </w:rPr>
        <w:t>54</w:t>
      </w:r>
      <w:r w:rsidR="00816DAB">
        <w:rPr>
          <w:rFonts w:ascii="Arial" w:hAnsi="Arial" w:cs="Arial"/>
          <w:lang w:val="en-US"/>
        </w:rPr>
        <w:t xml:space="preserve"> </w:t>
      </w:r>
      <w:r w:rsidR="00BD7631">
        <w:rPr>
          <w:rFonts w:ascii="Arial" w:hAnsi="Arial" w:cs="Arial"/>
          <w:lang w:val="en-US"/>
        </w:rPr>
        <w:t xml:space="preserve">However, </w:t>
      </w:r>
      <w:r w:rsidR="00B7608B">
        <w:rPr>
          <w:rFonts w:ascii="Arial" w:hAnsi="Arial" w:cs="Arial"/>
          <w:lang w:val="en-US"/>
        </w:rPr>
        <w:t xml:space="preserve">our analyses cannot account for these fine-grained variabilities across formulations, which would require specific experimental procedures (e.g., repeated assessments across the day, temporal sensitive rating scales) that are not typically adopted in </w:t>
      </w:r>
      <w:r w:rsidR="00F50BB9">
        <w:rPr>
          <w:rFonts w:ascii="Arial" w:hAnsi="Arial" w:cs="Arial"/>
          <w:lang w:val="en-US"/>
        </w:rPr>
        <w:t xml:space="preserve">the majority of </w:t>
      </w:r>
      <w:r w:rsidR="00B7608B">
        <w:rPr>
          <w:rFonts w:ascii="Arial" w:hAnsi="Arial" w:cs="Arial"/>
          <w:lang w:val="en-US"/>
        </w:rPr>
        <w:t xml:space="preserve">RCTs. </w:t>
      </w:r>
      <w:r w:rsidR="00BD7631">
        <w:rPr>
          <w:rFonts w:ascii="Arial" w:hAnsi="Arial" w:cs="Arial"/>
          <w:lang w:val="en-US"/>
        </w:rPr>
        <w:t>Fourth</w:t>
      </w:r>
      <w:r w:rsidR="00816DAB">
        <w:rPr>
          <w:rFonts w:ascii="Arial" w:hAnsi="Arial" w:cs="Arial"/>
          <w:lang w:val="en-US"/>
        </w:rPr>
        <w:t xml:space="preserve">, </w:t>
      </w:r>
      <w:r w:rsidR="001652DA">
        <w:rPr>
          <w:rFonts w:ascii="Arial" w:hAnsi="Arial" w:cs="Arial"/>
          <w:lang w:val="en-US"/>
        </w:rPr>
        <w:t xml:space="preserve">for amphetamines we converted </w:t>
      </w:r>
      <w:r w:rsidR="001652DA">
        <w:rPr>
          <w:rFonts w:ascii="Arial" w:hAnsi="Arial" w:cs="Arial"/>
          <w:lang w:val="en-US"/>
        </w:rPr>
        <w:lastRenderedPageBreak/>
        <w:t xml:space="preserve">doses based on total amphetamine base equivalence because both d-/l-amphetamines </w:t>
      </w:r>
      <w:r w:rsidR="00910AA7">
        <w:rPr>
          <w:rFonts w:ascii="Arial" w:hAnsi="Arial" w:cs="Arial"/>
          <w:lang w:val="en-US"/>
        </w:rPr>
        <w:t>are active</w:t>
      </w:r>
      <w:r w:rsidR="00236F49">
        <w:rPr>
          <w:rFonts w:ascii="Arial" w:hAnsi="Arial" w:cs="Arial"/>
          <w:lang w:val="en-US"/>
        </w:rPr>
        <w:t xml:space="preserve">; however, </w:t>
      </w:r>
      <w:r w:rsidR="003F52FC">
        <w:rPr>
          <w:rFonts w:ascii="Arial" w:hAnsi="Arial" w:cs="Arial"/>
          <w:lang w:val="en-US"/>
        </w:rPr>
        <w:t>this</w:t>
      </w:r>
      <w:r w:rsidR="00F2785C">
        <w:rPr>
          <w:rFonts w:ascii="Arial" w:hAnsi="Arial" w:cs="Arial"/>
          <w:lang w:val="en-US"/>
        </w:rPr>
        <w:t xml:space="preserve"> does not account for differences in potency of d-/l-amphetamine as a dopamine/norepinephrine reuptake inhibitor</w:t>
      </w:r>
      <w:r w:rsidR="00236F49">
        <w:rPr>
          <w:rFonts w:ascii="Arial" w:hAnsi="Arial" w:cs="Arial"/>
          <w:lang w:val="en-US"/>
        </w:rPr>
        <w:t>,</w:t>
      </w:r>
      <w:r w:rsidR="00F2785C">
        <w:rPr>
          <w:rFonts w:ascii="Arial" w:hAnsi="Arial" w:cs="Arial"/>
          <w:vertAlign w:val="superscript"/>
          <w:lang w:val="en-US"/>
        </w:rPr>
        <w:t>5</w:t>
      </w:r>
      <w:r w:rsidR="00236F49">
        <w:rPr>
          <w:rFonts w:ascii="Arial" w:hAnsi="Arial" w:cs="Arial"/>
          <w:vertAlign w:val="superscript"/>
          <w:lang w:val="en-US"/>
        </w:rPr>
        <w:t>5</w:t>
      </w:r>
      <w:r w:rsidR="00F2785C">
        <w:rPr>
          <w:rFonts w:ascii="Arial" w:hAnsi="Arial" w:cs="Arial"/>
          <w:lang w:val="en-US"/>
        </w:rPr>
        <w:t xml:space="preserve"> one of the proposed mechanisms of action for amphetamines</w:t>
      </w:r>
      <w:r w:rsidR="00236F49">
        <w:rPr>
          <w:rFonts w:ascii="Arial" w:hAnsi="Arial" w:cs="Arial"/>
          <w:lang w:val="en-US"/>
        </w:rPr>
        <w:t>.</w:t>
      </w:r>
      <w:r w:rsidR="00F2785C">
        <w:rPr>
          <w:rFonts w:ascii="Arial" w:hAnsi="Arial" w:cs="Arial"/>
          <w:vertAlign w:val="superscript"/>
          <w:lang w:val="en-US"/>
        </w:rPr>
        <w:t>5</w:t>
      </w:r>
      <w:r w:rsidR="00236F49">
        <w:rPr>
          <w:rFonts w:ascii="Arial" w:hAnsi="Arial" w:cs="Arial"/>
          <w:vertAlign w:val="superscript"/>
          <w:lang w:val="en-US"/>
        </w:rPr>
        <w:t>6</w:t>
      </w:r>
      <w:r w:rsidR="00F2785C">
        <w:rPr>
          <w:rFonts w:ascii="Arial" w:hAnsi="Arial" w:cs="Arial"/>
          <w:lang w:val="en-US"/>
        </w:rPr>
        <w:t xml:space="preserve"> </w:t>
      </w:r>
      <w:r w:rsidR="00236F49">
        <w:rPr>
          <w:rFonts w:ascii="Arial" w:hAnsi="Arial" w:cs="Arial"/>
          <w:lang w:val="en-US"/>
        </w:rPr>
        <w:t>Nevertheless, other</w:t>
      </w:r>
      <w:r w:rsidR="000C30E5">
        <w:rPr>
          <w:rFonts w:ascii="Arial" w:hAnsi="Arial" w:cs="Arial"/>
          <w:lang w:val="en-US"/>
        </w:rPr>
        <w:t xml:space="preserve"> researchers in the field</w:t>
      </w:r>
      <w:r w:rsidR="00236F49">
        <w:rPr>
          <w:rFonts w:ascii="Arial" w:hAnsi="Arial" w:cs="Arial"/>
          <w:lang w:val="en-US"/>
        </w:rPr>
        <w:t xml:space="preserve"> (e.g., investigators from the Multimodal Treatment Study of ADHD) have adopted similar approach</w:t>
      </w:r>
      <w:r w:rsidR="007C271E">
        <w:rPr>
          <w:rFonts w:ascii="Arial" w:hAnsi="Arial" w:cs="Arial"/>
          <w:lang w:val="en-US"/>
        </w:rPr>
        <w:t>es</w:t>
      </w:r>
      <w:r w:rsidR="00236F49">
        <w:rPr>
          <w:rFonts w:ascii="Arial" w:hAnsi="Arial" w:cs="Arial"/>
          <w:lang w:val="en-US"/>
        </w:rPr>
        <w:t xml:space="preserve"> when assessing stimulant doses.</w:t>
      </w:r>
      <w:r w:rsidR="00236F49">
        <w:rPr>
          <w:rFonts w:ascii="Arial" w:hAnsi="Arial" w:cs="Arial"/>
          <w:vertAlign w:val="superscript"/>
          <w:lang w:val="en-US"/>
        </w:rPr>
        <w:t>57-59</w:t>
      </w:r>
      <w:r w:rsidR="00E7125F">
        <w:rPr>
          <w:rFonts w:ascii="Arial" w:hAnsi="Arial" w:cs="Arial"/>
          <w:vertAlign w:val="superscript"/>
          <w:lang w:val="en-US"/>
        </w:rPr>
        <w:t xml:space="preserve"> </w:t>
      </w:r>
      <w:r w:rsidR="00ED7B34">
        <w:rPr>
          <w:rFonts w:ascii="Arial" w:hAnsi="Arial" w:cs="Arial"/>
          <w:lang w:val="en-US"/>
        </w:rPr>
        <w:t xml:space="preserve">Besides, our sensitivity analyses for the dose-response curves considering other conversion factors for stimulants did not yield considerable differences. </w:t>
      </w:r>
      <w:r w:rsidR="00985232">
        <w:rPr>
          <w:rFonts w:ascii="Arial" w:hAnsi="Arial" w:cs="Arial"/>
          <w:lang w:val="en-US"/>
        </w:rPr>
        <w:t>Fifth</w:t>
      </w:r>
      <w:r w:rsidR="00EF451A">
        <w:rPr>
          <w:rFonts w:ascii="Arial" w:hAnsi="Arial" w:cs="Arial"/>
          <w:lang w:val="en-US"/>
        </w:rPr>
        <w:t>, our definition of tolerability only considered dropouts</w:t>
      </w:r>
      <w:r w:rsidR="00CA5ABA">
        <w:rPr>
          <w:rFonts w:ascii="Arial" w:hAnsi="Arial" w:cs="Arial"/>
          <w:lang w:val="en-US"/>
        </w:rPr>
        <w:t xml:space="preserve"> due to any side effect</w:t>
      </w:r>
      <w:r w:rsidR="00EF451A">
        <w:rPr>
          <w:rFonts w:ascii="Arial" w:hAnsi="Arial" w:cs="Arial"/>
          <w:lang w:val="en-US"/>
        </w:rPr>
        <w:t>.</w:t>
      </w:r>
      <w:r w:rsidR="00247F75">
        <w:rPr>
          <w:rFonts w:ascii="Arial" w:hAnsi="Arial" w:cs="Arial"/>
          <w:lang w:val="en-US"/>
        </w:rPr>
        <w:t xml:space="preserve"> An examination of individual adverse events</w:t>
      </w:r>
      <w:r w:rsidR="00E5773D">
        <w:rPr>
          <w:rFonts w:ascii="Arial" w:hAnsi="Arial" w:cs="Arial"/>
          <w:vertAlign w:val="superscript"/>
          <w:lang w:val="en-US"/>
        </w:rPr>
        <w:t>60</w:t>
      </w:r>
      <w:r w:rsidR="00247F75">
        <w:rPr>
          <w:rFonts w:ascii="Arial" w:hAnsi="Arial" w:cs="Arial"/>
          <w:vertAlign w:val="superscript"/>
          <w:lang w:val="en-US"/>
        </w:rPr>
        <w:t xml:space="preserve"> </w:t>
      </w:r>
      <w:r w:rsidR="00D27DDC">
        <w:rPr>
          <w:rFonts w:ascii="Arial" w:hAnsi="Arial" w:cs="Arial"/>
          <w:lang w:val="en-US"/>
        </w:rPr>
        <w:t xml:space="preserve">would be clinically informative, and future research should </w:t>
      </w:r>
      <w:r w:rsidR="00CA5ABA">
        <w:rPr>
          <w:rFonts w:ascii="Arial" w:hAnsi="Arial" w:cs="Arial"/>
          <w:lang w:val="en-US"/>
        </w:rPr>
        <w:t xml:space="preserve">specifically </w:t>
      </w:r>
      <w:r w:rsidR="00D27DDC">
        <w:rPr>
          <w:rFonts w:ascii="Arial" w:hAnsi="Arial" w:cs="Arial"/>
          <w:lang w:val="en-US"/>
        </w:rPr>
        <w:t xml:space="preserve">examine this </w:t>
      </w:r>
      <w:r w:rsidR="005E1212">
        <w:rPr>
          <w:rFonts w:ascii="Arial" w:hAnsi="Arial" w:cs="Arial"/>
          <w:lang w:val="en-US"/>
        </w:rPr>
        <w:t>issue</w:t>
      </w:r>
      <w:r w:rsidR="00D27DDC">
        <w:rPr>
          <w:rFonts w:ascii="Arial" w:hAnsi="Arial" w:cs="Arial"/>
          <w:lang w:val="en-US"/>
        </w:rPr>
        <w:t>.</w:t>
      </w:r>
      <w:r w:rsidR="00BA2519">
        <w:rPr>
          <w:rFonts w:ascii="Arial" w:hAnsi="Arial" w:cs="Arial"/>
          <w:lang w:val="en-US"/>
        </w:rPr>
        <w:t xml:space="preserve"> </w:t>
      </w:r>
      <w:r w:rsidR="00146B40">
        <w:rPr>
          <w:rFonts w:ascii="Arial" w:hAnsi="Arial" w:cs="Arial"/>
          <w:lang w:val="en-US"/>
        </w:rPr>
        <w:t>Nevertheless</w:t>
      </w:r>
      <w:r w:rsidR="00BA2519">
        <w:rPr>
          <w:rFonts w:ascii="Arial" w:hAnsi="Arial" w:cs="Arial"/>
          <w:lang w:val="en-US"/>
        </w:rPr>
        <w:t>, using dropout rates due to adverse events as a proxy for tolerability is a typical procedure in meta-analyses</w:t>
      </w:r>
      <w:r w:rsidR="00DB6DA4">
        <w:rPr>
          <w:rFonts w:ascii="Arial" w:hAnsi="Arial" w:cs="Arial"/>
          <w:lang w:val="en-US"/>
        </w:rPr>
        <w:t>.</w:t>
      </w:r>
      <w:r w:rsidR="00BA2519" w:rsidRPr="00BA2519">
        <w:rPr>
          <w:rFonts w:ascii="Arial" w:hAnsi="Arial" w:cs="Arial"/>
          <w:vertAlign w:val="superscript"/>
          <w:lang w:val="en-US"/>
        </w:rPr>
        <w:t>1</w:t>
      </w:r>
      <w:r w:rsidR="00E5773D">
        <w:rPr>
          <w:rFonts w:ascii="Arial" w:hAnsi="Arial" w:cs="Arial"/>
          <w:vertAlign w:val="superscript"/>
          <w:lang w:val="en-US"/>
        </w:rPr>
        <w:t>3</w:t>
      </w:r>
      <w:r w:rsidR="00032E1E">
        <w:rPr>
          <w:rFonts w:ascii="Arial" w:hAnsi="Arial" w:cs="Arial"/>
          <w:vertAlign w:val="superscript"/>
          <w:lang w:val="en-US"/>
        </w:rPr>
        <w:t>,2</w:t>
      </w:r>
      <w:r w:rsidR="00E5773D">
        <w:rPr>
          <w:rFonts w:ascii="Arial" w:hAnsi="Arial" w:cs="Arial"/>
          <w:vertAlign w:val="superscript"/>
          <w:lang w:val="en-US"/>
        </w:rPr>
        <w:t>3</w:t>
      </w:r>
      <w:r w:rsidR="00DB6DA4">
        <w:rPr>
          <w:rFonts w:ascii="Arial" w:hAnsi="Arial" w:cs="Arial"/>
          <w:vertAlign w:val="superscript"/>
          <w:lang w:val="en-US"/>
        </w:rPr>
        <w:t>,</w:t>
      </w:r>
      <w:r w:rsidR="006C4A96">
        <w:rPr>
          <w:rFonts w:ascii="Arial" w:hAnsi="Arial" w:cs="Arial"/>
          <w:vertAlign w:val="superscript"/>
          <w:lang w:val="en-US"/>
        </w:rPr>
        <w:t>51</w:t>
      </w:r>
      <w:r w:rsidR="00032E1E">
        <w:rPr>
          <w:rFonts w:ascii="Arial" w:hAnsi="Arial" w:cs="Arial"/>
          <w:vertAlign w:val="superscript"/>
          <w:lang w:val="en-US"/>
        </w:rPr>
        <w:t xml:space="preserve"> </w:t>
      </w:r>
      <w:r w:rsidR="00985232">
        <w:rPr>
          <w:rFonts w:ascii="Arial" w:hAnsi="Arial" w:cs="Arial"/>
          <w:lang w:val="en-US"/>
        </w:rPr>
        <w:t>Sixth</w:t>
      </w:r>
      <w:r w:rsidR="00032E1E">
        <w:rPr>
          <w:rFonts w:ascii="Arial" w:hAnsi="Arial" w:cs="Arial"/>
          <w:lang w:val="en-US"/>
        </w:rPr>
        <w:t xml:space="preserve">, </w:t>
      </w:r>
      <w:r w:rsidR="009E6038">
        <w:rPr>
          <w:rFonts w:ascii="Arial" w:hAnsi="Arial" w:cs="Arial"/>
          <w:lang w:val="en-US"/>
        </w:rPr>
        <w:t xml:space="preserve">our analyses based on averages </w:t>
      </w:r>
      <w:r w:rsidR="003F7552">
        <w:rPr>
          <w:rFonts w:ascii="Arial" w:hAnsi="Arial" w:cs="Arial"/>
          <w:lang w:val="en-US"/>
        </w:rPr>
        <w:t>do not account for individual factors that could contribute to different dose-outcome associations (e.g., baseline symptom</w:t>
      </w:r>
      <w:r w:rsidR="006410C4">
        <w:rPr>
          <w:rFonts w:ascii="Arial" w:hAnsi="Arial" w:cs="Arial"/>
          <w:lang w:val="en-US"/>
        </w:rPr>
        <w:t>s</w:t>
      </w:r>
      <w:r w:rsidR="003F7552">
        <w:rPr>
          <w:rFonts w:ascii="Arial" w:hAnsi="Arial" w:cs="Arial"/>
          <w:lang w:val="en-US"/>
        </w:rPr>
        <w:t>,</w:t>
      </w:r>
      <w:r w:rsidR="00E5773D">
        <w:rPr>
          <w:rFonts w:ascii="Arial" w:hAnsi="Arial" w:cs="Arial"/>
          <w:vertAlign w:val="superscript"/>
          <w:lang w:val="en-US"/>
        </w:rPr>
        <w:t>61</w:t>
      </w:r>
      <w:r w:rsidR="003F7552">
        <w:rPr>
          <w:rFonts w:ascii="Arial" w:hAnsi="Arial" w:cs="Arial"/>
          <w:vertAlign w:val="superscript"/>
          <w:lang w:val="en-US"/>
        </w:rPr>
        <w:t xml:space="preserve"> </w:t>
      </w:r>
      <w:r w:rsidR="003F7552">
        <w:rPr>
          <w:rFonts w:ascii="Arial" w:hAnsi="Arial" w:cs="Arial"/>
          <w:lang w:val="en-US"/>
        </w:rPr>
        <w:t>genetic background</w:t>
      </w:r>
      <w:r w:rsidR="006208E8">
        <w:rPr>
          <w:rFonts w:ascii="Arial" w:hAnsi="Arial" w:cs="Arial"/>
          <w:vertAlign w:val="superscript"/>
          <w:lang w:val="en-US"/>
        </w:rPr>
        <w:t>6</w:t>
      </w:r>
      <w:r w:rsidR="00E5773D">
        <w:rPr>
          <w:rFonts w:ascii="Arial" w:hAnsi="Arial" w:cs="Arial"/>
          <w:vertAlign w:val="superscript"/>
          <w:lang w:val="en-US"/>
        </w:rPr>
        <w:t>2</w:t>
      </w:r>
      <w:r w:rsidR="003F7552">
        <w:rPr>
          <w:rFonts w:ascii="Arial" w:hAnsi="Arial" w:cs="Arial"/>
          <w:lang w:val="en-US"/>
        </w:rPr>
        <w:t>).</w:t>
      </w:r>
      <w:r w:rsidR="00713C83">
        <w:rPr>
          <w:rFonts w:ascii="Arial" w:hAnsi="Arial" w:cs="Arial"/>
          <w:lang w:val="en-US"/>
        </w:rPr>
        <w:t xml:space="preserve"> However, others have adopted similar procedures to investigate dose-response associations in psychiatry,</w:t>
      </w:r>
      <w:r w:rsidR="00713C83">
        <w:rPr>
          <w:rFonts w:ascii="Arial" w:hAnsi="Arial" w:cs="Arial"/>
          <w:vertAlign w:val="superscript"/>
          <w:lang w:val="en-US"/>
        </w:rPr>
        <w:t>63-65</w:t>
      </w:r>
      <w:r w:rsidR="00713C83">
        <w:rPr>
          <w:rFonts w:ascii="Arial" w:hAnsi="Arial" w:cs="Arial"/>
          <w:lang w:val="en-US"/>
        </w:rPr>
        <w:t xml:space="preserve"> general medicine</w:t>
      </w:r>
      <w:r w:rsidR="00713C83">
        <w:rPr>
          <w:rFonts w:ascii="Arial" w:hAnsi="Arial" w:cs="Arial"/>
          <w:vertAlign w:val="superscript"/>
          <w:lang w:val="en-US"/>
        </w:rPr>
        <w:t>66,67</w:t>
      </w:r>
      <w:r w:rsidR="00713C83">
        <w:rPr>
          <w:rFonts w:ascii="Arial" w:hAnsi="Arial" w:cs="Arial"/>
          <w:lang w:val="en-US"/>
        </w:rPr>
        <w:t xml:space="preserve"> and public health.</w:t>
      </w:r>
      <w:r w:rsidR="00713C83">
        <w:rPr>
          <w:rFonts w:ascii="Arial" w:hAnsi="Arial" w:cs="Arial"/>
          <w:vertAlign w:val="superscript"/>
          <w:lang w:val="en-US"/>
        </w:rPr>
        <w:t>68,</w:t>
      </w:r>
      <w:proofErr w:type="gramStart"/>
      <w:r w:rsidR="00713C83">
        <w:rPr>
          <w:rFonts w:ascii="Arial" w:hAnsi="Arial" w:cs="Arial"/>
          <w:vertAlign w:val="superscript"/>
          <w:lang w:val="en-US"/>
        </w:rPr>
        <w:t>69</w:t>
      </w:r>
      <w:proofErr w:type="gramEnd"/>
    </w:p>
    <w:p w14:paraId="73B27EF4" w14:textId="77777777" w:rsidR="000D2999" w:rsidRDefault="000D2999" w:rsidP="004F5356">
      <w:pPr>
        <w:keepNext/>
        <w:spacing w:line="480" w:lineRule="auto"/>
        <w:jc w:val="center"/>
        <w:rPr>
          <w:rFonts w:ascii="Arial" w:hAnsi="Arial" w:cs="Arial"/>
          <w:b/>
          <w:bCs/>
          <w:lang w:val="en-US"/>
        </w:rPr>
      </w:pPr>
      <w:r w:rsidRPr="003A6DE4">
        <w:rPr>
          <w:rFonts w:ascii="Arial" w:hAnsi="Arial" w:cs="Arial"/>
          <w:b/>
          <w:bCs/>
          <w:lang w:val="en-US"/>
        </w:rPr>
        <w:t>CONCLUSION</w:t>
      </w:r>
    </w:p>
    <w:p w14:paraId="7960B3C2" w14:textId="5322F16E" w:rsidR="00B23F8E" w:rsidRPr="002D739E" w:rsidRDefault="004E4345" w:rsidP="001A430E">
      <w:pPr>
        <w:spacing w:line="480" w:lineRule="auto"/>
        <w:ind w:firstLine="720"/>
        <w:rPr>
          <w:rFonts w:ascii="Arial" w:hAnsi="Arial" w:cs="Arial"/>
          <w:lang w:val="en-US"/>
        </w:rPr>
        <w:sectPr w:rsidR="00B23F8E" w:rsidRPr="002D739E" w:rsidSect="00863254">
          <w:pgSz w:w="12240" w:h="15840"/>
          <w:pgMar w:top="1440" w:right="1440" w:bottom="1440" w:left="1440" w:header="708" w:footer="708" w:gutter="0"/>
          <w:cols w:space="708"/>
          <w:docGrid w:linePitch="360"/>
        </w:sectPr>
      </w:pPr>
      <w:r>
        <w:rPr>
          <w:rFonts w:ascii="Arial" w:hAnsi="Arial" w:cs="Arial"/>
          <w:lang w:val="en-US"/>
        </w:rPr>
        <w:t>T</w:t>
      </w:r>
      <w:r w:rsidR="00282EFC">
        <w:rPr>
          <w:rFonts w:ascii="Arial" w:hAnsi="Arial" w:cs="Arial"/>
          <w:lang w:val="en-US"/>
        </w:rPr>
        <w:t>he findings from this meta-analysis</w:t>
      </w:r>
      <w:r w:rsidR="00807151">
        <w:rPr>
          <w:rFonts w:ascii="Arial" w:hAnsi="Arial" w:cs="Arial"/>
          <w:lang w:val="en-US"/>
        </w:rPr>
        <w:t xml:space="preserve"> </w:t>
      </w:r>
      <w:r w:rsidR="0015486E">
        <w:rPr>
          <w:rFonts w:ascii="Arial" w:hAnsi="Arial" w:cs="Arial"/>
          <w:lang w:val="en-US"/>
        </w:rPr>
        <w:t>provide</w:t>
      </w:r>
      <w:r w:rsidR="00282EFC">
        <w:rPr>
          <w:rFonts w:ascii="Arial" w:hAnsi="Arial" w:cs="Arial"/>
          <w:lang w:val="en-US"/>
        </w:rPr>
        <w:t xml:space="preserve"> </w:t>
      </w:r>
      <w:r w:rsidR="00B354C9">
        <w:rPr>
          <w:rFonts w:ascii="Arial" w:hAnsi="Arial" w:cs="Arial"/>
          <w:lang w:val="en-US"/>
        </w:rPr>
        <w:t xml:space="preserve">the best </w:t>
      </w:r>
      <w:r w:rsidR="0061506A">
        <w:rPr>
          <w:rFonts w:ascii="Arial" w:hAnsi="Arial" w:cs="Arial"/>
          <w:lang w:val="en-US"/>
        </w:rPr>
        <w:t xml:space="preserve">evidence </w:t>
      </w:r>
      <w:r w:rsidR="00B354C9">
        <w:rPr>
          <w:rFonts w:ascii="Arial" w:hAnsi="Arial" w:cs="Arial"/>
          <w:lang w:val="en-US"/>
        </w:rPr>
        <w:t xml:space="preserve">currently available </w:t>
      </w:r>
      <w:r w:rsidR="00282EFC">
        <w:rPr>
          <w:rFonts w:ascii="Arial" w:hAnsi="Arial" w:cs="Arial"/>
          <w:lang w:val="en-US"/>
        </w:rPr>
        <w:t xml:space="preserve">regarding </w:t>
      </w:r>
      <w:r w:rsidR="00807151">
        <w:rPr>
          <w:rFonts w:ascii="Arial" w:hAnsi="Arial" w:cs="Arial"/>
          <w:lang w:val="en-US"/>
        </w:rPr>
        <w:t xml:space="preserve">treatment outcomes </w:t>
      </w:r>
      <w:r w:rsidR="005C2198">
        <w:rPr>
          <w:rFonts w:ascii="Arial" w:hAnsi="Arial" w:cs="Arial"/>
          <w:lang w:val="en-US"/>
        </w:rPr>
        <w:t>with</w:t>
      </w:r>
      <w:r w:rsidR="00807151">
        <w:rPr>
          <w:rFonts w:ascii="Arial" w:hAnsi="Arial" w:cs="Arial"/>
          <w:lang w:val="en-US"/>
        </w:rPr>
        <w:t xml:space="preserve"> licensed and unlicensed s</w:t>
      </w:r>
      <w:r w:rsidR="00282EFC">
        <w:rPr>
          <w:rFonts w:ascii="Arial" w:hAnsi="Arial" w:cs="Arial"/>
          <w:lang w:val="en-US"/>
        </w:rPr>
        <w:t>timulants</w:t>
      </w:r>
      <w:r w:rsidR="00807151">
        <w:rPr>
          <w:rFonts w:ascii="Arial" w:hAnsi="Arial" w:cs="Arial"/>
          <w:lang w:val="en-US"/>
        </w:rPr>
        <w:t xml:space="preserve"> doses</w:t>
      </w:r>
      <w:r w:rsidR="00282EFC">
        <w:rPr>
          <w:rFonts w:ascii="Arial" w:hAnsi="Arial" w:cs="Arial"/>
          <w:lang w:val="en-US"/>
        </w:rPr>
        <w:t xml:space="preserve"> for adults with ADHD.</w:t>
      </w:r>
      <w:r w:rsidR="00CF0C5F">
        <w:rPr>
          <w:rFonts w:ascii="Arial" w:hAnsi="Arial" w:cs="Arial"/>
          <w:lang w:val="en-US"/>
        </w:rPr>
        <w:t xml:space="preserve"> </w:t>
      </w:r>
      <w:r w:rsidR="00850C18">
        <w:rPr>
          <w:rFonts w:ascii="Arial" w:hAnsi="Arial" w:cs="Arial"/>
          <w:lang w:val="en-US"/>
        </w:rPr>
        <w:t>O</w:t>
      </w:r>
      <w:r w:rsidR="00091EB0">
        <w:rPr>
          <w:rFonts w:ascii="Arial" w:hAnsi="Arial" w:cs="Arial"/>
          <w:lang w:val="en-US"/>
        </w:rPr>
        <w:t>ur</w:t>
      </w:r>
      <w:r w:rsidR="00CF0C5F">
        <w:rPr>
          <w:rFonts w:ascii="Arial" w:hAnsi="Arial" w:cs="Arial"/>
          <w:lang w:val="en-US"/>
        </w:rPr>
        <w:t xml:space="preserve"> results</w:t>
      </w:r>
      <w:r w:rsidR="005C2198">
        <w:rPr>
          <w:rFonts w:ascii="Arial" w:hAnsi="Arial" w:cs="Arial"/>
          <w:lang w:val="en-US"/>
        </w:rPr>
        <w:t>, based on averages,</w:t>
      </w:r>
      <w:r w:rsidR="00CF0C5F">
        <w:rPr>
          <w:rFonts w:ascii="Arial" w:hAnsi="Arial" w:cs="Arial"/>
          <w:lang w:val="en-US"/>
        </w:rPr>
        <w:t xml:space="preserve"> showed that</w:t>
      </w:r>
      <w:r w:rsidR="00091EB0">
        <w:rPr>
          <w:rFonts w:ascii="Arial" w:hAnsi="Arial" w:cs="Arial"/>
          <w:lang w:val="en-US"/>
        </w:rPr>
        <w:t xml:space="preserve"> </w:t>
      </w:r>
      <w:r w:rsidR="00A11B51">
        <w:rPr>
          <w:rFonts w:ascii="Arial" w:hAnsi="Arial" w:cs="Arial"/>
          <w:lang w:val="en-US"/>
        </w:rPr>
        <w:t xml:space="preserve">most of the </w:t>
      </w:r>
      <w:r w:rsidR="005C2198">
        <w:rPr>
          <w:rFonts w:ascii="Arial" w:hAnsi="Arial" w:cs="Arial"/>
          <w:lang w:val="en-US"/>
        </w:rPr>
        <w:t>reductions of</w:t>
      </w:r>
      <w:r w:rsidR="00A11B51">
        <w:rPr>
          <w:rFonts w:ascii="Arial" w:hAnsi="Arial" w:cs="Arial"/>
          <w:lang w:val="en-US"/>
        </w:rPr>
        <w:t xml:space="preserve"> symptom</w:t>
      </w:r>
      <w:r w:rsidR="005C2198">
        <w:rPr>
          <w:rFonts w:ascii="Arial" w:hAnsi="Arial" w:cs="Arial"/>
          <w:lang w:val="en-US"/>
        </w:rPr>
        <w:t>s</w:t>
      </w:r>
      <w:r w:rsidR="00A11B51">
        <w:rPr>
          <w:rFonts w:ascii="Arial" w:hAnsi="Arial" w:cs="Arial"/>
          <w:lang w:val="en-US"/>
        </w:rPr>
        <w:t xml:space="preserve"> were associated with stimulants at </w:t>
      </w:r>
      <w:r w:rsidR="00E2547D">
        <w:rPr>
          <w:rFonts w:ascii="Arial" w:hAnsi="Arial" w:cs="Arial"/>
          <w:lang w:val="en-US"/>
        </w:rPr>
        <w:t xml:space="preserve">licensed </w:t>
      </w:r>
      <w:r w:rsidR="00A11B51">
        <w:rPr>
          <w:rFonts w:ascii="Arial" w:hAnsi="Arial" w:cs="Arial"/>
          <w:lang w:val="en-US"/>
        </w:rPr>
        <w:t>doses</w:t>
      </w:r>
      <w:r w:rsidR="00EE73D3">
        <w:rPr>
          <w:rFonts w:ascii="Arial" w:hAnsi="Arial" w:cs="Arial"/>
          <w:lang w:val="en-US"/>
        </w:rPr>
        <w:t>.</w:t>
      </w:r>
      <w:r w:rsidR="00040EBB">
        <w:rPr>
          <w:rFonts w:ascii="Arial" w:hAnsi="Arial" w:cs="Arial"/>
          <w:lang w:val="en-US"/>
        </w:rPr>
        <w:t xml:space="preserve"> </w:t>
      </w:r>
      <w:r w:rsidR="00E2547D">
        <w:rPr>
          <w:rFonts w:ascii="Arial" w:hAnsi="Arial" w:cs="Arial"/>
          <w:lang w:val="en-US"/>
        </w:rPr>
        <w:t>Unlicensed d</w:t>
      </w:r>
      <w:r w:rsidR="00A11B51">
        <w:rPr>
          <w:rFonts w:ascii="Arial" w:hAnsi="Arial" w:cs="Arial"/>
          <w:lang w:val="en-US"/>
        </w:rPr>
        <w:t xml:space="preserve">oses were </w:t>
      </w:r>
      <w:r>
        <w:rPr>
          <w:rFonts w:ascii="Arial" w:hAnsi="Arial" w:cs="Arial"/>
          <w:lang w:val="en-US"/>
        </w:rPr>
        <w:t>no</w:t>
      </w:r>
      <w:r w:rsidR="00807151">
        <w:rPr>
          <w:rFonts w:ascii="Arial" w:hAnsi="Arial" w:cs="Arial"/>
          <w:lang w:val="en-US"/>
        </w:rPr>
        <w:t>t</w:t>
      </w:r>
      <w:r>
        <w:rPr>
          <w:rFonts w:ascii="Arial" w:hAnsi="Arial" w:cs="Arial"/>
          <w:lang w:val="en-US"/>
        </w:rPr>
        <w:t xml:space="preserve"> only </w:t>
      </w:r>
      <w:r w:rsidR="00A11B51">
        <w:rPr>
          <w:rFonts w:ascii="Arial" w:hAnsi="Arial" w:cs="Arial"/>
          <w:lang w:val="en-US"/>
        </w:rPr>
        <w:t xml:space="preserve">associated with </w:t>
      </w:r>
      <w:r w:rsidR="005C2198">
        <w:rPr>
          <w:rFonts w:ascii="Arial" w:hAnsi="Arial" w:cs="Arial"/>
          <w:lang w:val="en-US"/>
        </w:rPr>
        <w:t>small and possibly non-clinically meaningful</w:t>
      </w:r>
      <w:r w:rsidR="00A11B51">
        <w:rPr>
          <w:rFonts w:ascii="Arial" w:hAnsi="Arial" w:cs="Arial"/>
          <w:lang w:val="en-US"/>
        </w:rPr>
        <w:t xml:space="preserve"> additional </w:t>
      </w:r>
      <w:r w:rsidR="00391A1E">
        <w:rPr>
          <w:rFonts w:ascii="Arial" w:hAnsi="Arial" w:cs="Arial"/>
          <w:lang w:val="en-US"/>
        </w:rPr>
        <w:t>reductions in</w:t>
      </w:r>
      <w:r w:rsidR="00A11B51">
        <w:rPr>
          <w:rFonts w:ascii="Arial" w:hAnsi="Arial" w:cs="Arial"/>
          <w:lang w:val="en-US"/>
        </w:rPr>
        <w:t xml:space="preserve"> sympto</w:t>
      </w:r>
      <w:r w:rsidR="005C2198">
        <w:rPr>
          <w:rFonts w:ascii="Arial" w:hAnsi="Arial" w:cs="Arial"/>
          <w:lang w:val="en-US"/>
        </w:rPr>
        <w:t>ms</w:t>
      </w:r>
      <w:r w:rsidR="00A11B51">
        <w:rPr>
          <w:rFonts w:ascii="Arial" w:hAnsi="Arial" w:cs="Arial"/>
          <w:lang w:val="en-US"/>
        </w:rPr>
        <w:t xml:space="preserve">, </w:t>
      </w:r>
      <w:r w:rsidR="00696359">
        <w:rPr>
          <w:rFonts w:ascii="Arial" w:hAnsi="Arial" w:cs="Arial"/>
          <w:lang w:val="en-US"/>
        </w:rPr>
        <w:t>but also</w:t>
      </w:r>
      <w:r w:rsidR="00A11B51">
        <w:rPr>
          <w:rFonts w:ascii="Arial" w:hAnsi="Arial" w:cs="Arial"/>
          <w:lang w:val="en-US"/>
        </w:rPr>
        <w:t xml:space="preserve"> with marked decrease</w:t>
      </w:r>
      <w:r w:rsidR="00360250">
        <w:rPr>
          <w:rFonts w:ascii="Arial" w:hAnsi="Arial" w:cs="Arial"/>
          <w:lang w:val="en-US"/>
        </w:rPr>
        <w:t>d</w:t>
      </w:r>
      <w:r w:rsidR="00A11B51">
        <w:rPr>
          <w:rFonts w:ascii="Arial" w:hAnsi="Arial" w:cs="Arial"/>
          <w:lang w:val="en-US"/>
        </w:rPr>
        <w:t xml:space="preserve"> tolerability. </w:t>
      </w:r>
      <w:r w:rsidR="00A11B51">
        <w:rPr>
          <w:rFonts w:ascii="Arial" w:hAnsi="Arial" w:cs="Arial"/>
          <w:lang w:val="en-US"/>
        </w:rPr>
        <w:lastRenderedPageBreak/>
        <w:t xml:space="preserve">Therefore, </w:t>
      </w:r>
      <w:r w:rsidR="005C2198">
        <w:rPr>
          <w:rFonts w:ascii="Arial" w:hAnsi="Arial" w:cs="Arial"/>
          <w:lang w:val="en-US"/>
        </w:rPr>
        <w:t xml:space="preserve">based on averages, </w:t>
      </w:r>
      <w:r w:rsidR="00E2547D">
        <w:rPr>
          <w:rFonts w:ascii="Arial" w:hAnsi="Arial" w:cs="Arial"/>
          <w:lang w:val="en-US"/>
        </w:rPr>
        <w:t>unlicensed doses of stimulant</w:t>
      </w:r>
      <w:r w:rsidR="00A11B51">
        <w:rPr>
          <w:rFonts w:ascii="Arial" w:hAnsi="Arial" w:cs="Arial"/>
          <w:lang w:val="en-US"/>
        </w:rPr>
        <w:t xml:space="preserve"> </w:t>
      </w:r>
      <w:r w:rsidR="00DF7EA4">
        <w:rPr>
          <w:rFonts w:ascii="Arial" w:hAnsi="Arial" w:cs="Arial"/>
          <w:lang w:val="en-US"/>
        </w:rPr>
        <w:t xml:space="preserve">may not </w:t>
      </w:r>
      <w:r w:rsidR="00C12959">
        <w:rPr>
          <w:rFonts w:ascii="Arial" w:hAnsi="Arial" w:cs="Arial"/>
          <w:lang w:val="en-US"/>
        </w:rPr>
        <w:t>have positive risk-benefit</w:t>
      </w:r>
      <w:r w:rsidR="005C2198">
        <w:rPr>
          <w:rFonts w:ascii="Arial" w:hAnsi="Arial" w:cs="Arial"/>
          <w:lang w:val="en-US"/>
        </w:rPr>
        <w:t>s</w:t>
      </w:r>
      <w:r w:rsidR="00A11B51">
        <w:rPr>
          <w:rFonts w:ascii="Arial" w:hAnsi="Arial" w:cs="Arial"/>
          <w:lang w:val="en-US"/>
        </w:rPr>
        <w:t xml:space="preserve">. </w:t>
      </w:r>
      <w:r w:rsidR="004A35E8">
        <w:rPr>
          <w:rFonts w:ascii="Arial" w:hAnsi="Arial" w:cs="Arial"/>
          <w:lang w:val="en-US"/>
        </w:rPr>
        <w:t>In general, p</w:t>
      </w:r>
      <w:r w:rsidR="00A11B51">
        <w:rPr>
          <w:rFonts w:ascii="Arial" w:hAnsi="Arial" w:cs="Arial"/>
          <w:lang w:val="en-US"/>
        </w:rPr>
        <w:t xml:space="preserve">ractitioners </w:t>
      </w:r>
      <w:r w:rsidR="00E2547D">
        <w:rPr>
          <w:rFonts w:ascii="Arial" w:hAnsi="Arial" w:cs="Arial"/>
          <w:lang w:val="en-US"/>
        </w:rPr>
        <w:t>should</w:t>
      </w:r>
      <w:r w:rsidR="00F03FF0">
        <w:rPr>
          <w:rFonts w:ascii="Arial" w:hAnsi="Arial" w:cs="Arial"/>
          <w:lang w:val="en-US"/>
        </w:rPr>
        <w:t xml:space="preserve"> </w:t>
      </w:r>
      <w:r w:rsidR="00A11B51">
        <w:rPr>
          <w:rFonts w:ascii="Arial" w:hAnsi="Arial" w:cs="Arial"/>
          <w:lang w:val="en-US"/>
        </w:rPr>
        <w:t xml:space="preserve">consider </w:t>
      </w:r>
      <w:r w:rsidR="005C2198">
        <w:rPr>
          <w:rFonts w:ascii="Arial" w:hAnsi="Arial" w:cs="Arial"/>
          <w:lang w:val="en-US"/>
        </w:rPr>
        <w:t xml:space="preserve">unlicensed </w:t>
      </w:r>
      <w:r w:rsidR="00A11B51">
        <w:rPr>
          <w:rFonts w:ascii="Arial" w:hAnsi="Arial" w:cs="Arial"/>
          <w:lang w:val="en-US"/>
        </w:rPr>
        <w:t xml:space="preserve">doses </w:t>
      </w:r>
      <w:r w:rsidR="00F03FF0">
        <w:rPr>
          <w:rFonts w:ascii="Arial" w:hAnsi="Arial" w:cs="Arial"/>
          <w:lang w:val="en-US"/>
        </w:rPr>
        <w:t>cautiously</w:t>
      </w:r>
      <w:r w:rsidR="00C37241">
        <w:rPr>
          <w:rFonts w:ascii="Arial" w:hAnsi="Arial" w:cs="Arial"/>
          <w:lang w:val="en-US"/>
        </w:rPr>
        <w:t xml:space="preserve">. Nevertheless, practitioners </w:t>
      </w:r>
      <w:r w:rsidR="007D09EB">
        <w:rPr>
          <w:rFonts w:ascii="Arial" w:hAnsi="Arial" w:cs="Arial"/>
          <w:lang w:val="en-US"/>
        </w:rPr>
        <w:t>may</w:t>
      </w:r>
      <w:r w:rsidR="00C37241">
        <w:rPr>
          <w:rFonts w:ascii="Arial" w:hAnsi="Arial" w:cs="Arial"/>
          <w:lang w:val="en-US"/>
        </w:rPr>
        <w:t xml:space="preserve"> trial unlicensed</w:t>
      </w:r>
      <w:r w:rsidR="00E2547D">
        <w:rPr>
          <w:rFonts w:ascii="Arial" w:hAnsi="Arial" w:cs="Arial"/>
          <w:lang w:val="en-US"/>
        </w:rPr>
        <w:t xml:space="preserve"> doses </w:t>
      </w:r>
      <w:r w:rsidR="00C37241">
        <w:rPr>
          <w:rFonts w:ascii="Arial" w:hAnsi="Arial" w:cs="Arial"/>
          <w:lang w:val="en-US"/>
        </w:rPr>
        <w:t>if needed and tolerated</w:t>
      </w:r>
      <w:r w:rsidR="001A430E">
        <w:rPr>
          <w:rFonts w:ascii="Arial" w:hAnsi="Arial" w:cs="Arial"/>
          <w:lang w:val="en-US"/>
        </w:rPr>
        <w:t xml:space="preserve"> (e.g., for those who have shown partial response and good tolerability</w:t>
      </w:r>
      <w:r w:rsidR="001A430E" w:rsidRPr="001A430E">
        <w:rPr>
          <w:rFonts w:ascii="Arial" w:hAnsi="Arial" w:cs="Arial"/>
          <w:lang w:val="en-US"/>
        </w:rPr>
        <w:t xml:space="preserve"> </w:t>
      </w:r>
      <w:r w:rsidR="001A430E">
        <w:rPr>
          <w:rFonts w:ascii="Arial" w:hAnsi="Arial" w:cs="Arial"/>
          <w:lang w:val="en-US"/>
        </w:rPr>
        <w:t>at the maximum licensed dose)</w:t>
      </w:r>
      <w:r w:rsidR="00C37241">
        <w:rPr>
          <w:rFonts w:ascii="Arial" w:hAnsi="Arial" w:cs="Arial"/>
          <w:lang w:val="en-US"/>
        </w:rPr>
        <w:t xml:space="preserve"> because average observations will not generalize to every patient, and some may benefit from such high doses</w:t>
      </w:r>
      <w:r w:rsidR="00E2547D">
        <w:rPr>
          <w:rFonts w:ascii="Arial" w:hAnsi="Arial" w:cs="Arial"/>
          <w:lang w:val="en-US"/>
        </w:rPr>
        <w:t>.</w:t>
      </w:r>
      <w:r w:rsidR="00A11B51">
        <w:rPr>
          <w:rFonts w:ascii="Arial" w:hAnsi="Arial" w:cs="Arial"/>
          <w:lang w:val="en-US"/>
        </w:rPr>
        <w:t xml:space="preserve"> </w:t>
      </w:r>
      <w:r w:rsidR="008D6A29">
        <w:rPr>
          <w:rFonts w:ascii="Arial" w:hAnsi="Arial" w:cs="Arial"/>
          <w:lang w:val="en-US"/>
        </w:rPr>
        <w:t>However</w:t>
      </w:r>
      <w:r w:rsidR="001A430E">
        <w:rPr>
          <w:rFonts w:ascii="Arial" w:hAnsi="Arial" w:cs="Arial"/>
          <w:lang w:val="en-US"/>
        </w:rPr>
        <w:t xml:space="preserve">, practitioners should be aware that there may not be large gains in the patients’ response to the medication with those further increments in dose. </w:t>
      </w:r>
      <w:r w:rsidR="008A1C17">
        <w:rPr>
          <w:rFonts w:ascii="Arial" w:hAnsi="Arial" w:cs="Arial"/>
          <w:lang w:val="en-US"/>
        </w:rPr>
        <w:t xml:space="preserve">Our </w:t>
      </w:r>
      <w:r w:rsidR="00A11B51">
        <w:rPr>
          <w:rFonts w:ascii="Arial" w:hAnsi="Arial" w:cs="Arial"/>
          <w:lang w:val="en-US"/>
        </w:rPr>
        <w:t xml:space="preserve">findings should </w:t>
      </w:r>
      <w:r w:rsidR="005C2198">
        <w:rPr>
          <w:rFonts w:ascii="Arial" w:hAnsi="Arial" w:cs="Arial"/>
          <w:lang w:val="en-US"/>
        </w:rPr>
        <w:t>be incorporated in</w:t>
      </w:r>
      <w:r w:rsidR="00A11B51">
        <w:rPr>
          <w:rFonts w:ascii="Arial" w:hAnsi="Arial" w:cs="Arial"/>
          <w:lang w:val="en-US"/>
        </w:rPr>
        <w:t xml:space="preserve"> future recommendations from clinical practice guidelines </w:t>
      </w:r>
      <w:r w:rsidR="00210C26">
        <w:rPr>
          <w:rFonts w:ascii="Arial" w:hAnsi="Arial" w:cs="Arial"/>
          <w:lang w:val="en-US"/>
        </w:rPr>
        <w:t>to ensure transparent</w:t>
      </w:r>
      <w:r w:rsidR="002F60CE">
        <w:rPr>
          <w:rFonts w:ascii="Arial" w:hAnsi="Arial" w:cs="Arial"/>
          <w:lang w:val="en-US"/>
        </w:rPr>
        <w:t xml:space="preserve">, </w:t>
      </w:r>
      <w:r w:rsidR="005C2198" w:rsidDel="0016323C">
        <w:rPr>
          <w:rFonts w:ascii="Arial" w:hAnsi="Arial" w:cs="Arial"/>
          <w:lang w:val="en-US"/>
        </w:rPr>
        <w:t xml:space="preserve">evidence-based discussions with patients about expected risk-benefits </w:t>
      </w:r>
      <w:r w:rsidR="005C2198">
        <w:rPr>
          <w:rFonts w:ascii="Arial" w:hAnsi="Arial" w:cs="Arial"/>
          <w:lang w:val="en-US"/>
        </w:rPr>
        <w:t>(based on averages)</w:t>
      </w:r>
      <w:r w:rsidR="005C2198" w:rsidDel="0016323C">
        <w:rPr>
          <w:rFonts w:ascii="Arial" w:hAnsi="Arial" w:cs="Arial"/>
          <w:lang w:val="en-US"/>
        </w:rPr>
        <w:t xml:space="preserve"> </w:t>
      </w:r>
      <w:r w:rsidR="005C2198">
        <w:rPr>
          <w:rFonts w:ascii="Arial" w:hAnsi="Arial" w:cs="Arial"/>
          <w:lang w:val="en-US"/>
        </w:rPr>
        <w:t>with unlicensed doses of</w:t>
      </w:r>
      <w:r w:rsidR="005C2198" w:rsidDel="0016323C">
        <w:rPr>
          <w:rFonts w:ascii="Arial" w:hAnsi="Arial" w:cs="Arial"/>
          <w:lang w:val="en-US"/>
        </w:rPr>
        <w:t xml:space="preserve"> stimulants.</w:t>
      </w:r>
    </w:p>
    <w:p w14:paraId="033CFE0B" w14:textId="77777777" w:rsidR="009526DC" w:rsidRDefault="009526DC" w:rsidP="00C01800">
      <w:pPr>
        <w:keepNext/>
        <w:spacing w:line="480" w:lineRule="auto"/>
        <w:jc w:val="center"/>
        <w:rPr>
          <w:rFonts w:ascii="Arial" w:hAnsi="Arial" w:cs="Arial"/>
          <w:b/>
          <w:bCs/>
          <w:lang w:val="en-US"/>
        </w:rPr>
        <w:sectPr w:rsidR="009526DC" w:rsidSect="00863254">
          <w:type w:val="continuous"/>
          <w:pgSz w:w="12240" w:h="15840"/>
          <w:pgMar w:top="1440" w:right="1440" w:bottom="1440" w:left="1440" w:header="708" w:footer="708" w:gutter="0"/>
          <w:cols w:space="708"/>
          <w:docGrid w:linePitch="360"/>
        </w:sectPr>
      </w:pPr>
    </w:p>
    <w:p w14:paraId="2578C687" w14:textId="77777777" w:rsidR="00B13B34" w:rsidRDefault="0018065F" w:rsidP="00C01800">
      <w:pPr>
        <w:keepNext/>
        <w:spacing w:line="480" w:lineRule="auto"/>
        <w:jc w:val="center"/>
        <w:rPr>
          <w:rFonts w:ascii="Arial" w:hAnsi="Arial" w:cs="Arial"/>
          <w:b/>
          <w:bCs/>
          <w:lang w:val="en-US"/>
        </w:rPr>
      </w:pPr>
      <w:r w:rsidRPr="003A6DE4">
        <w:rPr>
          <w:rFonts w:ascii="Arial" w:hAnsi="Arial" w:cs="Arial"/>
          <w:b/>
          <w:bCs/>
          <w:lang w:val="en-US"/>
        </w:rPr>
        <w:lastRenderedPageBreak/>
        <w:t>ACKNOWLEDGMENT</w:t>
      </w:r>
    </w:p>
    <w:p w14:paraId="2A809F93" w14:textId="02D9FC73" w:rsidR="00B13B34" w:rsidRDefault="00B13B34" w:rsidP="00B13B34">
      <w:pPr>
        <w:keepNext/>
        <w:spacing w:line="480" w:lineRule="auto"/>
        <w:rPr>
          <w:rFonts w:ascii="Arial" w:hAnsi="Arial" w:cs="Arial"/>
          <w:lang w:val="en-US"/>
        </w:rPr>
      </w:pPr>
      <w:r>
        <w:rPr>
          <w:rFonts w:ascii="Arial" w:hAnsi="Arial" w:cs="Arial"/>
          <w:b/>
          <w:bCs/>
          <w:lang w:val="en-US"/>
        </w:rPr>
        <w:t>Author contributions</w:t>
      </w:r>
      <w:r>
        <w:rPr>
          <w:rFonts w:ascii="Arial" w:hAnsi="Arial" w:cs="Arial"/>
          <w:lang w:val="en-US"/>
        </w:rPr>
        <w:t xml:space="preserve">: </w:t>
      </w:r>
      <w:r w:rsidR="00337823">
        <w:rPr>
          <w:rFonts w:ascii="Arial" w:hAnsi="Arial" w:cs="Arial"/>
          <w:lang w:val="en-US"/>
        </w:rPr>
        <w:t>Dr. Farhat had full access to all the data in the study and take</w:t>
      </w:r>
      <w:r w:rsidR="00A56392">
        <w:rPr>
          <w:rFonts w:ascii="Arial" w:hAnsi="Arial" w:cs="Arial"/>
          <w:lang w:val="en-US"/>
        </w:rPr>
        <w:t>s</w:t>
      </w:r>
      <w:r w:rsidR="00337823">
        <w:rPr>
          <w:rFonts w:ascii="Arial" w:hAnsi="Arial" w:cs="Arial"/>
          <w:lang w:val="en-US"/>
        </w:rPr>
        <w:t xml:space="preserve"> responsibility for the integrity of the data and </w:t>
      </w:r>
      <w:r w:rsidR="00830482">
        <w:rPr>
          <w:rFonts w:ascii="Arial" w:hAnsi="Arial" w:cs="Arial"/>
          <w:lang w:val="en-US"/>
        </w:rPr>
        <w:t xml:space="preserve">the </w:t>
      </w:r>
      <w:r w:rsidR="00337823">
        <w:rPr>
          <w:rFonts w:ascii="Arial" w:hAnsi="Arial" w:cs="Arial"/>
          <w:lang w:val="en-US"/>
        </w:rPr>
        <w:t>accuracy of the data analysis.</w:t>
      </w:r>
    </w:p>
    <w:p w14:paraId="6038C7F3" w14:textId="01026589" w:rsidR="00B13B34" w:rsidRDefault="00B13B34" w:rsidP="00B13B34">
      <w:pPr>
        <w:keepNext/>
        <w:spacing w:line="480" w:lineRule="auto"/>
        <w:rPr>
          <w:rFonts w:ascii="Arial" w:hAnsi="Arial" w:cs="Arial"/>
          <w:lang w:val="en-US"/>
        </w:rPr>
      </w:pPr>
      <w:r>
        <w:rPr>
          <w:rFonts w:ascii="Arial" w:hAnsi="Arial" w:cs="Arial"/>
          <w:i/>
          <w:iCs/>
          <w:lang w:val="en-US"/>
        </w:rPr>
        <w:t xml:space="preserve">Concept and design: </w:t>
      </w:r>
      <w:r w:rsidR="00337823" w:rsidRPr="00337823">
        <w:rPr>
          <w:rFonts w:ascii="Arial" w:hAnsi="Arial" w:cs="Arial"/>
          <w:lang w:val="en-US"/>
        </w:rPr>
        <w:t xml:space="preserve">Farhat, </w:t>
      </w:r>
      <w:proofErr w:type="spellStart"/>
      <w:r w:rsidR="00337823" w:rsidRPr="00337823">
        <w:rPr>
          <w:rFonts w:ascii="Arial" w:hAnsi="Arial" w:cs="Arial"/>
          <w:lang w:val="en-US"/>
        </w:rPr>
        <w:t>Polanczyk</w:t>
      </w:r>
      <w:proofErr w:type="spellEnd"/>
      <w:r w:rsidR="00337823" w:rsidRPr="00337823">
        <w:rPr>
          <w:rFonts w:ascii="Arial" w:hAnsi="Arial" w:cs="Arial"/>
          <w:lang w:val="en-US"/>
        </w:rPr>
        <w:t>, Cipriani, Furukawa, Bloch, Cortese</w:t>
      </w:r>
    </w:p>
    <w:p w14:paraId="79BF6BB8" w14:textId="40620CAF" w:rsidR="00B13B34" w:rsidRPr="00D8224B" w:rsidRDefault="00B13B34" w:rsidP="00B13B34">
      <w:pPr>
        <w:keepNext/>
        <w:spacing w:line="480" w:lineRule="auto"/>
        <w:rPr>
          <w:rFonts w:ascii="Arial" w:hAnsi="Arial" w:cs="Arial"/>
          <w:lang w:val="en-US"/>
        </w:rPr>
      </w:pPr>
      <w:r>
        <w:rPr>
          <w:rFonts w:ascii="Arial" w:hAnsi="Arial" w:cs="Arial"/>
          <w:i/>
          <w:iCs/>
          <w:lang w:val="en-US"/>
        </w:rPr>
        <w:t>Acquisition, analysis, or interpretation of data</w:t>
      </w:r>
      <w:r w:rsidR="00337823">
        <w:rPr>
          <w:rFonts w:ascii="Arial" w:hAnsi="Arial" w:cs="Arial"/>
          <w:i/>
          <w:iCs/>
          <w:lang w:val="en-US"/>
        </w:rPr>
        <w:t xml:space="preserve">: </w:t>
      </w:r>
      <w:r w:rsidR="00337823" w:rsidRPr="00337823">
        <w:rPr>
          <w:rFonts w:ascii="Arial" w:hAnsi="Arial" w:cs="Arial"/>
          <w:lang w:val="en-US"/>
        </w:rPr>
        <w:t>Farhat, Flores, Avila-Quintero, Bloch, Cortese</w:t>
      </w:r>
    </w:p>
    <w:p w14:paraId="1FBE858D" w14:textId="70CC1A92" w:rsidR="00B13B34" w:rsidRDefault="00B13B34" w:rsidP="00B13B34">
      <w:pPr>
        <w:keepNext/>
        <w:spacing w:line="480" w:lineRule="auto"/>
        <w:rPr>
          <w:rFonts w:ascii="Arial" w:hAnsi="Arial" w:cs="Arial"/>
          <w:i/>
          <w:iCs/>
          <w:lang w:val="en-US"/>
        </w:rPr>
      </w:pPr>
      <w:r>
        <w:rPr>
          <w:rFonts w:ascii="Arial" w:hAnsi="Arial" w:cs="Arial"/>
          <w:i/>
          <w:iCs/>
          <w:lang w:val="en-US"/>
        </w:rPr>
        <w:t>Drafting the manuscript:</w:t>
      </w:r>
      <w:r w:rsidR="00337823">
        <w:rPr>
          <w:rFonts w:ascii="Arial" w:hAnsi="Arial" w:cs="Arial"/>
          <w:i/>
          <w:iCs/>
          <w:lang w:val="en-US"/>
        </w:rPr>
        <w:t xml:space="preserve"> </w:t>
      </w:r>
      <w:r w:rsidR="00337823" w:rsidRPr="00337823">
        <w:rPr>
          <w:rFonts w:ascii="Arial" w:hAnsi="Arial" w:cs="Arial"/>
          <w:lang w:val="en-US"/>
        </w:rPr>
        <w:t>Farhat</w:t>
      </w:r>
      <w:r w:rsidR="00851F99">
        <w:rPr>
          <w:rFonts w:ascii="Arial" w:hAnsi="Arial" w:cs="Arial"/>
          <w:lang w:val="en-US"/>
        </w:rPr>
        <w:t>,</w:t>
      </w:r>
      <w:r w:rsidR="00851F99" w:rsidRPr="00851F99">
        <w:rPr>
          <w:rFonts w:ascii="Arial" w:hAnsi="Arial" w:cs="Arial"/>
          <w:lang w:val="en-US"/>
        </w:rPr>
        <w:t xml:space="preserve"> </w:t>
      </w:r>
      <w:r w:rsidR="00851F99" w:rsidRPr="00337823">
        <w:rPr>
          <w:rFonts w:ascii="Arial" w:hAnsi="Arial" w:cs="Arial"/>
          <w:lang w:val="en-US"/>
        </w:rPr>
        <w:t>Bloch</w:t>
      </w:r>
      <w:r w:rsidR="00DF1D8F">
        <w:rPr>
          <w:rFonts w:ascii="Arial" w:hAnsi="Arial" w:cs="Arial"/>
          <w:lang w:val="en-US"/>
        </w:rPr>
        <w:t>, Cortese</w:t>
      </w:r>
    </w:p>
    <w:p w14:paraId="7EAAA9D2" w14:textId="0AF3C8B9" w:rsidR="00B13B34" w:rsidRDefault="00B13B34" w:rsidP="00B13B34">
      <w:pPr>
        <w:keepNext/>
        <w:spacing w:line="480" w:lineRule="auto"/>
        <w:rPr>
          <w:rFonts w:ascii="Arial" w:hAnsi="Arial" w:cs="Arial"/>
          <w:i/>
          <w:iCs/>
          <w:lang w:val="en-US"/>
        </w:rPr>
      </w:pPr>
      <w:r>
        <w:rPr>
          <w:rFonts w:ascii="Arial" w:hAnsi="Arial" w:cs="Arial"/>
          <w:i/>
          <w:iCs/>
          <w:lang w:val="en-US"/>
        </w:rPr>
        <w:t>Critical revision of the manuscript for important intellectual content:</w:t>
      </w:r>
      <w:r w:rsidR="00337823" w:rsidRPr="00337823">
        <w:rPr>
          <w:rFonts w:ascii="Arial" w:hAnsi="Arial" w:cs="Arial"/>
          <w:lang w:val="en-US"/>
        </w:rPr>
        <w:t xml:space="preserve"> Flores, Avila-Quintero, </w:t>
      </w:r>
      <w:proofErr w:type="spellStart"/>
      <w:r w:rsidR="00DE1E6C">
        <w:rPr>
          <w:rFonts w:ascii="Arial" w:hAnsi="Arial" w:cs="Arial"/>
          <w:lang w:val="en-US"/>
        </w:rPr>
        <w:t>Polanczyk</w:t>
      </w:r>
      <w:proofErr w:type="spellEnd"/>
      <w:r w:rsidR="00DE1E6C">
        <w:rPr>
          <w:rFonts w:ascii="Arial" w:hAnsi="Arial" w:cs="Arial"/>
          <w:lang w:val="en-US"/>
        </w:rPr>
        <w:t xml:space="preserve">, </w:t>
      </w:r>
      <w:r w:rsidR="00851F99" w:rsidRPr="00337823">
        <w:rPr>
          <w:rFonts w:ascii="Arial" w:hAnsi="Arial" w:cs="Arial"/>
          <w:lang w:val="en-US"/>
        </w:rPr>
        <w:t xml:space="preserve">Cipriani, </w:t>
      </w:r>
      <w:r w:rsidR="00DE1E6C" w:rsidRPr="00337823">
        <w:rPr>
          <w:rFonts w:ascii="Arial" w:hAnsi="Arial" w:cs="Arial"/>
          <w:lang w:val="en-US"/>
        </w:rPr>
        <w:t>Furukawa</w:t>
      </w:r>
    </w:p>
    <w:p w14:paraId="1D61B655" w14:textId="01E86BA1" w:rsidR="00B13B34" w:rsidRDefault="00B13B34" w:rsidP="00B13B34">
      <w:pPr>
        <w:keepNext/>
        <w:spacing w:line="480" w:lineRule="auto"/>
        <w:rPr>
          <w:rFonts w:ascii="Arial" w:hAnsi="Arial" w:cs="Arial"/>
          <w:i/>
          <w:iCs/>
          <w:lang w:val="en-US"/>
        </w:rPr>
      </w:pPr>
      <w:r>
        <w:rPr>
          <w:rFonts w:ascii="Arial" w:hAnsi="Arial" w:cs="Arial"/>
          <w:i/>
          <w:iCs/>
          <w:lang w:val="en-US"/>
        </w:rPr>
        <w:t>Statistical analysis:</w:t>
      </w:r>
      <w:r w:rsidR="00337823">
        <w:rPr>
          <w:rFonts w:ascii="Arial" w:hAnsi="Arial" w:cs="Arial"/>
          <w:i/>
          <w:iCs/>
          <w:lang w:val="en-US"/>
        </w:rPr>
        <w:t xml:space="preserve"> </w:t>
      </w:r>
      <w:r w:rsidR="00337823" w:rsidRPr="00337823">
        <w:rPr>
          <w:rFonts w:ascii="Arial" w:hAnsi="Arial" w:cs="Arial"/>
          <w:lang w:val="en-US"/>
        </w:rPr>
        <w:t>Farhat</w:t>
      </w:r>
    </w:p>
    <w:p w14:paraId="01EBCE64" w14:textId="67A6C14E" w:rsidR="00DB4EF4" w:rsidRPr="000F6A22" w:rsidRDefault="00B13B34" w:rsidP="00686193">
      <w:pPr>
        <w:keepNext/>
        <w:spacing w:after="240" w:line="480" w:lineRule="auto"/>
        <w:rPr>
          <w:rFonts w:ascii="Arial" w:hAnsi="Arial" w:cs="Arial"/>
          <w:lang w:val="en-US"/>
        </w:rPr>
      </w:pPr>
      <w:r w:rsidRPr="00274D0B">
        <w:rPr>
          <w:rFonts w:ascii="Arial" w:hAnsi="Arial" w:cs="Arial"/>
          <w:i/>
          <w:iCs/>
          <w:lang w:val="en-US"/>
        </w:rPr>
        <w:t>Supervision</w:t>
      </w:r>
      <w:r>
        <w:rPr>
          <w:rFonts w:ascii="Arial" w:hAnsi="Arial" w:cs="Arial"/>
          <w:i/>
          <w:iCs/>
          <w:lang w:val="en-US"/>
        </w:rPr>
        <w:t>:</w:t>
      </w:r>
      <w:r w:rsidR="00337823">
        <w:rPr>
          <w:rFonts w:ascii="Arial" w:hAnsi="Arial" w:cs="Arial"/>
          <w:i/>
          <w:iCs/>
          <w:lang w:val="en-US"/>
        </w:rPr>
        <w:t xml:space="preserve"> </w:t>
      </w:r>
      <w:r w:rsidR="00337823" w:rsidRPr="00337823">
        <w:rPr>
          <w:rFonts w:ascii="Arial" w:hAnsi="Arial" w:cs="Arial"/>
          <w:lang w:val="en-US"/>
        </w:rPr>
        <w:t>Bloch, Cortese</w:t>
      </w:r>
    </w:p>
    <w:p w14:paraId="2FC3A709" w14:textId="0B31D40D" w:rsidR="00B23C62" w:rsidRPr="00BA13D3" w:rsidRDefault="00B13B34" w:rsidP="00F355E1">
      <w:pPr>
        <w:keepNext/>
        <w:spacing w:after="240" w:line="480" w:lineRule="auto"/>
        <w:rPr>
          <w:rFonts w:ascii="Arial" w:hAnsi="Arial" w:cs="Arial"/>
          <w:lang w:val="en-US"/>
        </w:rPr>
      </w:pPr>
      <w:r>
        <w:rPr>
          <w:rFonts w:ascii="Arial" w:hAnsi="Arial" w:cs="Arial"/>
          <w:b/>
          <w:bCs/>
          <w:lang w:val="en-US"/>
        </w:rPr>
        <w:t xml:space="preserve">Conflict of interest disclosure: </w:t>
      </w:r>
      <w:r w:rsidR="00573FA6">
        <w:rPr>
          <w:rFonts w:ascii="Arial" w:hAnsi="Arial" w:cs="Arial"/>
          <w:lang w:val="en-US"/>
        </w:rPr>
        <w:t xml:space="preserve">In the past 3 years, GVP has been consultant, advisory board member, and/or speaker for Aché, Abbott, Medice, Novo Nordisk and Takeda. GVP also receives royalties from </w:t>
      </w:r>
      <w:proofErr w:type="spellStart"/>
      <w:r w:rsidR="00573FA6">
        <w:rPr>
          <w:rFonts w:ascii="Arial" w:hAnsi="Arial" w:cs="Arial"/>
          <w:lang w:val="en-US"/>
        </w:rPr>
        <w:t>Editora</w:t>
      </w:r>
      <w:proofErr w:type="spellEnd"/>
      <w:r w:rsidR="00573FA6">
        <w:rPr>
          <w:rFonts w:ascii="Arial" w:hAnsi="Arial" w:cs="Arial"/>
          <w:lang w:val="en-US"/>
        </w:rPr>
        <w:t xml:space="preserve"> Manole.</w:t>
      </w:r>
      <w:r w:rsidR="005F7E96">
        <w:rPr>
          <w:rFonts w:ascii="Arial" w:hAnsi="Arial" w:cs="Arial"/>
          <w:lang w:val="en-US"/>
        </w:rPr>
        <w:t xml:space="preserve"> </w:t>
      </w:r>
      <w:r w:rsidR="008B608F">
        <w:rPr>
          <w:rFonts w:ascii="Arial" w:hAnsi="Arial" w:cs="Arial"/>
          <w:lang w:val="en-US"/>
        </w:rPr>
        <w:t>AC</w:t>
      </w:r>
      <w:r w:rsidR="008B608F" w:rsidRPr="00B66FFC">
        <w:rPr>
          <w:rFonts w:ascii="Arial" w:hAnsi="Arial" w:cs="Arial"/>
          <w:lang w:val="en-US"/>
        </w:rPr>
        <w:t xml:space="preserve"> has received research, educational and consultancy fees from </w:t>
      </w:r>
      <w:proofErr w:type="spellStart"/>
      <w:r w:rsidR="008B608F" w:rsidRPr="00B66FFC">
        <w:rPr>
          <w:rFonts w:ascii="Arial" w:hAnsi="Arial" w:cs="Arial"/>
          <w:lang w:val="en-US"/>
        </w:rPr>
        <w:t>INCiPiT</w:t>
      </w:r>
      <w:proofErr w:type="spellEnd"/>
      <w:r w:rsidR="008B608F" w:rsidRPr="00B66FFC">
        <w:rPr>
          <w:rFonts w:ascii="Arial" w:hAnsi="Arial" w:cs="Arial"/>
          <w:lang w:val="en-US"/>
        </w:rPr>
        <w:t xml:space="preserve"> (Italian Network for Paediatric Trials), CARIPLO Foundation, Lundbeck and Angelini Pharma. </w:t>
      </w:r>
      <w:r w:rsidR="005F7E96" w:rsidRPr="00020FEE">
        <w:rPr>
          <w:rFonts w:ascii="Arial" w:hAnsi="Arial" w:cs="Arial"/>
          <w:lang w:val="en-US"/>
        </w:rPr>
        <w:t>TAF reports personal fees from Boehringer-Ingelheim, DT Axis, Kyoto University Original, Shionogi and SONY, and a grant from Shionogi, outside the submitted work</w:t>
      </w:r>
      <w:r w:rsidR="005F7E96">
        <w:rPr>
          <w:rFonts w:ascii="Arial" w:hAnsi="Arial" w:cs="Arial"/>
          <w:lang w:val="en-US"/>
        </w:rPr>
        <w:t>.</w:t>
      </w:r>
      <w:r w:rsidR="005F7E96" w:rsidRPr="00020FEE">
        <w:rPr>
          <w:rFonts w:ascii="Arial" w:hAnsi="Arial" w:cs="Arial"/>
          <w:lang w:val="en-US"/>
        </w:rPr>
        <w:t xml:space="preserve"> In addition, TAF has patents 2020-548587 and 2022-082495 pending, and intellectual properties for Kokoro-app licensed to Mitsubishi-Tanabe.</w:t>
      </w:r>
      <w:r w:rsidR="005F7E96">
        <w:rPr>
          <w:rFonts w:ascii="Arial" w:hAnsi="Arial" w:cs="Arial"/>
          <w:lang w:val="en-US"/>
        </w:rPr>
        <w:t xml:space="preserve"> MHB </w:t>
      </w:r>
      <w:r w:rsidR="00DB4EF4">
        <w:rPr>
          <w:rFonts w:ascii="Arial" w:hAnsi="Arial" w:cs="Arial"/>
          <w:lang w:val="en-US"/>
        </w:rPr>
        <w:t>h</w:t>
      </w:r>
      <w:r w:rsidR="00DB4EF4" w:rsidRPr="00DB4EF4">
        <w:rPr>
          <w:rFonts w:ascii="Arial" w:hAnsi="Arial" w:cs="Arial"/>
          <w:lang w:val="en-US"/>
        </w:rPr>
        <w:t>as</w:t>
      </w:r>
      <w:r w:rsidR="00DB4EF4">
        <w:rPr>
          <w:rFonts w:ascii="Arial" w:hAnsi="Arial" w:cs="Arial"/>
          <w:lang w:val="en-US"/>
        </w:rPr>
        <w:t xml:space="preserve"> </w:t>
      </w:r>
      <w:r w:rsidR="00DB4EF4" w:rsidRPr="00DB4EF4">
        <w:rPr>
          <w:rFonts w:ascii="Arial" w:hAnsi="Arial" w:cs="Arial"/>
          <w:lang w:val="en-US"/>
        </w:rPr>
        <w:t xml:space="preserve">received grant or research support from </w:t>
      </w:r>
      <w:proofErr w:type="spellStart"/>
      <w:r w:rsidR="00DB4EF4" w:rsidRPr="00DB4EF4">
        <w:rPr>
          <w:rFonts w:ascii="Arial" w:hAnsi="Arial" w:cs="Arial"/>
          <w:lang w:val="en-US"/>
        </w:rPr>
        <w:t>Therapix</w:t>
      </w:r>
      <w:proofErr w:type="spellEnd"/>
      <w:r w:rsidR="00DB4EF4" w:rsidRPr="00DB4EF4">
        <w:rPr>
          <w:rFonts w:ascii="Arial" w:hAnsi="Arial" w:cs="Arial"/>
          <w:lang w:val="en-US"/>
        </w:rPr>
        <w:t xml:space="preserve"> Biosciences, </w:t>
      </w:r>
      <w:proofErr w:type="spellStart"/>
      <w:r w:rsidR="00DB4EF4" w:rsidRPr="00DB4EF4">
        <w:rPr>
          <w:rFonts w:ascii="Arial" w:hAnsi="Arial" w:cs="Arial"/>
          <w:lang w:val="en-US"/>
        </w:rPr>
        <w:t>Emalex</w:t>
      </w:r>
      <w:proofErr w:type="spellEnd"/>
      <w:r w:rsidR="00DB4EF4" w:rsidRPr="00DB4EF4">
        <w:rPr>
          <w:rFonts w:ascii="Arial" w:hAnsi="Arial" w:cs="Arial"/>
          <w:lang w:val="en-US"/>
        </w:rPr>
        <w:t>, Biosciences, Janssen</w:t>
      </w:r>
      <w:r w:rsidR="00DB4EF4">
        <w:rPr>
          <w:rFonts w:ascii="Arial" w:hAnsi="Arial" w:cs="Arial"/>
          <w:lang w:val="en-US"/>
        </w:rPr>
        <w:t xml:space="preserve"> </w:t>
      </w:r>
      <w:r w:rsidR="00DB4EF4" w:rsidRPr="00DB4EF4">
        <w:rPr>
          <w:rFonts w:ascii="Arial" w:hAnsi="Arial" w:cs="Arial"/>
          <w:lang w:val="en-US"/>
        </w:rPr>
        <w:t xml:space="preserve">Pharmaceuticals, </w:t>
      </w:r>
      <w:proofErr w:type="spellStart"/>
      <w:r w:rsidR="00DB4EF4" w:rsidRPr="00DB4EF4">
        <w:rPr>
          <w:rFonts w:ascii="Arial" w:hAnsi="Arial" w:cs="Arial"/>
          <w:lang w:val="en-US"/>
        </w:rPr>
        <w:t>Biohaven</w:t>
      </w:r>
      <w:proofErr w:type="spellEnd"/>
      <w:r w:rsidR="00DB4EF4" w:rsidRPr="00DB4EF4">
        <w:rPr>
          <w:rFonts w:ascii="Arial" w:hAnsi="Arial" w:cs="Arial"/>
          <w:lang w:val="en-US"/>
        </w:rPr>
        <w:t xml:space="preserve"> Pharmaceuticals, NIH, Lesbian Health Fund, the Yale Foundation for</w:t>
      </w:r>
      <w:r w:rsidR="00DB4EF4">
        <w:rPr>
          <w:rFonts w:ascii="Arial" w:hAnsi="Arial" w:cs="Arial"/>
          <w:lang w:val="en-US"/>
        </w:rPr>
        <w:t xml:space="preserve"> </w:t>
      </w:r>
      <w:r w:rsidR="00DB4EF4" w:rsidRPr="00DB4EF4">
        <w:rPr>
          <w:rFonts w:ascii="Arial" w:hAnsi="Arial" w:cs="Arial"/>
          <w:lang w:val="en-US"/>
        </w:rPr>
        <w:t>Lesbian and Gay Studies (FLAGS), and Patterson Foundation. He has served on the advisory</w:t>
      </w:r>
      <w:r w:rsidR="00DB4EF4">
        <w:rPr>
          <w:rFonts w:ascii="Arial" w:hAnsi="Arial" w:cs="Arial"/>
          <w:lang w:val="en-US"/>
        </w:rPr>
        <w:t xml:space="preserve"> </w:t>
      </w:r>
      <w:r w:rsidR="00DB4EF4" w:rsidRPr="00DB4EF4">
        <w:rPr>
          <w:rFonts w:ascii="Arial" w:hAnsi="Arial" w:cs="Arial"/>
          <w:lang w:val="en-US"/>
        </w:rPr>
        <w:t xml:space="preserve">board/data </w:t>
      </w:r>
      <w:r w:rsidR="00DB4EF4" w:rsidRPr="00DB4EF4">
        <w:rPr>
          <w:rFonts w:ascii="Arial" w:hAnsi="Arial" w:cs="Arial"/>
          <w:lang w:val="en-US"/>
        </w:rPr>
        <w:lastRenderedPageBreak/>
        <w:t xml:space="preserve">monitoring and safety board of </w:t>
      </w:r>
      <w:proofErr w:type="spellStart"/>
      <w:r w:rsidR="00DB4EF4" w:rsidRPr="00DB4EF4">
        <w:rPr>
          <w:rFonts w:ascii="Arial" w:hAnsi="Arial" w:cs="Arial"/>
          <w:lang w:val="en-US"/>
        </w:rPr>
        <w:t>Therapix</w:t>
      </w:r>
      <w:proofErr w:type="spellEnd"/>
      <w:r w:rsidR="00DB4EF4" w:rsidRPr="00DB4EF4">
        <w:rPr>
          <w:rFonts w:ascii="Arial" w:hAnsi="Arial" w:cs="Arial"/>
          <w:lang w:val="en-US"/>
        </w:rPr>
        <w:t xml:space="preserve"> Biosciences. </w:t>
      </w:r>
      <w:r w:rsidR="00DB4EF4">
        <w:rPr>
          <w:rFonts w:ascii="Arial" w:hAnsi="Arial" w:cs="Arial"/>
          <w:lang w:val="en-US"/>
        </w:rPr>
        <w:t>MHB</w:t>
      </w:r>
      <w:r w:rsidR="00DB4EF4" w:rsidRPr="00DB4EF4">
        <w:rPr>
          <w:rFonts w:ascii="Arial" w:hAnsi="Arial" w:cs="Arial"/>
          <w:lang w:val="en-US"/>
        </w:rPr>
        <w:t xml:space="preserve"> has </w:t>
      </w:r>
      <w:r w:rsidR="00DB4EF4">
        <w:rPr>
          <w:rFonts w:ascii="Arial" w:hAnsi="Arial" w:cs="Arial"/>
          <w:lang w:val="en-US"/>
        </w:rPr>
        <w:t xml:space="preserve">also </w:t>
      </w:r>
      <w:r w:rsidR="00DB4EF4" w:rsidRPr="00DB4EF4">
        <w:rPr>
          <w:rFonts w:ascii="Arial" w:hAnsi="Arial" w:cs="Arial"/>
          <w:lang w:val="en-US"/>
        </w:rPr>
        <w:t>received royalties from Wolters Kluwer for Lewis’s</w:t>
      </w:r>
      <w:r w:rsidR="00DB4EF4">
        <w:rPr>
          <w:rFonts w:ascii="Arial" w:hAnsi="Arial" w:cs="Arial"/>
          <w:lang w:val="en-US"/>
        </w:rPr>
        <w:t xml:space="preserve"> </w:t>
      </w:r>
      <w:r w:rsidR="00DB4EF4" w:rsidRPr="00DB4EF4">
        <w:rPr>
          <w:rFonts w:ascii="Arial" w:hAnsi="Arial" w:cs="Arial"/>
          <w:lang w:val="en-US"/>
        </w:rPr>
        <w:t>Child and Adolescent Psychiatry: A Comprehensive Textbook, Fifth Edition</w:t>
      </w:r>
      <w:r w:rsidR="00DB4EF4">
        <w:rPr>
          <w:rFonts w:ascii="Arial" w:hAnsi="Arial" w:cs="Arial"/>
          <w:lang w:val="en-US"/>
        </w:rPr>
        <w:t xml:space="preserve"> and </w:t>
      </w:r>
      <w:r w:rsidR="00DB4EF4" w:rsidRPr="00DB4EF4">
        <w:rPr>
          <w:rFonts w:ascii="Arial" w:hAnsi="Arial" w:cs="Arial"/>
          <w:lang w:val="en-US"/>
        </w:rPr>
        <w:t xml:space="preserve">moonlighting pay from the Veteran’s Administration. </w:t>
      </w:r>
      <w:r w:rsidR="00DB4EF4">
        <w:rPr>
          <w:rFonts w:ascii="Arial" w:hAnsi="Arial" w:cs="Arial"/>
          <w:lang w:val="en-US"/>
        </w:rPr>
        <w:t xml:space="preserve">SC declares honoraria and reimbursement for travel and accommodation expenses for lectures from the following non-profit associations: Association for Child and Adolescent Mental Health (ACAMH), Canadian ADHD Alliance Resource (CADDRA), British Association of Pharmacology (BAP), and from Healthcare Convention for educational activity on ADHD. </w:t>
      </w:r>
      <w:r w:rsidR="00547664">
        <w:rPr>
          <w:rFonts w:ascii="Arial" w:hAnsi="Arial" w:cs="Arial"/>
          <w:lang w:val="en-US"/>
        </w:rPr>
        <w:t>The other authors report no conflicts of interest.</w:t>
      </w:r>
    </w:p>
    <w:p w14:paraId="405C4D26" w14:textId="0D52CEE7" w:rsidR="005F7E96" w:rsidRDefault="00B13B34" w:rsidP="00F355E1">
      <w:pPr>
        <w:keepNext/>
        <w:spacing w:after="240" w:line="480" w:lineRule="auto"/>
        <w:rPr>
          <w:rFonts w:ascii="Arial" w:hAnsi="Arial" w:cs="Arial"/>
          <w:lang w:val="en-US"/>
        </w:rPr>
      </w:pPr>
      <w:r w:rsidRPr="00BA13D3">
        <w:rPr>
          <w:rFonts w:ascii="Arial" w:hAnsi="Arial" w:cs="Arial"/>
          <w:b/>
          <w:bCs/>
          <w:lang w:val="en-US"/>
        </w:rPr>
        <w:t xml:space="preserve">Funding/Support: </w:t>
      </w:r>
      <w:r w:rsidR="00B66FFC">
        <w:rPr>
          <w:rFonts w:ascii="Arial" w:hAnsi="Arial" w:cs="Arial"/>
          <w:lang w:val="en-US"/>
        </w:rPr>
        <w:t>AC</w:t>
      </w:r>
      <w:r w:rsidR="00B66FFC" w:rsidRPr="00B66FFC">
        <w:rPr>
          <w:rFonts w:ascii="Arial" w:hAnsi="Arial" w:cs="Arial"/>
          <w:lang w:val="en-US"/>
        </w:rPr>
        <w:t xml:space="preserve"> is supported by the National Institute for Health Research (NIHR) Oxford Cognitive Health Clinical Research Facility, by an NIHR Research Professorship (grant RP-2017-08-ST2-006), by the NIHR Oxford and Thames Valley Applied Research Collaboration</w:t>
      </w:r>
      <w:r w:rsidR="00B66FFC">
        <w:rPr>
          <w:rFonts w:ascii="Arial" w:hAnsi="Arial" w:cs="Arial"/>
          <w:lang w:val="en-US"/>
        </w:rPr>
        <w:t xml:space="preserve">, </w:t>
      </w:r>
      <w:r w:rsidR="00B66FFC" w:rsidRPr="00B66FFC">
        <w:rPr>
          <w:rFonts w:ascii="Arial" w:hAnsi="Arial" w:cs="Arial"/>
          <w:lang w:val="en-US"/>
        </w:rPr>
        <w:t>by the NIHR Oxford Health Biomedical Research Centre (grant NIHR203316)</w:t>
      </w:r>
      <w:r w:rsidR="00B66FFC">
        <w:rPr>
          <w:rFonts w:ascii="Arial" w:hAnsi="Arial" w:cs="Arial"/>
          <w:lang w:val="en-US"/>
        </w:rPr>
        <w:t xml:space="preserve"> and by Wellcome (GALENOS project)</w:t>
      </w:r>
      <w:r w:rsidR="00B66FFC" w:rsidRPr="00B66FFC">
        <w:rPr>
          <w:rFonts w:ascii="Arial" w:hAnsi="Arial" w:cs="Arial"/>
          <w:lang w:val="en-US"/>
        </w:rPr>
        <w:t xml:space="preserve">. </w:t>
      </w:r>
      <w:r w:rsidR="008B608F">
        <w:rPr>
          <w:rFonts w:ascii="Arial" w:hAnsi="Arial" w:cs="Arial"/>
          <w:lang w:val="en-US"/>
        </w:rPr>
        <w:t>SC is currently supported by funding from the National Institute for Health and Care Research (NIHR) (grants NIHR203684, NIHR203035, NIHR130077, NIHR128472, RP-PG-0618-20003), Solent NHS Trust (Research Capability Funding, 2022), University of Southampton (</w:t>
      </w:r>
      <w:proofErr w:type="spellStart"/>
      <w:r w:rsidR="008B608F">
        <w:rPr>
          <w:rFonts w:ascii="Arial" w:hAnsi="Arial" w:cs="Arial"/>
          <w:lang w:val="en-US"/>
        </w:rPr>
        <w:t>Knowledege</w:t>
      </w:r>
      <w:proofErr w:type="spellEnd"/>
      <w:r w:rsidR="008B608F">
        <w:rPr>
          <w:rFonts w:ascii="Arial" w:hAnsi="Arial" w:cs="Arial"/>
          <w:lang w:val="en-US"/>
        </w:rPr>
        <w:t xml:space="preserve"> and Exchange Enterprise Fund 2023, Enterprise Development Fund 2022) and European Research Agency (Horizon: Project 101095568).</w:t>
      </w:r>
    </w:p>
    <w:p w14:paraId="29C22DCC" w14:textId="4E34FF4A" w:rsidR="005F7E96" w:rsidRDefault="00B13B34" w:rsidP="00F355E1">
      <w:pPr>
        <w:keepNext/>
        <w:spacing w:after="240" w:line="480" w:lineRule="auto"/>
        <w:rPr>
          <w:rFonts w:ascii="Arial" w:hAnsi="Arial" w:cs="Arial"/>
          <w:lang w:val="en-US"/>
        </w:rPr>
      </w:pPr>
      <w:r>
        <w:rPr>
          <w:rFonts w:ascii="Arial" w:hAnsi="Arial" w:cs="Arial"/>
          <w:b/>
          <w:bCs/>
          <w:lang w:val="en-US"/>
        </w:rPr>
        <w:t>Role of the Funder/Sponsor</w:t>
      </w:r>
      <w:r w:rsidR="00547664">
        <w:rPr>
          <w:rFonts w:ascii="Arial" w:hAnsi="Arial" w:cs="Arial"/>
          <w:b/>
          <w:bCs/>
          <w:lang w:val="en-US"/>
        </w:rPr>
        <w:t xml:space="preserve">: </w:t>
      </w:r>
      <w:r w:rsidR="005F7E96">
        <w:rPr>
          <w:rFonts w:ascii="Arial" w:hAnsi="Arial" w:cs="Arial"/>
          <w:lang w:val="en-US"/>
        </w:rPr>
        <w:t xml:space="preserve">The funders had no role in the design and conduct of the study; collection, management, analysis, and interpretation of the data; preparation, review, or approval of the manuscript; and decision to submit the manuscript for </w:t>
      </w:r>
      <w:r w:rsidR="005F7E96">
        <w:rPr>
          <w:rFonts w:ascii="Arial" w:hAnsi="Arial" w:cs="Arial"/>
          <w:lang w:val="en-US"/>
        </w:rPr>
        <w:lastRenderedPageBreak/>
        <w:t>publication.</w:t>
      </w:r>
      <w:r w:rsidR="005D294C" w:rsidRPr="005D294C">
        <w:rPr>
          <w:rFonts w:ascii="Arial" w:hAnsi="Arial" w:cs="Arial"/>
          <w:lang w:val="en-US"/>
        </w:rPr>
        <w:t xml:space="preserve"> </w:t>
      </w:r>
      <w:r w:rsidR="005D294C" w:rsidRPr="00B66FFC">
        <w:rPr>
          <w:rFonts w:ascii="Arial" w:hAnsi="Arial" w:cs="Arial"/>
          <w:lang w:val="en-US"/>
        </w:rPr>
        <w:t>The views expressed are those of the authors and not necessarily those of the UK National Health Service, the NIHR, or the UK Department of Health.</w:t>
      </w:r>
    </w:p>
    <w:p w14:paraId="777C317B" w14:textId="0B5A8D70" w:rsidR="00F355E1" w:rsidRPr="000533A3" w:rsidRDefault="00F355E1" w:rsidP="00F355E1">
      <w:pPr>
        <w:widowControl w:val="0"/>
        <w:spacing w:after="240" w:line="480" w:lineRule="auto"/>
        <w:rPr>
          <w:rFonts w:ascii="Arial" w:hAnsi="Arial" w:cs="Arial"/>
          <w:lang w:val="en-US"/>
        </w:rPr>
      </w:pPr>
      <w:r>
        <w:rPr>
          <w:rFonts w:ascii="Arial" w:hAnsi="Arial" w:cs="Arial"/>
          <w:b/>
          <w:bCs/>
          <w:lang w:val="en-US"/>
        </w:rPr>
        <w:t>Data sharing statement</w:t>
      </w:r>
      <w:r>
        <w:rPr>
          <w:rFonts w:ascii="Arial" w:hAnsi="Arial" w:cs="Arial"/>
          <w:lang w:val="en-US"/>
        </w:rPr>
        <w:t xml:space="preserve">: All data and scripts are </w:t>
      </w:r>
      <w:r w:rsidR="00C212D9">
        <w:rPr>
          <w:rFonts w:ascii="Arial" w:hAnsi="Arial" w:cs="Arial"/>
          <w:lang w:val="en-US"/>
        </w:rPr>
        <w:t xml:space="preserve">publicly </w:t>
      </w:r>
      <w:r>
        <w:rPr>
          <w:rFonts w:ascii="Arial" w:hAnsi="Arial" w:cs="Arial"/>
          <w:lang w:val="en-US"/>
        </w:rPr>
        <w:t xml:space="preserve">available in OSF </w:t>
      </w:r>
      <w:r w:rsidRPr="00AC5CE7">
        <w:rPr>
          <w:rFonts w:ascii="Arial" w:hAnsi="Arial" w:cs="Arial"/>
          <w:lang w:val="en-US"/>
        </w:rPr>
        <w:t>(</w:t>
      </w:r>
      <w:r w:rsidR="00C212D9">
        <w:rPr>
          <w:rFonts w:ascii="Arial" w:hAnsi="Arial" w:cs="Arial"/>
          <w:lang w:val="en-US"/>
        </w:rPr>
        <w:t>doi.org/</w:t>
      </w:r>
      <w:r w:rsidR="00C212D9" w:rsidRPr="00C212D9">
        <w:rPr>
          <w:rFonts w:ascii="Arial" w:hAnsi="Arial" w:cs="Arial"/>
          <w:lang w:val="en-US"/>
        </w:rPr>
        <w:t>10.17605/OSF.IO/47FS9</w:t>
      </w:r>
      <w:r w:rsidRPr="00AC5CE7">
        <w:rPr>
          <w:rFonts w:ascii="Arial" w:hAnsi="Arial" w:cs="Arial"/>
          <w:color w:val="333333"/>
          <w:shd w:val="clear" w:color="auto" w:fill="FFFFFF"/>
          <w:lang w:val="en-US"/>
        </w:rPr>
        <w:t>)</w:t>
      </w:r>
      <w:r w:rsidR="00F445E0">
        <w:rPr>
          <w:rFonts w:ascii="Arial" w:hAnsi="Arial" w:cs="Arial"/>
          <w:lang w:val="en-US"/>
        </w:rPr>
        <w:t>.</w:t>
      </w:r>
    </w:p>
    <w:p w14:paraId="455B6EC0" w14:textId="728341BA" w:rsidR="00F355E1" w:rsidRPr="00F355E1" w:rsidRDefault="00F355E1" w:rsidP="00B13B34">
      <w:pPr>
        <w:keepNext/>
        <w:spacing w:line="480" w:lineRule="auto"/>
        <w:rPr>
          <w:rFonts w:ascii="Arial" w:hAnsi="Arial" w:cs="Arial"/>
          <w:lang w:val="en-US"/>
        </w:rPr>
      </w:pPr>
    </w:p>
    <w:p w14:paraId="17AA85AB" w14:textId="77777777" w:rsidR="00B13B34" w:rsidRDefault="00B13B34" w:rsidP="00B13B34">
      <w:pPr>
        <w:keepNext/>
        <w:spacing w:line="480" w:lineRule="auto"/>
        <w:rPr>
          <w:rFonts w:ascii="Arial" w:hAnsi="Arial" w:cs="Arial"/>
          <w:b/>
          <w:bCs/>
          <w:lang w:val="en-US"/>
        </w:rPr>
      </w:pPr>
    </w:p>
    <w:p w14:paraId="45E0710E" w14:textId="237697CE" w:rsidR="00B13B34" w:rsidRDefault="00B13B34" w:rsidP="00B13B34">
      <w:pPr>
        <w:keepNext/>
        <w:spacing w:line="480" w:lineRule="auto"/>
        <w:rPr>
          <w:rFonts w:ascii="Arial" w:hAnsi="Arial" w:cs="Arial"/>
          <w:b/>
          <w:bCs/>
          <w:lang w:val="en-US"/>
        </w:rPr>
        <w:sectPr w:rsidR="00B13B34" w:rsidSect="00863254">
          <w:pgSz w:w="12240" w:h="15840"/>
          <w:pgMar w:top="1440" w:right="1440" w:bottom="1440" w:left="1440" w:header="708" w:footer="708" w:gutter="0"/>
          <w:cols w:space="708"/>
          <w:docGrid w:linePitch="360"/>
        </w:sectPr>
      </w:pPr>
    </w:p>
    <w:p w14:paraId="536AF502" w14:textId="77777777" w:rsidR="006C4A96" w:rsidRDefault="006C4A96" w:rsidP="00172F37">
      <w:pPr>
        <w:spacing w:line="480" w:lineRule="auto"/>
        <w:jc w:val="center"/>
        <w:rPr>
          <w:rFonts w:ascii="Arial" w:hAnsi="Arial" w:cs="Arial"/>
          <w:b/>
          <w:bCs/>
          <w:lang w:val="en-US"/>
        </w:rPr>
      </w:pPr>
      <w:r>
        <w:rPr>
          <w:rFonts w:ascii="Arial" w:hAnsi="Arial" w:cs="Arial"/>
          <w:b/>
          <w:bCs/>
          <w:lang w:val="en-US"/>
        </w:rPr>
        <w:br w:type="page"/>
      </w:r>
    </w:p>
    <w:p w14:paraId="042EF2CC" w14:textId="434BF10A" w:rsidR="00C74A23" w:rsidRPr="003A6DE4" w:rsidRDefault="0018065F" w:rsidP="00172F37">
      <w:pPr>
        <w:spacing w:line="480" w:lineRule="auto"/>
        <w:jc w:val="center"/>
        <w:rPr>
          <w:rFonts w:ascii="Arial" w:hAnsi="Arial" w:cs="Arial"/>
          <w:b/>
          <w:bCs/>
          <w:lang w:val="en-US"/>
        </w:rPr>
      </w:pPr>
      <w:r w:rsidRPr="003A6DE4">
        <w:rPr>
          <w:rFonts w:ascii="Arial" w:hAnsi="Arial" w:cs="Arial"/>
          <w:b/>
          <w:bCs/>
          <w:lang w:val="en-US"/>
        </w:rPr>
        <w:lastRenderedPageBreak/>
        <w:t>REFERENCES</w:t>
      </w:r>
    </w:p>
    <w:p w14:paraId="1F5993DB" w14:textId="4B2D51EA" w:rsidR="00B05BB1" w:rsidRPr="00B05BB1" w:rsidRDefault="00731AA7" w:rsidP="00B05BB1">
      <w:pPr>
        <w:pStyle w:val="EndNoteBibliography"/>
        <w:rPr>
          <w:noProof/>
        </w:rPr>
      </w:pPr>
      <w:r>
        <w:rPr>
          <w:noProof/>
        </w:rPr>
        <w:t>1</w:t>
      </w:r>
      <w:r w:rsidR="00B05BB1" w:rsidRPr="00B05BB1">
        <w:rPr>
          <w:noProof/>
        </w:rPr>
        <w:t>.</w:t>
      </w:r>
      <w:r w:rsidR="00B05BB1" w:rsidRPr="00B05BB1">
        <w:rPr>
          <w:noProof/>
        </w:rPr>
        <w:tab/>
        <w:t>Canadian ADHD Resource Alliance. Canadian ADHD Practice Guidelines (4</w:t>
      </w:r>
      <w:r w:rsidR="00B05BB1" w:rsidRPr="0009642C">
        <w:rPr>
          <w:noProof/>
          <w:vertAlign w:val="superscript"/>
        </w:rPr>
        <w:t>th</w:t>
      </w:r>
      <w:r w:rsidR="00B05BB1" w:rsidRPr="00B05BB1">
        <w:rPr>
          <w:noProof/>
        </w:rPr>
        <w:t xml:space="preserve"> edition). </w:t>
      </w:r>
      <w:r w:rsidR="007351DB">
        <w:rPr>
          <w:noProof/>
        </w:rPr>
        <w:t xml:space="preserve">Accesed </w:t>
      </w:r>
      <w:r w:rsidR="00B05BB1" w:rsidRPr="00B05BB1">
        <w:rPr>
          <w:noProof/>
        </w:rPr>
        <w:t>March, 202</w:t>
      </w:r>
      <w:r w:rsidR="007351DB">
        <w:rPr>
          <w:noProof/>
        </w:rPr>
        <w:t>3,</w:t>
      </w:r>
      <w:r w:rsidR="00B05BB1" w:rsidRPr="00B05BB1">
        <w:rPr>
          <w:noProof/>
        </w:rPr>
        <w:t xml:space="preserve"> </w:t>
      </w:r>
      <w:hyperlink r:id="rId12" w:history="1">
        <w:r w:rsidR="00C212D9" w:rsidRPr="00DB726B">
          <w:rPr>
            <w:rStyle w:val="Hyperlink"/>
            <w:noProof/>
          </w:rPr>
          <w:t>https://www.caddra.ca/canadian-adhd-practice-guidelines</w:t>
        </w:r>
      </w:hyperlink>
    </w:p>
    <w:p w14:paraId="670798AE" w14:textId="02066DC8" w:rsidR="00B05BB1" w:rsidRDefault="00731AA7" w:rsidP="00B05BB1">
      <w:pPr>
        <w:pStyle w:val="EndNoteBibliography"/>
        <w:rPr>
          <w:rStyle w:val="Hyperlink"/>
          <w:noProof/>
        </w:rPr>
      </w:pPr>
      <w:r>
        <w:rPr>
          <w:noProof/>
        </w:rPr>
        <w:t>2</w:t>
      </w:r>
      <w:r w:rsidR="00B05BB1" w:rsidRPr="00B05BB1">
        <w:rPr>
          <w:noProof/>
        </w:rPr>
        <w:t>.</w:t>
      </w:r>
      <w:r w:rsidR="00B05BB1" w:rsidRPr="00B05BB1">
        <w:rPr>
          <w:noProof/>
        </w:rPr>
        <w:tab/>
        <w:t xml:space="preserve">National Institute for Health and Care Excellence. Attention deficit hyperactivity disorder: diagnosis and management. Accessed March, 2023, </w:t>
      </w:r>
      <w:hyperlink r:id="rId13" w:history="1">
        <w:r w:rsidR="00B05BB1" w:rsidRPr="00B05BB1">
          <w:rPr>
            <w:rStyle w:val="Hyperlink"/>
            <w:noProof/>
          </w:rPr>
          <w:t>https://www.nice.org.uk/guidance/ng87</w:t>
        </w:r>
      </w:hyperlink>
    </w:p>
    <w:p w14:paraId="6980E744" w14:textId="7A119ED4" w:rsidR="00EB3666" w:rsidRPr="002144ED" w:rsidRDefault="00731AA7" w:rsidP="00B05BB1">
      <w:pPr>
        <w:pStyle w:val="EndNoteBibliography"/>
        <w:rPr>
          <w:noProof/>
        </w:rPr>
      </w:pPr>
      <w:r w:rsidRPr="0071682D">
        <w:rPr>
          <w:noProof/>
        </w:rPr>
        <w:t>3</w:t>
      </w:r>
      <w:r w:rsidR="00FD4137" w:rsidRPr="0071682D">
        <w:rPr>
          <w:noProof/>
        </w:rPr>
        <w:t>.</w:t>
      </w:r>
      <w:r w:rsidR="00FD4137" w:rsidRPr="0071682D">
        <w:rPr>
          <w:noProof/>
        </w:rPr>
        <w:tab/>
      </w:r>
      <w:r w:rsidR="00EB3666" w:rsidRPr="0071682D">
        <w:rPr>
          <w:noProof/>
        </w:rPr>
        <w:t xml:space="preserve">Bolea-Alamañac B, Nutt DJ, Adamou M, et al. </w:t>
      </w:r>
      <w:r w:rsidR="00EB3666" w:rsidRPr="00EB3666">
        <w:rPr>
          <w:noProof/>
        </w:rPr>
        <w:t xml:space="preserve">Evidence-based guidelines for the pharmacological management </w:t>
      </w:r>
      <w:r w:rsidR="00EB3666">
        <w:rPr>
          <w:noProof/>
        </w:rPr>
        <w:t xml:space="preserve">of attention deficit hyperactivity disorder: update on recommendations from the British Association of Psychopharmacology. </w:t>
      </w:r>
      <w:r w:rsidR="00EB3666">
        <w:rPr>
          <w:i/>
          <w:iCs/>
          <w:noProof/>
        </w:rPr>
        <w:t>J Clin Psychopharmacol</w:t>
      </w:r>
      <w:r w:rsidR="002144ED">
        <w:rPr>
          <w:noProof/>
        </w:rPr>
        <w:t>. 2014;28(3):179-203. doi:10.1177/0269881113519509</w:t>
      </w:r>
    </w:p>
    <w:p w14:paraId="50199012" w14:textId="4A740ECA" w:rsidR="00731AA7" w:rsidRPr="00B05BB1" w:rsidRDefault="00731AA7" w:rsidP="00731AA7">
      <w:pPr>
        <w:pStyle w:val="EndNoteBibliography"/>
        <w:rPr>
          <w:noProof/>
        </w:rPr>
      </w:pPr>
      <w:r>
        <w:rPr>
          <w:noProof/>
        </w:rPr>
        <w:t>4</w:t>
      </w:r>
      <w:r w:rsidRPr="00B05BB1">
        <w:rPr>
          <w:noProof/>
        </w:rPr>
        <w:t>.</w:t>
      </w:r>
      <w:r w:rsidRPr="00B05BB1">
        <w:rPr>
          <w:noProof/>
        </w:rPr>
        <w:tab/>
        <w:t xml:space="preserve">Kessler RC, Adler L, Barkley R, et al. The prevalence and correlates of adult ADHD in the United States: results from the National Comorbidity Survey Replication. </w:t>
      </w:r>
      <w:r w:rsidRPr="00B05BB1">
        <w:rPr>
          <w:i/>
          <w:noProof/>
        </w:rPr>
        <w:t>Am J Psychiatry</w:t>
      </w:r>
      <w:r w:rsidRPr="00B05BB1">
        <w:rPr>
          <w:noProof/>
        </w:rPr>
        <w:t xml:space="preserve">. 2006;163(4):716-23. </w:t>
      </w:r>
      <w:r>
        <w:rPr>
          <w:noProof/>
        </w:rPr>
        <w:t>d</w:t>
      </w:r>
      <w:r w:rsidRPr="00B05BB1">
        <w:rPr>
          <w:noProof/>
        </w:rPr>
        <w:t>oi:10.1176/ajp.2006.163.4.716</w:t>
      </w:r>
    </w:p>
    <w:p w14:paraId="7FB8E91D" w14:textId="78A5F3A9" w:rsidR="00731AA7" w:rsidRPr="00B05BB1" w:rsidRDefault="00731AA7" w:rsidP="00731AA7">
      <w:pPr>
        <w:pStyle w:val="EndNoteBibliography"/>
        <w:rPr>
          <w:noProof/>
        </w:rPr>
      </w:pPr>
      <w:r w:rsidRPr="0071682D">
        <w:rPr>
          <w:noProof/>
        </w:rPr>
        <w:t>5.</w:t>
      </w:r>
      <w:r w:rsidRPr="0071682D">
        <w:rPr>
          <w:noProof/>
        </w:rPr>
        <w:tab/>
        <w:t xml:space="preserve">Bernardi S, Faraone SV, Cortese S, et al. </w:t>
      </w:r>
      <w:r w:rsidRPr="00B05BB1">
        <w:rPr>
          <w:noProof/>
        </w:rPr>
        <w:t xml:space="preserve">The lifetime impact of attention deficit hyperactivity disorder: results from the National Epidemiologic Survey on Alcohol and Related Conditions (NESARC). </w:t>
      </w:r>
      <w:r w:rsidRPr="00B05BB1">
        <w:rPr>
          <w:i/>
          <w:noProof/>
        </w:rPr>
        <w:t>Psychol Med</w:t>
      </w:r>
      <w:r w:rsidRPr="00B05BB1">
        <w:rPr>
          <w:noProof/>
        </w:rPr>
        <w:t>. 2012;42(4):875-</w:t>
      </w:r>
      <w:r>
        <w:rPr>
          <w:noProof/>
        </w:rPr>
        <w:t>8</w:t>
      </w:r>
      <w:r w:rsidRPr="00B05BB1">
        <w:rPr>
          <w:noProof/>
        </w:rPr>
        <w:t xml:space="preserve">87. </w:t>
      </w:r>
      <w:r>
        <w:rPr>
          <w:noProof/>
        </w:rPr>
        <w:t>d</w:t>
      </w:r>
      <w:r w:rsidRPr="00B05BB1">
        <w:rPr>
          <w:noProof/>
        </w:rPr>
        <w:t>oi:10.1017/s003329171100153x</w:t>
      </w:r>
    </w:p>
    <w:p w14:paraId="73D3F0EC" w14:textId="25E1E647" w:rsidR="00731AA7" w:rsidRPr="00B05BB1" w:rsidRDefault="00731AA7" w:rsidP="00731AA7">
      <w:pPr>
        <w:pStyle w:val="EndNoteBibliography"/>
        <w:rPr>
          <w:noProof/>
        </w:rPr>
      </w:pPr>
      <w:r>
        <w:rPr>
          <w:noProof/>
        </w:rPr>
        <w:t>6</w:t>
      </w:r>
      <w:r w:rsidRPr="00B05BB1">
        <w:rPr>
          <w:noProof/>
        </w:rPr>
        <w:t>.</w:t>
      </w:r>
      <w:r w:rsidRPr="00B05BB1">
        <w:rPr>
          <w:noProof/>
        </w:rPr>
        <w:tab/>
        <w:t xml:space="preserve">Lichtenstein P, Halldner L, Zetterqvist J, et al. Medication for attention deficit-hyperactivity disorder and criminality. </w:t>
      </w:r>
      <w:r w:rsidRPr="00B05BB1">
        <w:rPr>
          <w:i/>
          <w:noProof/>
        </w:rPr>
        <w:t>N Engl J Med</w:t>
      </w:r>
      <w:r w:rsidRPr="00B05BB1">
        <w:rPr>
          <w:noProof/>
        </w:rPr>
        <w:t>. 2012;367(21):2006-</w:t>
      </w:r>
      <w:r>
        <w:rPr>
          <w:noProof/>
        </w:rPr>
        <w:t>20</w:t>
      </w:r>
      <w:r w:rsidRPr="00B05BB1">
        <w:rPr>
          <w:noProof/>
        </w:rPr>
        <w:t xml:space="preserve">14. </w:t>
      </w:r>
      <w:r>
        <w:rPr>
          <w:noProof/>
        </w:rPr>
        <w:t>d</w:t>
      </w:r>
      <w:r w:rsidRPr="00B05BB1">
        <w:rPr>
          <w:noProof/>
        </w:rPr>
        <w:t>oi:10.1056/NEJMoa1203241</w:t>
      </w:r>
    </w:p>
    <w:p w14:paraId="24CE8373" w14:textId="0C6A4E6B" w:rsidR="00731AA7" w:rsidRPr="00B05BB1" w:rsidRDefault="00731AA7" w:rsidP="00731AA7">
      <w:pPr>
        <w:pStyle w:val="EndNoteBibliography"/>
        <w:rPr>
          <w:noProof/>
        </w:rPr>
      </w:pPr>
      <w:r>
        <w:rPr>
          <w:noProof/>
        </w:rPr>
        <w:t>7</w:t>
      </w:r>
      <w:r w:rsidRPr="00B05BB1">
        <w:rPr>
          <w:noProof/>
        </w:rPr>
        <w:t>.</w:t>
      </w:r>
      <w:r w:rsidRPr="00B05BB1">
        <w:rPr>
          <w:noProof/>
        </w:rPr>
        <w:tab/>
        <w:t xml:space="preserve">Dalsgaard S, Østergaard SD, Leckman JF, Mortensen PB, Pedersen MG. Mortality in children, adolescents, and adults with attention deficit hyperactivity disorder: </w:t>
      </w:r>
      <w:r w:rsidRPr="00B05BB1">
        <w:rPr>
          <w:noProof/>
        </w:rPr>
        <w:lastRenderedPageBreak/>
        <w:t xml:space="preserve">a nationwide cohort study. </w:t>
      </w:r>
      <w:r w:rsidRPr="00B05BB1">
        <w:rPr>
          <w:i/>
          <w:noProof/>
        </w:rPr>
        <w:t>Lancet</w:t>
      </w:r>
      <w:r w:rsidRPr="00B05BB1">
        <w:rPr>
          <w:noProof/>
        </w:rPr>
        <w:t>. 2015;385(9983):2190-</w:t>
      </w:r>
      <w:r>
        <w:rPr>
          <w:noProof/>
        </w:rPr>
        <w:t>219</w:t>
      </w:r>
      <w:r w:rsidRPr="00B05BB1">
        <w:rPr>
          <w:noProof/>
        </w:rPr>
        <w:t xml:space="preserve">6. </w:t>
      </w:r>
      <w:r>
        <w:rPr>
          <w:noProof/>
        </w:rPr>
        <w:t>d</w:t>
      </w:r>
      <w:r w:rsidRPr="00B05BB1">
        <w:rPr>
          <w:noProof/>
        </w:rPr>
        <w:t>oi:10.1016/s0140-6736(14)61684-6</w:t>
      </w:r>
    </w:p>
    <w:p w14:paraId="2195940B" w14:textId="258291E0" w:rsidR="00731AA7" w:rsidRPr="00B05BB1" w:rsidRDefault="00731AA7" w:rsidP="00731AA7">
      <w:pPr>
        <w:pStyle w:val="EndNoteBibliography"/>
        <w:rPr>
          <w:noProof/>
        </w:rPr>
      </w:pPr>
      <w:r>
        <w:rPr>
          <w:noProof/>
        </w:rPr>
        <w:t>8</w:t>
      </w:r>
      <w:r w:rsidRPr="00B05BB1">
        <w:rPr>
          <w:noProof/>
        </w:rPr>
        <w:t>.</w:t>
      </w:r>
      <w:r w:rsidRPr="00B05BB1">
        <w:rPr>
          <w:noProof/>
        </w:rPr>
        <w:tab/>
        <w:t xml:space="preserve">Schein J, Adler LA, Childress A, et al. Economic burden of attention-deficit/hyperactivity disorder among adults in the United States: a societal perspective. </w:t>
      </w:r>
      <w:r w:rsidRPr="00B05BB1">
        <w:rPr>
          <w:i/>
          <w:noProof/>
        </w:rPr>
        <w:t>J Manag Care Spec Pharm</w:t>
      </w:r>
      <w:r w:rsidRPr="00B05BB1">
        <w:rPr>
          <w:noProof/>
        </w:rPr>
        <w:t xml:space="preserve">. 2022;28(2):168-179. </w:t>
      </w:r>
      <w:r>
        <w:rPr>
          <w:noProof/>
        </w:rPr>
        <w:t>d</w:t>
      </w:r>
      <w:r w:rsidRPr="00B05BB1">
        <w:rPr>
          <w:noProof/>
        </w:rPr>
        <w:t>oi:10.18553/jmcp.2021.21290</w:t>
      </w:r>
    </w:p>
    <w:p w14:paraId="29721FAB" w14:textId="110731BD" w:rsidR="00B05BB1" w:rsidRDefault="00E63163" w:rsidP="00B05BB1">
      <w:pPr>
        <w:pStyle w:val="EndNoteBibliography"/>
        <w:rPr>
          <w:noProof/>
        </w:rPr>
      </w:pPr>
      <w:r w:rsidRPr="00C011EE">
        <w:rPr>
          <w:noProof/>
        </w:rPr>
        <w:t>9</w:t>
      </w:r>
      <w:r w:rsidR="00B05BB1" w:rsidRPr="00C011EE">
        <w:rPr>
          <w:noProof/>
        </w:rPr>
        <w:t>.</w:t>
      </w:r>
      <w:r w:rsidR="00B05BB1" w:rsidRPr="00C011EE">
        <w:rPr>
          <w:noProof/>
        </w:rPr>
        <w:tab/>
      </w:r>
      <w:r w:rsidR="00B05BB1" w:rsidRPr="00B05BB1">
        <w:rPr>
          <w:noProof/>
        </w:rPr>
        <w:t xml:space="preserve">McGough JJ. Treatment Controversies in Adult ADHD. </w:t>
      </w:r>
      <w:r w:rsidR="00B05BB1" w:rsidRPr="00B05BB1">
        <w:rPr>
          <w:i/>
          <w:noProof/>
        </w:rPr>
        <w:t>Am J Psychiatry</w:t>
      </w:r>
      <w:r w:rsidR="00B05BB1" w:rsidRPr="00B05BB1">
        <w:rPr>
          <w:noProof/>
        </w:rPr>
        <w:t xml:space="preserve">. 2016;173(10):960-966. </w:t>
      </w:r>
      <w:r w:rsidR="002F52BB">
        <w:rPr>
          <w:noProof/>
        </w:rPr>
        <w:t>d</w:t>
      </w:r>
      <w:r w:rsidR="00B05BB1" w:rsidRPr="00B05BB1">
        <w:rPr>
          <w:noProof/>
        </w:rPr>
        <w:t>oi:10.1176/appi.ajp.2016.15091207</w:t>
      </w:r>
    </w:p>
    <w:p w14:paraId="23DF74B1" w14:textId="60C8E21F" w:rsidR="003612EF" w:rsidRPr="003612EF" w:rsidRDefault="003612EF" w:rsidP="00B05BB1">
      <w:pPr>
        <w:pStyle w:val="EndNoteBibliography"/>
        <w:rPr>
          <w:noProof/>
        </w:rPr>
      </w:pPr>
      <w:r>
        <w:rPr>
          <w:noProof/>
        </w:rPr>
        <w:t>10.</w:t>
      </w:r>
      <w:r>
        <w:rPr>
          <w:noProof/>
        </w:rPr>
        <w:tab/>
        <w:t xml:space="preserve">Cortese S, Newcorn JH, Coghill D. A Practical, Evidence-informed Approach to Managing Stimulant-Refractory Attention Deficit Hyperactivity Disorder (ADHD). </w:t>
      </w:r>
      <w:r>
        <w:rPr>
          <w:i/>
          <w:iCs/>
          <w:noProof/>
        </w:rPr>
        <w:t>CNS Drugs</w:t>
      </w:r>
      <w:r>
        <w:rPr>
          <w:noProof/>
        </w:rPr>
        <w:t>. 2021;35(10):1035-1051. doi:10.1007/s40263-021-00848-3.</w:t>
      </w:r>
      <w:r>
        <w:rPr>
          <w:i/>
          <w:iCs/>
          <w:noProof/>
        </w:rPr>
        <w:t xml:space="preserve"> </w:t>
      </w:r>
    </w:p>
    <w:p w14:paraId="2740A6A7" w14:textId="4882E646" w:rsidR="003612EF" w:rsidRPr="00F3450F" w:rsidRDefault="003612EF" w:rsidP="00B05BB1">
      <w:pPr>
        <w:pStyle w:val="EndNoteBibliography"/>
        <w:rPr>
          <w:noProof/>
        </w:rPr>
      </w:pPr>
      <w:r>
        <w:rPr>
          <w:noProof/>
        </w:rPr>
        <w:t>11.</w:t>
      </w:r>
      <w:r>
        <w:rPr>
          <w:noProof/>
        </w:rPr>
        <w:tab/>
      </w:r>
      <w:r w:rsidR="00F3450F">
        <w:rPr>
          <w:noProof/>
        </w:rPr>
        <w:t xml:space="preserve">Greenhill LL, Pliszka S, Dulcan MK, et al. Practice parameter for the use of stimulant medications in the treatment of children, adolescents, and adults. </w:t>
      </w:r>
      <w:r w:rsidR="00F3450F">
        <w:rPr>
          <w:i/>
          <w:iCs/>
          <w:noProof/>
        </w:rPr>
        <w:t>J Am Acad Child Adolesc Psychiatry</w:t>
      </w:r>
      <w:r w:rsidR="00F3450F">
        <w:rPr>
          <w:noProof/>
        </w:rPr>
        <w:t>. 2002;41(2): 26S-49S.</w:t>
      </w:r>
      <w:r w:rsidR="00652816">
        <w:rPr>
          <w:noProof/>
        </w:rPr>
        <w:t xml:space="preserve"> doi:10.1097/00004583-200202001-00003.</w:t>
      </w:r>
    </w:p>
    <w:p w14:paraId="7B6146C6" w14:textId="093EC7C8" w:rsidR="003612EF" w:rsidRPr="003612EF" w:rsidRDefault="003612EF" w:rsidP="00B05BB1">
      <w:pPr>
        <w:pStyle w:val="EndNoteBibliography"/>
        <w:rPr>
          <w:noProof/>
        </w:rPr>
      </w:pPr>
      <w:r>
        <w:rPr>
          <w:noProof/>
        </w:rPr>
        <w:t>12.</w:t>
      </w:r>
      <w:r>
        <w:rPr>
          <w:noProof/>
        </w:rPr>
        <w:tab/>
        <w:t xml:space="preserve">Wilens TE, Morrison NR, Prince J. An update on the pharmacotherapy of attention-deficit/hyperactivity disorder in adults. </w:t>
      </w:r>
      <w:r>
        <w:rPr>
          <w:i/>
          <w:iCs/>
          <w:noProof/>
        </w:rPr>
        <w:t>Exp Rev Neurother</w:t>
      </w:r>
      <w:r>
        <w:rPr>
          <w:noProof/>
        </w:rPr>
        <w:t>. 2011;11(10):1443-1465.</w:t>
      </w:r>
      <w:r w:rsidR="00652816">
        <w:rPr>
          <w:noProof/>
        </w:rPr>
        <w:t xml:space="preserve"> doi:10.1586/ern.11.137.</w:t>
      </w:r>
    </w:p>
    <w:p w14:paraId="7D68DFB6" w14:textId="151E7FB3" w:rsidR="00B05BB1" w:rsidRDefault="003B5D53" w:rsidP="00B05BB1">
      <w:pPr>
        <w:pStyle w:val="EndNoteBibliography"/>
        <w:rPr>
          <w:noProof/>
        </w:rPr>
      </w:pPr>
      <w:r w:rsidRPr="00952C37">
        <w:rPr>
          <w:noProof/>
        </w:rPr>
        <w:t>1</w:t>
      </w:r>
      <w:r w:rsidR="001F30C2" w:rsidRPr="00952C37">
        <w:rPr>
          <w:noProof/>
        </w:rPr>
        <w:t>3</w:t>
      </w:r>
      <w:r w:rsidR="00B05BB1" w:rsidRPr="00952C37">
        <w:rPr>
          <w:noProof/>
        </w:rPr>
        <w:t>.</w:t>
      </w:r>
      <w:r w:rsidR="00B05BB1" w:rsidRPr="00952C37">
        <w:rPr>
          <w:noProof/>
        </w:rPr>
        <w:tab/>
        <w:t xml:space="preserve">Cortese S, Adamo N, Del Giovane C, et al. </w:t>
      </w:r>
      <w:r w:rsidR="00B05BB1" w:rsidRPr="00B05BB1">
        <w:rPr>
          <w:noProof/>
        </w:rPr>
        <w:t xml:space="preserve">Comparative efficacy and tolerability of medications for attention-deficit hyperactivity disorder in children, adolescents, and adults: a systematic review and network meta-analysis. </w:t>
      </w:r>
      <w:r w:rsidR="00B05BB1" w:rsidRPr="00B05BB1">
        <w:rPr>
          <w:i/>
          <w:noProof/>
        </w:rPr>
        <w:t>Lancet Psychiatry</w:t>
      </w:r>
      <w:r w:rsidR="00B05BB1" w:rsidRPr="00B05BB1">
        <w:rPr>
          <w:noProof/>
        </w:rPr>
        <w:t>. 2018;5(9):727-738. doi:10.1016/s2215-0366(18)30269-4</w:t>
      </w:r>
    </w:p>
    <w:p w14:paraId="5A549623" w14:textId="4E15C1C8" w:rsidR="00F3450F" w:rsidRPr="00652816" w:rsidRDefault="00652816" w:rsidP="00B05BB1">
      <w:pPr>
        <w:pStyle w:val="EndNoteBibliography"/>
        <w:rPr>
          <w:noProof/>
        </w:rPr>
      </w:pPr>
      <w:r>
        <w:rPr>
          <w:noProof/>
        </w:rPr>
        <w:t>1</w:t>
      </w:r>
      <w:r w:rsidR="001F30C2">
        <w:rPr>
          <w:noProof/>
        </w:rPr>
        <w:t>4</w:t>
      </w:r>
      <w:r>
        <w:rPr>
          <w:noProof/>
        </w:rPr>
        <w:t>.</w:t>
      </w:r>
      <w:r>
        <w:rPr>
          <w:noProof/>
        </w:rPr>
        <w:tab/>
        <w:t>Spencer T, Wilens T, Biederman J, Faraone SV, Ablon JS, Lapey K. A double-blind, crossover comparison of methylphenidate and placebo in adults with childhood-</w:t>
      </w:r>
      <w:r>
        <w:rPr>
          <w:noProof/>
        </w:rPr>
        <w:lastRenderedPageBreak/>
        <w:t xml:space="preserve">onset attention-deficit hyperactivity disorder. </w:t>
      </w:r>
      <w:r>
        <w:rPr>
          <w:i/>
          <w:iCs/>
          <w:noProof/>
        </w:rPr>
        <w:t>Arch Gen Psychiatry</w:t>
      </w:r>
      <w:r>
        <w:rPr>
          <w:noProof/>
        </w:rPr>
        <w:t>. 1995;52(6):434-443.</w:t>
      </w:r>
      <w:r w:rsidR="00D66973">
        <w:rPr>
          <w:noProof/>
        </w:rPr>
        <w:t xml:space="preserve"> doi:10.1001/archpsyc.1995.03950180020004</w:t>
      </w:r>
    </w:p>
    <w:p w14:paraId="69839639" w14:textId="33B7E1A2" w:rsidR="00F3450F" w:rsidRPr="00D66973" w:rsidRDefault="00652816" w:rsidP="00B05BB1">
      <w:pPr>
        <w:pStyle w:val="EndNoteBibliography"/>
        <w:rPr>
          <w:noProof/>
        </w:rPr>
      </w:pPr>
      <w:r>
        <w:rPr>
          <w:noProof/>
        </w:rPr>
        <w:t>1</w:t>
      </w:r>
      <w:r w:rsidR="001F30C2">
        <w:rPr>
          <w:noProof/>
        </w:rPr>
        <w:t>5</w:t>
      </w:r>
      <w:r>
        <w:rPr>
          <w:noProof/>
        </w:rPr>
        <w:t>.</w:t>
      </w:r>
      <w:r w:rsidR="00D66973">
        <w:rPr>
          <w:noProof/>
        </w:rPr>
        <w:tab/>
        <w:t xml:space="preserve">Spencer T, Biederman J, Wilens T, et al. A large, double-blind, randomized clinical trial of methylphenidate in the treatment of adults with attention-deficit/hyperactivity disorder. </w:t>
      </w:r>
      <w:r w:rsidR="00D66973">
        <w:rPr>
          <w:i/>
          <w:iCs/>
          <w:noProof/>
        </w:rPr>
        <w:t>Biol Psychiatry</w:t>
      </w:r>
      <w:r w:rsidR="00D66973">
        <w:rPr>
          <w:noProof/>
        </w:rPr>
        <w:t>. 2005;57(5):456-463. doi:10.1016/j.biopsych.2004.11.043</w:t>
      </w:r>
    </w:p>
    <w:p w14:paraId="1BDA4A0B" w14:textId="3057E4BC" w:rsidR="00652816" w:rsidRDefault="00652816" w:rsidP="00B05BB1">
      <w:pPr>
        <w:pStyle w:val="EndNoteBibliography"/>
        <w:rPr>
          <w:noProof/>
        </w:rPr>
      </w:pPr>
      <w:r w:rsidRPr="00D66973">
        <w:rPr>
          <w:noProof/>
        </w:rPr>
        <w:t>1</w:t>
      </w:r>
      <w:r w:rsidR="001F30C2">
        <w:rPr>
          <w:noProof/>
        </w:rPr>
        <w:t>6</w:t>
      </w:r>
      <w:r w:rsidRPr="00D66973">
        <w:rPr>
          <w:noProof/>
        </w:rPr>
        <w:t>.</w:t>
      </w:r>
      <w:r w:rsidR="00D66973" w:rsidRPr="00D66973">
        <w:rPr>
          <w:noProof/>
        </w:rPr>
        <w:tab/>
        <w:t>Faraone SV, Spencer T, Aleardi M, Pagano C, Biederman J. Meta-analysis of the e</w:t>
      </w:r>
      <w:r w:rsidR="00D66973">
        <w:rPr>
          <w:noProof/>
        </w:rPr>
        <w:t xml:space="preserve">fficacy of methlyphenidate for treating adult attention-deficit/hyperactivity disorder. </w:t>
      </w:r>
      <w:r w:rsidR="00D66973">
        <w:rPr>
          <w:i/>
          <w:iCs/>
          <w:noProof/>
        </w:rPr>
        <w:t>J Clin Psychopharmacol</w:t>
      </w:r>
      <w:r w:rsidR="00D66973">
        <w:rPr>
          <w:noProof/>
        </w:rPr>
        <w:t>. 2004;24(1):24-29. doi:10.1097/01.jcp.0000108984.11879.95.</w:t>
      </w:r>
    </w:p>
    <w:p w14:paraId="44EAFD42" w14:textId="36EED4D1" w:rsidR="004406B7" w:rsidRPr="007546D5" w:rsidRDefault="001F30C2" w:rsidP="00B05BB1">
      <w:pPr>
        <w:pStyle w:val="EndNoteBibliography"/>
        <w:rPr>
          <w:noProof/>
          <w:lang w:val="pt-BR"/>
        </w:rPr>
      </w:pPr>
      <w:r>
        <w:rPr>
          <w:noProof/>
        </w:rPr>
        <w:t>17</w:t>
      </w:r>
      <w:r w:rsidR="004406B7">
        <w:rPr>
          <w:noProof/>
        </w:rPr>
        <w:t>.</w:t>
      </w:r>
      <w:r w:rsidR="004406B7">
        <w:rPr>
          <w:noProof/>
        </w:rPr>
        <w:tab/>
        <w:t xml:space="preserve">Huss M, Ginsberg Y, Tvedten T, et al. Methylphenidate hydrochloride modified-release in adults with attention deficit hyperactivity disorder: a randomized double-blind placebo-controlled trial. </w:t>
      </w:r>
      <w:r w:rsidR="004406B7" w:rsidRPr="007546D5">
        <w:rPr>
          <w:i/>
          <w:iCs/>
          <w:noProof/>
          <w:lang w:val="pt-BR"/>
        </w:rPr>
        <w:t>Adv Ther</w:t>
      </w:r>
      <w:r w:rsidR="004406B7" w:rsidRPr="007546D5">
        <w:rPr>
          <w:noProof/>
          <w:lang w:val="pt-BR"/>
        </w:rPr>
        <w:t>. 2014;31(1):44-65. doi:10.1007/s12325-013-0085-5.</w:t>
      </w:r>
    </w:p>
    <w:p w14:paraId="20E5BEBD" w14:textId="03672B93" w:rsidR="004406B7" w:rsidRPr="00A217C5" w:rsidRDefault="001F30C2" w:rsidP="00B05BB1">
      <w:pPr>
        <w:pStyle w:val="EndNoteBibliography"/>
        <w:rPr>
          <w:noProof/>
        </w:rPr>
      </w:pPr>
      <w:r>
        <w:rPr>
          <w:noProof/>
          <w:lang w:val="pt-BR"/>
        </w:rPr>
        <w:t>18</w:t>
      </w:r>
      <w:r w:rsidR="004406B7" w:rsidRPr="004406B7">
        <w:rPr>
          <w:noProof/>
          <w:lang w:val="pt-BR"/>
        </w:rPr>
        <w:t>.</w:t>
      </w:r>
      <w:r w:rsidR="004406B7" w:rsidRPr="004406B7">
        <w:rPr>
          <w:noProof/>
          <w:lang w:val="pt-BR"/>
        </w:rPr>
        <w:tab/>
        <w:t>Medori</w:t>
      </w:r>
      <w:r w:rsidR="00A217C5">
        <w:rPr>
          <w:noProof/>
          <w:lang w:val="pt-BR"/>
        </w:rPr>
        <w:t xml:space="preserve"> R, Ramos-Quiroga JA, Casas M, et al. </w:t>
      </w:r>
      <w:r w:rsidR="00A217C5" w:rsidRPr="00A217C5">
        <w:rPr>
          <w:noProof/>
        </w:rPr>
        <w:t>A randomized, placebo-controlled trial of three fixed dosages of prolonged</w:t>
      </w:r>
      <w:r w:rsidR="00A217C5">
        <w:rPr>
          <w:noProof/>
        </w:rPr>
        <w:t xml:space="preserve">-release OROS methylphenidate in adults with attention-deficit/hyperactivity disorder. </w:t>
      </w:r>
      <w:r w:rsidR="00A217C5">
        <w:rPr>
          <w:i/>
          <w:iCs/>
          <w:noProof/>
        </w:rPr>
        <w:t>Biol Psychiatry</w:t>
      </w:r>
      <w:r w:rsidR="00A217C5">
        <w:rPr>
          <w:noProof/>
        </w:rPr>
        <w:t>. 2008;63(10):981-989.</w:t>
      </w:r>
      <w:r w:rsidR="00A217C5" w:rsidRPr="00A217C5">
        <w:rPr>
          <w:noProof/>
        </w:rPr>
        <w:t xml:space="preserve"> </w:t>
      </w:r>
      <w:r w:rsidR="003072AB">
        <w:rPr>
          <w:noProof/>
        </w:rPr>
        <w:t>doi:10.1016/j.biopsych.2007.11.008.</w:t>
      </w:r>
    </w:p>
    <w:p w14:paraId="754AC70A" w14:textId="27FF4B1E" w:rsidR="004406B7" w:rsidRPr="00A217C5" w:rsidRDefault="001F30C2" w:rsidP="00B05BB1">
      <w:pPr>
        <w:pStyle w:val="EndNoteBibliography"/>
        <w:rPr>
          <w:noProof/>
        </w:rPr>
      </w:pPr>
      <w:r>
        <w:rPr>
          <w:noProof/>
        </w:rPr>
        <w:t>19</w:t>
      </w:r>
      <w:r w:rsidR="004406B7" w:rsidRPr="004406B7">
        <w:rPr>
          <w:noProof/>
        </w:rPr>
        <w:t>.</w:t>
      </w:r>
      <w:r w:rsidR="004406B7" w:rsidRPr="004406B7">
        <w:rPr>
          <w:noProof/>
        </w:rPr>
        <w:tab/>
        <w:t>Spencer TJ, Adler LA, McGou</w:t>
      </w:r>
      <w:r w:rsidR="004406B7">
        <w:rPr>
          <w:noProof/>
        </w:rPr>
        <w:t xml:space="preserve">gh </w:t>
      </w:r>
      <w:r w:rsidR="00A217C5">
        <w:rPr>
          <w:noProof/>
        </w:rPr>
        <w:t>J</w:t>
      </w:r>
      <w:r w:rsidR="004406B7">
        <w:rPr>
          <w:noProof/>
        </w:rPr>
        <w:t>J</w:t>
      </w:r>
      <w:r w:rsidR="00A217C5">
        <w:rPr>
          <w:noProof/>
        </w:rPr>
        <w:t xml:space="preserve">, et al. Efficacy and safety of dexmethylphenidate extended-release capsules in adults with attention-deficit/hyperactivity disorder. </w:t>
      </w:r>
      <w:r w:rsidR="00A217C5">
        <w:rPr>
          <w:i/>
          <w:iCs/>
          <w:noProof/>
        </w:rPr>
        <w:t>Biol Psychiatry</w:t>
      </w:r>
      <w:r w:rsidR="00A217C5">
        <w:rPr>
          <w:noProof/>
        </w:rPr>
        <w:t>. 2007;61(12):1380-1387. doi:10.1016/j.biopsych.2006.07.032</w:t>
      </w:r>
    </w:p>
    <w:p w14:paraId="3F7E7FC3" w14:textId="07F197E4" w:rsidR="00652816" w:rsidRPr="0086001D" w:rsidRDefault="003072AB" w:rsidP="00B05BB1">
      <w:pPr>
        <w:pStyle w:val="EndNoteBibliography"/>
        <w:rPr>
          <w:iCs/>
          <w:noProof/>
        </w:rPr>
      </w:pPr>
      <w:r>
        <w:rPr>
          <w:noProof/>
        </w:rPr>
        <w:t>2</w:t>
      </w:r>
      <w:r w:rsidR="001F30C2">
        <w:rPr>
          <w:noProof/>
        </w:rPr>
        <w:t>0</w:t>
      </w:r>
      <w:r>
        <w:rPr>
          <w:noProof/>
        </w:rPr>
        <w:t>.</w:t>
      </w:r>
      <w:r>
        <w:rPr>
          <w:noProof/>
        </w:rPr>
        <w:tab/>
        <w:t xml:space="preserve">Evidence-Baed Medicine Working. Evidence-based medicine. A new approach to teaching the practice of medicine. </w:t>
      </w:r>
      <w:r w:rsidRPr="0086001D">
        <w:rPr>
          <w:i/>
          <w:noProof/>
        </w:rPr>
        <w:t>JAMA</w:t>
      </w:r>
      <w:r w:rsidRPr="0086001D">
        <w:rPr>
          <w:iCs/>
          <w:noProof/>
        </w:rPr>
        <w:t>. 1992;268(17):2420-2425. doi:10.1001/jama.1992.03490170092032.</w:t>
      </w:r>
    </w:p>
    <w:p w14:paraId="14EFCC17" w14:textId="5A5CBF12" w:rsidR="004C359A" w:rsidRPr="0084271B" w:rsidRDefault="004C359A" w:rsidP="00B05BB1">
      <w:pPr>
        <w:pStyle w:val="EndNoteBibliography"/>
        <w:rPr>
          <w:iCs/>
          <w:noProof/>
        </w:rPr>
      </w:pPr>
      <w:r w:rsidRPr="0084271B">
        <w:rPr>
          <w:iCs/>
          <w:noProof/>
        </w:rPr>
        <w:lastRenderedPageBreak/>
        <w:t>2</w:t>
      </w:r>
      <w:r w:rsidR="001F30C2">
        <w:rPr>
          <w:iCs/>
          <w:noProof/>
        </w:rPr>
        <w:t>1</w:t>
      </w:r>
      <w:r w:rsidRPr="0084271B">
        <w:rPr>
          <w:iCs/>
          <w:noProof/>
        </w:rPr>
        <w:t>.</w:t>
      </w:r>
      <w:r w:rsidR="0084271B" w:rsidRPr="0084271B">
        <w:rPr>
          <w:iCs/>
          <w:noProof/>
        </w:rPr>
        <w:tab/>
        <w:t>Furukawa TA, Cipriani A, Cowen PJ, Leucht S, Egg</w:t>
      </w:r>
      <w:r w:rsidR="0084271B">
        <w:rPr>
          <w:iCs/>
          <w:noProof/>
        </w:rPr>
        <w:t xml:space="preserve">er M, Salanti G. Optimal dose of selective serotonin reuptake inhibitors, venlafaxine, and mirtazapine in major depression: a systematic review and dose-response meta-analysis. </w:t>
      </w:r>
      <w:r w:rsidR="0084271B">
        <w:rPr>
          <w:i/>
          <w:noProof/>
        </w:rPr>
        <w:t>Lancet Psychiatry</w:t>
      </w:r>
      <w:r w:rsidR="0084271B">
        <w:rPr>
          <w:iCs/>
          <w:noProof/>
        </w:rPr>
        <w:t>. 2019;6(7):601-609. doi: 10.1016/S2215-0366(19)30217-2.</w:t>
      </w:r>
    </w:p>
    <w:p w14:paraId="6E4EBB2D" w14:textId="331B0D0D" w:rsidR="004C359A" w:rsidRPr="0084271B" w:rsidRDefault="004C359A" w:rsidP="00B05BB1">
      <w:pPr>
        <w:pStyle w:val="EndNoteBibliography"/>
        <w:rPr>
          <w:iCs/>
          <w:noProof/>
        </w:rPr>
      </w:pPr>
      <w:r w:rsidRPr="0084271B">
        <w:rPr>
          <w:iCs/>
          <w:noProof/>
        </w:rPr>
        <w:t>2</w:t>
      </w:r>
      <w:r w:rsidR="001F30C2">
        <w:rPr>
          <w:iCs/>
          <w:noProof/>
        </w:rPr>
        <w:t>2</w:t>
      </w:r>
      <w:r w:rsidRPr="0084271B">
        <w:rPr>
          <w:iCs/>
          <w:noProof/>
        </w:rPr>
        <w:t>.</w:t>
      </w:r>
      <w:r w:rsidR="0084271B">
        <w:rPr>
          <w:iCs/>
          <w:noProof/>
        </w:rPr>
        <w:tab/>
        <w:t xml:space="preserve">Furukawa TA, Salanti G, Cowen PJ, Leucht S, Cipriani A. No benefit from flexible titration above minimum licensed dose in prescribing antidepressants for major depression: a systematic review. </w:t>
      </w:r>
      <w:r w:rsidR="0084271B">
        <w:rPr>
          <w:i/>
          <w:noProof/>
        </w:rPr>
        <w:t>Acta Psychiatr Scand</w:t>
      </w:r>
      <w:r w:rsidR="0084271B">
        <w:rPr>
          <w:iCs/>
          <w:noProof/>
        </w:rPr>
        <w:t>. 2020;141(5):401-409. doi: 10.1111/acps.13145.</w:t>
      </w:r>
    </w:p>
    <w:p w14:paraId="6EC5E982" w14:textId="2FD07AB3" w:rsidR="00F3450F" w:rsidRDefault="00F3450F" w:rsidP="00F3450F">
      <w:pPr>
        <w:pStyle w:val="EndNoteBibliography"/>
        <w:rPr>
          <w:noProof/>
        </w:rPr>
      </w:pPr>
      <w:r w:rsidRPr="004C359A">
        <w:rPr>
          <w:noProof/>
        </w:rPr>
        <w:t>2</w:t>
      </w:r>
      <w:r w:rsidR="001F30C2">
        <w:rPr>
          <w:noProof/>
        </w:rPr>
        <w:t>3</w:t>
      </w:r>
      <w:r w:rsidRPr="004C359A">
        <w:rPr>
          <w:noProof/>
        </w:rPr>
        <w:t>.</w:t>
      </w:r>
      <w:r w:rsidRPr="004C359A">
        <w:rPr>
          <w:noProof/>
        </w:rPr>
        <w:tab/>
        <w:t xml:space="preserve">Farhat LC, Flores JM, Behling E, et al. </w:t>
      </w:r>
      <w:r w:rsidRPr="00B05BB1">
        <w:rPr>
          <w:noProof/>
        </w:rPr>
        <w:t xml:space="preserve">The effects of stimulant dose and dosing strategy on treatment outcomes in attention-deficit/hyperactivity disorder in children and adolescents: a meta-analysis. </w:t>
      </w:r>
      <w:r>
        <w:rPr>
          <w:i/>
          <w:noProof/>
        </w:rPr>
        <w:t>Mol</w:t>
      </w:r>
      <w:r w:rsidRPr="00B05BB1">
        <w:rPr>
          <w:i/>
          <w:noProof/>
        </w:rPr>
        <w:t xml:space="preserve"> Psychiatry</w:t>
      </w:r>
      <w:r w:rsidRPr="00B05BB1">
        <w:rPr>
          <w:noProof/>
        </w:rPr>
        <w:t xml:space="preserve">. 2022;27(3):1562-1572. </w:t>
      </w:r>
      <w:r w:rsidR="002F52BB">
        <w:rPr>
          <w:noProof/>
        </w:rPr>
        <w:t>d</w:t>
      </w:r>
      <w:r w:rsidRPr="00B05BB1">
        <w:rPr>
          <w:noProof/>
        </w:rPr>
        <w:t>oi:10.1038/s41380-021-01391-9</w:t>
      </w:r>
    </w:p>
    <w:p w14:paraId="399C15DD" w14:textId="6BFFE9BC" w:rsidR="00F3450F" w:rsidRPr="00D622A3" w:rsidRDefault="00AE49E7" w:rsidP="00F3450F">
      <w:pPr>
        <w:pStyle w:val="EndNoteBibliography"/>
        <w:rPr>
          <w:noProof/>
        </w:rPr>
      </w:pPr>
      <w:r>
        <w:rPr>
          <w:noProof/>
        </w:rPr>
        <w:t>2</w:t>
      </w:r>
      <w:r w:rsidR="001F30C2">
        <w:rPr>
          <w:noProof/>
        </w:rPr>
        <w:t>4</w:t>
      </w:r>
      <w:r w:rsidR="00F3450F">
        <w:rPr>
          <w:noProof/>
        </w:rPr>
        <w:t>.</w:t>
      </w:r>
      <w:r w:rsidR="00F3450F">
        <w:rPr>
          <w:noProof/>
        </w:rPr>
        <w:tab/>
        <w:t xml:space="preserve">Cipriani A, Higgins JPT, Gedders JR, Salanti G. Conceptual and technical challenges in network meta-analysis. </w:t>
      </w:r>
      <w:r w:rsidR="00F3450F">
        <w:rPr>
          <w:i/>
          <w:iCs/>
          <w:noProof/>
        </w:rPr>
        <w:t>Ann Intern Med</w:t>
      </w:r>
      <w:r w:rsidR="00F3450F">
        <w:rPr>
          <w:noProof/>
        </w:rPr>
        <w:t>. 2013;159(2):130-137. doi:10.7326/0003-4819-159-2-201307160-00008.</w:t>
      </w:r>
    </w:p>
    <w:p w14:paraId="33FFA005" w14:textId="53B6C0CA" w:rsidR="00F3450F" w:rsidRPr="00B05BB1" w:rsidRDefault="00AE49E7" w:rsidP="00F3450F">
      <w:pPr>
        <w:pStyle w:val="EndNoteBibliography"/>
        <w:rPr>
          <w:noProof/>
        </w:rPr>
      </w:pPr>
      <w:r>
        <w:rPr>
          <w:noProof/>
        </w:rPr>
        <w:t>2</w:t>
      </w:r>
      <w:r w:rsidR="001F30C2">
        <w:rPr>
          <w:noProof/>
        </w:rPr>
        <w:t>5</w:t>
      </w:r>
      <w:r w:rsidR="00F3450F" w:rsidRPr="00B05BB1">
        <w:rPr>
          <w:noProof/>
        </w:rPr>
        <w:t>.</w:t>
      </w:r>
      <w:r w:rsidR="00F3450F" w:rsidRPr="00B05BB1">
        <w:rPr>
          <w:noProof/>
        </w:rPr>
        <w:tab/>
        <w:t xml:space="preserve">Higgins JPT, Thomas J, Chandler J, et al. </w:t>
      </w:r>
      <w:r w:rsidR="00F3450F" w:rsidRPr="00B05BB1">
        <w:rPr>
          <w:i/>
          <w:noProof/>
        </w:rPr>
        <w:t>Cochrane Handbook for Systematic Reviews of Interventions version 6.3 (updated February 2022).</w:t>
      </w:r>
      <w:r w:rsidR="00F3450F" w:rsidRPr="00B05BB1">
        <w:rPr>
          <w:noProof/>
        </w:rPr>
        <w:t xml:space="preserve"> 2022.</w:t>
      </w:r>
    </w:p>
    <w:p w14:paraId="70AAA665" w14:textId="250EEA03" w:rsidR="00F3450F" w:rsidRPr="006C3C1B" w:rsidRDefault="00AE49E7" w:rsidP="00F3450F">
      <w:pPr>
        <w:pStyle w:val="EndNoteBibliography"/>
        <w:rPr>
          <w:noProof/>
        </w:rPr>
      </w:pPr>
      <w:r>
        <w:rPr>
          <w:noProof/>
        </w:rPr>
        <w:t>2</w:t>
      </w:r>
      <w:r w:rsidR="001F30C2">
        <w:rPr>
          <w:noProof/>
        </w:rPr>
        <w:t>6</w:t>
      </w:r>
      <w:r w:rsidR="00F3450F" w:rsidRPr="00B05BB1">
        <w:rPr>
          <w:noProof/>
        </w:rPr>
        <w:t>.</w:t>
      </w:r>
      <w:r w:rsidR="00F3450F" w:rsidRPr="00B05BB1">
        <w:rPr>
          <w:noProof/>
        </w:rPr>
        <w:tab/>
        <w:t xml:space="preserve">Page MJ, McKenzie JE, Bossuyt PM, et al. The PRISMA 2020 statement: an updated guideline for reporting systematic reviews. </w:t>
      </w:r>
      <w:r w:rsidR="00F3450F" w:rsidRPr="006C3C1B">
        <w:rPr>
          <w:i/>
          <w:noProof/>
        </w:rPr>
        <w:t>Syst Rev</w:t>
      </w:r>
      <w:r w:rsidR="00F3450F" w:rsidRPr="006C3C1B">
        <w:rPr>
          <w:noProof/>
        </w:rPr>
        <w:t>. 2021;10(1):89. doi:10.1186/s13643-021-01626-4</w:t>
      </w:r>
    </w:p>
    <w:p w14:paraId="35DCA895" w14:textId="48344CC1" w:rsidR="00B05BB1" w:rsidRPr="00B05BB1" w:rsidRDefault="001F30C2" w:rsidP="00B05BB1">
      <w:pPr>
        <w:pStyle w:val="EndNoteBibliography"/>
        <w:rPr>
          <w:noProof/>
        </w:rPr>
      </w:pPr>
      <w:r>
        <w:rPr>
          <w:noProof/>
        </w:rPr>
        <w:t>27</w:t>
      </w:r>
      <w:r w:rsidR="00B05BB1" w:rsidRPr="00B05BB1">
        <w:rPr>
          <w:noProof/>
        </w:rPr>
        <w:t>.</w:t>
      </w:r>
      <w:r w:rsidR="00B05BB1" w:rsidRPr="00B05BB1">
        <w:rPr>
          <w:noProof/>
        </w:rPr>
        <w:tab/>
        <w:t xml:space="preserve">DuPaul GJ, Power TJ, Anastopoulos AD, Reid R. </w:t>
      </w:r>
      <w:r w:rsidR="00B05BB1" w:rsidRPr="00B05BB1">
        <w:rPr>
          <w:i/>
          <w:noProof/>
        </w:rPr>
        <w:t>ADHD Rating Scale—IV: Checklists, norms, and clinical interpretation</w:t>
      </w:r>
      <w:r w:rsidR="00B05BB1" w:rsidRPr="00B05BB1">
        <w:rPr>
          <w:noProof/>
        </w:rPr>
        <w:t>. Guilford press; 1998.</w:t>
      </w:r>
    </w:p>
    <w:p w14:paraId="25CFE539" w14:textId="197175E3" w:rsidR="00B05BB1" w:rsidRPr="00B05BB1" w:rsidRDefault="001F30C2" w:rsidP="00B05BB1">
      <w:pPr>
        <w:pStyle w:val="EndNoteBibliography"/>
        <w:rPr>
          <w:noProof/>
        </w:rPr>
      </w:pPr>
      <w:r>
        <w:rPr>
          <w:noProof/>
        </w:rPr>
        <w:lastRenderedPageBreak/>
        <w:t>28</w:t>
      </w:r>
      <w:r w:rsidR="00B05BB1" w:rsidRPr="00B05BB1">
        <w:rPr>
          <w:noProof/>
        </w:rPr>
        <w:t>.</w:t>
      </w:r>
      <w:r w:rsidR="00B05BB1" w:rsidRPr="00B05BB1">
        <w:rPr>
          <w:noProof/>
        </w:rPr>
        <w:tab/>
        <w:t xml:space="preserve">Conners CK, Erhardt D, Sparrow EP. </w:t>
      </w:r>
      <w:r w:rsidR="00B05BB1" w:rsidRPr="00B05BB1">
        <w:rPr>
          <w:i/>
          <w:noProof/>
        </w:rPr>
        <w:t>Conners' adult ADHD rating scales (CAARS): technical manual</w:t>
      </w:r>
      <w:r w:rsidR="00B05BB1" w:rsidRPr="00B05BB1">
        <w:rPr>
          <w:noProof/>
        </w:rPr>
        <w:t>. Multi-Health Systems North Tonawanda, NY; 1999.</w:t>
      </w:r>
    </w:p>
    <w:p w14:paraId="28BA814C" w14:textId="7361A05E" w:rsidR="00B05BB1" w:rsidRDefault="001F30C2" w:rsidP="00B05BB1">
      <w:pPr>
        <w:pStyle w:val="EndNoteBibliography"/>
        <w:rPr>
          <w:noProof/>
        </w:rPr>
      </w:pPr>
      <w:r>
        <w:rPr>
          <w:noProof/>
        </w:rPr>
        <w:t>29</w:t>
      </w:r>
      <w:r w:rsidR="002F52BB">
        <w:rPr>
          <w:noProof/>
        </w:rPr>
        <w:t>.</w:t>
      </w:r>
      <w:r w:rsidR="00B05BB1" w:rsidRPr="00B05BB1">
        <w:rPr>
          <w:noProof/>
        </w:rPr>
        <w:tab/>
        <w:t xml:space="preserve">Crippa A, Discacciati A, Bottai M, Spiegelman D, Orsini N. One-stage dose-response meta-analysis for aggregated data. </w:t>
      </w:r>
      <w:r w:rsidR="00B05BB1" w:rsidRPr="00B05BB1">
        <w:rPr>
          <w:i/>
          <w:noProof/>
        </w:rPr>
        <w:t>Stat Methods Med Res</w:t>
      </w:r>
      <w:r w:rsidR="00B05BB1" w:rsidRPr="00B05BB1">
        <w:rPr>
          <w:noProof/>
        </w:rPr>
        <w:t>. 2019;28(5):1579-1596. doi:10.1177/0962280218773122</w:t>
      </w:r>
    </w:p>
    <w:p w14:paraId="33951C31" w14:textId="03521B4E" w:rsidR="002F52BB" w:rsidRPr="002F52BB" w:rsidRDefault="002F52BB" w:rsidP="00B05BB1">
      <w:pPr>
        <w:pStyle w:val="EndNoteBibliography"/>
        <w:rPr>
          <w:noProof/>
        </w:rPr>
      </w:pPr>
      <w:r w:rsidRPr="002F52BB">
        <w:rPr>
          <w:noProof/>
        </w:rPr>
        <w:t>3</w:t>
      </w:r>
      <w:r w:rsidR="001F30C2">
        <w:rPr>
          <w:noProof/>
        </w:rPr>
        <w:t>0</w:t>
      </w:r>
      <w:r w:rsidRPr="002F52BB">
        <w:rPr>
          <w:noProof/>
        </w:rPr>
        <w:t>.</w:t>
      </w:r>
      <w:r w:rsidRPr="002F52BB">
        <w:rPr>
          <w:noProof/>
        </w:rPr>
        <w:tab/>
        <w:t xml:space="preserve">Harrell FE. </w:t>
      </w:r>
      <w:r w:rsidRPr="002F52BB">
        <w:rPr>
          <w:i/>
          <w:iCs/>
          <w:noProof/>
        </w:rPr>
        <w:t>Regression Modelling Strategies With Applications to Linear Models, Logistic and Ordinal Regression, and Survival Analysis</w:t>
      </w:r>
      <w:r>
        <w:rPr>
          <w:noProof/>
        </w:rPr>
        <w:t>. Springer International Publishing; 2015. doi:10</w:t>
      </w:r>
      <w:r w:rsidR="000A10DD">
        <w:rPr>
          <w:noProof/>
        </w:rPr>
        <w:t>.1007/978-3-319-19425-7</w:t>
      </w:r>
    </w:p>
    <w:p w14:paraId="12DB5EFB" w14:textId="7FEE3B33" w:rsidR="00B05BB1" w:rsidRDefault="002F52BB" w:rsidP="00B05BB1">
      <w:pPr>
        <w:pStyle w:val="EndNoteBibliography"/>
        <w:rPr>
          <w:noProof/>
        </w:rPr>
      </w:pPr>
      <w:r w:rsidRPr="007546D5">
        <w:rPr>
          <w:noProof/>
        </w:rPr>
        <w:t>3</w:t>
      </w:r>
      <w:r w:rsidR="001F30C2">
        <w:rPr>
          <w:noProof/>
        </w:rPr>
        <w:t>1</w:t>
      </w:r>
      <w:r w:rsidR="00B05BB1" w:rsidRPr="007546D5">
        <w:rPr>
          <w:noProof/>
        </w:rPr>
        <w:t>.</w:t>
      </w:r>
      <w:r w:rsidR="00B05BB1" w:rsidRPr="007546D5">
        <w:rPr>
          <w:noProof/>
        </w:rPr>
        <w:tab/>
        <w:t xml:space="preserve">Crippa A, Orsini N. Multivariate Dose-Response Meta-Analysis: The dosresmeta R Package. </w:t>
      </w:r>
      <w:r w:rsidR="00A915DD">
        <w:rPr>
          <w:i/>
          <w:noProof/>
        </w:rPr>
        <w:t>J Stat Softw</w:t>
      </w:r>
      <w:r w:rsidR="00B05BB1" w:rsidRPr="00B05BB1">
        <w:rPr>
          <w:noProof/>
        </w:rPr>
        <w:t>. 2016;72(1):1-15. doi:10.18637/jss.v072.c01</w:t>
      </w:r>
    </w:p>
    <w:p w14:paraId="17A4A44B" w14:textId="716218C0" w:rsidR="000A10DD" w:rsidRDefault="000A10DD" w:rsidP="00B05BB1">
      <w:pPr>
        <w:pStyle w:val="EndNoteBibliography"/>
        <w:rPr>
          <w:noProof/>
        </w:rPr>
      </w:pPr>
      <w:r>
        <w:rPr>
          <w:noProof/>
        </w:rPr>
        <w:t>3</w:t>
      </w:r>
      <w:r w:rsidR="001F30C2">
        <w:rPr>
          <w:noProof/>
        </w:rPr>
        <w:t>2</w:t>
      </w:r>
      <w:r>
        <w:rPr>
          <w:noProof/>
        </w:rPr>
        <w:t>.</w:t>
      </w:r>
      <w:r w:rsidR="00181FCB">
        <w:rPr>
          <w:noProof/>
        </w:rPr>
        <w:tab/>
        <w:t xml:space="preserve">Crippa A, Orsini N. Dose-response meta-analysis of differences in means. </w:t>
      </w:r>
      <w:r w:rsidR="00181FCB">
        <w:rPr>
          <w:i/>
          <w:iCs/>
          <w:noProof/>
        </w:rPr>
        <w:t>BMC Med Res Methodol</w:t>
      </w:r>
      <w:r w:rsidR="00181FCB">
        <w:rPr>
          <w:noProof/>
        </w:rPr>
        <w:t>. 2016;16:91. doi:10.1186/s12874-016-0189-0.</w:t>
      </w:r>
      <w:r>
        <w:rPr>
          <w:noProof/>
        </w:rPr>
        <w:tab/>
      </w:r>
    </w:p>
    <w:p w14:paraId="60488569" w14:textId="5B5C6D04" w:rsidR="003B5D53" w:rsidRDefault="00F43868" w:rsidP="00B05BB1">
      <w:pPr>
        <w:pStyle w:val="EndNoteBibliography"/>
        <w:rPr>
          <w:noProof/>
        </w:rPr>
      </w:pPr>
      <w:r>
        <w:rPr>
          <w:noProof/>
        </w:rPr>
        <w:t>3</w:t>
      </w:r>
      <w:r w:rsidR="001F30C2">
        <w:rPr>
          <w:noProof/>
        </w:rPr>
        <w:t>3</w:t>
      </w:r>
      <w:r w:rsidR="00A71ABB" w:rsidRPr="00B05BB1">
        <w:rPr>
          <w:noProof/>
        </w:rPr>
        <w:t>.</w:t>
      </w:r>
      <w:r w:rsidR="00A71ABB" w:rsidRPr="00B05BB1">
        <w:rPr>
          <w:noProof/>
        </w:rPr>
        <w:tab/>
        <w:t xml:space="preserve">Schwarzer G, Carpenter JR, Rücker G. Network Meta-Analysis. In: Schwarzer G, Carpenter JR, Rücker G, eds. </w:t>
      </w:r>
      <w:r w:rsidR="00A71ABB" w:rsidRPr="00B05BB1">
        <w:rPr>
          <w:i/>
          <w:noProof/>
        </w:rPr>
        <w:t>Meta-Analysis with R</w:t>
      </w:r>
      <w:r w:rsidR="00A71ABB" w:rsidRPr="002F52BB">
        <w:rPr>
          <w:noProof/>
        </w:rPr>
        <w:t>.</w:t>
      </w:r>
      <w:r w:rsidR="00A71ABB" w:rsidRPr="00B05BB1">
        <w:rPr>
          <w:noProof/>
        </w:rPr>
        <w:t xml:space="preserve"> Springer International Publishing; 2015:187-216.</w:t>
      </w:r>
    </w:p>
    <w:p w14:paraId="7E0D5929" w14:textId="03CF289E" w:rsidR="00B05BB1" w:rsidRPr="00B05BB1" w:rsidRDefault="00F43868" w:rsidP="00B05BB1">
      <w:pPr>
        <w:pStyle w:val="EndNoteBibliography"/>
        <w:rPr>
          <w:noProof/>
        </w:rPr>
      </w:pPr>
      <w:r>
        <w:rPr>
          <w:noProof/>
        </w:rPr>
        <w:t>3</w:t>
      </w:r>
      <w:r w:rsidR="001F30C2">
        <w:rPr>
          <w:noProof/>
        </w:rPr>
        <w:t>4</w:t>
      </w:r>
      <w:r w:rsidR="00B05BB1" w:rsidRPr="00B05BB1">
        <w:rPr>
          <w:noProof/>
        </w:rPr>
        <w:t>.</w:t>
      </w:r>
      <w:r w:rsidR="00B05BB1" w:rsidRPr="00B05BB1">
        <w:rPr>
          <w:noProof/>
        </w:rPr>
        <w:tab/>
        <w:t xml:space="preserve">Rhodes KM, Turner RM, Higgins JP. Predictive distributions were developed for the extent of heterogeneity in meta-analyses of continuous outcome data. </w:t>
      </w:r>
      <w:r w:rsidR="00B05BB1" w:rsidRPr="00B05BB1">
        <w:rPr>
          <w:i/>
          <w:noProof/>
        </w:rPr>
        <w:t>J Clin Epidemiol</w:t>
      </w:r>
      <w:r w:rsidR="00B05BB1" w:rsidRPr="00B05BB1">
        <w:rPr>
          <w:noProof/>
        </w:rPr>
        <w:t>. 2015;68(1):52-60. doi:10.1016/j.jclinepi.2014.08.012</w:t>
      </w:r>
    </w:p>
    <w:p w14:paraId="477620D0" w14:textId="3D55FA09" w:rsidR="00F43868" w:rsidRPr="00B05BB1" w:rsidRDefault="003B5D53" w:rsidP="00B05BB1">
      <w:pPr>
        <w:pStyle w:val="EndNoteBibliography"/>
        <w:rPr>
          <w:noProof/>
        </w:rPr>
      </w:pPr>
      <w:r>
        <w:rPr>
          <w:noProof/>
        </w:rPr>
        <w:t>3</w:t>
      </w:r>
      <w:r w:rsidR="001F30C2">
        <w:rPr>
          <w:noProof/>
        </w:rPr>
        <w:t>5</w:t>
      </w:r>
      <w:r w:rsidR="00B05BB1" w:rsidRPr="00B05BB1">
        <w:rPr>
          <w:noProof/>
        </w:rPr>
        <w:t>.</w:t>
      </w:r>
      <w:r w:rsidR="00B05BB1" w:rsidRPr="00B05BB1">
        <w:rPr>
          <w:noProof/>
        </w:rPr>
        <w:tab/>
        <w:t xml:space="preserve">Turner RM, Davey J, Clarke MJ, Thompson SG, Higgins JPT. Predicting the extent of heterogeneity in meta-analysis, using empirical data from the Cochrane Database of Systematic Reviews. </w:t>
      </w:r>
      <w:r w:rsidR="007351DB">
        <w:rPr>
          <w:i/>
          <w:noProof/>
        </w:rPr>
        <w:t>Int J Epidemiol</w:t>
      </w:r>
      <w:r w:rsidR="00B05BB1" w:rsidRPr="00B05BB1">
        <w:rPr>
          <w:noProof/>
        </w:rPr>
        <w:t>. 2012;41(3):818-827. doi:10.1093/ije/dys041</w:t>
      </w:r>
    </w:p>
    <w:p w14:paraId="65C9F042" w14:textId="2665ED6F" w:rsidR="00B05BB1" w:rsidRPr="00B05BB1" w:rsidRDefault="00770359" w:rsidP="00B05BB1">
      <w:pPr>
        <w:pStyle w:val="EndNoteBibliography"/>
        <w:rPr>
          <w:noProof/>
        </w:rPr>
      </w:pPr>
      <w:r>
        <w:rPr>
          <w:noProof/>
        </w:rPr>
        <w:lastRenderedPageBreak/>
        <w:t>3</w:t>
      </w:r>
      <w:r w:rsidR="001F30C2">
        <w:rPr>
          <w:noProof/>
        </w:rPr>
        <w:t>6</w:t>
      </w:r>
      <w:r w:rsidR="00B05BB1" w:rsidRPr="00B05BB1">
        <w:rPr>
          <w:noProof/>
        </w:rPr>
        <w:t>.</w:t>
      </w:r>
      <w:r w:rsidR="00B05BB1" w:rsidRPr="00B05BB1">
        <w:rPr>
          <w:noProof/>
        </w:rPr>
        <w:tab/>
        <w:t xml:space="preserve">Krahn U, Binder H, König J. A graphical tool for locating inconsistency in network meta-analyses. </w:t>
      </w:r>
      <w:r w:rsidR="00B05BB1" w:rsidRPr="00B05BB1">
        <w:rPr>
          <w:i/>
          <w:noProof/>
        </w:rPr>
        <w:t>BMC Med Res Methodol</w:t>
      </w:r>
      <w:r w:rsidR="00B05BB1" w:rsidRPr="00B05BB1">
        <w:rPr>
          <w:noProof/>
        </w:rPr>
        <w:t>. 2013;13:35. doi:10.1186/1471-2288-13-35</w:t>
      </w:r>
    </w:p>
    <w:p w14:paraId="05630F70" w14:textId="2F527DB6" w:rsidR="00B05BB1" w:rsidRDefault="001F30C2" w:rsidP="00B05BB1">
      <w:pPr>
        <w:pStyle w:val="EndNoteBibliography"/>
        <w:rPr>
          <w:noProof/>
        </w:rPr>
      </w:pPr>
      <w:r>
        <w:rPr>
          <w:noProof/>
        </w:rPr>
        <w:t>37</w:t>
      </w:r>
      <w:r w:rsidR="00B05BB1" w:rsidRPr="00B05BB1">
        <w:rPr>
          <w:noProof/>
        </w:rPr>
        <w:t>.</w:t>
      </w:r>
      <w:r w:rsidR="00B05BB1" w:rsidRPr="00B05BB1">
        <w:rPr>
          <w:noProof/>
        </w:rPr>
        <w:tab/>
        <w:t xml:space="preserve">König J, Krahn U, Binder H. Visualizing the flow of evidence in network meta-analysis and characterizing mixed treatment comparisons. </w:t>
      </w:r>
      <w:r w:rsidR="00B05BB1" w:rsidRPr="00B05BB1">
        <w:rPr>
          <w:i/>
          <w:noProof/>
        </w:rPr>
        <w:t>Stat Med</w:t>
      </w:r>
      <w:r w:rsidR="00B05BB1" w:rsidRPr="00B05BB1">
        <w:rPr>
          <w:noProof/>
        </w:rPr>
        <w:t>. 2013;32(30):5414-</w:t>
      </w:r>
      <w:r w:rsidR="00A915DD">
        <w:rPr>
          <w:noProof/>
        </w:rPr>
        <w:t>54</w:t>
      </w:r>
      <w:r w:rsidR="00B05BB1" w:rsidRPr="00B05BB1">
        <w:rPr>
          <w:noProof/>
        </w:rPr>
        <w:t>29. doi:10.1002/sim.6001</w:t>
      </w:r>
    </w:p>
    <w:p w14:paraId="3E4E9481" w14:textId="0AAD866A" w:rsidR="003B5D53" w:rsidRDefault="001F30C2" w:rsidP="00B05BB1">
      <w:pPr>
        <w:pStyle w:val="EndNoteBibliography"/>
        <w:rPr>
          <w:noProof/>
        </w:rPr>
      </w:pPr>
      <w:r>
        <w:rPr>
          <w:noProof/>
        </w:rPr>
        <w:t>38</w:t>
      </w:r>
      <w:r w:rsidR="003B5D53" w:rsidRPr="00B05BB1">
        <w:rPr>
          <w:noProof/>
        </w:rPr>
        <w:t>.</w:t>
      </w:r>
      <w:r w:rsidR="003B5D53" w:rsidRPr="00B05BB1">
        <w:rPr>
          <w:noProof/>
        </w:rPr>
        <w:tab/>
        <w:t xml:space="preserve">Sterne JAC, Savović J, Page MJ, et al. RoB 2: a revised tool for assessing risk of bias in randomised trials. </w:t>
      </w:r>
      <w:r w:rsidR="003B5D53">
        <w:rPr>
          <w:i/>
          <w:noProof/>
        </w:rPr>
        <w:t>BMJ</w:t>
      </w:r>
      <w:r w:rsidR="003B5D53" w:rsidRPr="00B05BB1">
        <w:rPr>
          <w:noProof/>
        </w:rPr>
        <w:t>. 28 2019;366:l4898. doi:10.1136/bmj.l4898</w:t>
      </w:r>
    </w:p>
    <w:p w14:paraId="7A9E78F0" w14:textId="28A2E5F5" w:rsidR="00F95F9B" w:rsidRPr="00F95F9B" w:rsidRDefault="001F30C2" w:rsidP="00B05BB1">
      <w:pPr>
        <w:pStyle w:val="EndNoteBibliography"/>
        <w:rPr>
          <w:noProof/>
        </w:rPr>
      </w:pPr>
      <w:r>
        <w:rPr>
          <w:noProof/>
        </w:rPr>
        <w:t>39</w:t>
      </w:r>
      <w:r w:rsidR="00F95F9B">
        <w:rPr>
          <w:noProof/>
        </w:rPr>
        <w:t>.</w:t>
      </w:r>
      <w:r w:rsidR="00F95F9B">
        <w:rPr>
          <w:noProof/>
        </w:rPr>
        <w:tab/>
        <w:t xml:space="preserve">Peters JL, Sutton AJ, Jones DR, Abrams KR, Rushton L. Contour-enhanced meta-analysis funnel plots help distinguish publication bias from other causes of assymetry. </w:t>
      </w:r>
      <w:r w:rsidR="00F95F9B">
        <w:rPr>
          <w:i/>
          <w:iCs/>
          <w:noProof/>
        </w:rPr>
        <w:t>J Clin Epidemiol</w:t>
      </w:r>
      <w:r w:rsidR="00F95F9B">
        <w:rPr>
          <w:noProof/>
        </w:rPr>
        <w:t>. 2008;61(10):991-996. doi: 10.1016/j.jclinepi.2007.11.010</w:t>
      </w:r>
    </w:p>
    <w:p w14:paraId="24471810" w14:textId="0C5CA97F" w:rsidR="00B05BB1" w:rsidRDefault="00770359" w:rsidP="00B05BB1">
      <w:pPr>
        <w:pStyle w:val="EndNoteBibliography"/>
        <w:rPr>
          <w:noProof/>
        </w:rPr>
      </w:pPr>
      <w:r>
        <w:rPr>
          <w:noProof/>
        </w:rPr>
        <w:t>4</w:t>
      </w:r>
      <w:r w:rsidR="001F30C2">
        <w:rPr>
          <w:noProof/>
        </w:rPr>
        <w:t>0</w:t>
      </w:r>
      <w:r w:rsidR="00B05BB1" w:rsidRPr="00B05BB1">
        <w:rPr>
          <w:noProof/>
        </w:rPr>
        <w:t>.</w:t>
      </w:r>
      <w:r w:rsidR="00B05BB1" w:rsidRPr="00B05BB1">
        <w:rPr>
          <w:noProof/>
        </w:rPr>
        <w:tab/>
        <w:t xml:space="preserve">Nikolakopoulou A, Higgins JPT, Papakonstantinou T, et al. CINeMA: An approach for assessing confidence in the results of a network meta-analysis. </w:t>
      </w:r>
      <w:r w:rsidR="00B05BB1" w:rsidRPr="00B05BB1">
        <w:rPr>
          <w:i/>
          <w:noProof/>
        </w:rPr>
        <w:t>PLoS Med</w:t>
      </w:r>
      <w:r w:rsidR="00B05BB1" w:rsidRPr="00B05BB1">
        <w:rPr>
          <w:noProof/>
        </w:rPr>
        <w:t>. 2020;17(4):e1003082. doi:10.1371/journal.pmed.1003082</w:t>
      </w:r>
    </w:p>
    <w:p w14:paraId="34FA8C41" w14:textId="59DF172C" w:rsidR="00770359" w:rsidRPr="00770359" w:rsidRDefault="00770359" w:rsidP="00B05BB1">
      <w:pPr>
        <w:pStyle w:val="EndNoteBibliography"/>
        <w:rPr>
          <w:noProof/>
        </w:rPr>
      </w:pPr>
      <w:r w:rsidRPr="00770359">
        <w:rPr>
          <w:noProof/>
        </w:rPr>
        <w:t>4</w:t>
      </w:r>
      <w:r w:rsidR="001F30C2">
        <w:rPr>
          <w:noProof/>
        </w:rPr>
        <w:t>1</w:t>
      </w:r>
      <w:r w:rsidRPr="00770359">
        <w:rPr>
          <w:noProof/>
        </w:rPr>
        <w:t>.</w:t>
      </w:r>
      <w:r w:rsidRPr="00770359">
        <w:rPr>
          <w:noProof/>
        </w:rPr>
        <w:tab/>
        <w:t>Papakonstantinou T, Nikolakopoulou A, Higgins JPT, Egger M, Salanti G. CINeMA: Software for semiautomated assessment of the con</w:t>
      </w:r>
      <w:r>
        <w:rPr>
          <w:noProof/>
        </w:rPr>
        <w:t xml:space="preserve">fidence in the results of network meta-analysis. </w:t>
      </w:r>
      <w:r>
        <w:rPr>
          <w:i/>
          <w:iCs/>
          <w:noProof/>
        </w:rPr>
        <w:t>Campbell Syst Rev</w:t>
      </w:r>
      <w:r>
        <w:rPr>
          <w:noProof/>
        </w:rPr>
        <w:t>. 2020;16(1):e1080. doi:10.1002/cl2.1080.</w:t>
      </w:r>
    </w:p>
    <w:p w14:paraId="48BFB6C5" w14:textId="5E88C900" w:rsidR="00B05BB1" w:rsidRPr="00B05BB1" w:rsidRDefault="00770359" w:rsidP="00B05BB1">
      <w:pPr>
        <w:pStyle w:val="EndNoteBibliography"/>
        <w:rPr>
          <w:noProof/>
        </w:rPr>
      </w:pPr>
      <w:r>
        <w:rPr>
          <w:noProof/>
        </w:rPr>
        <w:t>4</w:t>
      </w:r>
      <w:r w:rsidR="001F30C2">
        <w:rPr>
          <w:noProof/>
        </w:rPr>
        <w:t>2</w:t>
      </w:r>
      <w:r w:rsidR="00B05BB1" w:rsidRPr="00B05BB1">
        <w:rPr>
          <w:noProof/>
        </w:rPr>
        <w:t>.</w:t>
      </w:r>
      <w:r w:rsidR="00B05BB1" w:rsidRPr="00B05BB1">
        <w:rPr>
          <w:noProof/>
        </w:rPr>
        <w:tab/>
        <w:t xml:space="preserve">Balduzzi S, Rücker G, Schwarzer G. How to perform a meta-analysis with R: a practical tutorial. </w:t>
      </w:r>
      <w:r w:rsidR="00B05BB1" w:rsidRPr="00B05BB1">
        <w:rPr>
          <w:i/>
          <w:noProof/>
        </w:rPr>
        <w:t>Evid Based Ment Health</w:t>
      </w:r>
      <w:r w:rsidR="00B05BB1" w:rsidRPr="00B05BB1">
        <w:rPr>
          <w:noProof/>
        </w:rPr>
        <w:t>. 2019;22(4):153-160. doi:10.1136/ebmental-2019-300117</w:t>
      </w:r>
    </w:p>
    <w:p w14:paraId="3DA8A1CE" w14:textId="4093F2EC" w:rsidR="00B05BB1" w:rsidRDefault="00770359" w:rsidP="00B05BB1">
      <w:pPr>
        <w:pStyle w:val="EndNoteBibliography"/>
        <w:rPr>
          <w:noProof/>
        </w:rPr>
      </w:pPr>
      <w:r>
        <w:rPr>
          <w:noProof/>
        </w:rPr>
        <w:t>4</w:t>
      </w:r>
      <w:r w:rsidR="001F30C2">
        <w:rPr>
          <w:noProof/>
        </w:rPr>
        <w:t>3</w:t>
      </w:r>
      <w:r w:rsidR="00B05BB1" w:rsidRPr="00B05BB1">
        <w:rPr>
          <w:noProof/>
        </w:rPr>
        <w:t>.</w:t>
      </w:r>
      <w:r w:rsidR="00B05BB1" w:rsidRPr="00B05BB1">
        <w:rPr>
          <w:noProof/>
        </w:rPr>
        <w:tab/>
        <w:t xml:space="preserve">Balduzzi S, Rücker G, Nikolakopoulou A, et al. netmeta: An R Package for Network Meta-Analysis Using Frequentist Methods. </w:t>
      </w:r>
      <w:r w:rsidR="00A915DD">
        <w:rPr>
          <w:i/>
          <w:noProof/>
        </w:rPr>
        <w:t>J Stat Softw</w:t>
      </w:r>
      <w:r w:rsidR="00B05BB1" w:rsidRPr="00B05BB1">
        <w:rPr>
          <w:noProof/>
        </w:rPr>
        <w:t>. 2023;106(2):1-40. doi:10.18637/jss.v106.i02</w:t>
      </w:r>
    </w:p>
    <w:p w14:paraId="1C244FAD" w14:textId="06DB0D1F" w:rsidR="00A40E81" w:rsidRDefault="00A40E81" w:rsidP="00A40E81">
      <w:pPr>
        <w:pStyle w:val="EndNoteBibliography"/>
        <w:rPr>
          <w:noProof/>
        </w:rPr>
      </w:pPr>
      <w:r w:rsidRPr="00952C37">
        <w:rPr>
          <w:noProof/>
        </w:rPr>
        <w:lastRenderedPageBreak/>
        <w:t>44.</w:t>
      </w:r>
      <w:r w:rsidRPr="00952C37">
        <w:rPr>
          <w:noProof/>
        </w:rPr>
        <w:tab/>
        <w:t xml:space="preserve">Buitelaar J, Bölte S, Brandeis D, et al. </w:t>
      </w:r>
      <w:r w:rsidRPr="00274A22">
        <w:rPr>
          <w:noProof/>
        </w:rPr>
        <w:t xml:space="preserve">Toward Precision Medicine in ADHD. </w:t>
      </w:r>
      <w:r>
        <w:rPr>
          <w:i/>
          <w:iCs/>
          <w:noProof/>
        </w:rPr>
        <w:t>Front Behav Neurosci</w:t>
      </w:r>
      <w:r>
        <w:rPr>
          <w:noProof/>
        </w:rPr>
        <w:t>. 2022;16:900981. doi:10.3389/fnbeh.2022.900981.</w:t>
      </w:r>
    </w:p>
    <w:p w14:paraId="6C8FC26A" w14:textId="1C931962" w:rsidR="00A40E81" w:rsidRDefault="00A40E81" w:rsidP="00A40E81">
      <w:pPr>
        <w:pStyle w:val="EndNoteBibliography"/>
        <w:rPr>
          <w:noProof/>
        </w:rPr>
      </w:pPr>
      <w:r>
        <w:rPr>
          <w:noProof/>
        </w:rPr>
        <w:t>45</w:t>
      </w:r>
      <w:r w:rsidRPr="00B05BB1">
        <w:rPr>
          <w:noProof/>
        </w:rPr>
        <w:t>.</w:t>
      </w:r>
      <w:r w:rsidRPr="00B05BB1">
        <w:rPr>
          <w:noProof/>
        </w:rPr>
        <w:tab/>
        <w:t xml:space="preserve">Goodman D, Faraone SV, Adler LA, Dirks B, Hamdani M, Weisler R. Interpreting ADHD rating scale scores: linking ADHD rating scale scores and CGI levels in two randomized controlled trials of lisdexamfetamine dimesylate in ADHD. </w:t>
      </w:r>
      <w:r>
        <w:rPr>
          <w:i/>
          <w:noProof/>
        </w:rPr>
        <w:t>Prim</w:t>
      </w:r>
      <w:r w:rsidRPr="00B05BB1">
        <w:rPr>
          <w:i/>
          <w:noProof/>
        </w:rPr>
        <w:t xml:space="preserve"> Psychiatry</w:t>
      </w:r>
      <w:r w:rsidRPr="00B05BB1">
        <w:rPr>
          <w:noProof/>
        </w:rPr>
        <w:t>. 2010;17(3):44.</w:t>
      </w:r>
    </w:p>
    <w:p w14:paraId="35978B0D" w14:textId="52418424" w:rsidR="00770359" w:rsidRDefault="00FB1878" w:rsidP="00FB1878">
      <w:pPr>
        <w:pStyle w:val="EndNoteBibliography"/>
        <w:rPr>
          <w:noProof/>
        </w:rPr>
      </w:pPr>
      <w:r>
        <w:rPr>
          <w:noProof/>
        </w:rPr>
        <w:t>4</w:t>
      </w:r>
      <w:r w:rsidR="00A40E81">
        <w:rPr>
          <w:noProof/>
        </w:rPr>
        <w:t>6</w:t>
      </w:r>
      <w:r>
        <w:rPr>
          <w:noProof/>
        </w:rPr>
        <w:t>.</w:t>
      </w:r>
      <w:r>
        <w:rPr>
          <w:noProof/>
        </w:rPr>
        <w:tab/>
        <w:t xml:space="preserve">Spencer T, Biederman J, Wilens T, Harding M, O’Donnell D, Griffin S. Pharmacotherapy of attention-deficit hyperactivity disorder across the life cycle. </w:t>
      </w:r>
      <w:r>
        <w:rPr>
          <w:i/>
          <w:iCs/>
          <w:noProof/>
        </w:rPr>
        <w:t>J Am Acad Child Adolesc Psychiatry</w:t>
      </w:r>
      <w:r>
        <w:rPr>
          <w:noProof/>
        </w:rPr>
        <w:t>. 1996;35(4):409-432. doi:10.1097/00004583-199604000-00008</w:t>
      </w:r>
      <w:r>
        <w:rPr>
          <w:noProof/>
        </w:rPr>
        <w:tab/>
      </w:r>
      <w:r>
        <w:rPr>
          <w:noProof/>
        </w:rPr>
        <w:tab/>
      </w:r>
    </w:p>
    <w:p w14:paraId="7D6401B7" w14:textId="3677341E" w:rsidR="00A40E81" w:rsidDel="00F63090" w:rsidRDefault="00A40E81" w:rsidP="00A40E81">
      <w:pPr>
        <w:pStyle w:val="EndNoteBibliography"/>
        <w:rPr>
          <w:noProof/>
        </w:rPr>
      </w:pPr>
      <w:r>
        <w:rPr>
          <w:noProof/>
        </w:rPr>
        <w:t>47</w:t>
      </w:r>
      <w:r w:rsidDel="00F63090">
        <w:rPr>
          <w:noProof/>
        </w:rPr>
        <w:t>.</w:t>
      </w:r>
      <w:r w:rsidDel="00F63090">
        <w:rPr>
          <w:noProof/>
        </w:rPr>
        <w:tab/>
        <w:t xml:space="preserve">Asherson P, Manor I, Huss M. Attention-deficit/hyperactivity disorder in adults: update on clinical presentation and care. </w:t>
      </w:r>
      <w:r w:rsidDel="00F63090">
        <w:rPr>
          <w:i/>
          <w:iCs/>
          <w:noProof/>
        </w:rPr>
        <w:t>Neuropsychiatry</w:t>
      </w:r>
      <w:r w:rsidDel="00F63090">
        <w:rPr>
          <w:noProof/>
        </w:rPr>
        <w:t>. 2014;4(1):109-128.</w:t>
      </w:r>
    </w:p>
    <w:p w14:paraId="62F2D9A0" w14:textId="12BEA4A4" w:rsidR="00A40E81" w:rsidRPr="00B05BB1" w:rsidDel="00F63090" w:rsidRDefault="00A40E81" w:rsidP="00A40E81">
      <w:pPr>
        <w:pStyle w:val="EndNoteBibliography"/>
        <w:rPr>
          <w:noProof/>
        </w:rPr>
      </w:pPr>
      <w:r>
        <w:rPr>
          <w:noProof/>
        </w:rPr>
        <w:t>48</w:t>
      </w:r>
      <w:r w:rsidRPr="00B05BB1" w:rsidDel="00F63090">
        <w:rPr>
          <w:noProof/>
        </w:rPr>
        <w:t>.</w:t>
      </w:r>
      <w:r w:rsidRPr="00B05BB1" w:rsidDel="00F63090">
        <w:rPr>
          <w:noProof/>
        </w:rPr>
        <w:tab/>
        <w:t xml:space="preserve">Zhang L, Lagerberg T, Chen Q, et al. Prediction of treatment dosage and duration from free-text prescriptions: an application to ADHD medications in the Swedish prescribed drug register. </w:t>
      </w:r>
      <w:r w:rsidRPr="00B05BB1" w:rsidDel="00F63090">
        <w:rPr>
          <w:i/>
          <w:noProof/>
        </w:rPr>
        <w:t>Evid Based Ment Health</w:t>
      </w:r>
      <w:r w:rsidRPr="00B05BB1" w:rsidDel="00F63090">
        <w:rPr>
          <w:noProof/>
        </w:rPr>
        <w:t xml:space="preserve">. 2021;24(4):146-152. </w:t>
      </w:r>
      <w:r w:rsidDel="00F63090">
        <w:rPr>
          <w:noProof/>
        </w:rPr>
        <w:t>d</w:t>
      </w:r>
      <w:r w:rsidRPr="00B05BB1" w:rsidDel="00F63090">
        <w:rPr>
          <w:noProof/>
        </w:rPr>
        <w:t>oi:10.1136/ebmental-2020-300231</w:t>
      </w:r>
    </w:p>
    <w:p w14:paraId="75839A90" w14:textId="36BED56F" w:rsidR="00A40E81" w:rsidRPr="00B05BB1" w:rsidDel="00F63090" w:rsidRDefault="00A40E81" w:rsidP="00A40E81">
      <w:pPr>
        <w:pStyle w:val="EndNoteBibliography"/>
        <w:rPr>
          <w:noProof/>
        </w:rPr>
      </w:pPr>
      <w:r w:rsidDel="00F63090">
        <w:rPr>
          <w:noProof/>
        </w:rPr>
        <w:t>4</w:t>
      </w:r>
      <w:r>
        <w:rPr>
          <w:noProof/>
        </w:rPr>
        <w:t>9</w:t>
      </w:r>
      <w:r w:rsidRPr="00B05BB1" w:rsidDel="00F63090">
        <w:rPr>
          <w:noProof/>
        </w:rPr>
        <w:t>.</w:t>
      </w:r>
      <w:r w:rsidRPr="00B05BB1" w:rsidDel="00F63090">
        <w:rPr>
          <w:noProof/>
        </w:rPr>
        <w:tab/>
        <w:t xml:space="preserve">Olfson M, Marcus SC, Zhang HF, Wan GJ. Stimulant dosing in the community treatment of adult attention-deficit/hyperactivity disorder. </w:t>
      </w:r>
      <w:r w:rsidRPr="00B05BB1" w:rsidDel="00F63090">
        <w:rPr>
          <w:i/>
          <w:noProof/>
        </w:rPr>
        <w:t>J Clin Psychopharmacol</w:t>
      </w:r>
      <w:r w:rsidRPr="00B05BB1" w:rsidDel="00F63090">
        <w:rPr>
          <w:noProof/>
        </w:rPr>
        <w:t>. 2008;28(2):255-</w:t>
      </w:r>
      <w:r w:rsidDel="00F63090">
        <w:rPr>
          <w:noProof/>
        </w:rPr>
        <w:t>25</w:t>
      </w:r>
      <w:r w:rsidRPr="00B05BB1" w:rsidDel="00F63090">
        <w:rPr>
          <w:noProof/>
        </w:rPr>
        <w:t xml:space="preserve">7. </w:t>
      </w:r>
      <w:r w:rsidDel="00F63090">
        <w:rPr>
          <w:noProof/>
        </w:rPr>
        <w:t>d</w:t>
      </w:r>
      <w:r w:rsidRPr="00B05BB1" w:rsidDel="00F63090">
        <w:rPr>
          <w:noProof/>
        </w:rPr>
        <w:t>oi:10.1097/JCP.0b013e31816740be</w:t>
      </w:r>
    </w:p>
    <w:p w14:paraId="559C6BAB" w14:textId="24F596C4" w:rsidR="00770359" w:rsidRPr="00DF5924" w:rsidRDefault="004C359A" w:rsidP="00B05BB1">
      <w:pPr>
        <w:pStyle w:val="EndNoteBibliography"/>
        <w:rPr>
          <w:noProof/>
        </w:rPr>
      </w:pPr>
      <w:r>
        <w:rPr>
          <w:noProof/>
        </w:rPr>
        <w:t>50</w:t>
      </w:r>
      <w:r w:rsidR="007546D5">
        <w:rPr>
          <w:noProof/>
        </w:rPr>
        <w:t>.</w:t>
      </w:r>
      <w:r w:rsidR="007546D5" w:rsidRPr="007546D5">
        <w:t xml:space="preserve"> </w:t>
      </w:r>
      <w:r w:rsidR="007546D5">
        <w:tab/>
      </w:r>
      <w:r w:rsidR="00DF5924">
        <w:t xml:space="preserve">Rapport MD, </w:t>
      </w:r>
      <w:proofErr w:type="spellStart"/>
      <w:r w:rsidR="00DF5924">
        <w:t>DuPaul</w:t>
      </w:r>
      <w:proofErr w:type="spellEnd"/>
      <w:r w:rsidR="00DF5924">
        <w:t xml:space="preserve"> GJ, Kelly KL. Attention deficit hyperactivity disorder and methylphenidate: the relationship between gross body weight and drug response in children. </w:t>
      </w:r>
      <w:proofErr w:type="spellStart"/>
      <w:r w:rsidR="00DF5924">
        <w:rPr>
          <w:i/>
          <w:iCs/>
        </w:rPr>
        <w:t>Psychopharmacol</w:t>
      </w:r>
      <w:proofErr w:type="spellEnd"/>
      <w:r w:rsidR="00DF5924">
        <w:rPr>
          <w:i/>
          <w:iCs/>
        </w:rPr>
        <w:t xml:space="preserve"> Bull</w:t>
      </w:r>
      <w:r w:rsidR="00DF5924">
        <w:t>. 1989;25(2):285-290.</w:t>
      </w:r>
    </w:p>
    <w:p w14:paraId="05E46241" w14:textId="69444445" w:rsidR="007546D5" w:rsidRDefault="004C359A" w:rsidP="007546D5">
      <w:pPr>
        <w:pStyle w:val="EndNoteBibliography"/>
        <w:rPr>
          <w:noProof/>
        </w:rPr>
      </w:pPr>
      <w:r>
        <w:rPr>
          <w:noProof/>
        </w:rPr>
        <w:lastRenderedPageBreak/>
        <w:t>51</w:t>
      </w:r>
      <w:r w:rsidR="007546D5" w:rsidRPr="00BF0F16">
        <w:rPr>
          <w:noProof/>
        </w:rPr>
        <w:t>.</w:t>
      </w:r>
      <w:r w:rsidR="007546D5" w:rsidRPr="00BF0F16">
        <w:rPr>
          <w:noProof/>
        </w:rPr>
        <w:tab/>
      </w:r>
      <w:r w:rsidR="007546D5" w:rsidRPr="00BF0F16">
        <w:t xml:space="preserve">Cipriani A, Furukawa TA, Salanti G, et al. </w:t>
      </w:r>
      <w:r w:rsidR="007546D5" w:rsidRPr="00C26C70">
        <w:t xml:space="preserve">Comparative </w:t>
      </w:r>
      <w:proofErr w:type="gramStart"/>
      <w:r w:rsidR="007546D5" w:rsidRPr="00C26C70">
        <w:t>efficacy</w:t>
      </w:r>
      <w:proofErr w:type="gramEnd"/>
      <w:r w:rsidR="007546D5" w:rsidRPr="00C26C70">
        <w:t xml:space="preserve"> and acceptability of 21 antidepressant drugs for the acute treatment of adults with major depressive disorder: a systematic review and network meta-analysis.</w:t>
      </w:r>
      <w:r w:rsidR="007546D5">
        <w:rPr>
          <w:i/>
          <w:iCs/>
        </w:rPr>
        <w:t xml:space="preserve"> Lancet</w:t>
      </w:r>
      <w:r w:rsidR="007546D5">
        <w:t xml:space="preserve">. 2018;391(10128):1357-1366. </w:t>
      </w:r>
      <w:proofErr w:type="spellStart"/>
      <w:r w:rsidR="007546D5">
        <w:t>doi</w:t>
      </w:r>
      <w:proofErr w:type="spellEnd"/>
      <w:r w:rsidR="007546D5">
        <w:t>: 10.1016/S0140-6736(17)32802-7</w:t>
      </w:r>
      <w:r w:rsidR="00032E1E">
        <w:t>.</w:t>
      </w:r>
    </w:p>
    <w:p w14:paraId="597B27DA" w14:textId="4C4F5E9A" w:rsidR="00247F75" w:rsidRDefault="007546D5" w:rsidP="00B05BB1">
      <w:pPr>
        <w:pStyle w:val="EndNoteBibliography"/>
        <w:rPr>
          <w:noProof/>
        </w:rPr>
      </w:pPr>
      <w:r>
        <w:rPr>
          <w:noProof/>
        </w:rPr>
        <w:t>5</w:t>
      </w:r>
      <w:r w:rsidR="004C359A">
        <w:rPr>
          <w:noProof/>
        </w:rPr>
        <w:t>2</w:t>
      </w:r>
      <w:r w:rsidR="00BC5B40">
        <w:rPr>
          <w:noProof/>
        </w:rPr>
        <w:t>.</w:t>
      </w:r>
      <w:r w:rsidR="00F50F92">
        <w:rPr>
          <w:noProof/>
        </w:rPr>
        <w:tab/>
      </w:r>
      <w:r w:rsidR="00247F75">
        <w:rPr>
          <w:noProof/>
        </w:rPr>
        <w:t xml:space="preserve">Weisler RH. Review of long-acting stimulants in the treatment of attention-deficit/hyperactivity disorder. </w:t>
      </w:r>
      <w:r w:rsidR="00247F75">
        <w:rPr>
          <w:i/>
          <w:iCs/>
          <w:noProof/>
        </w:rPr>
        <w:t>Expert Opin Phamacother</w:t>
      </w:r>
      <w:r w:rsidR="00247F75">
        <w:rPr>
          <w:noProof/>
        </w:rPr>
        <w:t>. 2007;8(6):745-758. doi:10.1517/14656566.8.6.745</w:t>
      </w:r>
      <w:r w:rsidR="00032E1E">
        <w:rPr>
          <w:noProof/>
        </w:rPr>
        <w:t>.</w:t>
      </w:r>
    </w:p>
    <w:p w14:paraId="42B2AC5B" w14:textId="711717F3" w:rsidR="00247F75" w:rsidRDefault="00BC5B40" w:rsidP="00B05BB1">
      <w:pPr>
        <w:pStyle w:val="EndNoteBibliography"/>
        <w:rPr>
          <w:noProof/>
        </w:rPr>
      </w:pPr>
      <w:r>
        <w:rPr>
          <w:noProof/>
        </w:rPr>
        <w:t>5</w:t>
      </w:r>
      <w:r w:rsidR="004C359A">
        <w:rPr>
          <w:noProof/>
        </w:rPr>
        <w:t>3</w:t>
      </w:r>
      <w:r w:rsidR="00247F75">
        <w:rPr>
          <w:noProof/>
        </w:rPr>
        <w:t>.</w:t>
      </w:r>
      <w:r w:rsidR="00247F75">
        <w:rPr>
          <w:noProof/>
        </w:rPr>
        <w:tab/>
        <w:t xml:space="preserve">López FA, Leroux JR. Long-acting stimulants for the treatment of attention-deficit/hyperactivity disorder: a focus on extended-release formulations and the prodrug lisdexamfetamine dymesulate to address continuing clinical challenges. </w:t>
      </w:r>
      <w:r w:rsidR="00247F75">
        <w:rPr>
          <w:i/>
          <w:iCs/>
          <w:noProof/>
        </w:rPr>
        <w:t>Atten Defic Hyperact Disord</w:t>
      </w:r>
      <w:r w:rsidR="00247F75">
        <w:rPr>
          <w:noProof/>
        </w:rPr>
        <w:t>. 2013;5(3):249-265. doi: 10.1007/s12402-013-0106-x</w:t>
      </w:r>
      <w:r w:rsidR="00032E1E">
        <w:rPr>
          <w:noProof/>
        </w:rPr>
        <w:t>.</w:t>
      </w:r>
    </w:p>
    <w:p w14:paraId="58A05E82" w14:textId="24C64CCB" w:rsidR="00714E65" w:rsidRDefault="00714E65" w:rsidP="00032E1E">
      <w:pPr>
        <w:pStyle w:val="EndNoteBibliography"/>
        <w:rPr>
          <w:noProof/>
          <w:lang w:val="pt-BR"/>
        </w:rPr>
      </w:pPr>
      <w:r>
        <w:rPr>
          <w:noProof/>
        </w:rPr>
        <w:t>54.</w:t>
      </w:r>
      <w:r>
        <w:rPr>
          <w:noProof/>
        </w:rPr>
        <w:tab/>
        <w:t xml:space="preserve">Swanson JM, Wigal SB, Wigal T, et al. A comparison of Once-Daily Extended-Release Methylphenidate Formulations in Children with Attention-Decit/Hyperactivity Disorder in the Laboratory School (The Comacs study). </w:t>
      </w:r>
      <w:r w:rsidRPr="003D724F">
        <w:rPr>
          <w:i/>
          <w:iCs/>
          <w:noProof/>
          <w:lang w:val="pt-BR"/>
        </w:rPr>
        <w:t>Pediatrics</w:t>
      </w:r>
      <w:r w:rsidRPr="003D724F">
        <w:rPr>
          <w:noProof/>
          <w:lang w:val="pt-BR"/>
        </w:rPr>
        <w:t>. 2004;113(3):e</w:t>
      </w:r>
      <w:r>
        <w:rPr>
          <w:noProof/>
          <w:lang w:val="pt-BR"/>
        </w:rPr>
        <w:t>206-2016. doi: 10.1542/peds.113.3.e206</w:t>
      </w:r>
    </w:p>
    <w:p w14:paraId="3F69DDA4" w14:textId="7D8A19B2" w:rsidR="00236F49" w:rsidRDefault="00236F49" w:rsidP="00236F49">
      <w:pPr>
        <w:pStyle w:val="EndNoteBibliography"/>
        <w:rPr>
          <w:noProof/>
        </w:rPr>
      </w:pPr>
      <w:r w:rsidRPr="00952C37">
        <w:rPr>
          <w:noProof/>
          <w:lang w:val="pt-BR"/>
        </w:rPr>
        <w:t>55.</w:t>
      </w:r>
      <w:r w:rsidRPr="00952C37">
        <w:rPr>
          <w:noProof/>
          <w:lang w:val="pt-BR"/>
        </w:rPr>
        <w:tab/>
        <w:t xml:space="preserve">Heal DJ, Smith SL, Gosden J, Nutt DJ. </w:t>
      </w:r>
      <w:r>
        <w:rPr>
          <w:noProof/>
        </w:rPr>
        <w:t xml:space="preserve">Amphetamine, past and present – a pharmacological and clinical perspective. </w:t>
      </w:r>
      <w:r>
        <w:rPr>
          <w:i/>
          <w:iCs/>
          <w:noProof/>
        </w:rPr>
        <w:t>J Psychopharmacol</w:t>
      </w:r>
      <w:r>
        <w:rPr>
          <w:noProof/>
        </w:rPr>
        <w:t>. 2013;27(6):479-496. doi: 10.1177/0269881113482532</w:t>
      </w:r>
    </w:p>
    <w:p w14:paraId="5B68B6F1" w14:textId="36576474" w:rsidR="00236F49" w:rsidRPr="00F2785C" w:rsidRDefault="00236F49" w:rsidP="00236F49">
      <w:pPr>
        <w:pStyle w:val="EndNoteBibliography"/>
        <w:rPr>
          <w:noProof/>
        </w:rPr>
      </w:pPr>
      <w:r>
        <w:rPr>
          <w:noProof/>
        </w:rPr>
        <w:t>56.</w:t>
      </w:r>
      <w:r>
        <w:rPr>
          <w:noProof/>
        </w:rPr>
        <w:tab/>
        <w:t xml:space="preserve">Caye A, Swanson J, Coghill D, Rohde LA. Treatment strategies for ADHD: an evidence-based guide to select optimal treatment. </w:t>
      </w:r>
      <w:r>
        <w:rPr>
          <w:i/>
          <w:iCs/>
          <w:noProof/>
        </w:rPr>
        <w:t>Mol Psychiatry</w:t>
      </w:r>
      <w:r>
        <w:rPr>
          <w:noProof/>
        </w:rPr>
        <w:t>. 2019;24(3):390-408. doi: 10.1038/s41380-018-0116-3</w:t>
      </w:r>
    </w:p>
    <w:p w14:paraId="7D0ADC1D" w14:textId="0F546C90" w:rsidR="00B7608B" w:rsidRPr="003D724F" w:rsidRDefault="00B7608B" w:rsidP="00032E1E">
      <w:pPr>
        <w:pStyle w:val="EndNoteBibliography"/>
        <w:rPr>
          <w:noProof/>
        </w:rPr>
      </w:pPr>
      <w:r w:rsidRPr="003D724F">
        <w:rPr>
          <w:noProof/>
        </w:rPr>
        <w:t>5</w:t>
      </w:r>
      <w:r w:rsidR="00236F49">
        <w:rPr>
          <w:noProof/>
        </w:rPr>
        <w:t>7</w:t>
      </w:r>
      <w:r w:rsidRPr="003D724F">
        <w:rPr>
          <w:noProof/>
        </w:rPr>
        <w:t>.</w:t>
      </w:r>
      <w:r w:rsidR="00A3081B">
        <w:rPr>
          <w:noProof/>
        </w:rPr>
        <w:tab/>
        <w:t xml:space="preserve">Swanson JM, Arnold LE, Molina BSG, et al. Young adult outcomes in the follow-up of the multimodal treatment study of attention-deficit/hyperactivity disorder: symptom </w:t>
      </w:r>
      <w:r w:rsidR="00A3081B">
        <w:rPr>
          <w:noProof/>
        </w:rPr>
        <w:lastRenderedPageBreak/>
        <w:t>persistence, source discrepancy, and height sup</w:t>
      </w:r>
      <w:r w:rsidR="00336461">
        <w:rPr>
          <w:noProof/>
        </w:rPr>
        <w:t>p</w:t>
      </w:r>
      <w:r w:rsidR="00A3081B">
        <w:rPr>
          <w:noProof/>
        </w:rPr>
        <w:t>res</w:t>
      </w:r>
      <w:r w:rsidR="00336461">
        <w:rPr>
          <w:noProof/>
        </w:rPr>
        <w:t>s</w:t>
      </w:r>
      <w:r w:rsidR="00A3081B">
        <w:rPr>
          <w:noProof/>
        </w:rPr>
        <w:t xml:space="preserve">ion. </w:t>
      </w:r>
      <w:r w:rsidR="00A3081B">
        <w:rPr>
          <w:i/>
          <w:iCs/>
          <w:noProof/>
        </w:rPr>
        <w:t>J Child Psychol Psychiatry</w:t>
      </w:r>
      <w:r w:rsidR="00A3081B">
        <w:rPr>
          <w:noProof/>
        </w:rPr>
        <w:t>. 2017;58(6):663-678. doi: 10.1111/jcpp.12684.</w:t>
      </w:r>
    </w:p>
    <w:p w14:paraId="2A7C3D86" w14:textId="29E03DE1" w:rsidR="00B7608B" w:rsidRPr="003D724F" w:rsidRDefault="00B7608B" w:rsidP="00032E1E">
      <w:pPr>
        <w:pStyle w:val="EndNoteBibliography"/>
        <w:rPr>
          <w:noProof/>
        </w:rPr>
      </w:pPr>
      <w:r w:rsidRPr="003D724F">
        <w:rPr>
          <w:noProof/>
        </w:rPr>
        <w:t>5</w:t>
      </w:r>
      <w:r w:rsidR="00236F49">
        <w:rPr>
          <w:noProof/>
        </w:rPr>
        <w:t>8</w:t>
      </w:r>
      <w:r w:rsidRPr="003D724F">
        <w:rPr>
          <w:noProof/>
        </w:rPr>
        <w:t>.</w:t>
      </w:r>
      <w:r w:rsidRPr="003D724F">
        <w:rPr>
          <w:noProof/>
        </w:rPr>
        <w:tab/>
        <w:t xml:space="preserve">Greenhill L, Swanson JM, </w:t>
      </w:r>
      <w:r w:rsidR="00A3081B" w:rsidRPr="003D724F">
        <w:rPr>
          <w:noProof/>
        </w:rPr>
        <w:t>H</w:t>
      </w:r>
      <w:r w:rsidR="00A3081B">
        <w:rPr>
          <w:noProof/>
        </w:rPr>
        <w:t xml:space="preserve">echtman L, et al. Trajectories of Growth Associated With Long-Term Stimulant Medication in the Multimodel Treatment Study of Attention-Deficit/Hyperactivity Disorder. </w:t>
      </w:r>
      <w:r w:rsidR="00A3081B">
        <w:rPr>
          <w:i/>
          <w:iCs/>
          <w:noProof/>
        </w:rPr>
        <w:t>J Am Acad Child Adolesc Psychiatry</w:t>
      </w:r>
      <w:r w:rsidR="00A3081B">
        <w:rPr>
          <w:noProof/>
        </w:rPr>
        <w:t>. 2020;59(8):978-989. doi: 10.1016/j.jaac.2019.06.019.</w:t>
      </w:r>
    </w:p>
    <w:p w14:paraId="6B319419" w14:textId="7720A7CF" w:rsidR="00B7608B" w:rsidRDefault="00B7608B" w:rsidP="00032E1E">
      <w:pPr>
        <w:pStyle w:val="EndNoteBibliography"/>
        <w:rPr>
          <w:noProof/>
        </w:rPr>
      </w:pPr>
      <w:r w:rsidRPr="003D724F">
        <w:rPr>
          <w:noProof/>
        </w:rPr>
        <w:t>5</w:t>
      </w:r>
      <w:r w:rsidR="00236F49">
        <w:rPr>
          <w:noProof/>
        </w:rPr>
        <w:t>9</w:t>
      </w:r>
      <w:r w:rsidRPr="003D724F">
        <w:rPr>
          <w:noProof/>
        </w:rPr>
        <w:t>.</w:t>
      </w:r>
      <w:r w:rsidRPr="003D724F">
        <w:rPr>
          <w:noProof/>
        </w:rPr>
        <w:tab/>
        <w:t>Molina BGS, Kennedy TM, How</w:t>
      </w:r>
      <w:r>
        <w:rPr>
          <w:noProof/>
        </w:rPr>
        <w:t xml:space="preserve">ard AL, et al. Association Between Stimulant Treatment and Substance Use Through Adolescence Into Early Adulthood. </w:t>
      </w:r>
      <w:r>
        <w:rPr>
          <w:i/>
          <w:iCs/>
          <w:noProof/>
        </w:rPr>
        <w:t>JAMA Psychiatry</w:t>
      </w:r>
      <w:r>
        <w:rPr>
          <w:noProof/>
        </w:rPr>
        <w:t>. 2023. doi: 10.1001/jamapsychiatry.2023.2157</w:t>
      </w:r>
    </w:p>
    <w:p w14:paraId="072E86DD" w14:textId="70796EFB" w:rsidR="00032E1E" w:rsidRDefault="00C94FAF" w:rsidP="00032E1E">
      <w:pPr>
        <w:pStyle w:val="EndNoteBibliography"/>
        <w:rPr>
          <w:noProof/>
        </w:rPr>
      </w:pPr>
      <w:r w:rsidRPr="00952C37">
        <w:rPr>
          <w:noProof/>
        </w:rPr>
        <w:t>60</w:t>
      </w:r>
      <w:r w:rsidR="00247F75" w:rsidRPr="00952C37">
        <w:rPr>
          <w:noProof/>
        </w:rPr>
        <w:t>.</w:t>
      </w:r>
      <w:r w:rsidR="00C26C70" w:rsidRPr="00952C37">
        <w:rPr>
          <w:noProof/>
        </w:rPr>
        <w:tab/>
        <w:t xml:space="preserve">Tomlinson A, Efthimiou O, Boaden K, et al. </w:t>
      </w:r>
      <w:r w:rsidR="00C26C70" w:rsidRPr="00C26C70">
        <w:rPr>
          <w:noProof/>
        </w:rPr>
        <w:t xml:space="preserve">Side effect profile and comparative tolerability of </w:t>
      </w:r>
      <w:r w:rsidR="00C26C70">
        <w:rPr>
          <w:noProof/>
        </w:rPr>
        <w:t xml:space="preserve">21 antidepressants in the acute treatment of major depression in adults: protocol for a network meta-analysis. </w:t>
      </w:r>
      <w:r w:rsidR="00C26C70">
        <w:rPr>
          <w:i/>
          <w:iCs/>
          <w:noProof/>
        </w:rPr>
        <w:t>Evid Based Ment Health</w:t>
      </w:r>
      <w:r w:rsidR="00C26C70">
        <w:rPr>
          <w:noProof/>
        </w:rPr>
        <w:t>. 2019;22(2):61-66. doi:10.1136/ebmental-2019-30087</w:t>
      </w:r>
      <w:r w:rsidR="00032E1E">
        <w:rPr>
          <w:noProof/>
        </w:rPr>
        <w:t>.</w:t>
      </w:r>
    </w:p>
    <w:p w14:paraId="3E3BCE29" w14:textId="0499CE7A" w:rsidR="00032E1E" w:rsidRPr="00032E1E" w:rsidRDefault="00C94FAF" w:rsidP="00032E1E">
      <w:pPr>
        <w:pStyle w:val="EndNoteBibliography"/>
        <w:rPr>
          <w:noProof/>
        </w:rPr>
      </w:pPr>
      <w:r>
        <w:rPr>
          <w:noProof/>
        </w:rPr>
        <w:t>61</w:t>
      </w:r>
      <w:r w:rsidR="00032E1E">
        <w:rPr>
          <w:noProof/>
        </w:rPr>
        <w:t>.</w:t>
      </w:r>
      <w:r w:rsidR="00032E1E">
        <w:rPr>
          <w:noProof/>
        </w:rPr>
        <w:tab/>
        <w:t xml:space="preserve">Weisler RH, Biederman J, Spencer TJ, et al. Mixed amphetamine salts extended-release in the treatment of adult ADHD: a randomized, controlled trial. </w:t>
      </w:r>
      <w:r w:rsidR="00032E1E">
        <w:rPr>
          <w:i/>
          <w:iCs/>
          <w:noProof/>
        </w:rPr>
        <w:t>CNS Spectr</w:t>
      </w:r>
      <w:r w:rsidR="00032E1E">
        <w:rPr>
          <w:noProof/>
        </w:rPr>
        <w:t>. 2006;11(8):625-639. doi:10.1017/s1092852900013687.</w:t>
      </w:r>
    </w:p>
    <w:p w14:paraId="76138164" w14:textId="1B92C536" w:rsidR="00032E1E" w:rsidRDefault="004C359A" w:rsidP="00032E1E">
      <w:pPr>
        <w:pStyle w:val="EndNoteBibliography"/>
        <w:rPr>
          <w:noProof/>
        </w:rPr>
      </w:pPr>
      <w:r>
        <w:rPr>
          <w:noProof/>
        </w:rPr>
        <w:t>6</w:t>
      </w:r>
      <w:r w:rsidR="00C94FAF">
        <w:rPr>
          <w:noProof/>
        </w:rPr>
        <w:t>2</w:t>
      </w:r>
      <w:r w:rsidR="00B76868">
        <w:rPr>
          <w:noProof/>
        </w:rPr>
        <w:t>.</w:t>
      </w:r>
      <w:r w:rsidR="00B76868">
        <w:rPr>
          <w:noProof/>
        </w:rPr>
        <w:tab/>
        <w:t xml:space="preserve">Froehlich TE, Epstein JN, Nick TG, et al. Pharmacogentic Predictors of Methylphenidate Dose-Response in Attention-Deficit/Hyperactivity Disorder. </w:t>
      </w:r>
      <w:r w:rsidR="00B76868">
        <w:rPr>
          <w:i/>
          <w:iCs/>
          <w:noProof/>
        </w:rPr>
        <w:t>J Am Acad Child Adolesc Psychiatry</w:t>
      </w:r>
      <w:r w:rsidR="00B76868">
        <w:rPr>
          <w:noProof/>
        </w:rPr>
        <w:t xml:space="preserve"> 2011;50(11):1129-1139. doi:10.1016/j.jaac.2011.08.002.</w:t>
      </w:r>
    </w:p>
    <w:p w14:paraId="5EE1B44B" w14:textId="691D3E94" w:rsidR="00713C83" w:rsidRDefault="00713C83" w:rsidP="00032E1E">
      <w:pPr>
        <w:pStyle w:val="EndNoteBibliography"/>
        <w:rPr>
          <w:noProof/>
        </w:rPr>
      </w:pPr>
      <w:r w:rsidRPr="00AA60AB">
        <w:rPr>
          <w:noProof/>
          <w:lang w:val="pt-BR"/>
        </w:rPr>
        <w:t>63.</w:t>
      </w:r>
      <w:r w:rsidRPr="00AA60AB">
        <w:rPr>
          <w:noProof/>
          <w:lang w:val="pt-BR"/>
        </w:rPr>
        <w:tab/>
      </w:r>
      <w:r w:rsidR="00AA60AB" w:rsidRPr="00AA60AB">
        <w:rPr>
          <w:noProof/>
          <w:lang w:val="pt-BR"/>
        </w:rPr>
        <w:t xml:space="preserve">Leucht S, Bauer S, Siafis S, et al. </w:t>
      </w:r>
      <w:r w:rsidR="00AA60AB" w:rsidRPr="00AA60AB">
        <w:rPr>
          <w:noProof/>
        </w:rPr>
        <w:t>Examination of Dosing of Antipsychotic D</w:t>
      </w:r>
      <w:r w:rsidR="00AA60AB">
        <w:rPr>
          <w:noProof/>
        </w:rPr>
        <w:t xml:space="preserve">rugs for Relapse Prevention in Patients With Stable Schizophrenia: A Meta-Analysis. </w:t>
      </w:r>
      <w:r w:rsidR="00AA60AB">
        <w:rPr>
          <w:i/>
          <w:iCs/>
          <w:noProof/>
        </w:rPr>
        <w:t xml:space="preserve">JAMA Psychiatry </w:t>
      </w:r>
      <w:r w:rsidR="00AA60AB">
        <w:rPr>
          <w:noProof/>
        </w:rPr>
        <w:t>2021;78(11):11238-1248. doi:</w:t>
      </w:r>
      <w:r w:rsidR="00DB4584">
        <w:rPr>
          <w:noProof/>
        </w:rPr>
        <w:t>10.1001/jamapsychiatry.2021.2130</w:t>
      </w:r>
    </w:p>
    <w:p w14:paraId="7252F521" w14:textId="4D1A03A0" w:rsidR="00AA60AB" w:rsidRDefault="00AA60AB" w:rsidP="00032E1E">
      <w:pPr>
        <w:pStyle w:val="EndNoteBibliography"/>
        <w:rPr>
          <w:noProof/>
        </w:rPr>
      </w:pPr>
      <w:r w:rsidRPr="00AA60AB">
        <w:rPr>
          <w:noProof/>
        </w:rPr>
        <w:lastRenderedPageBreak/>
        <w:t>64.</w:t>
      </w:r>
      <w:r w:rsidRPr="00AA60AB">
        <w:rPr>
          <w:noProof/>
        </w:rPr>
        <w:tab/>
        <w:t xml:space="preserve">Sabé M, Pallis K, Solmi M, Crippa A, Sentissi O, Kaiser S. Comparative Effects of </w:t>
      </w:r>
      <w:r>
        <w:rPr>
          <w:noProof/>
        </w:rPr>
        <w:t xml:space="preserve">11 Antipsychotics on Weight Gain and Metabolic Function in Patients with Acute Schizophrenia: A Dose-Response Meta-Analysis. </w:t>
      </w:r>
      <w:r>
        <w:rPr>
          <w:i/>
          <w:iCs/>
          <w:noProof/>
        </w:rPr>
        <w:t>J Clin Psychiatry</w:t>
      </w:r>
      <w:r>
        <w:rPr>
          <w:noProof/>
        </w:rPr>
        <w:t xml:space="preserve"> 2023;84(2):22r14490. doi:</w:t>
      </w:r>
      <w:r w:rsidR="00DB4584">
        <w:rPr>
          <w:noProof/>
        </w:rPr>
        <w:t>10.4088/JCP.22r14490</w:t>
      </w:r>
    </w:p>
    <w:p w14:paraId="5FEB6BFC" w14:textId="05D0ED69" w:rsidR="00AA60AB" w:rsidRDefault="00AA60AB" w:rsidP="00032E1E">
      <w:pPr>
        <w:pStyle w:val="EndNoteBibliography"/>
        <w:rPr>
          <w:noProof/>
        </w:rPr>
      </w:pPr>
      <w:r>
        <w:rPr>
          <w:noProof/>
        </w:rPr>
        <w:t>65.</w:t>
      </w:r>
      <w:r>
        <w:rPr>
          <w:noProof/>
        </w:rPr>
        <w:tab/>
        <w:t xml:space="preserve">Hsu CW, Tsai SY, Tseng PT, et al. Differences in the prophylatic effect of serum lithium levels on depression and mania in bipolar disorder: a dose-response meta-analysis. </w:t>
      </w:r>
      <w:r>
        <w:rPr>
          <w:i/>
          <w:iCs/>
          <w:noProof/>
        </w:rPr>
        <w:t xml:space="preserve">Eur Neuropsychopharmacol </w:t>
      </w:r>
      <w:r>
        <w:rPr>
          <w:noProof/>
        </w:rPr>
        <w:t>2022;58:20-29.</w:t>
      </w:r>
      <w:r w:rsidR="00DB4584">
        <w:rPr>
          <w:noProof/>
        </w:rPr>
        <w:t xml:space="preserve"> doi:10.1016/j.euroneuro.2022.01.112</w:t>
      </w:r>
    </w:p>
    <w:p w14:paraId="016B882C" w14:textId="02405B23" w:rsidR="00AA60AB" w:rsidRPr="00AA60AB" w:rsidRDefault="00AA60AB" w:rsidP="00032E1E">
      <w:pPr>
        <w:pStyle w:val="EndNoteBibliography"/>
        <w:rPr>
          <w:noProof/>
        </w:rPr>
      </w:pPr>
      <w:r>
        <w:rPr>
          <w:noProof/>
        </w:rPr>
        <w:t>66.</w:t>
      </w:r>
      <w:r>
        <w:rPr>
          <w:noProof/>
        </w:rPr>
        <w:tab/>
        <w:t xml:space="preserve">Lin DSH, Yu AL, Lo HY, et al. Differential effects of sodium-glucose cotransporter 2 inhibitors on cardiovascular and renal outcomes according to renal function: a dose-response meta-analysis involving 10 randomized clinical trials and 71 553 individuals. </w:t>
      </w:r>
      <w:r>
        <w:rPr>
          <w:i/>
          <w:iCs/>
          <w:noProof/>
        </w:rPr>
        <w:t xml:space="preserve">Eur J Endocrinol </w:t>
      </w:r>
      <w:r>
        <w:rPr>
          <w:noProof/>
        </w:rPr>
        <w:t>2023;189(1):S17-S25.</w:t>
      </w:r>
      <w:r w:rsidR="00DB4584">
        <w:rPr>
          <w:noProof/>
        </w:rPr>
        <w:t xml:space="preserve"> doi:10.1093/ejendo/lvad078</w:t>
      </w:r>
    </w:p>
    <w:p w14:paraId="7341F8D9" w14:textId="550470BC" w:rsidR="00AA60AB" w:rsidRPr="00DD731D" w:rsidRDefault="00AA60AB" w:rsidP="00032E1E">
      <w:pPr>
        <w:pStyle w:val="EndNoteBibliography"/>
        <w:rPr>
          <w:noProof/>
          <w:lang w:val="pt-BR"/>
        </w:rPr>
      </w:pPr>
      <w:r>
        <w:rPr>
          <w:noProof/>
        </w:rPr>
        <w:t>67.</w:t>
      </w:r>
      <w:r>
        <w:rPr>
          <w:noProof/>
        </w:rPr>
        <w:tab/>
        <w:t xml:space="preserve">Smith AD, Crippa A, Woodcock J, Brage S. Physical activity and incident type 2 diabetes mellitus: a systematic review and dose-response meta-analysis of prospective cohort studies. </w:t>
      </w:r>
      <w:r w:rsidRPr="00DD731D">
        <w:rPr>
          <w:i/>
          <w:iCs/>
          <w:noProof/>
          <w:lang w:val="pt-BR"/>
        </w:rPr>
        <w:t>Diabetologia</w:t>
      </w:r>
      <w:r w:rsidRPr="00DD731D">
        <w:rPr>
          <w:noProof/>
          <w:lang w:val="pt-BR"/>
        </w:rPr>
        <w:t xml:space="preserve"> 2016;59(12):2527-2545.</w:t>
      </w:r>
      <w:r w:rsidR="00DD731D" w:rsidRPr="00DD731D">
        <w:rPr>
          <w:noProof/>
          <w:lang w:val="pt-BR"/>
        </w:rPr>
        <w:t xml:space="preserve"> doi:10.100</w:t>
      </w:r>
      <w:r w:rsidR="00DD731D">
        <w:rPr>
          <w:noProof/>
          <w:lang w:val="pt-BR"/>
        </w:rPr>
        <w:t>7/S00125-016-4079-0</w:t>
      </w:r>
    </w:p>
    <w:p w14:paraId="2A3AAD99" w14:textId="1CE854FB" w:rsidR="00AA60AB" w:rsidRDefault="00AA60AB" w:rsidP="00032E1E">
      <w:pPr>
        <w:pStyle w:val="EndNoteBibliography"/>
        <w:rPr>
          <w:noProof/>
        </w:rPr>
      </w:pPr>
      <w:r w:rsidRPr="00DD731D">
        <w:rPr>
          <w:noProof/>
          <w:lang w:val="pt-BR"/>
        </w:rPr>
        <w:t>68.</w:t>
      </w:r>
      <w:r w:rsidRPr="00DD731D">
        <w:rPr>
          <w:noProof/>
          <w:lang w:val="pt-BR"/>
        </w:rPr>
        <w:tab/>
        <w:t xml:space="preserve">Salanti G, Peter N, Tonia T, et al. </w:t>
      </w:r>
      <w:r>
        <w:rPr>
          <w:noProof/>
        </w:rPr>
        <w:t xml:space="preserve">The impact of the COVID-19 pandemic and associated control measures on the mental health of the general population: a systematic review and dose-response meta-analysis. </w:t>
      </w:r>
      <w:r>
        <w:rPr>
          <w:i/>
          <w:iCs/>
          <w:noProof/>
        </w:rPr>
        <w:t>Ann Intern Med</w:t>
      </w:r>
      <w:r>
        <w:rPr>
          <w:noProof/>
        </w:rPr>
        <w:t xml:space="preserve"> 2022;175(11):1560-1571.</w:t>
      </w:r>
      <w:r w:rsidR="00DD731D">
        <w:rPr>
          <w:noProof/>
        </w:rPr>
        <w:t xml:space="preserve"> doi:10.7326/M22-1507</w:t>
      </w:r>
    </w:p>
    <w:p w14:paraId="76C82226" w14:textId="527EA778" w:rsidR="00032E1E" w:rsidRPr="00AA60AB" w:rsidRDefault="00AA60AB" w:rsidP="00032E1E">
      <w:pPr>
        <w:pStyle w:val="EndNoteBibliography"/>
        <w:rPr>
          <w:noProof/>
        </w:rPr>
      </w:pPr>
      <w:r>
        <w:rPr>
          <w:noProof/>
        </w:rPr>
        <w:t>69.</w:t>
      </w:r>
      <w:r>
        <w:rPr>
          <w:noProof/>
        </w:rPr>
        <w:tab/>
        <w:t xml:space="preserve">Crippa A, Discacciati </w:t>
      </w:r>
      <w:r w:rsidR="00CA0129">
        <w:rPr>
          <w:noProof/>
        </w:rPr>
        <w:t>A</w:t>
      </w:r>
      <w:r>
        <w:rPr>
          <w:noProof/>
        </w:rPr>
        <w:t xml:space="preserve">, Larsson SC, Wolk A, Orsini N. Coffee consumption and mortality from all causes, cardiovascular diseases, and cancer: a dose-response meta-analysis. </w:t>
      </w:r>
      <w:r>
        <w:rPr>
          <w:i/>
          <w:iCs/>
          <w:noProof/>
        </w:rPr>
        <w:t xml:space="preserve">Am J Epidemiol </w:t>
      </w:r>
      <w:r>
        <w:rPr>
          <w:noProof/>
        </w:rPr>
        <w:t>2014;180(8):763-775.</w:t>
      </w:r>
      <w:r w:rsidR="00DD731D">
        <w:rPr>
          <w:noProof/>
        </w:rPr>
        <w:t xml:space="preserve"> doi:10.1093/aje/kwu194</w:t>
      </w:r>
    </w:p>
    <w:p w14:paraId="157E48B8" w14:textId="77777777" w:rsidR="00032E1E" w:rsidRPr="00AA60AB" w:rsidRDefault="00032E1E" w:rsidP="00032E1E">
      <w:pPr>
        <w:pStyle w:val="EndNoteBibliography"/>
        <w:rPr>
          <w:noProof/>
        </w:rPr>
      </w:pPr>
    </w:p>
    <w:p w14:paraId="16CC32AC" w14:textId="7712F017" w:rsidR="0018065F" w:rsidRPr="00F26AFA" w:rsidRDefault="00854DA5" w:rsidP="00F26AFA">
      <w:pPr>
        <w:pStyle w:val="EndNoteBibliography"/>
        <w:jc w:val="center"/>
        <w:rPr>
          <w:noProof/>
        </w:rPr>
      </w:pPr>
      <w:r w:rsidRPr="00AA60AB">
        <w:rPr>
          <w:noProof/>
        </w:rPr>
        <w:br w:type="page"/>
      </w:r>
      <w:r w:rsidR="00684A4E">
        <w:rPr>
          <w:b/>
          <w:bCs/>
        </w:rPr>
        <w:lastRenderedPageBreak/>
        <w:t>FIGURE</w:t>
      </w:r>
      <w:r w:rsidR="00907203">
        <w:rPr>
          <w:b/>
          <w:bCs/>
        </w:rPr>
        <w:t xml:space="preserve"> LEGENDS</w:t>
      </w:r>
    </w:p>
    <w:p w14:paraId="68CDE208" w14:textId="7BED37F1" w:rsidR="0044113C" w:rsidRDefault="0044113C" w:rsidP="00DE00F0">
      <w:pPr>
        <w:spacing w:after="120" w:line="480" w:lineRule="auto"/>
        <w:rPr>
          <w:rFonts w:ascii="Arial" w:hAnsi="Arial" w:cs="Arial"/>
          <w:b/>
          <w:bCs/>
          <w:lang w:val="en-US"/>
        </w:rPr>
      </w:pPr>
      <w:r>
        <w:rPr>
          <w:rFonts w:ascii="Arial" w:hAnsi="Arial" w:cs="Arial"/>
          <w:b/>
          <w:bCs/>
          <w:lang w:val="en-US"/>
        </w:rPr>
        <w:t>Figure 1. Study selection</w:t>
      </w:r>
    </w:p>
    <w:p w14:paraId="101E33B2" w14:textId="2181B90E" w:rsidR="001B1AE3" w:rsidRPr="00120B1B" w:rsidRDefault="00425EAD" w:rsidP="00DE00F0">
      <w:pPr>
        <w:spacing w:after="120" w:line="480" w:lineRule="auto"/>
        <w:rPr>
          <w:rFonts w:ascii="Arial" w:hAnsi="Arial" w:cs="Arial"/>
          <w:lang w:val="en-US"/>
        </w:rPr>
      </w:pPr>
      <w:r>
        <w:rPr>
          <w:rFonts w:ascii="Arial" w:hAnsi="Arial" w:cs="Arial"/>
          <w:lang w:val="en-US"/>
        </w:rPr>
        <w:t>The list of excluded records, with exclusion reasons, was provided in OSF (</w:t>
      </w:r>
      <w:r w:rsidR="008B323C">
        <w:rPr>
          <w:rFonts w:ascii="Arial" w:hAnsi="Arial" w:cs="Arial"/>
          <w:lang w:val="en-US"/>
        </w:rPr>
        <w:t>doi.org/</w:t>
      </w:r>
      <w:r w:rsidR="008B323C" w:rsidRPr="00C212D9">
        <w:rPr>
          <w:rFonts w:ascii="Arial" w:hAnsi="Arial" w:cs="Arial"/>
          <w:lang w:val="en-US"/>
        </w:rPr>
        <w:t>10.17605/OSF.IO/47FS9</w:t>
      </w:r>
      <w:r>
        <w:rPr>
          <w:rFonts w:ascii="Arial" w:hAnsi="Arial" w:cs="Arial"/>
          <w:lang w:val="en-US"/>
        </w:rPr>
        <w:t>)</w:t>
      </w:r>
    </w:p>
    <w:p w14:paraId="1BB69CDD" w14:textId="32FE0F5B" w:rsidR="00E76610" w:rsidRDefault="0044113C" w:rsidP="00E76610">
      <w:pPr>
        <w:spacing w:line="480" w:lineRule="auto"/>
        <w:rPr>
          <w:rFonts w:ascii="Arial" w:hAnsi="Arial" w:cs="Arial"/>
          <w:b/>
          <w:bCs/>
          <w:lang w:val="en-US"/>
        </w:rPr>
      </w:pPr>
      <w:r>
        <w:rPr>
          <w:rFonts w:ascii="Arial" w:hAnsi="Arial" w:cs="Arial"/>
          <w:b/>
          <w:bCs/>
          <w:lang w:val="en-US"/>
        </w:rPr>
        <w:t xml:space="preserve">Figure 2. Dose-response curves </w:t>
      </w:r>
      <w:r w:rsidR="00505FA5">
        <w:rPr>
          <w:rFonts w:ascii="Arial" w:hAnsi="Arial" w:cs="Arial"/>
          <w:b/>
          <w:bCs/>
          <w:lang w:val="en-US"/>
        </w:rPr>
        <w:t xml:space="preserve">for </w:t>
      </w:r>
      <w:r w:rsidR="00E76610">
        <w:rPr>
          <w:rFonts w:ascii="Arial" w:hAnsi="Arial" w:cs="Arial"/>
          <w:b/>
          <w:bCs/>
          <w:lang w:val="en-US"/>
        </w:rPr>
        <w:t xml:space="preserve">methylphenidate. </w:t>
      </w:r>
    </w:p>
    <w:p w14:paraId="5D98B65A" w14:textId="5BB6894F" w:rsidR="00E76610" w:rsidRDefault="00CF1B13" w:rsidP="00E76610">
      <w:pPr>
        <w:spacing w:after="120" w:line="480" w:lineRule="auto"/>
        <w:rPr>
          <w:rFonts w:ascii="Arial" w:hAnsi="Arial" w:cs="Arial"/>
          <w:lang w:val="en-US"/>
        </w:rPr>
      </w:pPr>
      <w:r>
        <w:rPr>
          <w:rFonts w:ascii="Arial" w:hAnsi="Arial" w:cs="Arial"/>
          <w:lang w:val="en-US"/>
        </w:rPr>
        <w:t>D</w:t>
      </w:r>
      <w:r w:rsidR="00E76610">
        <w:rPr>
          <w:rFonts w:ascii="Arial" w:hAnsi="Arial" w:cs="Arial"/>
          <w:lang w:val="en-US"/>
        </w:rPr>
        <w:t xml:space="preserve">ose-response curve for </w:t>
      </w:r>
      <w:r w:rsidR="00341805">
        <w:rPr>
          <w:rFonts w:ascii="Arial" w:hAnsi="Arial" w:cs="Arial"/>
          <w:lang w:val="en-US"/>
        </w:rPr>
        <w:t>change</w:t>
      </w:r>
      <w:r w:rsidR="00E76610">
        <w:rPr>
          <w:rFonts w:ascii="Arial" w:hAnsi="Arial" w:cs="Arial"/>
          <w:lang w:val="en-US"/>
        </w:rPr>
        <w:t xml:space="preserve"> in ADHD symptom</w:t>
      </w:r>
      <w:r w:rsidR="00341805">
        <w:rPr>
          <w:rFonts w:ascii="Arial" w:hAnsi="Arial" w:cs="Arial"/>
          <w:lang w:val="en-US"/>
        </w:rPr>
        <w:t xml:space="preserve"> severity</w:t>
      </w:r>
      <w:r>
        <w:rPr>
          <w:rFonts w:ascii="Arial" w:hAnsi="Arial" w:cs="Arial"/>
          <w:lang w:val="en-US"/>
        </w:rPr>
        <w:t xml:space="preserve"> (A)</w:t>
      </w:r>
      <w:r w:rsidR="00E76610">
        <w:rPr>
          <w:rFonts w:ascii="Arial" w:hAnsi="Arial" w:cs="Arial"/>
          <w:lang w:val="en-US"/>
        </w:rPr>
        <w:t xml:space="preserve"> </w:t>
      </w:r>
      <w:r>
        <w:rPr>
          <w:rFonts w:ascii="Arial" w:hAnsi="Arial" w:cs="Arial"/>
          <w:lang w:val="en-US"/>
        </w:rPr>
        <w:t>and</w:t>
      </w:r>
      <w:r w:rsidR="00E76610">
        <w:rPr>
          <w:rFonts w:ascii="Arial" w:hAnsi="Arial" w:cs="Arial"/>
          <w:lang w:val="en-US"/>
        </w:rPr>
        <w:t xml:space="preserve"> </w:t>
      </w:r>
      <w:r w:rsidR="00341805">
        <w:rPr>
          <w:rFonts w:ascii="Arial" w:hAnsi="Arial" w:cs="Arial"/>
          <w:lang w:val="en-US"/>
        </w:rPr>
        <w:t>tolerability</w:t>
      </w:r>
      <w:r>
        <w:rPr>
          <w:rFonts w:ascii="Arial" w:hAnsi="Arial" w:cs="Arial"/>
          <w:lang w:val="en-US"/>
        </w:rPr>
        <w:t xml:space="preserve"> (B)</w:t>
      </w:r>
      <w:r w:rsidR="00E76610">
        <w:rPr>
          <w:rFonts w:ascii="Arial" w:hAnsi="Arial" w:cs="Arial"/>
          <w:lang w:val="en-US"/>
        </w:rPr>
        <w:t xml:space="preserve">. The curves are presented until the maximum dose for which data were available for equivalent doses of methylphenidate. The shaded areas indicate 95% confidence intervals. The red dashed line indicates the FDA maximum </w:t>
      </w:r>
      <w:r>
        <w:rPr>
          <w:rFonts w:ascii="Arial" w:hAnsi="Arial" w:cs="Arial"/>
          <w:lang w:val="en-US"/>
        </w:rPr>
        <w:t xml:space="preserve">recommended </w:t>
      </w:r>
      <w:r w:rsidR="00E76610">
        <w:rPr>
          <w:rFonts w:ascii="Arial" w:hAnsi="Arial" w:cs="Arial"/>
          <w:lang w:val="en-US"/>
        </w:rPr>
        <w:t xml:space="preserve">dose for </w:t>
      </w:r>
      <w:r w:rsidR="00B16FEE">
        <w:rPr>
          <w:rFonts w:ascii="Arial" w:hAnsi="Arial" w:cs="Arial"/>
          <w:lang w:val="en-US"/>
        </w:rPr>
        <w:t xml:space="preserve">immediate-release </w:t>
      </w:r>
      <w:r w:rsidR="00E76610">
        <w:rPr>
          <w:rFonts w:ascii="Arial" w:hAnsi="Arial" w:cs="Arial"/>
          <w:lang w:val="en-US"/>
        </w:rPr>
        <w:t>methylphenidate hydrochloride.</w:t>
      </w:r>
    </w:p>
    <w:p w14:paraId="00129DBC" w14:textId="01E285B7" w:rsidR="00E76610" w:rsidRDefault="0044113C" w:rsidP="000814AB">
      <w:pPr>
        <w:spacing w:line="480" w:lineRule="auto"/>
        <w:rPr>
          <w:rFonts w:ascii="Arial" w:hAnsi="Arial" w:cs="Arial"/>
          <w:b/>
          <w:bCs/>
          <w:lang w:val="en-US"/>
        </w:rPr>
      </w:pPr>
      <w:r>
        <w:rPr>
          <w:rFonts w:ascii="Arial" w:hAnsi="Arial" w:cs="Arial"/>
          <w:b/>
          <w:bCs/>
          <w:lang w:val="en-US"/>
        </w:rPr>
        <w:t xml:space="preserve">Figure 3. </w:t>
      </w:r>
      <w:r w:rsidR="008D6766">
        <w:rPr>
          <w:rFonts w:ascii="Arial" w:hAnsi="Arial" w:cs="Arial"/>
          <w:b/>
          <w:bCs/>
          <w:lang w:val="en-US"/>
        </w:rPr>
        <w:t>Network estimates</w:t>
      </w:r>
      <w:r w:rsidR="00E76610">
        <w:rPr>
          <w:rFonts w:ascii="Arial" w:hAnsi="Arial" w:cs="Arial"/>
          <w:b/>
          <w:bCs/>
          <w:lang w:val="en-US"/>
        </w:rPr>
        <w:t xml:space="preserve"> for stimulant doses beyond FDA recommendations against lower doses</w:t>
      </w:r>
      <w:r w:rsidR="008D6766">
        <w:rPr>
          <w:rFonts w:ascii="Arial" w:hAnsi="Arial" w:cs="Arial"/>
          <w:b/>
          <w:bCs/>
          <w:lang w:val="en-US"/>
        </w:rPr>
        <w:t xml:space="preserve"> within FDA recommendations</w:t>
      </w:r>
      <w:r w:rsidR="00E76610">
        <w:rPr>
          <w:rFonts w:ascii="Arial" w:hAnsi="Arial" w:cs="Arial"/>
          <w:b/>
          <w:bCs/>
          <w:lang w:val="en-US"/>
        </w:rPr>
        <w:t>.</w:t>
      </w:r>
    </w:p>
    <w:p w14:paraId="08A04DD2" w14:textId="2EB84C3A" w:rsidR="00E76610" w:rsidRPr="00E76610" w:rsidRDefault="008D6766" w:rsidP="00DE00F0">
      <w:pPr>
        <w:spacing w:after="120" w:line="480" w:lineRule="auto"/>
        <w:rPr>
          <w:rFonts w:ascii="Arial" w:hAnsi="Arial" w:cs="Arial"/>
          <w:lang w:val="en-US"/>
        </w:rPr>
      </w:pPr>
      <w:r>
        <w:rPr>
          <w:rFonts w:ascii="Arial" w:hAnsi="Arial" w:cs="Arial"/>
          <w:lang w:val="en-US"/>
        </w:rPr>
        <w:t>S</w:t>
      </w:r>
      <w:r w:rsidR="00E76610">
        <w:rPr>
          <w:rFonts w:ascii="Arial" w:hAnsi="Arial" w:cs="Arial"/>
          <w:lang w:val="en-US"/>
        </w:rPr>
        <w:t xml:space="preserve">tandardized mean difference (SMD) for </w:t>
      </w:r>
      <w:r>
        <w:rPr>
          <w:rFonts w:ascii="Arial" w:hAnsi="Arial" w:cs="Arial"/>
          <w:lang w:val="en-US"/>
        </w:rPr>
        <w:t>change</w:t>
      </w:r>
      <w:r w:rsidR="00E76610">
        <w:rPr>
          <w:rFonts w:ascii="Arial" w:hAnsi="Arial" w:cs="Arial"/>
          <w:lang w:val="en-US"/>
        </w:rPr>
        <w:t xml:space="preserve"> in ADHD symptoms</w:t>
      </w:r>
      <w:r>
        <w:rPr>
          <w:rFonts w:ascii="Arial" w:hAnsi="Arial" w:cs="Arial"/>
          <w:lang w:val="en-US"/>
        </w:rPr>
        <w:t xml:space="preserve"> (A) and</w:t>
      </w:r>
      <w:r w:rsidR="00E76610">
        <w:rPr>
          <w:rFonts w:ascii="Arial" w:hAnsi="Arial" w:cs="Arial"/>
          <w:lang w:val="en-US"/>
        </w:rPr>
        <w:t xml:space="preserve"> odds ratio (OR) for </w:t>
      </w:r>
      <w:r>
        <w:rPr>
          <w:rFonts w:ascii="Arial" w:hAnsi="Arial" w:cs="Arial"/>
          <w:lang w:val="en-US"/>
        </w:rPr>
        <w:t>tolerability (B) in network meta-analysis</w:t>
      </w:r>
      <w:r w:rsidR="00E76610">
        <w:rPr>
          <w:rFonts w:ascii="Arial" w:hAnsi="Arial" w:cs="Arial"/>
          <w:lang w:val="en-US"/>
        </w:rPr>
        <w:t>. All values are</w:t>
      </w:r>
      <w:r>
        <w:rPr>
          <w:rFonts w:ascii="Arial" w:hAnsi="Arial" w:cs="Arial"/>
          <w:lang w:val="en-US"/>
        </w:rPr>
        <w:t xml:space="preserve"> </w:t>
      </w:r>
      <w:r w:rsidR="00E76610">
        <w:rPr>
          <w:rFonts w:ascii="Arial" w:hAnsi="Arial" w:cs="Arial"/>
          <w:lang w:val="en-US"/>
        </w:rPr>
        <w:t xml:space="preserve">presented with 95% confidence intervals (95% CI). Blue, </w:t>
      </w:r>
      <w:proofErr w:type="gramStart"/>
      <w:r w:rsidR="00E76610">
        <w:rPr>
          <w:rFonts w:ascii="Arial" w:hAnsi="Arial" w:cs="Arial"/>
          <w:lang w:val="en-US"/>
        </w:rPr>
        <w:t>yellow</w:t>
      </w:r>
      <w:proofErr w:type="gramEnd"/>
      <w:r w:rsidR="00E76610">
        <w:rPr>
          <w:rFonts w:ascii="Arial" w:hAnsi="Arial" w:cs="Arial"/>
          <w:lang w:val="en-US"/>
        </w:rPr>
        <w:t xml:space="preserve"> and red square colors indicate moderate, low and very low certainty of evidence, respectively. </w:t>
      </w:r>
    </w:p>
    <w:p w14:paraId="4A804E71" w14:textId="490F4B87" w:rsidR="00E76610" w:rsidRDefault="00DE00F0" w:rsidP="00E76610">
      <w:pPr>
        <w:spacing w:line="480" w:lineRule="auto"/>
        <w:rPr>
          <w:rFonts w:ascii="Arial" w:hAnsi="Arial" w:cs="Arial"/>
          <w:b/>
          <w:bCs/>
          <w:lang w:val="en-US"/>
        </w:rPr>
      </w:pPr>
      <w:r>
        <w:rPr>
          <w:rFonts w:ascii="Arial" w:hAnsi="Arial" w:cs="Arial"/>
          <w:b/>
          <w:bCs/>
          <w:lang w:val="en-US"/>
        </w:rPr>
        <w:t xml:space="preserve">Figure 4. </w:t>
      </w:r>
      <w:r w:rsidR="00E76610">
        <w:rPr>
          <w:rFonts w:ascii="Arial" w:hAnsi="Arial" w:cs="Arial"/>
          <w:b/>
          <w:bCs/>
          <w:lang w:val="en-US"/>
        </w:rPr>
        <w:t xml:space="preserve">Dose-response curves for amphetamine. </w:t>
      </w:r>
    </w:p>
    <w:p w14:paraId="056621BB" w14:textId="2A6C69BF" w:rsidR="00DE00F0" w:rsidRDefault="008D6766" w:rsidP="008D6766">
      <w:pPr>
        <w:spacing w:after="120" w:line="480" w:lineRule="auto"/>
        <w:rPr>
          <w:rFonts w:ascii="Arial" w:hAnsi="Arial" w:cs="Arial"/>
          <w:lang w:val="en-US"/>
        </w:rPr>
      </w:pPr>
      <w:r>
        <w:rPr>
          <w:rFonts w:ascii="Arial" w:hAnsi="Arial" w:cs="Arial"/>
          <w:lang w:val="en-US"/>
        </w:rPr>
        <w:t xml:space="preserve">Dose-response curve for change in ADHD symptom severity (A) and tolerability (B). The curves are presented until the maximum dose for which data were available for equivalent doses of </w:t>
      </w:r>
      <w:r w:rsidR="00E04E31">
        <w:rPr>
          <w:rFonts w:ascii="Arial" w:hAnsi="Arial" w:cs="Arial"/>
          <w:lang w:val="en-US"/>
        </w:rPr>
        <w:t>amphetamines</w:t>
      </w:r>
      <w:r>
        <w:rPr>
          <w:rFonts w:ascii="Arial" w:hAnsi="Arial" w:cs="Arial"/>
          <w:lang w:val="en-US"/>
        </w:rPr>
        <w:t xml:space="preserve">. The shaded areas indicate 95% confidence intervals. The red dashed line indicates the FDA maximum recommended dose for </w:t>
      </w:r>
      <w:r w:rsidR="009F7608">
        <w:rPr>
          <w:rFonts w:ascii="Arial" w:hAnsi="Arial" w:cs="Arial"/>
          <w:lang w:val="en-US"/>
        </w:rPr>
        <w:t xml:space="preserve">immediate release </w:t>
      </w:r>
      <w:r>
        <w:rPr>
          <w:rFonts w:ascii="Arial" w:hAnsi="Arial" w:cs="Arial"/>
          <w:lang w:val="en-US"/>
        </w:rPr>
        <w:t>mixed amphetamine salts; t</w:t>
      </w:r>
      <w:r w:rsidR="00DE00F0">
        <w:rPr>
          <w:rFonts w:ascii="Arial" w:hAnsi="Arial" w:cs="Arial"/>
          <w:lang w:val="en-US"/>
        </w:rPr>
        <w:t>he green dot dashed line indicates the FDA recommended maximum dose for lisdexamfetamine.</w:t>
      </w:r>
    </w:p>
    <w:p w14:paraId="03A87507" w14:textId="470C6F3E" w:rsidR="00DE00F0" w:rsidRPr="004D7C4C" w:rsidRDefault="00DE00F0" w:rsidP="00194EFB">
      <w:pPr>
        <w:spacing w:line="480" w:lineRule="auto"/>
        <w:rPr>
          <w:rFonts w:ascii="Arial" w:hAnsi="Arial" w:cs="Arial"/>
          <w:lang w:val="en-US"/>
        </w:rPr>
        <w:sectPr w:rsidR="00DE00F0" w:rsidRPr="004D7C4C" w:rsidSect="00863254">
          <w:type w:val="continuous"/>
          <w:pgSz w:w="12240" w:h="15840"/>
          <w:pgMar w:top="1440" w:right="1440" w:bottom="1440" w:left="1440" w:header="708" w:footer="708" w:gutter="0"/>
          <w:cols w:space="708"/>
          <w:docGrid w:linePitch="360"/>
        </w:sectPr>
      </w:pPr>
    </w:p>
    <w:p w14:paraId="429B6E92" w14:textId="4440E02A" w:rsidR="0044113C" w:rsidRDefault="005B1CC6" w:rsidP="00DF392E">
      <w:pPr>
        <w:spacing w:line="480" w:lineRule="auto"/>
        <w:jc w:val="center"/>
        <w:rPr>
          <w:rFonts w:ascii="Arial" w:hAnsi="Arial" w:cs="Arial"/>
          <w:b/>
          <w:bCs/>
          <w:lang w:val="en-US"/>
        </w:rPr>
      </w:pPr>
      <w:r>
        <w:rPr>
          <w:rFonts w:ascii="Arial" w:hAnsi="Arial" w:cs="Arial"/>
          <w:b/>
          <w:bCs/>
          <w:lang w:val="en-US"/>
        </w:rPr>
        <w:lastRenderedPageBreak/>
        <w:t>TABLES</w:t>
      </w:r>
    </w:p>
    <w:p w14:paraId="2BB0C2B0" w14:textId="7E722795" w:rsidR="005B1CC6" w:rsidRPr="00886A52" w:rsidRDefault="005B1CC6" w:rsidP="005B1CC6">
      <w:pPr>
        <w:ind w:left="-567" w:right="-507"/>
        <w:jc w:val="center"/>
        <w:rPr>
          <w:rFonts w:ascii="Arial" w:hAnsi="Arial" w:cs="Arial"/>
          <w:b/>
          <w:bCs/>
        </w:rPr>
      </w:pPr>
      <w:r w:rsidRPr="00886A52">
        <w:rPr>
          <w:rFonts w:ascii="Arial" w:hAnsi="Arial" w:cs="Arial"/>
          <w:b/>
          <w:bCs/>
        </w:rPr>
        <w:t xml:space="preserve">Table </w:t>
      </w:r>
      <w:r w:rsidR="00BE269A">
        <w:rPr>
          <w:rFonts w:ascii="Arial" w:hAnsi="Arial" w:cs="Arial"/>
          <w:b/>
          <w:bCs/>
        </w:rPr>
        <w:t>1</w:t>
      </w:r>
      <w:r w:rsidRPr="00886A52">
        <w:rPr>
          <w:rFonts w:ascii="Arial" w:hAnsi="Arial" w:cs="Arial"/>
          <w:b/>
          <w:bCs/>
        </w:rPr>
        <w:t>. Results per dose after conversion of SMD and OR to clinically interpretable values.</w:t>
      </w:r>
    </w:p>
    <w:tbl>
      <w:tblPr>
        <w:tblStyle w:val="TableGrid"/>
        <w:tblW w:w="14356" w:type="dxa"/>
        <w:tblInd w:w="-714" w:type="dxa"/>
        <w:tblLook w:val="04A0" w:firstRow="1" w:lastRow="0" w:firstColumn="1" w:lastColumn="0" w:noHBand="0" w:noVBand="1"/>
      </w:tblPr>
      <w:tblGrid>
        <w:gridCol w:w="994"/>
        <w:gridCol w:w="1355"/>
        <w:gridCol w:w="1631"/>
        <w:gridCol w:w="1354"/>
        <w:gridCol w:w="1630"/>
        <w:gridCol w:w="1233"/>
        <w:gridCol w:w="1233"/>
        <w:gridCol w:w="1231"/>
        <w:gridCol w:w="1232"/>
        <w:gridCol w:w="1232"/>
        <w:gridCol w:w="1231"/>
      </w:tblGrid>
      <w:tr w:rsidR="005B1CC6" w:rsidRPr="00BE269A" w14:paraId="52154438" w14:textId="77777777" w:rsidTr="00CC6BB8">
        <w:tc>
          <w:tcPr>
            <w:tcW w:w="994" w:type="dxa"/>
            <w:vMerge w:val="restart"/>
            <w:vAlign w:val="bottom"/>
          </w:tcPr>
          <w:p w14:paraId="3729A71D" w14:textId="77777777" w:rsidR="005B1CC6" w:rsidRPr="00BE269A" w:rsidRDefault="005B1CC6" w:rsidP="00BE269A">
            <w:pPr>
              <w:jc w:val="center"/>
              <w:rPr>
                <w:rFonts w:ascii="Arial" w:hAnsi="Arial" w:cs="Arial"/>
                <w:sz w:val="20"/>
                <w:szCs w:val="20"/>
              </w:rPr>
            </w:pPr>
            <w:r w:rsidRPr="00BE269A">
              <w:rPr>
                <w:rFonts w:ascii="Arial" w:hAnsi="Arial" w:cs="Arial"/>
                <w:b/>
                <w:bCs/>
                <w:sz w:val="20"/>
                <w:szCs w:val="20"/>
              </w:rPr>
              <w:t>Dose (mg/d)</w:t>
            </w:r>
          </w:p>
        </w:tc>
        <w:tc>
          <w:tcPr>
            <w:tcW w:w="5970" w:type="dxa"/>
            <w:gridSpan w:val="4"/>
          </w:tcPr>
          <w:p w14:paraId="53FCE0D2" w14:textId="1D89625A" w:rsidR="005B1CC6" w:rsidRPr="00BE269A" w:rsidRDefault="008D6766" w:rsidP="00BE269A">
            <w:pPr>
              <w:jc w:val="center"/>
              <w:rPr>
                <w:rFonts w:ascii="Arial" w:hAnsi="Arial" w:cs="Arial"/>
                <w:b/>
                <w:bCs/>
                <w:sz w:val="20"/>
                <w:szCs w:val="20"/>
              </w:rPr>
            </w:pPr>
            <w:r>
              <w:rPr>
                <w:rFonts w:ascii="Arial" w:hAnsi="Arial" w:cs="Arial"/>
                <w:b/>
                <w:bCs/>
                <w:sz w:val="20"/>
                <w:szCs w:val="20"/>
              </w:rPr>
              <w:t>Change</w:t>
            </w:r>
            <w:r w:rsidR="00391A1E">
              <w:rPr>
                <w:rFonts w:ascii="Arial" w:hAnsi="Arial" w:cs="Arial"/>
                <w:b/>
                <w:bCs/>
                <w:sz w:val="20"/>
                <w:szCs w:val="20"/>
              </w:rPr>
              <w:t xml:space="preserve"> in</w:t>
            </w:r>
            <w:r w:rsidR="00A14749">
              <w:rPr>
                <w:rFonts w:ascii="Arial" w:hAnsi="Arial" w:cs="Arial"/>
                <w:b/>
                <w:bCs/>
                <w:sz w:val="20"/>
                <w:szCs w:val="20"/>
              </w:rPr>
              <w:t xml:space="preserve"> ADHD symptom severity</w:t>
            </w:r>
          </w:p>
        </w:tc>
        <w:tc>
          <w:tcPr>
            <w:tcW w:w="7392" w:type="dxa"/>
            <w:gridSpan w:val="6"/>
          </w:tcPr>
          <w:p w14:paraId="2749B79A" w14:textId="275879CC" w:rsidR="005B1CC6" w:rsidRPr="00BE269A" w:rsidRDefault="008D6766" w:rsidP="00BE269A">
            <w:pPr>
              <w:jc w:val="center"/>
              <w:rPr>
                <w:rFonts w:ascii="Arial" w:hAnsi="Arial" w:cs="Arial"/>
                <w:b/>
                <w:bCs/>
                <w:sz w:val="20"/>
                <w:szCs w:val="20"/>
              </w:rPr>
            </w:pPr>
            <w:r>
              <w:rPr>
                <w:rFonts w:ascii="Arial" w:hAnsi="Arial" w:cs="Arial"/>
                <w:b/>
                <w:bCs/>
                <w:sz w:val="20"/>
                <w:szCs w:val="20"/>
              </w:rPr>
              <w:t>Tolerability</w:t>
            </w:r>
          </w:p>
        </w:tc>
      </w:tr>
      <w:tr w:rsidR="005B1CC6" w:rsidRPr="00BE269A" w14:paraId="11EC48A7" w14:textId="77777777" w:rsidTr="00CC6BB8">
        <w:tc>
          <w:tcPr>
            <w:tcW w:w="994" w:type="dxa"/>
            <w:vMerge/>
            <w:vAlign w:val="bottom"/>
          </w:tcPr>
          <w:p w14:paraId="14E6F7CE" w14:textId="77777777" w:rsidR="005B1CC6" w:rsidRPr="00BE269A" w:rsidRDefault="005B1CC6" w:rsidP="00BE269A">
            <w:pPr>
              <w:jc w:val="center"/>
              <w:rPr>
                <w:rFonts w:ascii="Arial" w:hAnsi="Arial" w:cs="Arial"/>
                <w:sz w:val="20"/>
                <w:szCs w:val="20"/>
              </w:rPr>
            </w:pPr>
          </w:p>
        </w:tc>
        <w:tc>
          <w:tcPr>
            <w:tcW w:w="2986" w:type="dxa"/>
            <w:gridSpan w:val="2"/>
          </w:tcPr>
          <w:p w14:paraId="7BBD5D0B"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Methylphenidate</w:t>
            </w:r>
          </w:p>
        </w:tc>
        <w:tc>
          <w:tcPr>
            <w:tcW w:w="2984" w:type="dxa"/>
            <w:gridSpan w:val="2"/>
          </w:tcPr>
          <w:p w14:paraId="2AA76C94" w14:textId="3132D800"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Amphetamine</w:t>
            </w:r>
            <w:r w:rsidR="002F564B">
              <w:rPr>
                <w:rFonts w:ascii="Arial" w:hAnsi="Arial" w:cs="Arial"/>
                <w:b/>
                <w:bCs/>
                <w:sz w:val="20"/>
                <w:szCs w:val="20"/>
              </w:rPr>
              <w:t>s</w:t>
            </w:r>
          </w:p>
        </w:tc>
        <w:tc>
          <w:tcPr>
            <w:tcW w:w="3697" w:type="dxa"/>
            <w:gridSpan w:val="3"/>
          </w:tcPr>
          <w:p w14:paraId="73FD2DB9"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Methylphenidate</w:t>
            </w:r>
          </w:p>
        </w:tc>
        <w:tc>
          <w:tcPr>
            <w:tcW w:w="3695" w:type="dxa"/>
            <w:gridSpan w:val="3"/>
          </w:tcPr>
          <w:p w14:paraId="52D008BE" w14:textId="069533F2"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Amphetamine</w:t>
            </w:r>
            <w:r w:rsidR="002F564B">
              <w:rPr>
                <w:rFonts w:ascii="Arial" w:hAnsi="Arial" w:cs="Arial"/>
                <w:b/>
                <w:bCs/>
                <w:sz w:val="20"/>
                <w:szCs w:val="20"/>
              </w:rPr>
              <w:t>s</w:t>
            </w:r>
          </w:p>
        </w:tc>
      </w:tr>
      <w:tr w:rsidR="005B1CC6" w:rsidRPr="00BE269A" w14:paraId="235E5B92" w14:textId="77777777" w:rsidTr="00CC6BB8">
        <w:tc>
          <w:tcPr>
            <w:tcW w:w="994" w:type="dxa"/>
            <w:vMerge/>
            <w:vAlign w:val="bottom"/>
          </w:tcPr>
          <w:p w14:paraId="30ABEA2A" w14:textId="77777777" w:rsidR="005B1CC6" w:rsidRPr="00BE269A" w:rsidRDefault="005B1CC6" w:rsidP="00BE269A">
            <w:pPr>
              <w:jc w:val="center"/>
              <w:rPr>
                <w:rFonts w:ascii="Arial" w:hAnsi="Arial" w:cs="Arial"/>
                <w:b/>
                <w:bCs/>
                <w:sz w:val="20"/>
                <w:szCs w:val="20"/>
              </w:rPr>
            </w:pPr>
          </w:p>
        </w:tc>
        <w:tc>
          <w:tcPr>
            <w:tcW w:w="1355" w:type="dxa"/>
          </w:tcPr>
          <w:p w14:paraId="4E430946"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SMD (95%CI)</w:t>
            </w:r>
          </w:p>
        </w:tc>
        <w:tc>
          <w:tcPr>
            <w:tcW w:w="1631" w:type="dxa"/>
          </w:tcPr>
          <w:p w14:paraId="7CC7AF39"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ADHD-RS values, mean (95%CI)</w:t>
            </w:r>
          </w:p>
        </w:tc>
        <w:tc>
          <w:tcPr>
            <w:tcW w:w="1354" w:type="dxa"/>
          </w:tcPr>
          <w:p w14:paraId="139A1406"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SMD (95%CI)</w:t>
            </w:r>
          </w:p>
        </w:tc>
        <w:tc>
          <w:tcPr>
            <w:tcW w:w="1630" w:type="dxa"/>
          </w:tcPr>
          <w:p w14:paraId="18FED677"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ADHD-RS values, mean (95%CI)</w:t>
            </w:r>
          </w:p>
        </w:tc>
        <w:tc>
          <w:tcPr>
            <w:tcW w:w="1233" w:type="dxa"/>
          </w:tcPr>
          <w:p w14:paraId="0376541F"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 xml:space="preserve">OR (95%CI) </w:t>
            </w:r>
          </w:p>
        </w:tc>
        <w:tc>
          <w:tcPr>
            <w:tcW w:w="1233" w:type="dxa"/>
          </w:tcPr>
          <w:p w14:paraId="6D85E846"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 xml:space="preserve">RR (95%CI) </w:t>
            </w:r>
          </w:p>
        </w:tc>
        <w:tc>
          <w:tcPr>
            <w:tcW w:w="1231" w:type="dxa"/>
          </w:tcPr>
          <w:p w14:paraId="452CBC6A"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 xml:space="preserve">NNH (95% CI </w:t>
            </w:r>
          </w:p>
        </w:tc>
        <w:tc>
          <w:tcPr>
            <w:tcW w:w="1232" w:type="dxa"/>
          </w:tcPr>
          <w:p w14:paraId="6045196E"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 xml:space="preserve">OR (95%CI) </w:t>
            </w:r>
          </w:p>
        </w:tc>
        <w:tc>
          <w:tcPr>
            <w:tcW w:w="1232" w:type="dxa"/>
          </w:tcPr>
          <w:p w14:paraId="55ED7284"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 xml:space="preserve">RR (95%CI) </w:t>
            </w:r>
          </w:p>
        </w:tc>
        <w:tc>
          <w:tcPr>
            <w:tcW w:w="1231" w:type="dxa"/>
          </w:tcPr>
          <w:p w14:paraId="114F1ED4" w14:textId="77777777" w:rsidR="005B1CC6" w:rsidRPr="00BE269A" w:rsidRDefault="005B1CC6" w:rsidP="00BE269A">
            <w:pPr>
              <w:jc w:val="center"/>
              <w:rPr>
                <w:rFonts w:ascii="Arial" w:hAnsi="Arial" w:cs="Arial"/>
                <w:b/>
                <w:bCs/>
                <w:sz w:val="20"/>
                <w:szCs w:val="20"/>
              </w:rPr>
            </w:pPr>
            <w:r w:rsidRPr="00BE269A">
              <w:rPr>
                <w:rFonts w:ascii="Arial" w:hAnsi="Arial" w:cs="Arial"/>
                <w:b/>
                <w:bCs/>
                <w:sz w:val="20"/>
                <w:szCs w:val="20"/>
              </w:rPr>
              <w:t xml:space="preserve">NNH (95% CI </w:t>
            </w:r>
          </w:p>
        </w:tc>
      </w:tr>
      <w:tr w:rsidR="005B1CC6" w:rsidRPr="00BE269A" w14:paraId="53335C87" w14:textId="77777777" w:rsidTr="00CC6BB8">
        <w:tc>
          <w:tcPr>
            <w:tcW w:w="994" w:type="dxa"/>
          </w:tcPr>
          <w:p w14:paraId="75EBBE7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w:t>
            </w:r>
          </w:p>
        </w:tc>
        <w:tc>
          <w:tcPr>
            <w:tcW w:w="1355" w:type="dxa"/>
          </w:tcPr>
          <w:p w14:paraId="6FF7A211" w14:textId="1B35E041" w:rsidR="005B1CC6" w:rsidRPr="00BE269A" w:rsidRDefault="001845A9" w:rsidP="00BE269A">
            <w:pPr>
              <w:jc w:val="center"/>
              <w:rPr>
                <w:rFonts w:ascii="Arial" w:hAnsi="Arial" w:cs="Arial"/>
                <w:sz w:val="20"/>
                <w:szCs w:val="20"/>
              </w:rPr>
            </w:pPr>
            <w:r w:rsidRPr="00BE269A">
              <w:rPr>
                <w:rFonts w:ascii="Arial" w:hAnsi="Arial" w:cs="Arial"/>
                <w:sz w:val="20"/>
                <w:szCs w:val="20"/>
              </w:rPr>
              <w:t>R</w:t>
            </w:r>
            <w:r w:rsidR="00A61BA1" w:rsidRPr="00BE269A">
              <w:rPr>
                <w:rFonts w:ascii="Arial" w:hAnsi="Arial" w:cs="Arial"/>
                <w:sz w:val="20"/>
                <w:szCs w:val="20"/>
              </w:rPr>
              <w:t>ef</w:t>
            </w:r>
          </w:p>
        </w:tc>
        <w:tc>
          <w:tcPr>
            <w:tcW w:w="1631" w:type="dxa"/>
          </w:tcPr>
          <w:p w14:paraId="0A114C4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-9.7</w:t>
            </w:r>
          </w:p>
        </w:tc>
        <w:tc>
          <w:tcPr>
            <w:tcW w:w="1354" w:type="dxa"/>
          </w:tcPr>
          <w:p w14:paraId="54A915FD" w14:textId="0018EEEA" w:rsidR="005B1CC6" w:rsidRPr="00BE269A" w:rsidRDefault="001845A9" w:rsidP="00BE269A">
            <w:pPr>
              <w:jc w:val="center"/>
              <w:rPr>
                <w:rFonts w:ascii="Arial" w:hAnsi="Arial" w:cs="Arial"/>
                <w:sz w:val="20"/>
                <w:szCs w:val="20"/>
              </w:rPr>
            </w:pPr>
            <w:r w:rsidRPr="00BE269A">
              <w:rPr>
                <w:rFonts w:ascii="Arial" w:hAnsi="Arial" w:cs="Arial"/>
                <w:sz w:val="20"/>
                <w:szCs w:val="20"/>
              </w:rPr>
              <w:t>R</w:t>
            </w:r>
            <w:r w:rsidR="00A61BA1" w:rsidRPr="00BE269A">
              <w:rPr>
                <w:rFonts w:ascii="Arial" w:hAnsi="Arial" w:cs="Arial"/>
                <w:sz w:val="20"/>
                <w:szCs w:val="20"/>
              </w:rPr>
              <w:t>ef</w:t>
            </w:r>
          </w:p>
        </w:tc>
        <w:tc>
          <w:tcPr>
            <w:tcW w:w="1630" w:type="dxa"/>
          </w:tcPr>
          <w:p w14:paraId="75BD79F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-9.7</w:t>
            </w:r>
          </w:p>
        </w:tc>
        <w:tc>
          <w:tcPr>
            <w:tcW w:w="1233" w:type="dxa"/>
          </w:tcPr>
          <w:p w14:paraId="00FC66D4" w14:textId="5E6A191C" w:rsidR="005B1CC6" w:rsidRPr="00BE269A" w:rsidRDefault="001845A9" w:rsidP="00BE269A">
            <w:pPr>
              <w:jc w:val="center"/>
              <w:rPr>
                <w:rFonts w:ascii="Arial" w:hAnsi="Arial" w:cs="Arial"/>
                <w:sz w:val="20"/>
                <w:szCs w:val="20"/>
              </w:rPr>
            </w:pPr>
            <w:r w:rsidRPr="00BE269A">
              <w:rPr>
                <w:rFonts w:ascii="Arial" w:hAnsi="Arial" w:cs="Arial"/>
                <w:sz w:val="20"/>
                <w:szCs w:val="20"/>
              </w:rPr>
              <w:t>R</w:t>
            </w:r>
            <w:r w:rsidR="00A61BA1" w:rsidRPr="00BE269A">
              <w:rPr>
                <w:rFonts w:ascii="Arial" w:hAnsi="Arial" w:cs="Arial"/>
                <w:sz w:val="20"/>
                <w:szCs w:val="20"/>
              </w:rPr>
              <w:t>ef</w:t>
            </w:r>
          </w:p>
        </w:tc>
        <w:tc>
          <w:tcPr>
            <w:tcW w:w="1233" w:type="dxa"/>
          </w:tcPr>
          <w:p w14:paraId="6E0176C1" w14:textId="191EF237" w:rsidR="005B1CC6" w:rsidRPr="00BE269A" w:rsidRDefault="001845A9" w:rsidP="00BE269A">
            <w:pPr>
              <w:jc w:val="center"/>
              <w:rPr>
                <w:rFonts w:ascii="Arial" w:hAnsi="Arial" w:cs="Arial"/>
                <w:sz w:val="20"/>
                <w:szCs w:val="20"/>
              </w:rPr>
            </w:pPr>
            <w:r w:rsidRPr="00BE269A">
              <w:rPr>
                <w:rFonts w:ascii="Arial" w:hAnsi="Arial" w:cs="Arial"/>
                <w:sz w:val="20"/>
                <w:szCs w:val="20"/>
              </w:rPr>
              <w:t>R</w:t>
            </w:r>
            <w:r w:rsidR="00A61BA1" w:rsidRPr="00BE269A">
              <w:rPr>
                <w:rFonts w:ascii="Arial" w:hAnsi="Arial" w:cs="Arial"/>
                <w:sz w:val="20"/>
                <w:szCs w:val="20"/>
              </w:rPr>
              <w:t>ef</w:t>
            </w:r>
          </w:p>
        </w:tc>
        <w:tc>
          <w:tcPr>
            <w:tcW w:w="1231" w:type="dxa"/>
          </w:tcPr>
          <w:p w14:paraId="4935BC9B"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NA</w:t>
            </w:r>
          </w:p>
        </w:tc>
        <w:tc>
          <w:tcPr>
            <w:tcW w:w="1232" w:type="dxa"/>
          </w:tcPr>
          <w:p w14:paraId="2D915A4E" w14:textId="509FD7E3" w:rsidR="005B1CC6" w:rsidRPr="00BE269A" w:rsidRDefault="001845A9" w:rsidP="00BE269A">
            <w:pPr>
              <w:jc w:val="center"/>
              <w:rPr>
                <w:rFonts w:ascii="Arial" w:hAnsi="Arial" w:cs="Arial"/>
                <w:sz w:val="20"/>
                <w:szCs w:val="20"/>
              </w:rPr>
            </w:pPr>
            <w:r w:rsidRPr="00BE269A">
              <w:rPr>
                <w:rFonts w:ascii="Arial" w:hAnsi="Arial" w:cs="Arial"/>
                <w:sz w:val="20"/>
                <w:szCs w:val="20"/>
              </w:rPr>
              <w:t>R</w:t>
            </w:r>
            <w:r w:rsidR="00A61BA1" w:rsidRPr="00BE269A">
              <w:rPr>
                <w:rFonts w:ascii="Arial" w:hAnsi="Arial" w:cs="Arial"/>
                <w:sz w:val="20"/>
                <w:szCs w:val="20"/>
              </w:rPr>
              <w:t>ef</w:t>
            </w:r>
          </w:p>
        </w:tc>
        <w:tc>
          <w:tcPr>
            <w:tcW w:w="1232" w:type="dxa"/>
          </w:tcPr>
          <w:p w14:paraId="3C422D91" w14:textId="5D36B92A" w:rsidR="005B1CC6" w:rsidRPr="00BE269A" w:rsidRDefault="001845A9" w:rsidP="00BE269A">
            <w:pPr>
              <w:jc w:val="center"/>
              <w:rPr>
                <w:rFonts w:ascii="Arial" w:hAnsi="Arial" w:cs="Arial"/>
                <w:sz w:val="20"/>
                <w:szCs w:val="20"/>
              </w:rPr>
            </w:pPr>
            <w:r w:rsidRPr="00BE269A">
              <w:rPr>
                <w:rFonts w:ascii="Arial" w:hAnsi="Arial" w:cs="Arial"/>
                <w:sz w:val="20"/>
                <w:szCs w:val="20"/>
              </w:rPr>
              <w:t>R</w:t>
            </w:r>
            <w:r w:rsidR="00A61BA1" w:rsidRPr="00BE269A">
              <w:rPr>
                <w:rFonts w:ascii="Arial" w:hAnsi="Arial" w:cs="Arial"/>
                <w:sz w:val="20"/>
                <w:szCs w:val="20"/>
              </w:rPr>
              <w:t>ef</w:t>
            </w:r>
          </w:p>
        </w:tc>
        <w:tc>
          <w:tcPr>
            <w:tcW w:w="1231" w:type="dxa"/>
          </w:tcPr>
          <w:p w14:paraId="51DAD53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NA</w:t>
            </w:r>
          </w:p>
        </w:tc>
      </w:tr>
      <w:tr w:rsidR="005B1CC6" w:rsidRPr="00BE269A" w14:paraId="775CC086" w14:textId="77777777" w:rsidTr="00CC6BB8">
        <w:tc>
          <w:tcPr>
            <w:tcW w:w="994" w:type="dxa"/>
          </w:tcPr>
          <w:p w14:paraId="747178F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5</w:t>
            </w:r>
          </w:p>
        </w:tc>
        <w:tc>
          <w:tcPr>
            <w:tcW w:w="1355" w:type="dxa"/>
          </w:tcPr>
          <w:p w14:paraId="40397D7B"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-0.06 (-0.08 to -0.04)</w:t>
            </w:r>
          </w:p>
        </w:tc>
        <w:tc>
          <w:tcPr>
            <w:tcW w:w="1631" w:type="dxa"/>
          </w:tcPr>
          <w:p w14:paraId="788FBFE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-9.76 (-9.99 to -9.53)</w:t>
            </w:r>
          </w:p>
        </w:tc>
        <w:tc>
          <w:tcPr>
            <w:tcW w:w="1354" w:type="dxa"/>
          </w:tcPr>
          <w:p w14:paraId="3DC21A8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-0.14 (-0.18 to -0.10)</w:t>
            </w:r>
          </w:p>
        </w:tc>
        <w:tc>
          <w:tcPr>
            <w:tcW w:w="1630" w:type="dxa"/>
          </w:tcPr>
          <w:p w14:paraId="5A80483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-10.68 (-11.14 to -10.22)</w:t>
            </w:r>
          </w:p>
        </w:tc>
        <w:tc>
          <w:tcPr>
            <w:tcW w:w="1233" w:type="dxa"/>
          </w:tcPr>
          <w:p w14:paraId="066049E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1.12 (1.06 to 1.18)</w:t>
            </w:r>
          </w:p>
        </w:tc>
        <w:tc>
          <w:tcPr>
            <w:tcW w:w="1233" w:type="dxa"/>
          </w:tcPr>
          <w:p w14:paraId="36FF81BA"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1.12 (1.06 to 1.18)</w:t>
            </w:r>
          </w:p>
        </w:tc>
        <w:tc>
          <w:tcPr>
            <w:tcW w:w="1231" w:type="dxa"/>
          </w:tcPr>
          <w:p w14:paraId="0320848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412 (275 to 823)</w:t>
            </w:r>
          </w:p>
        </w:tc>
        <w:tc>
          <w:tcPr>
            <w:tcW w:w="1232" w:type="dxa"/>
          </w:tcPr>
          <w:p w14:paraId="11880ABA"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1.07 (1.02 to 1.13)</w:t>
            </w:r>
          </w:p>
        </w:tc>
        <w:tc>
          <w:tcPr>
            <w:tcW w:w="1232" w:type="dxa"/>
          </w:tcPr>
          <w:p w14:paraId="2B104E7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1.07 (1.02 to 1.13)</w:t>
            </w:r>
          </w:p>
        </w:tc>
        <w:tc>
          <w:tcPr>
            <w:tcW w:w="1231" w:type="dxa"/>
          </w:tcPr>
          <w:p w14:paraId="2B9E6A3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706 (380 to 2,468)</w:t>
            </w:r>
          </w:p>
        </w:tc>
      </w:tr>
      <w:tr w:rsidR="005B1CC6" w:rsidRPr="00BE269A" w14:paraId="007873CA" w14:textId="77777777" w:rsidTr="00CC6BB8">
        <w:tc>
          <w:tcPr>
            <w:tcW w:w="994" w:type="dxa"/>
          </w:tcPr>
          <w:p w14:paraId="3C52D60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10</w:t>
            </w:r>
          </w:p>
        </w:tc>
        <w:tc>
          <w:tcPr>
            <w:tcW w:w="1355" w:type="dxa"/>
          </w:tcPr>
          <w:p w14:paraId="50E8D1F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-0.13 (-0.17 to -0.09)</w:t>
            </w:r>
          </w:p>
        </w:tc>
        <w:tc>
          <w:tcPr>
            <w:tcW w:w="1631" w:type="dxa"/>
          </w:tcPr>
          <w:p w14:paraId="0ECC806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-10.57 (-11.03 to -10.11)</w:t>
            </w:r>
          </w:p>
        </w:tc>
        <w:tc>
          <w:tcPr>
            <w:tcW w:w="1354" w:type="dxa"/>
          </w:tcPr>
          <w:p w14:paraId="56677AD6"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-0.27 (-0.36 to -0.19)</w:t>
            </w:r>
          </w:p>
        </w:tc>
        <w:tc>
          <w:tcPr>
            <w:tcW w:w="1630" w:type="dxa"/>
          </w:tcPr>
          <w:p w14:paraId="5AE0482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-12.18 (-13.21 to -11.26)</w:t>
            </w:r>
          </w:p>
        </w:tc>
        <w:tc>
          <w:tcPr>
            <w:tcW w:w="1233" w:type="dxa"/>
          </w:tcPr>
          <w:p w14:paraId="693C9C9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1.25 (1.12 to 1.39)</w:t>
            </w:r>
          </w:p>
        </w:tc>
        <w:tc>
          <w:tcPr>
            <w:tcW w:w="1233" w:type="dxa"/>
          </w:tcPr>
          <w:p w14:paraId="554F3A7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1.24 (1.12 to 1.38)</w:t>
            </w:r>
          </w:p>
        </w:tc>
        <w:tc>
          <w:tcPr>
            <w:tcW w:w="1231" w:type="dxa"/>
          </w:tcPr>
          <w:p w14:paraId="5B820419"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198 (128 to 412)</w:t>
            </w:r>
          </w:p>
        </w:tc>
        <w:tc>
          <w:tcPr>
            <w:tcW w:w="1232" w:type="dxa"/>
          </w:tcPr>
          <w:p w14:paraId="25E4275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1.15 (1.04 to 1.28)</w:t>
            </w:r>
          </w:p>
        </w:tc>
        <w:tc>
          <w:tcPr>
            <w:tcW w:w="1232" w:type="dxa"/>
          </w:tcPr>
          <w:p w14:paraId="3CC73DC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1.15 (1.04 to 1.27)</w:t>
            </w:r>
          </w:p>
        </w:tc>
        <w:tc>
          <w:tcPr>
            <w:tcW w:w="1231" w:type="dxa"/>
          </w:tcPr>
          <w:p w14:paraId="4298F19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330 (177 to 1,234)</w:t>
            </w:r>
          </w:p>
        </w:tc>
      </w:tr>
      <w:tr w:rsidR="005B1CC6" w:rsidRPr="00BE269A" w14:paraId="58A75D1F" w14:textId="77777777" w:rsidTr="00CC6BB8">
        <w:tc>
          <w:tcPr>
            <w:tcW w:w="994" w:type="dxa"/>
          </w:tcPr>
          <w:p w14:paraId="27FEC8A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w:t>
            </w:r>
          </w:p>
        </w:tc>
        <w:tc>
          <w:tcPr>
            <w:tcW w:w="1355" w:type="dxa"/>
          </w:tcPr>
          <w:p w14:paraId="74637D76"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-0.19 (-0.25 to -0.13)</w:t>
            </w:r>
          </w:p>
        </w:tc>
        <w:tc>
          <w:tcPr>
            <w:tcW w:w="1631" w:type="dxa"/>
          </w:tcPr>
          <w:p w14:paraId="27D10D5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-11.26 (-11.95 to -10.57)</w:t>
            </w:r>
          </w:p>
        </w:tc>
        <w:tc>
          <w:tcPr>
            <w:tcW w:w="1354" w:type="dxa"/>
          </w:tcPr>
          <w:p w14:paraId="19F8BEC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-0.39 (-0.52 to -0.27)</w:t>
            </w:r>
          </w:p>
        </w:tc>
        <w:tc>
          <w:tcPr>
            <w:tcW w:w="1630" w:type="dxa"/>
          </w:tcPr>
          <w:p w14:paraId="76BCD1A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-13.55 (-15.05 to -12.18)</w:t>
            </w:r>
          </w:p>
        </w:tc>
        <w:tc>
          <w:tcPr>
            <w:tcW w:w="1233" w:type="dxa"/>
          </w:tcPr>
          <w:p w14:paraId="44C303C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1.39 (1.18 to 1.64)</w:t>
            </w:r>
          </w:p>
        </w:tc>
        <w:tc>
          <w:tcPr>
            <w:tcW w:w="1233" w:type="dxa"/>
          </w:tcPr>
          <w:p w14:paraId="0875A21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1.38 (1.18 to 1.62)</w:t>
            </w:r>
          </w:p>
        </w:tc>
        <w:tc>
          <w:tcPr>
            <w:tcW w:w="1231" w:type="dxa"/>
          </w:tcPr>
          <w:p w14:paraId="23D94027"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128 (78 to 275)</w:t>
            </w:r>
          </w:p>
        </w:tc>
        <w:tc>
          <w:tcPr>
            <w:tcW w:w="1232" w:type="dxa"/>
          </w:tcPr>
          <w:p w14:paraId="607ED72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1.24 (1.06 to 1.45)</w:t>
            </w:r>
          </w:p>
        </w:tc>
        <w:tc>
          <w:tcPr>
            <w:tcW w:w="1232" w:type="dxa"/>
          </w:tcPr>
          <w:p w14:paraId="7D11F6B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1.23 (1.06 to 1.44)</w:t>
            </w:r>
          </w:p>
        </w:tc>
        <w:tc>
          <w:tcPr>
            <w:tcW w:w="1231" w:type="dxa"/>
          </w:tcPr>
          <w:p w14:paraId="3531F596"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207 (111 to 823)</w:t>
            </w:r>
          </w:p>
        </w:tc>
      </w:tr>
      <w:tr w:rsidR="005B1CC6" w:rsidRPr="00BE269A" w14:paraId="69B14A20" w14:textId="77777777" w:rsidTr="00CC6BB8">
        <w:tc>
          <w:tcPr>
            <w:tcW w:w="994" w:type="dxa"/>
          </w:tcPr>
          <w:p w14:paraId="27AC621A"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20</w:t>
            </w:r>
          </w:p>
        </w:tc>
        <w:tc>
          <w:tcPr>
            <w:tcW w:w="1355" w:type="dxa"/>
          </w:tcPr>
          <w:p w14:paraId="1B3C523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-0.25 (-0.32 to -0.17)</w:t>
            </w:r>
          </w:p>
        </w:tc>
        <w:tc>
          <w:tcPr>
            <w:tcW w:w="1631" w:type="dxa"/>
          </w:tcPr>
          <w:p w14:paraId="742BE35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-11.95 (-12.75 to -11.03)</w:t>
            </w:r>
          </w:p>
        </w:tc>
        <w:tc>
          <w:tcPr>
            <w:tcW w:w="1354" w:type="dxa"/>
          </w:tcPr>
          <w:p w14:paraId="52BDAA7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-0.49 (-0.64 to -0.34)</w:t>
            </w:r>
          </w:p>
        </w:tc>
        <w:tc>
          <w:tcPr>
            <w:tcW w:w="1630" w:type="dxa"/>
          </w:tcPr>
          <w:p w14:paraId="51418F0A"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-14.70 (-16.43 to -12.98)</w:t>
            </w:r>
          </w:p>
        </w:tc>
        <w:tc>
          <w:tcPr>
            <w:tcW w:w="1233" w:type="dxa"/>
          </w:tcPr>
          <w:p w14:paraId="5B195D7B" w14:textId="1A0FF5C0" w:rsidR="005B1CC6" w:rsidRPr="00BE269A" w:rsidRDefault="005B1CC6" w:rsidP="00BE269A">
            <w:pPr>
              <w:jc w:val="center"/>
              <w:rPr>
                <w:rFonts w:ascii="Arial" w:hAnsi="Arial" w:cs="Arial"/>
                <w:sz w:val="20"/>
                <w:szCs w:val="20"/>
              </w:rPr>
            </w:pPr>
            <w:r w:rsidRPr="00BE269A">
              <w:rPr>
                <w:rFonts w:ascii="Arial" w:hAnsi="Arial" w:cs="Arial"/>
                <w:sz w:val="20"/>
                <w:szCs w:val="20"/>
              </w:rPr>
              <w:t>1.55 (1.25 to 1.9</w:t>
            </w:r>
            <w:r w:rsidR="006712C7" w:rsidRPr="00BE269A">
              <w:rPr>
                <w:rFonts w:ascii="Arial" w:hAnsi="Arial" w:cs="Arial"/>
                <w:sz w:val="20"/>
                <w:szCs w:val="20"/>
              </w:rPr>
              <w:t>4</w:t>
            </w:r>
            <w:r w:rsidRPr="00BE269A">
              <w:rPr>
                <w:rFonts w:ascii="Arial" w:hAnsi="Arial" w:cs="Arial"/>
                <w:sz w:val="20"/>
                <w:szCs w:val="20"/>
              </w:rPr>
              <w:t>)</w:t>
            </w:r>
          </w:p>
        </w:tc>
        <w:tc>
          <w:tcPr>
            <w:tcW w:w="1233" w:type="dxa"/>
          </w:tcPr>
          <w:p w14:paraId="77241245" w14:textId="38B1A8C8" w:rsidR="005B1CC6" w:rsidRPr="00BE269A" w:rsidRDefault="005B1CC6" w:rsidP="00BE269A">
            <w:pPr>
              <w:jc w:val="center"/>
              <w:rPr>
                <w:rFonts w:ascii="Arial" w:hAnsi="Arial" w:cs="Arial"/>
                <w:sz w:val="20"/>
                <w:szCs w:val="20"/>
              </w:rPr>
            </w:pPr>
            <w:r w:rsidRPr="00BE269A">
              <w:rPr>
                <w:rFonts w:ascii="Arial" w:hAnsi="Arial" w:cs="Arial"/>
                <w:sz w:val="20"/>
                <w:szCs w:val="20"/>
              </w:rPr>
              <w:t>1.53 (1.24 to 1.9</w:t>
            </w:r>
            <w:r w:rsidR="00597CC3" w:rsidRPr="00BE269A">
              <w:rPr>
                <w:rFonts w:ascii="Arial" w:hAnsi="Arial" w:cs="Arial"/>
                <w:sz w:val="20"/>
                <w:szCs w:val="20"/>
              </w:rPr>
              <w:t>0</w:t>
            </w:r>
            <w:r w:rsidRPr="00BE269A">
              <w:rPr>
                <w:rFonts w:ascii="Arial" w:hAnsi="Arial" w:cs="Arial"/>
                <w:sz w:val="20"/>
                <w:szCs w:val="20"/>
              </w:rPr>
              <w:t>)</w:t>
            </w:r>
          </w:p>
        </w:tc>
        <w:tc>
          <w:tcPr>
            <w:tcW w:w="1231" w:type="dxa"/>
          </w:tcPr>
          <w:p w14:paraId="3DDDD20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91 (54 to 198)</w:t>
            </w:r>
          </w:p>
        </w:tc>
        <w:tc>
          <w:tcPr>
            <w:tcW w:w="1232" w:type="dxa"/>
          </w:tcPr>
          <w:p w14:paraId="01D05FF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1.33 (1.08 to 1.64)</w:t>
            </w:r>
          </w:p>
        </w:tc>
        <w:tc>
          <w:tcPr>
            <w:tcW w:w="1232" w:type="dxa"/>
          </w:tcPr>
          <w:p w14:paraId="31FF653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1.32 (1.08 to 1.62)</w:t>
            </w:r>
          </w:p>
        </w:tc>
        <w:tc>
          <w:tcPr>
            <w:tcW w:w="1231" w:type="dxa"/>
          </w:tcPr>
          <w:p w14:paraId="2DDBF0CA"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151 (78 to 618)</w:t>
            </w:r>
          </w:p>
        </w:tc>
      </w:tr>
      <w:tr w:rsidR="005B1CC6" w:rsidRPr="00BE269A" w14:paraId="7BDD53BB" w14:textId="77777777" w:rsidTr="00CC6BB8">
        <w:tc>
          <w:tcPr>
            <w:tcW w:w="994" w:type="dxa"/>
          </w:tcPr>
          <w:p w14:paraId="5175982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25</w:t>
            </w:r>
          </w:p>
        </w:tc>
        <w:tc>
          <w:tcPr>
            <w:tcW w:w="1355" w:type="dxa"/>
          </w:tcPr>
          <w:p w14:paraId="275BB51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-0.30 (-0.39 to -0.21)</w:t>
            </w:r>
          </w:p>
        </w:tc>
        <w:tc>
          <w:tcPr>
            <w:tcW w:w="1631" w:type="dxa"/>
          </w:tcPr>
          <w:p w14:paraId="043E01E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-12.52 (-13.55 to -11.48)</w:t>
            </w:r>
          </w:p>
        </w:tc>
        <w:tc>
          <w:tcPr>
            <w:tcW w:w="1354" w:type="dxa"/>
          </w:tcPr>
          <w:p w14:paraId="59DCB624"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-0.56 (-0.73 to -0.39)</w:t>
            </w:r>
          </w:p>
        </w:tc>
        <w:tc>
          <w:tcPr>
            <w:tcW w:w="1630" w:type="dxa"/>
          </w:tcPr>
          <w:p w14:paraId="03446324"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-15.51 (-17.46 to -13.55)</w:t>
            </w:r>
          </w:p>
        </w:tc>
        <w:tc>
          <w:tcPr>
            <w:tcW w:w="1233" w:type="dxa"/>
          </w:tcPr>
          <w:p w14:paraId="719C0A4E" w14:textId="39C93D26" w:rsidR="005B1CC6" w:rsidRPr="00BE269A" w:rsidRDefault="005B1CC6" w:rsidP="00BE269A">
            <w:pPr>
              <w:jc w:val="center"/>
              <w:rPr>
                <w:rFonts w:ascii="Arial" w:hAnsi="Arial" w:cs="Arial"/>
                <w:sz w:val="20"/>
                <w:szCs w:val="20"/>
              </w:rPr>
            </w:pPr>
            <w:r w:rsidRPr="00BE269A">
              <w:rPr>
                <w:rFonts w:ascii="Arial" w:hAnsi="Arial" w:cs="Arial"/>
                <w:sz w:val="20"/>
                <w:szCs w:val="20"/>
              </w:rPr>
              <w:t>1.7</w:t>
            </w:r>
            <w:r w:rsidR="006712C7" w:rsidRPr="00BE269A">
              <w:rPr>
                <w:rFonts w:ascii="Arial" w:hAnsi="Arial" w:cs="Arial"/>
                <w:sz w:val="20"/>
                <w:szCs w:val="20"/>
              </w:rPr>
              <w:t>4</w:t>
            </w:r>
            <w:r w:rsidRPr="00BE269A">
              <w:rPr>
                <w:rFonts w:ascii="Arial" w:hAnsi="Arial" w:cs="Arial"/>
                <w:sz w:val="20"/>
                <w:szCs w:val="20"/>
              </w:rPr>
              <w:t xml:space="preserve"> (1.32 to 2.28)</w:t>
            </w:r>
          </w:p>
        </w:tc>
        <w:tc>
          <w:tcPr>
            <w:tcW w:w="1233" w:type="dxa"/>
          </w:tcPr>
          <w:p w14:paraId="0A445551" w14:textId="59818A41" w:rsidR="005B1CC6" w:rsidRPr="00BE269A" w:rsidRDefault="005B1CC6" w:rsidP="00BE269A">
            <w:pPr>
              <w:jc w:val="center"/>
              <w:rPr>
                <w:rFonts w:ascii="Arial" w:hAnsi="Arial" w:cs="Arial"/>
                <w:sz w:val="20"/>
                <w:szCs w:val="20"/>
              </w:rPr>
            </w:pPr>
            <w:r w:rsidRPr="00BE269A">
              <w:rPr>
                <w:rFonts w:ascii="Arial" w:hAnsi="Arial" w:cs="Arial"/>
                <w:sz w:val="20"/>
                <w:szCs w:val="20"/>
              </w:rPr>
              <w:t>1.7</w:t>
            </w:r>
            <w:r w:rsidR="00597CC3" w:rsidRPr="00BE269A">
              <w:rPr>
                <w:rFonts w:ascii="Arial" w:hAnsi="Arial" w:cs="Arial"/>
                <w:sz w:val="20"/>
                <w:szCs w:val="20"/>
              </w:rPr>
              <w:t>1</w:t>
            </w:r>
            <w:r w:rsidRPr="00BE269A">
              <w:rPr>
                <w:rFonts w:ascii="Arial" w:hAnsi="Arial" w:cs="Arial"/>
                <w:sz w:val="20"/>
                <w:szCs w:val="20"/>
              </w:rPr>
              <w:t xml:space="preserve"> (1.31 to 2.22)</w:t>
            </w:r>
          </w:p>
        </w:tc>
        <w:tc>
          <w:tcPr>
            <w:tcW w:w="1231" w:type="dxa"/>
          </w:tcPr>
          <w:p w14:paraId="7A89BC18" w14:textId="351D01CF" w:rsidR="005B1CC6" w:rsidRPr="00BE269A" w:rsidRDefault="005B1CC6" w:rsidP="00BE269A">
            <w:pPr>
              <w:jc w:val="center"/>
              <w:rPr>
                <w:rFonts w:ascii="Arial" w:hAnsi="Arial" w:cs="Arial"/>
                <w:sz w:val="20"/>
                <w:szCs w:val="20"/>
              </w:rPr>
            </w:pPr>
            <w:r w:rsidRPr="00BE269A">
              <w:rPr>
                <w:rFonts w:ascii="Arial" w:hAnsi="Arial" w:cs="Arial"/>
                <w:sz w:val="20"/>
                <w:szCs w:val="20"/>
              </w:rPr>
              <w:t>6</w:t>
            </w:r>
            <w:r w:rsidR="00BA3A03" w:rsidRPr="00BE269A">
              <w:rPr>
                <w:rFonts w:ascii="Arial" w:hAnsi="Arial" w:cs="Arial"/>
                <w:sz w:val="20"/>
                <w:szCs w:val="20"/>
              </w:rPr>
              <w:t>8</w:t>
            </w:r>
            <w:r w:rsidRPr="00BE269A">
              <w:rPr>
                <w:rFonts w:ascii="Arial" w:hAnsi="Arial" w:cs="Arial"/>
                <w:sz w:val="20"/>
                <w:szCs w:val="20"/>
              </w:rPr>
              <w:t xml:space="preserve"> (40 to 155)</w:t>
            </w:r>
          </w:p>
        </w:tc>
        <w:tc>
          <w:tcPr>
            <w:tcW w:w="1232" w:type="dxa"/>
          </w:tcPr>
          <w:p w14:paraId="1101E35A"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1.43 (1.11 to 1.85)</w:t>
            </w:r>
          </w:p>
        </w:tc>
        <w:tc>
          <w:tcPr>
            <w:tcW w:w="1232" w:type="dxa"/>
          </w:tcPr>
          <w:p w14:paraId="107BA646"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1.42 (1.11 to 1.82)</w:t>
            </w:r>
          </w:p>
        </w:tc>
        <w:tc>
          <w:tcPr>
            <w:tcW w:w="1231" w:type="dxa"/>
          </w:tcPr>
          <w:p w14:paraId="72A6963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116 (59 to 449)</w:t>
            </w:r>
          </w:p>
        </w:tc>
      </w:tr>
      <w:tr w:rsidR="005B1CC6" w:rsidRPr="00BE269A" w14:paraId="07F63D93" w14:textId="77777777" w:rsidTr="00CC6BB8">
        <w:tc>
          <w:tcPr>
            <w:tcW w:w="994" w:type="dxa"/>
          </w:tcPr>
          <w:p w14:paraId="74E21D19"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30</w:t>
            </w:r>
          </w:p>
        </w:tc>
        <w:tc>
          <w:tcPr>
            <w:tcW w:w="1355" w:type="dxa"/>
          </w:tcPr>
          <w:p w14:paraId="21834524"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-0.35 (-0.45 to -0.25)</w:t>
            </w:r>
          </w:p>
        </w:tc>
        <w:tc>
          <w:tcPr>
            <w:tcW w:w="1631" w:type="dxa"/>
          </w:tcPr>
          <w:p w14:paraId="44002FB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-13.09 (-14.25 to -11.95)</w:t>
            </w:r>
          </w:p>
        </w:tc>
        <w:tc>
          <w:tcPr>
            <w:tcW w:w="1354" w:type="dxa"/>
          </w:tcPr>
          <w:p w14:paraId="5632B3A7"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-0.61 (-0.79 to -0.42)</w:t>
            </w:r>
          </w:p>
        </w:tc>
        <w:tc>
          <w:tcPr>
            <w:tcW w:w="1630" w:type="dxa"/>
          </w:tcPr>
          <w:p w14:paraId="7222EE66"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-16.09 (-18.16 to -13.90)</w:t>
            </w:r>
          </w:p>
        </w:tc>
        <w:tc>
          <w:tcPr>
            <w:tcW w:w="1233" w:type="dxa"/>
          </w:tcPr>
          <w:p w14:paraId="4120AC00" w14:textId="7AD603C8" w:rsidR="005B1CC6" w:rsidRPr="00BE269A" w:rsidRDefault="005B1CC6" w:rsidP="00BE269A">
            <w:pPr>
              <w:jc w:val="center"/>
              <w:rPr>
                <w:rFonts w:ascii="Arial" w:hAnsi="Arial" w:cs="Arial"/>
                <w:sz w:val="20"/>
                <w:szCs w:val="20"/>
              </w:rPr>
            </w:pPr>
            <w:r w:rsidRPr="00BE269A">
              <w:rPr>
                <w:rFonts w:ascii="Arial" w:hAnsi="Arial" w:cs="Arial"/>
                <w:sz w:val="20"/>
                <w:szCs w:val="20"/>
              </w:rPr>
              <w:t>1.9</w:t>
            </w:r>
            <w:r w:rsidR="006712C7" w:rsidRPr="00BE269A">
              <w:rPr>
                <w:rFonts w:ascii="Arial" w:hAnsi="Arial" w:cs="Arial"/>
                <w:sz w:val="20"/>
                <w:szCs w:val="20"/>
              </w:rPr>
              <w:t>4</w:t>
            </w:r>
            <w:r w:rsidRPr="00BE269A">
              <w:rPr>
                <w:rFonts w:ascii="Arial" w:hAnsi="Arial" w:cs="Arial"/>
                <w:sz w:val="20"/>
                <w:szCs w:val="20"/>
              </w:rPr>
              <w:t xml:space="preserve"> (1.39 to 2.6</w:t>
            </w:r>
            <w:r w:rsidR="006712C7" w:rsidRPr="00BE269A">
              <w:rPr>
                <w:rFonts w:ascii="Arial" w:hAnsi="Arial" w:cs="Arial"/>
                <w:sz w:val="20"/>
                <w:szCs w:val="20"/>
              </w:rPr>
              <w:t>9</w:t>
            </w:r>
            <w:r w:rsidRPr="00BE269A">
              <w:rPr>
                <w:rFonts w:ascii="Arial" w:hAnsi="Arial" w:cs="Arial"/>
                <w:sz w:val="20"/>
                <w:szCs w:val="20"/>
              </w:rPr>
              <w:t>)</w:t>
            </w:r>
          </w:p>
        </w:tc>
        <w:tc>
          <w:tcPr>
            <w:tcW w:w="1233" w:type="dxa"/>
          </w:tcPr>
          <w:p w14:paraId="1D735A0A" w14:textId="5C2525A4" w:rsidR="005B1CC6" w:rsidRPr="00BE269A" w:rsidRDefault="005B1CC6" w:rsidP="00BE269A">
            <w:pPr>
              <w:jc w:val="center"/>
              <w:rPr>
                <w:rFonts w:ascii="Arial" w:hAnsi="Arial" w:cs="Arial"/>
                <w:sz w:val="20"/>
                <w:szCs w:val="20"/>
              </w:rPr>
            </w:pPr>
            <w:r w:rsidRPr="00BE269A">
              <w:rPr>
                <w:rFonts w:ascii="Arial" w:hAnsi="Arial" w:cs="Arial"/>
                <w:sz w:val="20"/>
                <w:szCs w:val="20"/>
              </w:rPr>
              <w:t>1.9</w:t>
            </w:r>
            <w:r w:rsidR="00597CC3" w:rsidRPr="00BE269A">
              <w:rPr>
                <w:rFonts w:ascii="Arial" w:hAnsi="Arial" w:cs="Arial"/>
                <w:sz w:val="20"/>
                <w:szCs w:val="20"/>
              </w:rPr>
              <w:t>0</w:t>
            </w:r>
            <w:r w:rsidRPr="00BE269A">
              <w:rPr>
                <w:rFonts w:ascii="Arial" w:hAnsi="Arial" w:cs="Arial"/>
                <w:sz w:val="20"/>
                <w:szCs w:val="20"/>
              </w:rPr>
              <w:t xml:space="preserve"> (1.38 to 2.</w:t>
            </w:r>
            <w:r w:rsidR="00597CC3" w:rsidRPr="00BE269A">
              <w:rPr>
                <w:rFonts w:ascii="Arial" w:hAnsi="Arial" w:cs="Arial"/>
                <w:sz w:val="20"/>
                <w:szCs w:val="20"/>
              </w:rPr>
              <w:t>60</w:t>
            </w:r>
            <w:r w:rsidRPr="00BE269A">
              <w:rPr>
                <w:rFonts w:ascii="Arial" w:hAnsi="Arial" w:cs="Arial"/>
                <w:sz w:val="20"/>
                <w:szCs w:val="20"/>
              </w:rPr>
              <w:t>)</w:t>
            </w:r>
          </w:p>
        </w:tc>
        <w:tc>
          <w:tcPr>
            <w:tcW w:w="1231" w:type="dxa"/>
          </w:tcPr>
          <w:p w14:paraId="6D51E38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54 (30 to 128)</w:t>
            </w:r>
          </w:p>
        </w:tc>
        <w:tc>
          <w:tcPr>
            <w:tcW w:w="1232" w:type="dxa"/>
          </w:tcPr>
          <w:p w14:paraId="7992D78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1.54 (1.13 to 2.09)</w:t>
            </w:r>
          </w:p>
        </w:tc>
        <w:tc>
          <w:tcPr>
            <w:tcW w:w="1232" w:type="dxa"/>
          </w:tcPr>
          <w:p w14:paraId="11646C3B"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1.52 (1.13 to 2.04)</w:t>
            </w:r>
          </w:p>
        </w:tc>
        <w:tc>
          <w:tcPr>
            <w:tcW w:w="1231" w:type="dxa"/>
          </w:tcPr>
          <w:p w14:paraId="5498E0D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92 (46 to 380)</w:t>
            </w:r>
          </w:p>
        </w:tc>
      </w:tr>
      <w:tr w:rsidR="005B1CC6" w:rsidRPr="00BE269A" w14:paraId="0B99B27F" w14:textId="77777777" w:rsidTr="00CC6BB8">
        <w:tc>
          <w:tcPr>
            <w:tcW w:w="994" w:type="dxa"/>
          </w:tcPr>
          <w:p w14:paraId="0CA4DCF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35</w:t>
            </w:r>
          </w:p>
        </w:tc>
        <w:tc>
          <w:tcPr>
            <w:tcW w:w="1355" w:type="dxa"/>
          </w:tcPr>
          <w:p w14:paraId="2BBE8C4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-0.40 (-0.51 to -0.29)</w:t>
            </w:r>
          </w:p>
        </w:tc>
        <w:tc>
          <w:tcPr>
            <w:tcW w:w="1631" w:type="dxa"/>
          </w:tcPr>
          <w:p w14:paraId="4819879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-13.67 (-14.94 to -12.41)</w:t>
            </w:r>
          </w:p>
        </w:tc>
        <w:tc>
          <w:tcPr>
            <w:tcW w:w="1354" w:type="dxa"/>
          </w:tcPr>
          <w:p w14:paraId="1673A45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-0.63 (-0.81 to -0.44)</w:t>
            </w:r>
          </w:p>
        </w:tc>
        <w:tc>
          <w:tcPr>
            <w:tcW w:w="1630" w:type="dxa"/>
          </w:tcPr>
          <w:p w14:paraId="6D747A7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-16.32 (-18.39 to -14.13)</w:t>
            </w:r>
          </w:p>
        </w:tc>
        <w:tc>
          <w:tcPr>
            <w:tcW w:w="1233" w:type="dxa"/>
          </w:tcPr>
          <w:p w14:paraId="288A1CEA" w14:textId="7924CA0A" w:rsidR="005B1CC6" w:rsidRPr="00BE269A" w:rsidRDefault="005B1CC6" w:rsidP="00BE269A">
            <w:pPr>
              <w:jc w:val="center"/>
              <w:rPr>
                <w:rFonts w:ascii="Arial" w:hAnsi="Arial" w:cs="Arial"/>
                <w:sz w:val="20"/>
                <w:szCs w:val="20"/>
              </w:rPr>
            </w:pPr>
            <w:r w:rsidRPr="00BE269A">
              <w:rPr>
                <w:rFonts w:ascii="Arial" w:hAnsi="Arial" w:cs="Arial"/>
                <w:sz w:val="20"/>
                <w:szCs w:val="20"/>
              </w:rPr>
              <w:t>2.16 (1.47 to 3.1</w:t>
            </w:r>
            <w:r w:rsidR="006712C7" w:rsidRPr="00BE269A">
              <w:rPr>
                <w:rFonts w:ascii="Arial" w:hAnsi="Arial" w:cs="Arial"/>
                <w:sz w:val="20"/>
                <w:szCs w:val="20"/>
              </w:rPr>
              <w:t>8</w:t>
            </w:r>
            <w:r w:rsidRPr="00BE269A">
              <w:rPr>
                <w:rFonts w:ascii="Arial" w:hAnsi="Arial" w:cs="Arial"/>
                <w:sz w:val="20"/>
                <w:szCs w:val="20"/>
              </w:rPr>
              <w:t>)</w:t>
            </w:r>
          </w:p>
        </w:tc>
        <w:tc>
          <w:tcPr>
            <w:tcW w:w="1233" w:type="dxa"/>
          </w:tcPr>
          <w:p w14:paraId="55840B28" w14:textId="68F9628A" w:rsidR="005B1CC6" w:rsidRPr="00BE269A" w:rsidRDefault="005B1CC6" w:rsidP="00BE269A">
            <w:pPr>
              <w:jc w:val="center"/>
              <w:rPr>
                <w:rFonts w:ascii="Arial" w:hAnsi="Arial" w:cs="Arial"/>
                <w:sz w:val="20"/>
                <w:szCs w:val="20"/>
              </w:rPr>
            </w:pPr>
            <w:r w:rsidRPr="00BE269A">
              <w:rPr>
                <w:rFonts w:ascii="Arial" w:hAnsi="Arial" w:cs="Arial"/>
                <w:sz w:val="20"/>
                <w:szCs w:val="20"/>
              </w:rPr>
              <w:t>2.11 (1.46 to 3.0</w:t>
            </w:r>
            <w:r w:rsidR="00597CC3" w:rsidRPr="00BE269A">
              <w:rPr>
                <w:rFonts w:ascii="Arial" w:hAnsi="Arial" w:cs="Arial"/>
                <w:sz w:val="20"/>
                <w:szCs w:val="20"/>
              </w:rPr>
              <w:t>4</w:t>
            </w:r>
            <w:r w:rsidRPr="00BE269A">
              <w:rPr>
                <w:rFonts w:ascii="Arial" w:hAnsi="Arial" w:cs="Arial"/>
                <w:sz w:val="20"/>
                <w:szCs w:val="20"/>
              </w:rPr>
              <w:t>)</w:t>
            </w:r>
          </w:p>
        </w:tc>
        <w:tc>
          <w:tcPr>
            <w:tcW w:w="1231" w:type="dxa"/>
          </w:tcPr>
          <w:p w14:paraId="45ACE8A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44 (24 to 106)</w:t>
            </w:r>
          </w:p>
        </w:tc>
        <w:tc>
          <w:tcPr>
            <w:tcW w:w="1232" w:type="dxa"/>
          </w:tcPr>
          <w:p w14:paraId="15672B5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1.65 (1.15 to 2.37)</w:t>
            </w:r>
          </w:p>
        </w:tc>
        <w:tc>
          <w:tcPr>
            <w:tcW w:w="1232" w:type="dxa"/>
          </w:tcPr>
          <w:p w14:paraId="31F5563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1.63 (1.15 to 2.30)</w:t>
            </w:r>
          </w:p>
        </w:tc>
        <w:tc>
          <w:tcPr>
            <w:tcW w:w="1231" w:type="dxa"/>
          </w:tcPr>
          <w:p w14:paraId="2BF9074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77 (37 to 330)</w:t>
            </w:r>
          </w:p>
        </w:tc>
      </w:tr>
      <w:tr w:rsidR="005B1CC6" w:rsidRPr="00BE269A" w14:paraId="0249087C" w14:textId="77777777" w:rsidTr="00CC6BB8">
        <w:tc>
          <w:tcPr>
            <w:tcW w:w="994" w:type="dxa"/>
          </w:tcPr>
          <w:p w14:paraId="22617B5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40</w:t>
            </w:r>
          </w:p>
        </w:tc>
        <w:tc>
          <w:tcPr>
            <w:tcW w:w="1355" w:type="dxa"/>
          </w:tcPr>
          <w:p w14:paraId="10C5A43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-0.44 (-0.55 to -0.33)</w:t>
            </w:r>
          </w:p>
        </w:tc>
        <w:tc>
          <w:tcPr>
            <w:tcW w:w="1631" w:type="dxa"/>
          </w:tcPr>
          <w:p w14:paraId="0939327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-14.13 (-15.39 to -12.87)</w:t>
            </w:r>
          </w:p>
        </w:tc>
        <w:tc>
          <w:tcPr>
            <w:tcW w:w="1354" w:type="dxa"/>
          </w:tcPr>
          <w:p w14:paraId="7250BA77"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-0.63 (-0.82 to -0.44)</w:t>
            </w:r>
          </w:p>
        </w:tc>
        <w:tc>
          <w:tcPr>
            <w:tcW w:w="1630" w:type="dxa"/>
          </w:tcPr>
          <w:p w14:paraId="1E0E67E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-16.32 (-18.50 to -14.13)</w:t>
            </w:r>
          </w:p>
        </w:tc>
        <w:tc>
          <w:tcPr>
            <w:tcW w:w="1233" w:type="dxa"/>
          </w:tcPr>
          <w:p w14:paraId="29B41E4C" w14:textId="09864CD8" w:rsidR="005B1CC6" w:rsidRPr="00BE269A" w:rsidRDefault="005B1CC6" w:rsidP="00BE269A">
            <w:pPr>
              <w:jc w:val="center"/>
              <w:rPr>
                <w:rFonts w:ascii="Arial" w:hAnsi="Arial" w:cs="Arial"/>
                <w:sz w:val="20"/>
                <w:szCs w:val="20"/>
              </w:rPr>
            </w:pPr>
            <w:r w:rsidRPr="00BE269A">
              <w:rPr>
                <w:rFonts w:ascii="Arial" w:hAnsi="Arial" w:cs="Arial"/>
                <w:sz w:val="20"/>
                <w:szCs w:val="20"/>
              </w:rPr>
              <w:t>2.4</w:t>
            </w:r>
            <w:r w:rsidR="006712C7" w:rsidRPr="00BE269A">
              <w:rPr>
                <w:rFonts w:ascii="Arial" w:hAnsi="Arial" w:cs="Arial"/>
                <w:sz w:val="20"/>
                <w:szCs w:val="20"/>
              </w:rPr>
              <w:t>2</w:t>
            </w:r>
            <w:r w:rsidRPr="00BE269A">
              <w:rPr>
                <w:rFonts w:ascii="Arial" w:hAnsi="Arial" w:cs="Arial"/>
                <w:sz w:val="20"/>
                <w:szCs w:val="20"/>
              </w:rPr>
              <w:t xml:space="preserve"> (1.56 to 3.7</w:t>
            </w:r>
            <w:r w:rsidR="006712C7" w:rsidRPr="00BE269A">
              <w:rPr>
                <w:rFonts w:ascii="Arial" w:hAnsi="Arial" w:cs="Arial"/>
                <w:sz w:val="20"/>
                <w:szCs w:val="20"/>
              </w:rPr>
              <w:t>5</w:t>
            </w:r>
            <w:r w:rsidRPr="00BE269A">
              <w:rPr>
                <w:rFonts w:ascii="Arial" w:hAnsi="Arial" w:cs="Arial"/>
                <w:sz w:val="20"/>
                <w:szCs w:val="20"/>
              </w:rPr>
              <w:t>)</w:t>
            </w:r>
          </w:p>
        </w:tc>
        <w:tc>
          <w:tcPr>
            <w:tcW w:w="1233" w:type="dxa"/>
          </w:tcPr>
          <w:p w14:paraId="7DFB113D" w14:textId="0874145C" w:rsidR="005B1CC6" w:rsidRPr="00BE269A" w:rsidRDefault="005B1CC6" w:rsidP="00BE269A">
            <w:pPr>
              <w:jc w:val="center"/>
              <w:rPr>
                <w:rFonts w:ascii="Arial" w:hAnsi="Arial" w:cs="Arial"/>
                <w:sz w:val="20"/>
                <w:szCs w:val="20"/>
              </w:rPr>
            </w:pPr>
            <w:r w:rsidRPr="00BE269A">
              <w:rPr>
                <w:rFonts w:ascii="Arial" w:hAnsi="Arial" w:cs="Arial"/>
                <w:sz w:val="20"/>
                <w:szCs w:val="20"/>
              </w:rPr>
              <w:t>2.3</w:t>
            </w:r>
            <w:r w:rsidR="00597CC3" w:rsidRPr="00BE269A">
              <w:rPr>
                <w:rFonts w:ascii="Arial" w:hAnsi="Arial" w:cs="Arial"/>
                <w:sz w:val="20"/>
                <w:szCs w:val="20"/>
              </w:rPr>
              <w:t>5</w:t>
            </w:r>
            <w:r w:rsidRPr="00BE269A">
              <w:rPr>
                <w:rFonts w:ascii="Arial" w:hAnsi="Arial" w:cs="Arial"/>
                <w:sz w:val="20"/>
                <w:szCs w:val="20"/>
              </w:rPr>
              <w:t xml:space="preserve"> (1.54 to 3.5</w:t>
            </w:r>
            <w:r w:rsidR="00597CC3" w:rsidRPr="00BE269A">
              <w:rPr>
                <w:rFonts w:ascii="Arial" w:hAnsi="Arial" w:cs="Arial"/>
                <w:sz w:val="20"/>
                <w:szCs w:val="20"/>
              </w:rPr>
              <w:t>5</w:t>
            </w:r>
            <w:r w:rsidRPr="00BE269A">
              <w:rPr>
                <w:rFonts w:ascii="Arial" w:hAnsi="Arial" w:cs="Arial"/>
                <w:sz w:val="20"/>
                <w:szCs w:val="20"/>
              </w:rPr>
              <w:t>)</w:t>
            </w:r>
          </w:p>
        </w:tc>
        <w:tc>
          <w:tcPr>
            <w:tcW w:w="1231" w:type="dxa"/>
          </w:tcPr>
          <w:p w14:paraId="23D143E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36 (19 to 89)</w:t>
            </w:r>
          </w:p>
        </w:tc>
        <w:tc>
          <w:tcPr>
            <w:tcW w:w="1232" w:type="dxa"/>
          </w:tcPr>
          <w:p w14:paraId="2E25C5D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1.77 (1.18 to 2.68)</w:t>
            </w:r>
          </w:p>
        </w:tc>
        <w:tc>
          <w:tcPr>
            <w:tcW w:w="1232" w:type="dxa"/>
          </w:tcPr>
          <w:p w14:paraId="7A22837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1.74 (1.18 to 2.59)</w:t>
            </w:r>
          </w:p>
        </w:tc>
        <w:tc>
          <w:tcPr>
            <w:tcW w:w="1231" w:type="dxa"/>
          </w:tcPr>
          <w:p w14:paraId="19197FD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65 (30 to 275)</w:t>
            </w:r>
          </w:p>
        </w:tc>
      </w:tr>
      <w:tr w:rsidR="005B1CC6" w:rsidRPr="00BE269A" w14:paraId="34CC41FB" w14:textId="77777777" w:rsidTr="00CC6BB8">
        <w:tc>
          <w:tcPr>
            <w:tcW w:w="994" w:type="dxa"/>
          </w:tcPr>
          <w:p w14:paraId="46D7402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45</w:t>
            </w:r>
          </w:p>
        </w:tc>
        <w:tc>
          <w:tcPr>
            <w:tcW w:w="1355" w:type="dxa"/>
          </w:tcPr>
          <w:p w14:paraId="4AC61B5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-0.47 (-0.59 to -0.36)</w:t>
            </w:r>
          </w:p>
        </w:tc>
        <w:tc>
          <w:tcPr>
            <w:tcW w:w="1631" w:type="dxa"/>
          </w:tcPr>
          <w:p w14:paraId="2D131E3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-14.47 (-15.86 to -13.21)</w:t>
            </w:r>
          </w:p>
        </w:tc>
        <w:tc>
          <w:tcPr>
            <w:tcW w:w="1354" w:type="dxa"/>
          </w:tcPr>
          <w:p w14:paraId="517BD0E4"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-0.63 (-0.82 to -0.43)</w:t>
            </w:r>
          </w:p>
        </w:tc>
        <w:tc>
          <w:tcPr>
            <w:tcW w:w="1630" w:type="dxa"/>
          </w:tcPr>
          <w:p w14:paraId="1609A6A7"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-16.32 (-18.50 to -14.02)</w:t>
            </w:r>
          </w:p>
        </w:tc>
        <w:tc>
          <w:tcPr>
            <w:tcW w:w="1233" w:type="dxa"/>
          </w:tcPr>
          <w:p w14:paraId="0B4B16C2" w14:textId="53D65247" w:rsidR="005B1CC6" w:rsidRPr="00BE269A" w:rsidRDefault="005B1CC6" w:rsidP="00BE269A">
            <w:pPr>
              <w:jc w:val="center"/>
              <w:rPr>
                <w:rFonts w:ascii="Arial" w:hAnsi="Arial" w:cs="Arial"/>
                <w:sz w:val="20"/>
                <w:szCs w:val="20"/>
              </w:rPr>
            </w:pPr>
            <w:r w:rsidRPr="00BE269A">
              <w:rPr>
                <w:rFonts w:ascii="Arial" w:hAnsi="Arial" w:cs="Arial"/>
                <w:sz w:val="20"/>
                <w:szCs w:val="20"/>
              </w:rPr>
              <w:t>2.</w:t>
            </w:r>
            <w:r w:rsidR="006712C7" w:rsidRPr="00BE269A">
              <w:rPr>
                <w:rFonts w:ascii="Arial" w:hAnsi="Arial" w:cs="Arial"/>
                <w:sz w:val="20"/>
                <w:szCs w:val="20"/>
              </w:rPr>
              <w:t>7</w:t>
            </w:r>
            <w:r w:rsidRPr="00BE269A">
              <w:rPr>
                <w:rFonts w:ascii="Arial" w:hAnsi="Arial" w:cs="Arial"/>
                <w:sz w:val="20"/>
                <w:szCs w:val="20"/>
              </w:rPr>
              <w:t xml:space="preserve"> (1.65 to 4.4</w:t>
            </w:r>
            <w:r w:rsidR="006712C7" w:rsidRPr="00BE269A">
              <w:rPr>
                <w:rFonts w:ascii="Arial" w:hAnsi="Arial" w:cs="Arial"/>
                <w:sz w:val="20"/>
                <w:szCs w:val="20"/>
              </w:rPr>
              <w:t>2</w:t>
            </w:r>
            <w:r w:rsidRPr="00BE269A">
              <w:rPr>
                <w:rFonts w:ascii="Arial" w:hAnsi="Arial" w:cs="Arial"/>
                <w:sz w:val="20"/>
                <w:szCs w:val="20"/>
              </w:rPr>
              <w:t>)</w:t>
            </w:r>
          </w:p>
        </w:tc>
        <w:tc>
          <w:tcPr>
            <w:tcW w:w="1233" w:type="dxa"/>
          </w:tcPr>
          <w:p w14:paraId="5AB4CBE5" w14:textId="62F8D37F" w:rsidR="005B1CC6" w:rsidRPr="00BE269A" w:rsidRDefault="005B1CC6" w:rsidP="00BE269A">
            <w:pPr>
              <w:jc w:val="center"/>
              <w:rPr>
                <w:rFonts w:ascii="Arial" w:hAnsi="Arial" w:cs="Arial"/>
                <w:sz w:val="20"/>
                <w:szCs w:val="20"/>
              </w:rPr>
            </w:pPr>
            <w:r w:rsidRPr="00BE269A">
              <w:rPr>
                <w:rFonts w:ascii="Arial" w:hAnsi="Arial" w:cs="Arial"/>
                <w:sz w:val="20"/>
                <w:szCs w:val="20"/>
              </w:rPr>
              <w:t>2.6</w:t>
            </w:r>
            <w:r w:rsidR="00597CC3" w:rsidRPr="00BE269A">
              <w:rPr>
                <w:rFonts w:ascii="Arial" w:hAnsi="Arial" w:cs="Arial"/>
                <w:sz w:val="20"/>
                <w:szCs w:val="20"/>
              </w:rPr>
              <w:t>1</w:t>
            </w:r>
            <w:r w:rsidRPr="00BE269A">
              <w:rPr>
                <w:rFonts w:ascii="Arial" w:hAnsi="Arial" w:cs="Arial"/>
                <w:sz w:val="20"/>
                <w:szCs w:val="20"/>
              </w:rPr>
              <w:t xml:space="preserve"> (1.63 to 4.1</w:t>
            </w:r>
            <w:r w:rsidR="00597CC3" w:rsidRPr="00BE269A">
              <w:rPr>
                <w:rFonts w:ascii="Arial" w:hAnsi="Arial" w:cs="Arial"/>
                <w:sz w:val="20"/>
                <w:szCs w:val="20"/>
              </w:rPr>
              <w:t>3</w:t>
            </w:r>
            <w:r w:rsidRPr="00BE269A">
              <w:rPr>
                <w:rFonts w:ascii="Arial" w:hAnsi="Arial" w:cs="Arial"/>
                <w:sz w:val="20"/>
                <w:szCs w:val="20"/>
              </w:rPr>
              <w:t>)</w:t>
            </w:r>
          </w:p>
        </w:tc>
        <w:tc>
          <w:tcPr>
            <w:tcW w:w="1231" w:type="dxa"/>
          </w:tcPr>
          <w:p w14:paraId="64FEEB9A" w14:textId="01256937" w:rsidR="005B1CC6" w:rsidRPr="00BE269A" w:rsidRDefault="005B1CC6" w:rsidP="00BE269A">
            <w:pPr>
              <w:jc w:val="center"/>
              <w:rPr>
                <w:rFonts w:ascii="Arial" w:hAnsi="Arial" w:cs="Arial"/>
                <w:sz w:val="20"/>
                <w:szCs w:val="20"/>
              </w:rPr>
            </w:pPr>
            <w:r w:rsidRPr="00BE269A">
              <w:rPr>
                <w:rFonts w:ascii="Arial" w:hAnsi="Arial" w:cs="Arial"/>
                <w:sz w:val="20"/>
                <w:szCs w:val="20"/>
              </w:rPr>
              <w:t>30 (1</w:t>
            </w:r>
            <w:r w:rsidR="00597CC3" w:rsidRPr="00BE269A">
              <w:rPr>
                <w:rFonts w:ascii="Arial" w:hAnsi="Arial" w:cs="Arial"/>
                <w:sz w:val="20"/>
                <w:szCs w:val="20"/>
              </w:rPr>
              <w:t>5</w:t>
            </w:r>
            <w:r w:rsidRPr="00BE269A">
              <w:rPr>
                <w:rFonts w:ascii="Arial" w:hAnsi="Arial" w:cs="Arial"/>
                <w:sz w:val="20"/>
                <w:szCs w:val="20"/>
              </w:rPr>
              <w:t xml:space="preserve"> to 77)</w:t>
            </w:r>
          </w:p>
        </w:tc>
        <w:tc>
          <w:tcPr>
            <w:tcW w:w="1232" w:type="dxa"/>
          </w:tcPr>
          <w:p w14:paraId="22A163D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1.91 (1.20 to 3.03)</w:t>
            </w:r>
          </w:p>
        </w:tc>
        <w:tc>
          <w:tcPr>
            <w:tcW w:w="1232" w:type="dxa"/>
          </w:tcPr>
          <w:p w14:paraId="2480E4D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1.87 (1.20 to 2.91)</w:t>
            </w:r>
          </w:p>
        </w:tc>
        <w:tc>
          <w:tcPr>
            <w:tcW w:w="1231" w:type="dxa"/>
          </w:tcPr>
          <w:p w14:paraId="7FD8A20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55 (25 to 248)</w:t>
            </w:r>
          </w:p>
        </w:tc>
      </w:tr>
      <w:tr w:rsidR="005B1CC6" w:rsidRPr="00BE269A" w14:paraId="60BF9A27" w14:textId="77777777" w:rsidTr="00CC6BB8">
        <w:tc>
          <w:tcPr>
            <w:tcW w:w="994" w:type="dxa"/>
          </w:tcPr>
          <w:p w14:paraId="1B0BFB7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50</w:t>
            </w:r>
          </w:p>
        </w:tc>
        <w:tc>
          <w:tcPr>
            <w:tcW w:w="1355" w:type="dxa"/>
          </w:tcPr>
          <w:p w14:paraId="35BA264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-0.50 (-0.61 to -0.39)</w:t>
            </w:r>
          </w:p>
        </w:tc>
        <w:tc>
          <w:tcPr>
            <w:tcW w:w="1631" w:type="dxa"/>
          </w:tcPr>
          <w:p w14:paraId="415B077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-14.82 (-16.09 to -13.55)</w:t>
            </w:r>
          </w:p>
        </w:tc>
        <w:tc>
          <w:tcPr>
            <w:tcW w:w="1354" w:type="dxa"/>
          </w:tcPr>
          <w:p w14:paraId="5C398D3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-0.62 (-0.82 to -0.42)</w:t>
            </w:r>
          </w:p>
        </w:tc>
        <w:tc>
          <w:tcPr>
            <w:tcW w:w="1630" w:type="dxa"/>
          </w:tcPr>
          <w:p w14:paraId="26EB2091"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-16.20 (-18.50 to -13.90)</w:t>
            </w:r>
          </w:p>
        </w:tc>
        <w:tc>
          <w:tcPr>
            <w:tcW w:w="1233" w:type="dxa"/>
          </w:tcPr>
          <w:p w14:paraId="254D2D40" w14:textId="57B9AA03" w:rsidR="005B1CC6" w:rsidRPr="00BE269A" w:rsidRDefault="005B1CC6" w:rsidP="00BE269A">
            <w:pPr>
              <w:jc w:val="center"/>
              <w:rPr>
                <w:rFonts w:ascii="Arial" w:hAnsi="Arial" w:cs="Arial"/>
                <w:sz w:val="20"/>
                <w:szCs w:val="20"/>
              </w:rPr>
            </w:pPr>
            <w:r w:rsidRPr="00BE269A">
              <w:rPr>
                <w:rFonts w:ascii="Arial" w:hAnsi="Arial" w:cs="Arial"/>
                <w:sz w:val="20"/>
                <w:szCs w:val="20"/>
              </w:rPr>
              <w:t>3</w:t>
            </w:r>
            <w:r w:rsidR="006712C7" w:rsidRPr="00BE269A">
              <w:rPr>
                <w:rFonts w:ascii="Arial" w:hAnsi="Arial" w:cs="Arial"/>
                <w:sz w:val="20"/>
                <w:szCs w:val="20"/>
              </w:rPr>
              <w:t>.01</w:t>
            </w:r>
            <w:r w:rsidRPr="00BE269A">
              <w:rPr>
                <w:rFonts w:ascii="Arial" w:hAnsi="Arial" w:cs="Arial"/>
                <w:sz w:val="20"/>
                <w:szCs w:val="20"/>
              </w:rPr>
              <w:t xml:space="preserve"> (1.74 to 5.</w:t>
            </w:r>
            <w:r w:rsidR="006712C7" w:rsidRPr="00BE269A">
              <w:rPr>
                <w:rFonts w:ascii="Arial" w:hAnsi="Arial" w:cs="Arial"/>
                <w:sz w:val="20"/>
                <w:szCs w:val="20"/>
              </w:rPr>
              <w:t>2</w:t>
            </w:r>
            <w:r w:rsidRPr="00BE269A">
              <w:rPr>
                <w:rFonts w:ascii="Arial" w:hAnsi="Arial" w:cs="Arial"/>
                <w:sz w:val="20"/>
                <w:szCs w:val="20"/>
              </w:rPr>
              <w:t>1)</w:t>
            </w:r>
          </w:p>
        </w:tc>
        <w:tc>
          <w:tcPr>
            <w:tcW w:w="1233" w:type="dxa"/>
          </w:tcPr>
          <w:p w14:paraId="1CCDAA2C" w14:textId="579B9D3F" w:rsidR="005B1CC6" w:rsidRPr="00BE269A" w:rsidRDefault="005B1CC6" w:rsidP="00BE269A">
            <w:pPr>
              <w:jc w:val="center"/>
              <w:rPr>
                <w:rFonts w:ascii="Arial" w:hAnsi="Arial" w:cs="Arial"/>
                <w:sz w:val="20"/>
                <w:szCs w:val="20"/>
              </w:rPr>
            </w:pPr>
            <w:r w:rsidRPr="00BE269A">
              <w:rPr>
                <w:rFonts w:ascii="Arial" w:hAnsi="Arial" w:cs="Arial"/>
                <w:sz w:val="20"/>
                <w:szCs w:val="20"/>
              </w:rPr>
              <w:t>2.8</w:t>
            </w:r>
            <w:r w:rsidR="00597CC3" w:rsidRPr="00BE269A">
              <w:rPr>
                <w:rFonts w:ascii="Arial" w:hAnsi="Arial" w:cs="Arial"/>
                <w:sz w:val="20"/>
                <w:szCs w:val="20"/>
              </w:rPr>
              <w:t>9</w:t>
            </w:r>
            <w:r w:rsidRPr="00BE269A">
              <w:rPr>
                <w:rFonts w:ascii="Arial" w:hAnsi="Arial" w:cs="Arial"/>
                <w:sz w:val="20"/>
                <w:szCs w:val="20"/>
              </w:rPr>
              <w:t xml:space="preserve"> (1.71 to 4.7</w:t>
            </w:r>
            <w:r w:rsidR="00597CC3" w:rsidRPr="00BE269A">
              <w:rPr>
                <w:rFonts w:ascii="Arial" w:hAnsi="Arial" w:cs="Arial"/>
                <w:sz w:val="20"/>
                <w:szCs w:val="20"/>
              </w:rPr>
              <w:t>9</w:t>
            </w:r>
            <w:r w:rsidRPr="00BE269A">
              <w:rPr>
                <w:rFonts w:ascii="Arial" w:hAnsi="Arial" w:cs="Arial"/>
                <w:sz w:val="20"/>
                <w:szCs w:val="20"/>
              </w:rPr>
              <w:t>)</w:t>
            </w:r>
          </w:p>
        </w:tc>
        <w:tc>
          <w:tcPr>
            <w:tcW w:w="1231" w:type="dxa"/>
          </w:tcPr>
          <w:p w14:paraId="19061D1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26 (13 to 68)</w:t>
            </w:r>
          </w:p>
        </w:tc>
        <w:tc>
          <w:tcPr>
            <w:tcW w:w="1232" w:type="dxa"/>
          </w:tcPr>
          <w:p w14:paraId="1A97FE8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2.05 (1.23 to 3.42)</w:t>
            </w:r>
          </w:p>
        </w:tc>
        <w:tc>
          <w:tcPr>
            <w:tcW w:w="1232" w:type="dxa"/>
          </w:tcPr>
          <w:p w14:paraId="540BAFA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2.01 (1.22 to 3.26)</w:t>
            </w:r>
          </w:p>
        </w:tc>
        <w:tc>
          <w:tcPr>
            <w:tcW w:w="1231" w:type="dxa"/>
          </w:tcPr>
          <w:p w14:paraId="5F5F294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48 (21 to 216)</w:t>
            </w:r>
          </w:p>
        </w:tc>
      </w:tr>
      <w:tr w:rsidR="005B1CC6" w:rsidRPr="00BE269A" w14:paraId="3452CFD3" w14:textId="77777777" w:rsidTr="00CC6BB8">
        <w:tc>
          <w:tcPr>
            <w:tcW w:w="994" w:type="dxa"/>
          </w:tcPr>
          <w:p w14:paraId="3189B2B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55</w:t>
            </w:r>
          </w:p>
        </w:tc>
        <w:tc>
          <w:tcPr>
            <w:tcW w:w="1355" w:type="dxa"/>
          </w:tcPr>
          <w:p w14:paraId="0A99190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-0.53 (-0.63 to -0.42)</w:t>
            </w:r>
          </w:p>
        </w:tc>
        <w:tc>
          <w:tcPr>
            <w:tcW w:w="1631" w:type="dxa"/>
          </w:tcPr>
          <w:p w14:paraId="2E62DF04"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-15.17 (-16.32 to -13.90)</w:t>
            </w:r>
          </w:p>
        </w:tc>
        <w:tc>
          <w:tcPr>
            <w:tcW w:w="1354" w:type="dxa"/>
          </w:tcPr>
          <w:p w14:paraId="2212676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-0.62 (-0.83 to -0.40)</w:t>
            </w:r>
          </w:p>
        </w:tc>
        <w:tc>
          <w:tcPr>
            <w:tcW w:w="1630" w:type="dxa"/>
          </w:tcPr>
          <w:p w14:paraId="3714E6A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-16.20 (-18.62 to -13.67)</w:t>
            </w:r>
          </w:p>
        </w:tc>
        <w:tc>
          <w:tcPr>
            <w:tcW w:w="1233" w:type="dxa"/>
          </w:tcPr>
          <w:p w14:paraId="37E17C85" w14:textId="1E4D7C7B" w:rsidR="005B1CC6" w:rsidRPr="00BE269A" w:rsidRDefault="005B1CC6" w:rsidP="00BE269A">
            <w:pPr>
              <w:jc w:val="center"/>
              <w:rPr>
                <w:rFonts w:ascii="Arial" w:hAnsi="Arial" w:cs="Arial"/>
                <w:sz w:val="20"/>
                <w:szCs w:val="20"/>
              </w:rPr>
            </w:pPr>
            <w:r w:rsidRPr="00BE269A">
              <w:rPr>
                <w:rFonts w:ascii="Arial" w:hAnsi="Arial" w:cs="Arial"/>
                <w:sz w:val="20"/>
                <w:szCs w:val="20"/>
              </w:rPr>
              <w:t>3.3</w:t>
            </w:r>
            <w:r w:rsidR="006712C7" w:rsidRPr="00BE269A">
              <w:rPr>
                <w:rFonts w:ascii="Arial" w:hAnsi="Arial" w:cs="Arial"/>
                <w:sz w:val="20"/>
                <w:szCs w:val="20"/>
              </w:rPr>
              <w:t>6</w:t>
            </w:r>
            <w:r w:rsidRPr="00BE269A">
              <w:rPr>
                <w:rFonts w:ascii="Arial" w:hAnsi="Arial" w:cs="Arial"/>
                <w:sz w:val="20"/>
                <w:szCs w:val="20"/>
              </w:rPr>
              <w:t xml:space="preserve"> (1.84 to 6.1</w:t>
            </w:r>
            <w:r w:rsidR="006712C7" w:rsidRPr="00BE269A">
              <w:rPr>
                <w:rFonts w:ascii="Arial" w:hAnsi="Arial" w:cs="Arial"/>
                <w:sz w:val="20"/>
                <w:szCs w:val="20"/>
              </w:rPr>
              <w:t>5</w:t>
            </w:r>
            <w:r w:rsidRPr="00BE269A">
              <w:rPr>
                <w:rFonts w:ascii="Arial" w:hAnsi="Arial" w:cs="Arial"/>
                <w:sz w:val="20"/>
                <w:szCs w:val="20"/>
              </w:rPr>
              <w:t>)</w:t>
            </w:r>
          </w:p>
        </w:tc>
        <w:tc>
          <w:tcPr>
            <w:tcW w:w="1233" w:type="dxa"/>
          </w:tcPr>
          <w:p w14:paraId="6072CAB6" w14:textId="37F5AEF2" w:rsidR="005B1CC6" w:rsidRPr="00BE269A" w:rsidRDefault="005B1CC6" w:rsidP="00BE269A">
            <w:pPr>
              <w:jc w:val="center"/>
              <w:rPr>
                <w:rFonts w:ascii="Arial" w:hAnsi="Arial" w:cs="Arial"/>
                <w:sz w:val="20"/>
                <w:szCs w:val="20"/>
              </w:rPr>
            </w:pPr>
            <w:r w:rsidRPr="00BE269A">
              <w:rPr>
                <w:rFonts w:ascii="Arial" w:hAnsi="Arial" w:cs="Arial"/>
                <w:sz w:val="20"/>
                <w:szCs w:val="20"/>
              </w:rPr>
              <w:t>3.</w:t>
            </w:r>
            <w:r w:rsidR="00597CC3" w:rsidRPr="00BE269A">
              <w:rPr>
                <w:rFonts w:ascii="Arial" w:hAnsi="Arial" w:cs="Arial"/>
                <w:sz w:val="20"/>
                <w:szCs w:val="20"/>
              </w:rPr>
              <w:t>20</w:t>
            </w:r>
            <w:r w:rsidRPr="00BE269A">
              <w:rPr>
                <w:rFonts w:ascii="Arial" w:hAnsi="Arial" w:cs="Arial"/>
                <w:sz w:val="20"/>
                <w:szCs w:val="20"/>
              </w:rPr>
              <w:t xml:space="preserve"> (1.81 to 5.5</w:t>
            </w:r>
            <w:r w:rsidR="00597CC3" w:rsidRPr="00BE269A">
              <w:rPr>
                <w:rFonts w:ascii="Arial" w:hAnsi="Arial" w:cs="Arial"/>
                <w:sz w:val="20"/>
                <w:szCs w:val="20"/>
              </w:rPr>
              <w:t>6</w:t>
            </w:r>
            <w:r w:rsidRPr="00BE269A">
              <w:rPr>
                <w:rFonts w:ascii="Arial" w:hAnsi="Arial" w:cs="Arial"/>
                <w:sz w:val="20"/>
                <w:szCs w:val="20"/>
              </w:rPr>
              <w:t>)</w:t>
            </w:r>
          </w:p>
        </w:tc>
        <w:tc>
          <w:tcPr>
            <w:tcW w:w="1231" w:type="dxa"/>
          </w:tcPr>
          <w:p w14:paraId="2ED7A48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22 (11 to 60)</w:t>
            </w:r>
          </w:p>
        </w:tc>
        <w:tc>
          <w:tcPr>
            <w:tcW w:w="1232" w:type="dxa"/>
          </w:tcPr>
          <w:p w14:paraId="21CE8A0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2.20 (1.25 to 3.87)</w:t>
            </w:r>
          </w:p>
        </w:tc>
        <w:tc>
          <w:tcPr>
            <w:tcW w:w="1232" w:type="dxa"/>
          </w:tcPr>
          <w:p w14:paraId="0B9326D6"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2.15 (1.24 to 3.65)</w:t>
            </w:r>
          </w:p>
        </w:tc>
        <w:tc>
          <w:tcPr>
            <w:tcW w:w="1231" w:type="dxa"/>
          </w:tcPr>
          <w:p w14:paraId="27459AD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42 (18 to 198)</w:t>
            </w:r>
          </w:p>
        </w:tc>
      </w:tr>
      <w:tr w:rsidR="005B1CC6" w:rsidRPr="00BE269A" w14:paraId="539F6A02" w14:textId="77777777" w:rsidTr="00CC6BB8">
        <w:tc>
          <w:tcPr>
            <w:tcW w:w="994" w:type="dxa"/>
          </w:tcPr>
          <w:p w14:paraId="67FBACB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60</w:t>
            </w:r>
          </w:p>
        </w:tc>
        <w:tc>
          <w:tcPr>
            <w:tcW w:w="1355" w:type="dxa"/>
          </w:tcPr>
          <w:p w14:paraId="3D1CD060"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-0.55 (-0.65 to -0.44)</w:t>
            </w:r>
          </w:p>
        </w:tc>
        <w:tc>
          <w:tcPr>
            <w:tcW w:w="1631" w:type="dxa"/>
          </w:tcPr>
          <w:p w14:paraId="1572D70F"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-15.39 (-16.55 to -14.13)</w:t>
            </w:r>
          </w:p>
        </w:tc>
        <w:tc>
          <w:tcPr>
            <w:tcW w:w="1354" w:type="dxa"/>
          </w:tcPr>
          <w:p w14:paraId="71B1084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-0.61 (-0.83 to -0.39)</w:t>
            </w:r>
          </w:p>
        </w:tc>
        <w:tc>
          <w:tcPr>
            <w:tcW w:w="1630" w:type="dxa"/>
          </w:tcPr>
          <w:p w14:paraId="2F987878"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-16.09 (-18.62 to -13.55)</w:t>
            </w:r>
          </w:p>
        </w:tc>
        <w:tc>
          <w:tcPr>
            <w:tcW w:w="1233" w:type="dxa"/>
          </w:tcPr>
          <w:p w14:paraId="07526F3C" w14:textId="32489EE7" w:rsidR="005B1CC6" w:rsidRPr="00BE269A" w:rsidRDefault="005B1CC6" w:rsidP="00BE269A">
            <w:pPr>
              <w:jc w:val="center"/>
              <w:rPr>
                <w:rFonts w:ascii="Arial" w:hAnsi="Arial" w:cs="Arial"/>
                <w:sz w:val="20"/>
                <w:szCs w:val="20"/>
              </w:rPr>
            </w:pPr>
            <w:r w:rsidRPr="00BE269A">
              <w:rPr>
                <w:rFonts w:ascii="Arial" w:hAnsi="Arial" w:cs="Arial"/>
                <w:sz w:val="20"/>
                <w:szCs w:val="20"/>
              </w:rPr>
              <w:t>3.7</w:t>
            </w:r>
            <w:r w:rsidR="006712C7" w:rsidRPr="00BE269A">
              <w:rPr>
                <w:rFonts w:ascii="Arial" w:hAnsi="Arial" w:cs="Arial"/>
                <w:sz w:val="20"/>
                <w:szCs w:val="20"/>
              </w:rPr>
              <w:t>6</w:t>
            </w:r>
            <w:r w:rsidRPr="00BE269A">
              <w:rPr>
                <w:rFonts w:ascii="Arial" w:hAnsi="Arial" w:cs="Arial"/>
                <w:sz w:val="20"/>
                <w:szCs w:val="20"/>
              </w:rPr>
              <w:t xml:space="preserve"> (1.9</w:t>
            </w:r>
            <w:r w:rsidR="006712C7" w:rsidRPr="00BE269A">
              <w:rPr>
                <w:rFonts w:ascii="Arial" w:hAnsi="Arial" w:cs="Arial"/>
                <w:sz w:val="20"/>
                <w:szCs w:val="20"/>
              </w:rPr>
              <w:t>5</w:t>
            </w:r>
            <w:r w:rsidRPr="00BE269A">
              <w:rPr>
                <w:rFonts w:ascii="Arial" w:hAnsi="Arial" w:cs="Arial"/>
                <w:sz w:val="20"/>
                <w:szCs w:val="20"/>
              </w:rPr>
              <w:t xml:space="preserve"> to 7.2</w:t>
            </w:r>
            <w:r w:rsidR="006712C7" w:rsidRPr="00BE269A">
              <w:rPr>
                <w:rFonts w:ascii="Arial" w:hAnsi="Arial" w:cs="Arial"/>
                <w:sz w:val="20"/>
                <w:szCs w:val="20"/>
              </w:rPr>
              <w:t>5</w:t>
            </w:r>
            <w:r w:rsidRPr="00BE269A">
              <w:rPr>
                <w:rFonts w:ascii="Arial" w:hAnsi="Arial" w:cs="Arial"/>
                <w:sz w:val="20"/>
                <w:szCs w:val="20"/>
              </w:rPr>
              <w:t>)</w:t>
            </w:r>
          </w:p>
        </w:tc>
        <w:tc>
          <w:tcPr>
            <w:tcW w:w="1233" w:type="dxa"/>
          </w:tcPr>
          <w:p w14:paraId="008209E5" w14:textId="5D02BBD6" w:rsidR="005B1CC6" w:rsidRPr="00BE269A" w:rsidRDefault="005B1CC6" w:rsidP="00BE269A">
            <w:pPr>
              <w:jc w:val="center"/>
              <w:rPr>
                <w:rFonts w:ascii="Arial" w:hAnsi="Arial" w:cs="Arial"/>
                <w:sz w:val="20"/>
                <w:szCs w:val="20"/>
              </w:rPr>
            </w:pPr>
            <w:r w:rsidRPr="00BE269A">
              <w:rPr>
                <w:rFonts w:ascii="Arial" w:hAnsi="Arial" w:cs="Arial"/>
                <w:sz w:val="20"/>
                <w:szCs w:val="20"/>
              </w:rPr>
              <w:t>3.5</w:t>
            </w:r>
            <w:r w:rsidR="00597CC3" w:rsidRPr="00BE269A">
              <w:rPr>
                <w:rFonts w:ascii="Arial" w:hAnsi="Arial" w:cs="Arial"/>
                <w:sz w:val="20"/>
                <w:szCs w:val="20"/>
              </w:rPr>
              <w:t>6</w:t>
            </w:r>
            <w:r w:rsidRPr="00BE269A">
              <w:rPr>
                <w:rFonts w:ascii="Arial" w:hAnsi="Arial" w:cs="Arial"/>
                <w:sz w:val="20"/>
                <w:szCs w:val="20"/>
              </w:rPr>
              <w:t xml:space="preserve"> (1.9</w:t>
            </w:r>
            <w:r w:rsidR="00597CC3" w:rsidRPr="00BE269A">
              <w:rPr>
                <w:rFonts w:ascii="Arial" w:hAnsi="Arial" w:cs="Arial"/>
                <w:sz w:val="20"/>
                <w:szCs w:val="20"/>
              </w:rPr>
              <w:t>1</w:t>
            </w:r>
            <w:r w:rsidRPr="00BE269A">
              <w:rPr>
                <w:rFonts w:ascii="Arial" w:hAnsi="Arial" w:cs="Arial"/>
                <w:sz w:val="20"/>
                <w:szCs w:val="20"/>
              </w:rPr>
              <w:t xml:space="preserve"> to 6.</w:t>
            </w:r>
            <w:r w:rsidR="00597CC3" w:rsidRPr="00BE269A">
              <w:rPr>
                <w:rFonts w:ascii="Arial" w:hAnsi="Arial" w:cs="Arial"/>
                <w:sz w:val="20"/>
                <w:szCs w:val="20"/>
              </w:rPr>
              <w:t>42</w:t>
            </w:r>
            <w:r w:rsidRPr="00BE269A">
              <w:rPr>
                <w:rFonts w:ascii="Arial" w:hAnsi="Arial" w:cs="Arial"/>
                <w:sz w:val="20"/>
                <w:szCs w:val="20"/>
              </w:rPr>
              <w:t>)</w:t>
            </w:r>
          </w:p>
        </w:tc>
        <w:tc>
          <w:tcPr>
            <w:tcW w:w="1231" w:type="dxa"/>
          </w:tcPr>
          <w:p w14:paraId="17C25968" w14:textId="67399122" w:rsidR="005B1CC6" w:rsidRPr="00BE269A" w:rsidRDefault="005B1CC6" w:rsidP="00BE269A">
            <w:pPr>
              <w:jc w:val="center"/>
              <w:rPr>
                <w:rFonts w:ascii="Arial" w:hAnsi="Arial" w:cs="Arial"/>
                <w:sz w:val="20"/>
                <w:szCs w:val="20"/>
              </w:rPr>
            </w:pPr>
            <w:r w:rsidRPr="00BE269A">
              <w:rPr>
                <w:rFonts w:ascii="Arial" w:hAnsi="Arial" w:cs="Arial"/>
                <w:sz w:val="20"/>
                <w:szCs w:val="20"/>
              </w:rPr>
              <w:t>19 (9 to 5</w:t>
            </w:r>
            <w:r w:rsidR="00597CC3" w:rsidRPr="00BE269A">
              <w:rPr>
                <w:rFonts w:ascii="Arial" w:hAnsi="Arial" w:cs="Arial"/>
                <w:sz w:val="20"/>
                <w:szCs w:val="20"/>
              </w:rPr>
              <w:t>3</w:t>
            </w:r>
            <w:r w:rsidRPr="00BE269A">
              <w:rPr>
                <w:rFonts w:ascii="Arial" w:hAnsi="Arial" w:cs="Arial"/>
                <w:sz w:val="20"/>
                <w:szCs w:val="20"/>
              </w:rPr>
              <w:t>)</w:t>
            </w:r>
          </w:p>
        </w:tc>
        <w:tc>
          <w:tcPr>
            <w:tcW w:w="1232" w:type="dxa"/>
          </w:tcPr>
          <w:p w14:paraId="15EC9BA3"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2.36 (1.28 to 4.38)</w:t>
            </w:r>
          </w:p>
        </w:tc>
        <w:tc>
          <w:tcPr>
            <w:tcW w:w="1232" w:type="dxa"/>
          </w:tcPr>
          <w:p w14:paraId="311B8BA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2.30 (1.27 to 4.09)</w:t>
            </w:r>
          </w:p>
        </w:tc>
        <w:tc>
          <w:tcPr>
            <w:tcW w:w="1231" w:type="dxa"/>
          </w:tcPr>
          <w:p w14:paraId="08CA4AA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37 (16 to 177)</w:t>
            </w:r>
          </w:p>
        </w:tc>
      </w:tr>
      <w:tr w:rsidR="005B1CC6" w:rsidRPr="00BE269A" w14:paraId="4E6700E4" w14:textId="77777777" w:rsidTr="00CC6BB8">
        <w:tc>
          <w:tcPr>
            <w:tcW w:w="994" w:type="dxa"/>
          </w:tcPr>
          <w:p w14:paraId="25B2B5CB"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65</w:t>
            </w:r>
          </w:p>
        </w:tc>
        <w:tc>
          <w:tcPr>
            <w:tcW w:w="1355" w:type="dxa"/>
          </w:tcPr>
          <w:p w14:paraId="53F4ED7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-0.57 (-0.67 to -0.46)</w:t>
            </w:r>
          </w:p>
        </w:tc>
        <w:tc>
          <w:tcPr>
            <w:tcW w:w="1631" w:type="dxa"/>
          </w:tcPr>
          <w:p w14:paraId="7647857C"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-15.62 (-16.77 to -14.36)</w:t>
            </w:r>
          </w:p>
        </w:tc>
        <w:tc>
          <w:tcPr>
            <w:tcW w:w="1354" w:type="dxa"/>
          </w:tcPr>
          <w:p w14:paraId="30D8E547"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-0.60 (-0.84 to -0.37)</w:t>
            </w:r>
          </w:p>
        </w:tc>
        <w:tc>
          <w:tcPr>
            <w:tcW w:w="1630" w:type="dxa"/>
          </w:tcPr>
          <w:p w14:paraId="0BE098C2"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-15.97 (-18.73 to -13.32)</w:t>
            </w:r>
          </w:p>
        </w:tc>
        <w:tc>
          <w:tcPr>
            <w:tcW w:w="1233" w:type="dxa"/>
          </w:tcPr>
          <w:p w14:paraId="4250F449" w14:textId="432A8EFA" w:rsidR="005B1CC6" w:rsidRPr="00BE269A" w:rsidRDefault="005B1CC6" w:rsidP="00BE269A">
            <w:pPr>
              <w:jc w:val="center"/>
              <w:rPr>
                <w:rFonts w:ascii="Arial" w:hAnsi="Arial" w:cs="Arial"/>
                <w:sz w:val="20"/>
                <w:szCs w:val="20"/>
              </w:rPr>
            </w:pPr>
            <w:r w:rsidRPr="00BE269A">
              <w:rPr>
                <w:rFonts w:ascii="Arial" w:hAnsi="Arial" w:cs="Arial"/>
                <w:sz w:val="20"/>
                <w:szCs w:val="20"/>
              </w:rPr>
              <w:t>4.</w:t>
            </w:r>
            <w:r w:rsidR="006712C7" w:rsidRPr="00BE269A">
              <w:rPr>
                <w:rFonts w:ascii="Arial" w:hAnsi="Arial" w:cs="Arial"/>
                <w:sz w:val="20"/>
                <w:szCs w:val="20"/>
              </w:rPr>
              <w:t>20</w:t>
            </w:r>
            <w:r w:rsidRPr="00BE269A">
              <w:rPr>
                <w:rFonts w:ascii="Arial" w:hAnsi="Arial" w:cs="Arial"/>
                <w:sz w:val="20"/>
                <w:szCs w:val="20"/>
              </w:rPr>
              <w:t xml:space="preserve"> (2.0</w:t>
            </w:r>
            <w:r w:rsidR="006712C7" w:rsidRPr="00BE269A">
              <w:rPr>
                <w:rFonts w:ascii="Arial" w:hAnsi="Arial" w:cs="Arial"/>
                <w:sz w:val="20"/>
                <w:szCs w:val="20"/>
              </w:rPr>
              <w:t>6</w:t>
            </w:r>
            <w:r w:rsidRPr="00BE269A">
              <w:rPr>
                <w:rFonts w:ascii="Arial" w:hAnsi="Arial" w:cs="Arial"/>
                <w:sz w:val="20"/>
                <w:szCs w:val="20"/>
              </w:rPr>
              <w:t xml:space="preserve"> to 8.</w:t>
            </w:r>
            <w:r w:rsidR="006712C7" w:rsidRPr="00BE269A">
              <w:rPr>
                <w:rFonts w:ascii="Arial" w:hAnsi="Arial" w:cs="Arial"/>
                <w:sz w:val="20"/>
                <w:szCs w:val="20"/>
              </w:rPr>
              <w:t>56</w:t>
            </w:r>
            <w:r w:rsidRPr="00BE269A">
              <w:rPr>
                <w:rFonts w:ascii="Arial" w:hAnsi="Arial" w:cs="Arial"/>
                <w:sz w:val="20"/>
                <w:szCs w:val="20"/>
              </w:rPr>
              <w:t>)</w:t>
            </w:r>
          </w:p>
        </w:tc>
        <w:tc>
          <w:tcPr>
            <w:tcW w:w="1233" w:type="dxa"/>
          </w:tcPr>
          <w:p w14:paraId="36B87BFF" w14:textId="295A1027" w:rsidR="005B1CC6" w:rsidRPr="00BE269A" w:rsidRDefault="005B1CC6" w:rsidP="00BE269A">
            <w:pPr>
              <w:jc w:val="center"/>
              <w:rPr>
                <w:rFonts w:ascii="Arial" w:hAnsi="Arial" w:cs="Arial"/>
                <w:sz w:val="20"/>
                <w:szCs w:val="20"/>
              </w:rPr>
            </w:pPr>
            <w:r w:rsidRPr="00BE269A">
              <w:rPr>
                <w:rFonts w:ascii="Arial" w:hAnsi="Arial" w:cs="Arial"/>
                <w:sz w:val="20"/>
                <w:szCs w:val="20"/>
              </w:rPr>
              <w:t>3.9</w:t>
            </w:r>
            <w:r w:rsidR="00597CC3" w:rsidRPr="00BE269A">
              <w:rPr>
                <w:rFonts w:ascii="Arial" w:hAnsi="Arial" w:cs="Arial"/>
                <w:sz w:val="20"/>
                <w:szCs w:val="20"/>
              </w:rPr>
              <w:t>4</w:t>
            </w:r>
            <w:r w:rsidRPr="00BE269A">
              <w:rPr>
                <w:rFonts w:ascii="Arial" w:hAnsi="Arial" w:cs="Arial"/>
                <w:sz w:val="20"/>
                <w:szCs w:val="20"/>
              </w:rPr>
              <w:t xml:space="preserve"> (2.0</w:t>
            </w:r>
            <w:r w:rsidR="00597CC3" w:rsidRPr="00BE269A">
              <w:rPr>
                <w:rFonts w:ascii="Arial" w:hAnsi="Arial" w:cs="Arial"/>
                <w:sz w:val="20"/>
                <w:szCs w:val="20"/>
              </w:rPr>
              <w:t>2</w:t>
            </w:r>
            <w:r w:rsidRPr="00BE269A">
              <w:rPr>
                <w:rFonts w:ascii="Arial" w:hAnsi="Arial" w:cs="Arial"/>
                <w:sz w:val="20"/>
                <w:szCs w:val="20"/>
              </w:rPr>
              <w:t xml:space="preserve"> to 7.</w:t>
            </w:r>
            <w:r w:rsidR="00597CC3" w:rsidRPr="00BE269A">
              <w:rPr>
                <w:rFonts w:ascii="Arial" w:hAnsi="Arial" w:cs="Arial"/>
                <w:sz w:val="20"/>
                <w:szCs w:val="20"/>
              </w:rPr>
              <w:t>40</w:t>
            </w:r>
            <w:r w:rsidRPr="00BE269A">
              <w:rPr>
                <w:rFonts w:ascii="Arial" w:hAnsi="Arial" w:cs="Arial"/>
                <w:sz w:val="20"/>
                <w:szCs w:val="20"/>
              </w:rPr>
              <w:t>)</w:t>
            </w:r>
          </w:p>
        </w:tc>
        <w:tc>
          <w:tcPr>
            <w:tcW w:w="1231" w:type="dxa"/>
          </w:tcPr>
          <w:p w14:paraId="5E79B98E" w14:textId="20951C8F" w:rsidR="005B1CC6" w:rsidRPr="00BE269A" w:rsidRDefault="005B1CC6" w:rsidP="00BE269A">
            <w:pPr>
              <w:jc w:val="center"/>
              <w:rPr>
                <w:rFonts w:ascii="Arial" w:hAnsi="Arial" w:cs="Arial"/>
                <w:sz w:val="20"/>
                <w:szCs w:val="20"/>
              </w:rPr>
            </w:pPr>
            <w:r w:rsidRPr="00BE269A">
              <w:rPr>
                <w:rFonts w:ascii="Arial" w:hAnsi="Arial" w:cs="Arial"/>
                <w:sz w:val="20"/>
                <w:szCs w:val="20"/>
              </w:rPr>
              <w:t>1</w:t>
            </w:r>
            <w:r w:rsidR="00597CC3" w:rsidRPr="00BE269A">
              <w:rPr>
                <w:rFonts w:ascii="Arial" w:hAnsi="Arial" w:cs="Arial"/>
                <w:sz w:val="20"/>
                <w:szCs w:val="20"/>
              </w:rPr>
              <w:t>6</w:t>
            </w:r>
            <w:r w:rsidRPr="00BE269A">
              <w:rPr>
                <w:rFonts w:ascii="Arial" w:hAnsi="Arial" w:cs="Arial"/>
                <w:sz w:val="20"/>
                <w:szCs w:val="20"/>
              </w:rPr>
              <w:t xml:space="preserve"> (8 to 48)</w:t>
            </w:r>
          </w:p>
        </w:tc>
        <w:tc>
          <w:tcPr>
            <w:tcW w:w="1232" w:type="dxa"/>
          </w:tcPr>
          <w:p w14:paraId="7ED06735"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2.54 (1.30 to 4.95)</w:t>
            </w:r>
          </w:p>
        </w:tc>
        <w:tc>
          <w:tcPr>
            <w:tcW w:w="1232" w:type="dxa"/>
          </w:tcPr>
          <w:p w14:paraId="1C14484E"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2.46 (1.29 to 4.58)</w:t>
            </w:r>
          </w:p>
        </w:tc>
        <w:tc>
          <w:tcPr>
            <w:tcW w:w="1231" w:type="dxa"/>
          </w:tcPr>
          <w:p w14:paraId="5126891D" w14:textId="77777777" w:rsidR="005B1CC6" w:rsidRPr="00BE269A" w:rsidRDefault="005B1CC6" w:rsidP="00BE269A">
            <w:pPr>
              <w:jc w:val="center"/>
              <w:rPr>
                <w:rFonts w:ascii="Arial" w:hAnsi="Arial" w:cs="Arial"/>
                <w:sz w:val="20"/>
                <w:szCs w:val="20"/>
              </w:rPr>
            </w:pPr>
            <w:r w:rsidRPr="00BE269A">
              <w:rPr>
                <w:rFonts w:ascii="Arial" w:hAnsi="Arial" w:cs="Arial"/>
                <w:sz w:val="20"/>
                <w:szCs w:val="20"/>
              </w:rPr>
              <w:t>33 (14 to 165)</w:t>
            </w:r>
          </w:p>
        </w:tc>
      </w:tr>
      <w:tr w:rsidR="00BE269A" w:rsidRPr="00A14749" w14:paraId="69E37DA9" w14:textId="77777777" w:rsidTr="001A06CC">
        <w:tc>
          <w:tcPr>
            <w:tcW w:w="994" w:type="dxa"/>
          </w:tcPr>
          <w:p w14:paraId="1C4DC423"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70</w:t>
            </w:r>
          </w:p>
        </w:tc>
        <w:tc>
          <w:tcPr>
            <w:tcW w:w="1355" w:type="dxa"/>
          </w:tcPr>
          <w:p w14:paraId="6E6A3313"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-0.58 (-0.69 to -0.47)</w:t>
            </w:r>
          </w:p>
        </w:tc>
        <w:tc>
          <w:tcPr>
            <w:tcW w:w="1631" w:type="dxa"/>
          </w:tcPr>
          <w:p w14:paraId="7B36613A"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-15.74 (-17.00 to -14.47)</w:t>
            </w:r>
          </w:p>
        </w:tc>
        <w:tc>
          <w:tcPr>
            <w:tcW w:w="1354" w:type="dxa"/>
          </w:tcPr>
          <w:p w14:paraId="703CDBB0"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-0.60 (-0.85 to -0.34)</w:t>
            </w:r>
          </w:p>
        </w:tc>
        <w:tc>
          <w:tcPr>
            <w:tcW w:w="1630" w:type="dxa"/>
          </w:tcPr>
          <w:p w14:paraId="69C4E53F"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-15.97 (-18.84 to -12.98)</w:t>
            </w:r>
          </w:p>
        </w:tc>
        <w:tc>
          <w:tcPr>
            <w:tcW w:w="1233" w:type="dxa"/>
          </w:tcPr>
          <w:p w14:paraId="419B9AE5"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4.68 (2.17 to 10.09)</w:t>
            </w:r>
          </w:p>
        </w:tc>
        <w:tc>
          <w:tcPr>
            <w:tcW w:w="1233" w:type="dxa"/>
          </w:tcPr>
          <w:p w14:paraId="09922A72"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4.35 (2.12 to 8.49)</w:t>
            </w:r>
          </w:p>
        </w:tc>
        <w:tc>
          <w:tcPr>
            <w:tcW w:w="1231" w:type="dxa"/>
          </w:tcPr>
          <w:p w14:paraId="4773166E"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14 (6 to 43)</w:t>
            </w:r>
          </w:p>
        </w:tc>
        <w:tc>
          <w:tcPr>
            <w:tcW w:w="1232" w:type="dxa"/>
          </w:tcPr>
          <w:p w14:paraId="25304A96"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2.73 (1.33 to 5.6)</w:t>
            </w:r>
          </w:p>
        </w:tc>
        <w:tc>
          <w:tcPr>
            <w:tcW w:w="1232" w:type="dxa"/>
          </w:tcPr>
          <w:p w14:paraId="48AA210D"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2.64 (1.32 to 5.11)</w:t>
            </w:r>
          </w:p>
        </w:tc>
        <w:tc>
          <w:tcPr>
            <w:tcW w:w="1231" w:type="dxa"/>
          </w:tcPr>
          <w:p w14:paraId="41C2D148" w14:textId="77777777" w:rsidR="00BE269A" w:rsidRPr="00A14749" w:rsidRDefault="00BE269A" w:rsidP="001A06CC">
            <w:pPr>
              <w:jc w:val="center"/>
              <w:rPr>
                <w:rFonts w:ascii="Arial" w:hAnsi="Arial" w:cs="Arial"/>
                <w:sz w:val="20"/>
                <w:szCs w:val="20"/>
              </w:rPr>
            </w:pPr>
            <w:r w:rsidRPr="00A14749">
              <w:rPr>
                <w:rFonts w:ascii="Arial" w:hAnsi="Arial" w:cs="Arial"/>
                <w:sz w:val="20"/>
                <w:szCs w:val="20"/>
              </w:rPr>
              <w:t>30 (12 to 151)</w:t>
            </w:r>
          </w:p>
        </w:tc>
      </w:tr>
    </w:tbl>
    <w:p w14:paraId="1828B2FA" w14:textId="77777777" w:rsidR="00BE269A" w:rsidRDefault="00BE269A" w:rsidP="005B1CC6">
      <w:pPr>
        <w:ind w:left="-709" w:right="-790"/>
        <w:jc w:val="center"/>
        <w:rPr>
          <w:rFonts w:ascii="Arial" w:hAnsi="Arial" w:cs="Arial"/>
          <w:b/>
          <w:bCs/>
        </w:rPr>
      </w:pPr>
    </w:p>
    <w:p w14:paraId="4A40F558" w14:textId="64C94353" w:rsidR="005B1CC6" w:rsidRPr="00886A52" w:rsidRDefault="005B1CC6" w:rsidP="005B1CC6">
      <w:pPr>
        <w:ind w:left="-709" w:right="-790"/>
        <w:jc w:val="center"/>
        <w:rPr>
          <w:rFonts w:ascii="Arial" w:hAnsi="Arial" w:cs="Arial"/>
          <w:b/>
          <w:bCs/>
        </w:rPr>
      </w:pPr>
      <w:r w:rsidRPr="00886A52">
        <w:rPr>
          <w:rFonts w:ascii="Arial" w:hAnsi="Arial" w:cs="Arial"/>
          <w:b/>
          <w:bCs/>
        </w:rPr>
        <w:lastRenderedPageBreak/>
        <w:t xml:space="preserve">Table </w:t>
      </w:r>
      <w:r w:rsidR="00BE269A">
        <w:rPr>
          <w:rFonts w:ascii="Arial" w:hAnsi="Arial" w:cs="Arial"/>
          <w:b/>
          <w:bCs/>
        </w:rPr>
        <w:t>1</w:t>
      </w:r>
      <w:r w:rsidRPr="00886A52">
        <w:rPr>
          <w:rFonts w:ascii="Arial" w:hAnsi="Arial" w:cs="Arial"/>
          <w:b/>
          <w:bCs/>
        </w:rPr>
        <w:t>. Results per dose after conversion of SMD and OR to clinically interpretable values</w:t>
      </w:r>
      <w:r w:rsidR="00BE269A">
        <w:rPr>
          <w:rFonts w:ascii="Arial" w:hAnsi="Arial" w:cs="Arial"/>
          <w:b/>
          <w:bCs/>
        </w:rPr>
        <w:t>.</w:t>
      </w:r>
      <w:r w:rsidRPr="00886A52">
        <w:rPr>
          <w:rFonts w:ascii="Arial" w:hAnsi="Arial" w:cs="Arial"/>
          <w:b/>
          <w:bCs/>
        </w:rPr>
        <w:t xml:space="preserve"> (continued)</w:t>
      </w:r>
    </w:p>
    <w:tbl>
      <w:tblPr>
        <w:tblStyle w:val="TableGrid"/>
        <w:tblW w:w="14356" w:type="dxa"/>
        <w:tblInd w:w="-714" w:type="dxa"/>
        <w:tblLook w:val="04A0" w:firstRow="1" w:lastRow="0" w:firstColumn="1" w:lastColumn="0" w:noHBand="0" w:noVBand="1"/>
      </w:tblPr>
      <w:tblGrid>
        <w:gridCol w:w="994"/>
        <w:gridCol w:w="1355"/>
        <w:gridCol w:w="1631"/>
        <w:gridCol w:w="1354"/>
        <w:gridCol w:w="1630"/>
        <w:gridCol w:w="1233"/>
        <w:gridCol w:w="1233"/>
        <w:gridCol w:w="1231"/>
        <w:gridCol w:w="1232"/>
        <w:gridCol w:w="1232"/>
        <w:gridCol w:w="1231"/>
      </w:tblGrid>
      <w:tr w:rsidR="00A14749" w:rsidRPr="00A14749" w14:paraId="5AC3F9CF" w14:textId="77777777" w:rsidTr="00CC6BB8">
        <w:tc>
          <w:tcPr>
            <w:tcW w:w="994" w:type="dxa"/>
            <w:vAlign w:val="bottom"/>
          </w:tcPr>
          <w:p w14:paraId="3910FF0B" w14:textId="77777777" w:rsidR="00A14749" w:rsidRPr="00A14749" w:rsidRDefault="00A14749" w:rsidP="00A14749">
            <w:pPr>
              <w:jc w:val="center"/>
              <w:rPr>
                <w:rFonts w:ascii="Arial" w:hAnsi="Arial" w:cs="Arial"/>
                <w:sz w:val="20"/>
                <w:szCs w:val="20"/>
              </w:rPr>
            </w:pPr>
          </w:p>
        </w:tc>
        <w:tc>
          <w:tcPr>
            <w:tcW w:w="5970" w:type="dxa"/>
            <w:gridSpan w:val="4"/>
          </w:tcPr>
          <w:p w14:paraId="5C152D2D" w14:textId="5CB78C7C" w:rsidR="00A14749" w:rsidRPr="00A14749" w:rsidRDefault="008D6766" w:rsidP="00A14749">
            <w:pPr>
              <w:jc w:val="center"/>
              <w:rPr>
                <w:rFonts w:ascii="Arial" w:hAnsi="Arial" w:cs="Arial"/>
                <w:b/>
                <w:bCs/>
                <w:sz w:val="20"/>
                <w:szCs w:val="20"/>
              </w:rPr>
            </w:pPr>
            <w:r>
              <w:rPr>
                <w:rFonts w:ascii="Arial" w:hAnsi="Arial" w:cs="Arial"/>
                <w:b/>
                <w:bCs/>
                <w:sz w:val="20"/>
                <w:szCs w:val="20"/>
              </w:rPr>
              <w:t>Change</w:t>
            </w:r>
            <w:r w:rsidR="00391A1E">
              <w:rPr>
                <w:rFonts w:ascii="Arial" w:hAnsi="Arial" w:cs="Arial"/>
                <w:b/>
                <w:bCs/>
                <w:sz w:val="20"/>
                <w:szCs w:val="20"/>
              </w:rPr>
              <w:t xml:space="preserve"> in</w:t>
            </w:r>
            <w:r w:rsidR="00A14749" w:rsidRPr="00A14749">
              <w:rPr>
                <w:rFonts w:ascii="Arial" w:hAnsi="Arial" w:cs="Arial"/>
                <w:b/>
                <w:bCs/>
                <w:sz w:val="20"/>
                <w:szCs w:val="20"/>
              </w:rPr>
              <w:t xml:space="preserve"> ADHD symptom severity</w:t>
            </w:r>
          </w:p>
        </w:tc>
        <w:tc>
          <w:tcPr>
            <w:tcW w:w="7392" w:type="dxa"/>
            <w:gridSpan w:val="6"/>
          </w:tcPr>
          <w:p w14:paraId="3372EB91" w14:textId="7E2283F2" w:rsidR="00A14749" w:rsidRPr="00A14749" w:rsidRDefault="008D6766" w:rsidP="00A14749">
            <w:pPr>
              <w:jc w:val="center"/>
              <w:rPr>
                <w:rFonts w:ascii="Arial" w:hAnsi="Arial" w:cs="Arial"/>
                <w:b/>
                <w:bCs/>
                <w:sz w:val="20"/>
                <w:szCs w:val="20"/>
              </w:rPr>
            </w:pPr>
            <w:r>
              <w:rPr>
                <w:rFonts w:ascii="Arial" w:hAnsi="Arial" w:cs="Arial"/>
                <w:b/>
                <w:bCs/>
                <w:sz w:val="20"/>
                <w:szCs w:val="20"/>
              </w:rPr>
              <w:t>Tolerability</w:t>
            </w:r>
          </w:p>
        </w:tc>
      </w:tr>
      <w:tr w:rsidR="00A14749" w:rsidRPr="00A14749" w14:paraId="55341D1C" w14:textId="77777777" w:rsidTr="00CC6BB8">
        <w:tc>
          <w:tcPr>
            <w:tcW w:w="994" w:type="dxa"/>
            <w:vAlign w:val="bottom"/>
          </w:tcPr>
          <w:p w14:paraId="2B5355C3" w14:textId="77777777" w:rsidR="00A14749" w:rsidRPr="00A14749" w:rsidRDefault="00A14749" w:rsidP="00A14749">
            <w:pPr>
              <w:jc w:val="center"/>
              <w:rPr>
                <w:rFonts w:ascii="Arial" w:hAnsi="Arial" w:cs="Arial"/>
                <w:sz w:val="20"/>
                <w:szCs w:val="20"/>
              </w:rPr>
            </w:pPr>
          </w:p>
        </w:tc>
        <w:tc>
          <w:tcPr>
            <w:tcW w:w="2986" w:type="dxa"/>
            <w:gridSpan w:val="2"/>
          </w:tcPr>
          <w:p w14:paraId="370DF255"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Methylphenidate</w:t>
            </w:r>
          </w:p>
        </w:tc>
        <w:tc>
          <w:tcPr>
            <w:tcW w:w="2984" w:type="dxa"/>
            <w:gridSpan w:val="2"/>
          </w:tcPr>
          <w:p w14:paraId="2D166E36" w14:textId="4082749D"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Amphetamine</w:t>
            </w:r>
            <w:r w:rsidR="00AF68A5">
              <w:rPr>
                <w:rFonts w:ascii="Arial" w:hAnsi="Arial" w:cs="Arial"/>
                <w:b/>
                <w:bCs/>
                <w:sz w:val="20"/>
                <w:szCs w:val="20"/>
              </w:rPr>
              <w:t>s</w:t>
            </w:r>
          </w:p>
        </w:tc>
        <w:tc>
          <w:tcPr>
            <w:tcW w:w="3697" w:type="dxa"/>
            <w:gridSpan w:val="3"/>
          </w:tcPr>
          <w:p w14:paraId="508EE475"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Methylphenidate</w:t>
            </w:r>
          </w:p>
        </w:tc>
        <w:tc>
          <w:tcPr>
            <w:tcW w:w="3695" w:type="dxa"/>
            <w:gridSpan w:val="3"/>
          </w:tcPr>
          <w:p w14:paraId="14DF4A5A" w14:textId="67C093C8"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Amphetamine</w:t>
            </w:r>
            <w:r w:rsidR="00AF68A5">
              <w:rPr>
                <w:rFonts w:ascii="Arial" w:hAnsi="Arial" w:cs="Arial"/>
                <w:b/>
                <w:bCs/>
                <w:sz w:val="20"/>
                <w:szCs w:val="20"/>
              </w:rPr>
              <w:t>s</w:t>
            </w:r>
          </w:p>
        </w:tc>
      </w:tr>
      <w:tr w:rsidR="00A14749" w:rsidRPr="00A14749" w14:paraId="3D253010" w14:textId="77777777" w:rsidTr="00CC6BB8">
        <w:tc>
          <w:tcPr>
            <w:tcW w:w="994" w:type="dxa"/>
            <w:vAlign w:val="bottom"/>
          </w:tcPr>
          <w:p w14:paraId="4B4DA0C6"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Dose (mg/d)</w:t>
            </w:r>
          </w:p>
        </w:tc>
        <w:tc>
          <w:tcPr>
            <w:tcW w:w="1355" w:type="dxa"/>
          </w:tcPr>
          <w:p w14:paraId="7C1DB174"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SMD (95%CI)</w:t>
            </w:r>
          </w:p>
        </w:tc>
        <w:tc>
          <w:tcPr>
            <w:tcW w:w="1631" w:type="dxa"/>
          </w:tcPr>
          <w:p w14:paraId="1A2DB411"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ADHD-RS values, mean (95%CI)</w:t>
            </w:r>
          </w:p>
        </w:tc>
        <w:tc>
          <w:tcPr>
            <w:tcW w:w="1354" w:type="dxa"/>
          </w:tcPr>
          <w:p w14:paraId="6661ACA4"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SMD (95%CI)</w:t>
            </w:r>
          </w:p>
        </w:tc>
        <w:tc>
          <w:tcPr>
            <w:tcW w:w="1630" w:type="dxa"/>
          </w:tcPr>
          <w:p w14:paraId="4C28FFD2"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ADHD-RS values, mean (95%CI)</w:t>
            </w:r>
          </w:p>
        </w:tc>
        <w:tc>
          <w:tcPr>
            <w:tcW w:w="1233" w:type="dxa"/>
          </w:tcPr>
          <w:p w14:paraId="5BEAF8E0"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 xml:space="preserve">OR (95%CI) </w:t>
            </w:r>
          </w:p>
        </w:tc>
        <w:tc>
          <w:tcPr>
            <w:tcW w:w="1233" w:type="dxa"/>
          </w:tcPr>
          <w:p w14:paraId="605A7E31"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 xml:space="preserve">RR (95%CI) </w:t>
            </w:r>
          </w:p>
        </w:tc>
        <w:tc>
          <w:tcPr>
            <w:tcW w:w="1231" w:type="dxa"/>
          </w:tcPr>
          <w:p w14:paraId="0AA80F52"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 xml:space="preserve">NNH (95% CI </w:t>
            </w:r>
          </w:p>
        </w:tc>
        <w:tc>
          <w:tcPr>
            <w:tcW w:w="1232" w:type="dxa"/>
          </w:tcPr>
          <w:p w14:paraId="6C607761"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 xml:space="preserve">OR (95%CI) </w:t>
            </w:r>
          </w:p>
        </w:tc>
        <w:tc>
          <w:tcPr>
            <w:tcW w:w="1232" w:type="dxa"/>
          </w:tcPr>
          <w:p w14:paraId="4BD0C617"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 xml:space="preserve">RR (95%CI) </w:t>
            </w:r>
          </w:p>
        </w:tc>
        <w:tc>
          <w:tcPr>
            <w:tcW w:w="1231" w:type="dxa"/>
          </w:tcPr>
          <w:p w14:paraId="234C31F4" w14:textId="77777777" w:rsidR="00A14749" w:rsidRPr="00A14749" w:rsidRDefault="00A14749" w:rsidP="00A14749">
            <w:pPr>
              <w:jc w:val="center"/>
              <w:rPr>
                <w:rFonts w:ascii="Arial" w:hAnsi="Arial" w:cs="Arial"/>
                <w:b/>
                <w:bCs/>
                <w:sz w:val="20"/>
                <w:szCs w:val="20"/>
              </w:rPr>
            </w:pPr>
            <w:r w:rsidRPr="00A14749">
              <w:rPr>
                <w:rFonts w:ascii="Arial" w:hAnsi="Arial" w:cs="Arial"/>
                <w:b/>
                <w:bCs/>
                <w:sz w:val="20"/>
                <w:szCs w:val="20"/>
              </w:rPr>
              <w:t xml:space="preserve">NNH (95% CI </w:t>
            </w:r>
          </w:p>
        </w:tc>
      </w:tr>
      <w:tr w:rsidR="00A14749" w:rsidRPr="00A14749" w14:paraId="492513AA" w14:textId="77777777" w:rsidTr="001A06CC">
        <w:tc>
          <w:tcPr>
            <w:tcW w:w="994" w:type="dxa"/>
          </w:tcPr>
          <w:p w14:paraId="73FAD479"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75</w:t>
            </w:r>
          </w:p>
        </w:tc>
        <w:tc>
          <w:tcPr>
            <w:tcW w:w="1355" w:type="dxa"/>
          </w:tcPr>
          <w:p w14:paraId="78B62183"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-0.60 (-0.72 to -0.48)</w:t>
            </w:r>
          </w:p>
        </w:tc>
        <w:tc>
          <w:tcPr>
            <w:tcW w:w="1631" w:type="dxa"/>
          </w:tcPr>
          <w:p w14:paraId="7E308CA8"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-15.97 (-17.35 to -14.59)</w:t>
            </w:r>
          </w:p>
        </w:tc>
        <w:tc>
          <w:tcPr>
            <w:tcW w:w="1354" w:type="dxa"/>
          </w:tcPr>
          <w:p w14:paraId="279102CB"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-0.59 (-0.86 to -0.32)</w:t>
            </w:r>
          </w:p>
        </w:tc>
        <w:tc>
          <w:tcPr>
            <w:tcW w:w="1630" w:type="dxa"/>
          </w:tcPr>
          <w:p w14:paraId="0124DFAB"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-15.86 (-18.96 to -12.75)</w:t>
            </w:r>
          </w:p>
        </w:tc>
        <w:tc>
          <w:tcPr>
            <w:tcW w:w="1233" w:type="dxa"/>
          </w:tcPr>
          <w:p w14:paraId="7EA56641"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5.23 (2.30 to 11.91)</w:t>
            </w:r>
          </w:p>
        </w:tc>
        <w:tc>
          <w:tcPr>
            <w:tcW w:w="1233" w:type="dxa"/>
          </w:tcPr>
          <w:p w14:paraId="2A50C23A"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4.81 (2.24 to 9.72)</w:t>
            </w:r>
          </w:p>
        </w:tc>
        <w:tc>
          <w:tcPr>
            <w:tcW w:w="1231" w:type="dxa"/>
          </w:tcPr>
          <w:p w14:paraId="7737FEC3"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13 (6 to 39)</w:t>
            </w:r>
          </w:p>
        </w:tc>
        <w:tc>
          <w:tcPr>
            <w:tcW w:w="1232" w:type="dxa"/>
          </w:tcPr>
          <w:p w14:paraId="3A357AEC"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2.93 (1.36 to 6.33)</w:t>
            </w:r>
          </w:p>
        </w:tc>
        <w:tc>
          <w:tcPr>
            <w:tcW w:w="1232" w:type="dxa"/>
          </w:tcPr>
          <w:p w14:paraId="30B981C8"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2.82 (1.35 to 5.70)</w:t>
            </w:r>
          </w:p>
        </w:tc>
        <w:tc>
          <w:tcPr>
            <w:tcW w:w="1231" w:type="dxa"/>
          </w:tcPr>
          <w:p w14:paraId="57B4AB86"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27 (10 to 138)</w:t>
            </w:r>
          </w:p>
        </w:tc>
      </w:tr>
      <w:tr w:rsidR="00A14749" w:rsidRPr="00A14749" w14:paraId="0F01CADC" w14:textId="77777777" w:rsidTr="00CC6BB8">
        <w:tc>
          <w:tcPr>
            <w:tcW w:w="994" w:type="dxa"/>
          </w:tcPr>
          <w:p w14:paraId="38C38887"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80</w:t>
            </w:r>
          </w:p>
        </w:tc>
        <w:tc>
          <w:tcPr>
            <w:tcW w:w="1355" w:type="dxa"/>
          </w:tcPr>
          <w:p w14:paraId="405974A4"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-0.62 (-0.75 to -0.48)</w:t>
            </w:r>
          </w:p>
        </w:tc>
        <w:tc>
          <w:tcPr>
            <w:tcW w:w="1631" w:type="dxa"/>
          </w:tcPr>
          <w:p w14:paraId="42DC8A00"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-16.20 (-17.70 to -14.59)</w:t>
            </w:r>
          </w:p>
        </w:tc>
        <w:tc>
          <w:tcPr>
            <w:tcW w:w="1354" w:type="dxa"/>
            <w:vMerge w:val="restart"/>
            <w:vAlign w:val="center"/>
          </w:tcPr>
          <w:p w14:paraId="21A6F459"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NA</w:t>
            </w:r>
          </w:p>
        </w:tc>
        <w:tc>
          <w:tcPr>
            <w:tcW w:w="1630" w:type="dxa"/>
            <w:vMerge w:val="restart"/>
            <w:vAlign w:val="center"/>
          </w:tcPr>
          <w:p w14:paraId="1CF8C5B6"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NA</w:t>
            </w:r>
          </w:p>
        </w:tc>
        <w:tc>
          <w:tcPr>
            <w:tcW w:w="1233" w:type="dxa"/>
          </w:tcPr>
          <w:p w14:paraId="0EC5A69F" w14:textId="4E33EE6C" w:rsidR="00A14749" w:rsidRPr="00A14749" w:rsidRDefault="00A14749" w:rsidP="00A14749">
            <w:pPr>
              <w:jc w:val="center"/>
              <w:rPr>
                <w:rFonts w:ascii="Arial" w:hAnsi="Arial" w:cs="Arial"/>
                <w:sz w:val="20"/>
                <w:szCs w:val="20"/>
              </w:rPr>
            </w:pPr>
            <w:r w:rsidRPr="00A14749">
              <w:rPr>
                <w:rFonts w:ascii="Arial" w:hAnsi="Arial" w:cs="Arial"/>
                <w:sz w:val="20"/>
                <w:szCs w:val="20"/>
              </w:rPr>
              <w:t>5.84 (2.43 to 14.04)</w:t>
            </w:r>
          </w:p>
        </w:tc>
        <w:tc>
          <w:tcPr>
            <w:tcW w:w="1233" w:type="dxa"/>
          </w:tcPr>
          <w:p w14:paraId="4F95CA86" w14:textId="2FAA5750" w:rsidR="00A14749" w:rsidRPr="00A14749" w:rsidRDefault="00A14749" w:rsidP="00A14749">
            <w:pPr>
              <w:jc w:val="center"/>
              <w:rPr>
                <w:rFonts w:ascii="Arial" w:hAnsi="Arial" w:cs="Arial"/>
                <w:sz w:val="20"/>
                <w:szCs w:val="20"/>
              </w:rPr>
            </w:pPr>
            <w:r w:rsidRPr="00A14749">
              <w:rPr>
                <w:rFonts w:ascii="Arial" w:hAnsi="Arial" w:cs="Arial"/>
                <w:sz w:val="20"/>
                <w:szCs w:val="20"/>
              </w:rPr>
              <w:t>5.31 (2.36 to 11.06)</w:t>
            </w:r>
          </w:p>
        </w:tc>
        <w:tc>
          <w:tcPr>
            <w:tcW w:w="1231" w:type="dxa"/>
          </w:tcPr>
          <w:p w14:paraId="40874953"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11 (5 to 36)</w:t>
            </w:r>
          </w:p>
        </w:tc>
        <w:tc>
          <w:tcPr>
            <w:tcW w:w="1232" w:type="dxa"/>
            <w:vMerge w:val="restart"/>
            <w:vAlign w:val="center"/>
          </w:tcPr>
          <w:p w14:paraId="2114DC68"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NA</w:t>
            </w:r>
          </w:p>
        </w:tc>
        <w:tc>
          <w:tcPr>
            <w:tcW w:w="1232" w:type="dxa"/>
            <w:vMerge w:val="restart"/>
            <w:vAlign w:val="center"/>
          </w:tcPr>
          <w:p w14:paraId="385840CC"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NA</w:t>
            </w:r>
          </w:p>
        </w:tc>
        <w:tc>
          <w:tcPr>
            <w:tcW w:w="1231" w:type="dxa"/>
            <w:vMerge w:val="restart"/>
            <w:vAlign w:val="center"/>
          </w:tcPr>
          <w:p w14:paraId="2CBAA2BC"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NA</w:t>
            </w:r>
          </w:p>
        </w:tc>
      </w:tr>
      <w:tr w:rsidR="00A14749" w:rsidRPr="00A14749" w14:paraId="39C66CC6" w14:textId="77777777" w:rsidTr="00CC6BB8">
        <w:tc>
          <w:tcPr>
            <w:tcW w:w="994" w:type="dxa"/>
          </w:tcPr>
          <w:p w14:paraId="52D0151D"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85</w:t>
            </w:r>
          </w:p>
        </w:tc>
        <w:tc>
          <w:tcPr>
            <w:tcW w:w="1355" w:type="dxa"/>
          </w:tcPr>
          <w:p w14:paraId="13C6E669"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-0.63 (-0.78 to -0.49)</w:t>
            </w:r>
          </w:p>
        </w:tc>
        <w:tc>
          <w:tcPr>
            <w:tcW w:w="1631" w:type="dxa"/>
          </w:tcPr>
          <w:p w14:paraId="5081FAB3" w14:textId="77777777" w:rsidR="00A14749" w:rsidRPr="00A14749" w:rsidRDefault="00A14749" w:rsidP="00A14749">
            <w:pPr>
              <w:jc w:val="center"/>
              <w:rPr>
                <w:rFonts w:ascii="Arial" w:hAnsi="Arial" w:cs="Arial"/>
                <w:sz w:val="20"/>
                <w:szCs w:val="20"/>
              </w:rPr>
            </w:pPr>
            <w:r w:rsidRPr="00A14749">
              <w:rPr>
                <w:rFonts w:ascii="Arial" w:hAnsi="Arial" w:cs="Arial"/>
                <w:sz w:val="20"/>
                <w:szCs w:val="20"/>
              </w:rPr>
              <w:t>-16.32 (-18.04 to -14.70)</w:t>
            </w:r>
          </w:p>
        </w:tc>
        <w:tc>
          <w:tcPr>
            <w:tcW w:w="1354" w:type="dxa"/>
            <w:vMerge/>
          </w:tcPr>
          <w:p w14:paraId="257B737B" w14:textId="77777777" w:rsidR="00A14749" w:rsidRPr="00A14749" w:rsidRDefault="00A14749" w:rsidP="00A14749">
            <w:pPr>
              <w:jc w:val="center"/>
              <w:rPr>
                <w:rFonts w:ascii="Arial" w:hAnsi="Arial" w:cs="Arial"/>
                <w:sz w:val="20"/>
                <w:szCs w:val="20"/>
              </w:rPr>
            </w:pPr>
          </w:p>
        </w:tc>
        <w:tc>
          <w:tcPr>
            <w:tcW w:w="1630" w:type="dxa"/>
            <w:vMerge/>
          </w:tcPr>
          <w:p w14:paraId="0C09EFFB" w14:textId="77777777" w:rsidR="00A14749" w:rsidRPr="00A14749" w:rsidRDefault="00A14749" w:rsidP="00A14749">
            <w:pPr>
              <w:jc w:val="center"/>
              <w:rPr>
                <w:rFonts w:ascii="Arial" w:hAnsi="Arial" w:cs="Arial"/>
                <w:sz w:val="20"/>
                <w:szCs w:val="20"/>
              </w:rPr>
            </w:pPr>
          </w:p>
        </w:tc>
        <w:tc>
          <w:tcPr>
            <w:tcW w:w="1233" w:type="dxa"/>
          </w:tcPr>
          <w:p w14:paraId="74482FCB" w14:textId="3DEAC9CF" w:rsidR="00A14749" w:rsidRPr="00A14749" w:rsidRDefault="00A14749" w:rsidP="00A14749">
            <w:pPr>
              <w:jc w:val="center"/>
              <w:rPr>
                <w:rFonts w:ascii="Arial" w:hAnsi="Arial" w:cs="Arial"/>
                <w:sz w:val="20"/>
                <w:szCs w:val="20"/>
              </w:rPr>
            </w:pPr>
            <w:r w:rsidRPr="00A14749">
              <w:rPr>
                <w:rFonts w:ascii="Arial" w:hAnsi="Arial" w:cs="Arial"/>
                <w:sz w:val="20"/>
                <w:szCs w:val="20"/>
              </w:rPr>
              <w:t>6.52 (2.57 to 16.56)</w:t>
            </w:r>
          </w:p>
        </w:tc>
        <w:tc>
          <w:tcPr>
            <w:tcW w:w="1233" w:type="dxa"/>
          </w:tcPr>
          <w:p w14:paraId="105E871E" w14:textId="072A8CCC" w:rsidR="00A14749" w:rsidRPr="00A14749" w:rsidRDefault="00A14749" w:rsidP="00A14749">
            <w:pPr>
              <w:jc w:val="center"/>
              <w:rPr>
                <w:rFonts w:ascii="Arial" w:hAnsi="Arial" w:cs="Arial"/>
                <w:sz w:val="20"/>
                <w:szCs w:val="20"/>
              </w:rPr>
            </w:pPr>
            <w:r w:rsidRPr="00A14749">
              <w:rPr>
                <w:rFonts w:ascii="Arial" w:hAnsi="Arial" w:cs="Arial"/>
                <w:sz w:val="20"/>
                <w:szCs w:val="20"/>
              </w:rPr>
              <w:t>5.85 (2.49 to 12.53)</w:t>
            </w:r>
          </w:p>
        </w:tc>
        <w:tc>
          <w:tcPr>
            <w:tcW w:w="1231" w:type="dxa"/>
          </w:tcPr>
          <w:p w14:paraId="157253DB" w14:textId="19F9744D" w:rsidR="00A14749" w:rsidRPr="00A14749" w:rsidRDefault="00A14749" w:rsidP="00A14749">
            <w:pPr>
              <w:jc w:val="center"/>
              <w:rPr>
                <w:rFonts w:ascii="Arial" w:hAnsi="Arial" w:cs="Arial"/>
                <w:sz w:val="20"/>
                <w:szCs w:val="20"/>
              </w:rPr>
            </w:pPr>
            <w:r w:rsidRPr="00A14749">
              <w:rPr>
                <w:rFonts w:ascii="Arial" w:hAnsi="Arial" w:cs="Arial"/>
                <w:sz w:val="20"/>
                <w:szCs w:val="20"/>
              </w:rPr>
              <w:t>10 (4 to 32)</w:t>
            </w:r>
          </w:p>
        </w:tc>
        <w:tc>
          <w:tcPr>
            <w:tcW w:w="1232" w:type="dxa"/>
            <w:vMerge/>
          </w:tcPr>
          <w:p w14:paraId="5E07B6BF" w14:textId="77777777" w:rsidR="00A14749" w:rsidRPr="00A14749" w:rsidRDefault="00A14749" w:rsidP="00A14749">
            <w:pPr>
              <w:jc w:val="center"/>
              <w:rPr>
                <w:rFonts w:ascii="Arial" w:hAnsi="Arial" w:cs="Arial"/>
                <w:sz w:val="20"/>
                <w:szCs w:val="20"/>
              </w:rPr>
            </w:pPr>
          </w:p>
        </w:tc>
        <w:tc>
          <w:tcPr>
            <w:tcW w:w="1232" w:type="dxa"/>
            <w:vMerge/>
          </w:tcPr>
          <w:p w14:paraId="68FAB472" w14:textId="77777777" w:rsidR="00A14749" w:rsidRPr="00A14749" w:rsidRDefault="00A14749" w:rsidP="00A14749">
            <w:pPr>
              <w:jc w:val="center"/>
              <w:rPr>
                <w:rFonts w:ascii="Arial" w:hAnsi="Arial" w:cs="Arial"/>
                <w:sz w:val="20"/>
                <w:szCs w:val="20"/>
              </w:rPr>
            </w:pPr>
          </w:p>
        </w:tc>
        <w:tc>
          <w:tcPr>
            <w:tcW w:w="1231" w:type="dxa"/>
            <w:vMerge/>
          </w:tcPr>
          <w:p w14:paraId="74E96B4D" w14:textId="77777777" w:rsidR="00A14749" w:rsidRPr="00A14749" w:rsidRDefault="00A14749" w:rsidP="00A14749">
            <w:pPr>
              <w:jc w:val="center"/>
              <w:rPr>
                <w:rFonts w:ascii="Arial" w:hAnsi="Arial" w:cs="Arial"/>
                <w:sz w:val="20"/>
                <w:szCs w:val="20"/>
              </w:rPr>
            </w:pPr>
          </w:p>
        </w:tc>
      </w:tr>
    </w:tbl>
    <w:p w14:paraId="0C47AEE4" w14:textId="3056CF06" w:rsidR="005B1CC6" w:rsidRDefault="00A14749" w:rsidP="00BE269A">
      <w:pPr>
        <w:ind w:left="-709"/>
        <w:rPr>
          <w:rFonts w:ascii="Arial" w:hAnsi="Arial" w:cs="Arial"/>
          <w:sz w:val="16"/>
          <w:szCs w:val="16"/>
        </w:rPr>
      </w:pPr>
      <w:r>
        <w:rPr>
          <w:rFonts w:ascii="Arial" w:hAnsi="Arial" w:cs="Arial"/>
          <w:sz w:val="16"/>
          <w:szCs w:val="16"/>
        </w:rPr>
        <w:t>Doses in mg/d refer to immediate release methylphenidate hydrochloride and mixed amphetamine salts for methylphenidate and amphetamines, respectively.</w:t>
      </w:r>
    </w:p>
    <w:p w14:paraId="27CA8125" w14:textId="7CB4A308" w:rsidR="00A14749" w:rsidRPr="00A14749" w:rsidRDefault="00A14749" w:rsidP="00BE269A">
      <w:pPr>
        <w:ind w:left="-709"/>
        <w:rPr>
          <w:rFonts w:ascii="Arial" w:hAnsi="Arial" w:cs="Arial"/>
          <w:sz w:val="16"/>
          <w:szCs w:val="16"/>
        </w:rPr>
      </w:pPr>
      <w:r>
        <w:rPr>
          <w:rFonts w:ascii="Arial" w:hAnsi="Arial" w:cs="Arial"/>
          <w:sz w:val="16"/>
          <w:szCs w:val="16"/>
        </w:rPr>
        <w:t xml:space="preserve">Abbreviations: ADHD = Attention-deficit/hyperactivity disorder; ADHD-RS = Attention-deficit/hyperactivity disorder rating scale; </w:t>
      </w:r>
      <w:r w:rsidR="009D5E29">
        <w:rPr>
          <w:rFonts w:ascii="Arial" w:hAnsi="Arial" w:cs="Arial"/>
          <w:sz w:val="16"/>
          <w:szCs w:val="16"/>
        </w:rPr>
        <w:t xml:space="preserve">NA = Not applicable; </w:t>
      </w:r>
      <w:r>
        <w:rPr>
          <w:rFonts w:ascii="Arial" w:hAnsi="Arial" w:cs="Arial"/>
          <w:sz w:val="16"/>
          <w:szCs w:val="16"/>
        </w:rPr>
        <w:t>NNH = Number needed to harm; OR = Odds ratio; RR = Relative risk; SMD = Standardized mean difference</w:t>
      </w:r>
    </w:p>
    <w:p w14:paraId="760859C8" w14:textId="77777777" w:rsidR="004405F2" w:rsidRDefault="004405F2" w:rsidP="00194EFB">
      <w:pPr>
        <w:spacing w:line="480" w:lineRule="auto"/>
        <w:rPr>
          <w:rFonts w:ascii="Arial" w:hAnsi="Arial" w:cs="Arial"/>
          <w:b/>
          <w:bCs/>
          <w:lang w:val="en-US"/>
        </w:rPr>
      </w:pPr>
    </w:p>
    <w:p w14:paraId="17CE6365" w14:textId="77777777" w:rsidR="004405F2" w:rsidRDefault="004405F2" w:rsidP="00194EFB">
      <w:pPr>
        <w:spacing w:line="480" w:lineRule="auto"/>
        <w:rPr>
          <w:rFonts w:ascii="Arial" w:hAnsi="Arial" w:cs="Arial"/>
          <w:b/>
          <w:bCs/>
          <w:lang w:val="en-US"/>
        </w:rPr>
      </w:pPr>
    </w:p>
    <w:p w14:paraId="07E480C1" w14:textId="44337ED0" w:rsidR="005B1CC6" w:rsidRPr="005B1CC6" w:rsidRDefault="005B1CC6" w:rsidP="004405F2">
      <w:pPr>
        <w:rPr>
          <w:rFonts w:ascii="Arial" w:hAnsi="Arial" w:cs="Arial"/>
          <w:b/>
          <w:bCs/>
          <w:lang w:val="en-US"/>
        </w:rPr>
      </w:pPr>
    </w:p>
    <w:sectPr w:rsidR="005B1CC6" w:rsidRPr="005B1CC6" w:rsidSect="00863254">
      <w:type w:val="continuous"/>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9843" w14:textId="77777777" w:rsidR="00D82494" w:rsidRDefault="00D82494" w:rsidP="000E7B7B">
      <w:r>
        <w:separator/>
      </w:r>
    </w:p>
  </w:endnote>
  <w:endnote w:type="continuationSeparator" w:id="0">
    <w:p w14:paraId="4C9C1574" w14:textId="77777777" w:rsidR="00D82494" w:rsidRDefault="00D82494" w:rsidP="000E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3139321"/>
      <w:docPartObj>
        <w:docPartGallery w:val="Page Numbers (Bottom of Page)"/>
        <w:docPartUnique/>
      </w:docPartObj>
    </w:sdtPr>
    <w:sdtEndPr>
      <w:rPr>
        <w:rStyle w:val="PageNumber"/>
      </w:rPr>
    </w:sdtEndPr>
    <w:sdtContent>
      <w:p w14:paraId="68FE20AA" w14:textId="6C03EA0E" w:rsidR="000E7B7B" w:rsidRDefault="000E7B7B" w:rsidP="00345F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80BBCE" w14:textId="77777777" w:rsidR="000E7B7B" w:rsidRDefault="000E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486929028"/>
      <w:docPartObj>
        <w:docPartGallery w:val="Page Numbers (Bottom of Page)"/>
        <w:docPartUnique/>
      </w:docPartObj>
    </w:sdtPr>
    <w:sdtEndPr>
      <w:rPr>
        <w:rStyle w:val="PageNumber"/>
      </w:rPr>
    </w:sdtEndPr>
    <w:sdtContent>
      <w:p w14:paraId="0DDC3429" w14:textId="7E502EA3" w:rsidR="000E7B7B" w:rsidRPr="000E7B7B" w:rsidRDefault="000E7B7B" w:rsidP="00345FF0">
        <w:pPr>
          <w:pStyle w:val="Footer"/>
          <w:framePr w:wrap="none" w:vAnchor="text" w:hAnchor="margin" w:xAlign="center" w:y="1"/>
          <w:rPr>
            <w:rStyle w:val="PageNumber"/>
            <w:rFonts w:ascii="Arial" w:hAnsi="Arial" w:cs="Arial"/>
          </w:rPr>
        </w:pPr>
        <w:r w:rsidRPr="000E7B7B">
          <w:rPr>
            <w:rStyle w:val="PageNumber"/>
            <w:rFonts w:ascii="Arial" w:hAnsi="Arial" w:cs="Arial"/>
          </w:rPr>
          <w:fldChar w:fldCharType="begin"/>
        </w:r>
        <w:r w:rsidRPr="000E7B7B">
          <w:rPr>
            <w:rStyle w:val="PageNumber"/>
            <w:rFonts w:ascii="Arial" w:hAnsi="Arial" w:cs="Arial"/>
          </w:rPr>
          <w:instrText xml:space="preserve"> PAGE </w:instrText>
        </w:r>
        <w:r w:rsidRPr="000E7B7B">
          <w:rPr>
            <w:rStyle w:val="PageNumber"/>
            <w:rFonts w:ascii="Arial" w:hAnsi="Arial" w:cs="Arial"/>
          </w:rPr>
          <w:fldChar w:fldCharType="separate"/>
        </w:r>
        <w:r w:rsidRPr="000E7B7B">
          <w:rPr>
            <w:rStyle w:val="PageNumber"/>
            <w:rFonts w:ascii="Arial" w:hAnsi="Arial" w:cs="Arial"/>
            <w:noProof/>
          </w:rPr>
          <w:t>1</w:t>
        </w:r>
        <w:r w:rsidRPr="000E7B7B">
          <w:rPr>
            <w:rStyle w:val="PageNumber"/>
            <w:rFonts w:ascii="Arial" w:hAnsi="Arial" w:cs="Arial"/>
          </w:rPr>
          <w:fldChar w:fldCharType="end"/>
        </w:r>
      </w:p>
    </w:sdtContent>
  </w:sdt>
  <w:p w14:paraId="0368D348" w14:textId="77777777" w:rsidR="000E7B7B" w:rsidRDefault="000E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1F9A" w14:textId="77777777" w:rsidR="00D82494" w:rsidRDefault="00D82494" w:rsidP="000E7B7B">
      <w:r>
        <w:separator/>
      </w:r>
    </w:p>
  </w:footnote>
  <w:footnote w:type="continuationSeparator" w:id="0">
    <w:p w14:paraId="46212186" w14:textId="77777777" w:rsidR="00D82494" w:rsidRDefault="00D82494" w:rsidP="000E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5F9B"/>
    <w:multiLevelType w:val="hybridMultilevel"/>
    <w:tmpl w:val="2BC0D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509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1N7OwsDQ1tTS2tDBU0lEKTi0uzszPAykwrAUAmvMVxywAAAA="/>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fdaeedv4azf5cerzr35xadd9zvxfepesdx2&quot;&gt;TTM ED Treatments MA&lt;record-ids&gt;&lt;item&gt;1216&lt;/item&gt;&lt;item&gt;1789&lt;/item&gt;&lt;item&gt;2501&lt;/item&gt;&lt;/record-ids&gt;&lt;/item&gt;&lt;/Libraries&gt;"/>
  </w:docVars>
  <w:rsids>
    <w:rsidRoot w:val="00194EFB"/>
    <w:rsid w:val="0000291F"/>
    <w:rsid w:val="00003198"/>
    <w:rsid w:val="00003AE1"/>
    <w:rsid w:val="0000432A"/>
    <w:rsid w:val="00004900"/>
    <w:rsid w:val="00005C9C"/>
    <w:rsid w:val="000068E9"/>
    <w:rsid w:val="000104F8"/>
    <w:rsid w:val="00012427"/>
    <w:rsid w:val="000128EC"/>
    <w:rsid w:val="00012C46"/>
    <w:rsid w:val="00013F32"/>
    <w:rsid w:val="00014C8B"/>
    <w:rsid w:val="00016A8A"/>
    <w:rsid w:val="0001783C"/>
    <w:rsid w:val="000178A9"/>
    <w:rsid w:val="00020D34"/>
    <w:rsid w:val="00020FEE"/>
    <w:rsid w:val="000219C7"/>
    <w:rsid w:val="00021EBC"/>
    <w:rsid w:val="000220EF"/>
    <w:rsid w:val="000232B9"/>
    <w:rsid w:val="00024426"/>
    <w:rsid w:val="00026E35"/>
    <w:rsid w:val="000307B6"/>
    <w:rsid w:val="00032E1E"/>
    <w:rsid w:val="0003468B"/>
    <w:rsid w:val="000355EF"/>
    <w:rsid w:val="0003572A"/>
    <w:rsid w:val="00040EBB"/>
    <w:rsid w:val="00042010"/>
    <w:rsid w:val="000420F7"/>
    <w:rsid w:val="0004246D"/>
    <w:rsid w:val="00043906"/>
    <w:rsid w:val="000451FC"/>
    <w:rsid w:val="000500C2"/>
    <w:rsid w:val="00050CA3"/>
    <w:rsid w:val="0005168D"/>
    <w:rsid w:val="000533A3"/>
    <w:rsid w:val="00057762"/>
    <w:rsid w:val="0006017C"/>
    <w:rsid w:val="00060D48"/>
    <w:rsid w:val="000627B5"/>
    <w:rsid w:val="00063001"/>
    <w:rsid w:val="00064479"/>
    <w:rsid w:val="00064C41"/>
    <w:rsid w:val="00067366"/>
    <w:rsid w:val="0006747F"/>
    <w:rsid w:val="00070037"/>
    <w:rsid w:val="000703EA"/>
    <w:rsid w:val="00071419"/>
    <w:rsid w:val="00074CF5"/>
    <w:rsid w:val="000754BB"/>
    <w:rsid w:val="00075604"/>
    <w:rsid w:val="00075DF4"/>
    <w:rsid w:val="0007686F"/>
    <w:rsid w:val="00077C4C"/>
    <w:rsid w:val="00080243"/>
    <w:rsid w:val="00080332"/>
    <w:rsid w:val="000814AB"/>
    <w:rsid w:val="00082EE3"/>
    <w:rsid w:val="00084A17"/>
    <w:rsid w:val="00084B4A"/>
    <w:rsid w:val="00087AB2"/>
    <w:rsid w:val="00087FED"/>
    <w:rsid w:val="00090C06"/>
    <w:rsid w:val="000911BC"/>
    <w:rsid w:val="000918D1"/>
    <w:rsid w:val="00091EB0"/>
    <w:rsid w:val="00095E23"/>
    <w:rsid w:val="0009642C"/>
    <w:rsid w:val="00096880"/>
    <w:rsid w:val="000A10DD"/>
    <w:rsid w:val="000A4218"/>
    <w:rsid w:val="000A5340"/>
    <w:rsid w:val="000A5824"/>
    <w:rsid w:val="000B1BF9"/>
    <w:rsid w:val="000B1EA3"/>
    <w:rsid w:val="000B4411"/>
    <w:rsid w:val="000B49A7"/>
    <w:rsid w:val="000B67B4"/>
    <w:rsid w:val="000B6C0D"/>
    <w:rsid w:val="000B7C85"/>
    <w:rsid w:val="000C0BE1"/>
    <w:rsid w:val="000C30E5"/>
    <w:rsid w:val="000C3939"/>
    <w:rsid w:val="000C6B79"/>
    <w:rsid w:val="000C722D"/>
    <w:rsid w:val="000D2119"/>
    <w:rsid w:val="000D2999"/>
    <w:rsid w:val="000D450E"/>
    <w:rsid w:val="000D4542"/>
    <w:rsid w:val="000D4D08"/>
    <w:rsid w:val="000D7315"/>
    <w:rsid w:val="000E0721"/>
    <w:rsid w:val="000E1B07"/>
    <w:rsid w:val="000E488C"/>
    <w:rsid w:val="000E4974"/>
    <w:rsid w:val="000E58C2"/>
    <w:rsid w:val="000E6544"/>
    <w:rsid w:val="000E66F8"/>
    <w:rsid w:val="000E6BEC"/>
    <w:rsid w:val="000E7B7B"/>
    <w:rsid w:val="000F0238"/>
    <w:rsid w:val="000F0E4D"/>
    <w:rsid w:val="000F1221"/>
    <w:rsid w:val="000F1D23"/>
    <w:rsid w:val="000F284D"/>
    <w:rsid w:val="000F34B0"/>
    <w:rsid w:val="000F471B"/>
    <w:rsid w:val="000F5DD7"/>
    <w:rsid w:val="000F6A22"/>
    <w:rsid w:val="000F6F7F"/>
    <w:rsid w:val="000F70A5"/>
    <w:rsid w:val="000F7AD0"/>
    <w:rsid w:val="00102599"/>
    <w:rsid w:val="00104108"/>
    <w:rsid w:val="0010481D"/>
    <w:rsid w:val="001062DE"/>
    <w:rsid w:val="001119A3"/>
    <w:rsid w:val="0011236D"/>
    <w:rsid w:val="00112479"/>
    <w:rsid w:val="00114984"/>
    <w:rsid w:val="001160E1"/>
    <w:rsid w:val="00117843"/>
    <w:rsid w:val="00120B1B"/>
    <w:rsid w:val="00122D0B"/>
    <w:rsid w:val="00123A4A"/>
    <w:rsid w:val="00123C31"/>
    <w:rsid w:val="00127536"/>
    <w:rsid w:val="00130449"/>
    <w:rsid w:val="001305ED"/>
    <w:rsid w:val="001352A3"/>
    <w:rsid w:val="00135EEA"/>
    <w:rsid w:val="00136391"/>
    <w:rsid w:val="001365AC"/>
    <w:rsid w:val="00136C2E"/>
    <w:rsid w:val="001406C0"/>
    <w:rsid w:val="00142FCC"/>
    <w:rsid w:val="00143D5F"/>
    <w:rsid w:val="001456A7"/>
    <w:rsid w:val="00145AB5"/>
    <w:rsid w:val="00146B40"/>
    <w:rsid w:val="00146B4A"/>
    <w:rsid w:val="0015054E"/>
    <w:rsid w:val="00151902"/>
    <w:rsid w:val="001525E2"/>
    <w:rsid w:val="00152A59"/>
    <w:rsid w:val="001543FA"/>
    <w:rsid w:val="0015486E"/>
    <w:rsid w:val="00155B2A"/>
    <w:rsid w:val="001562D0"/>
    <w:rsid w:val="00157093"/>
    <w:rsid w:val="0015734E"/>
    <w:rsid w:val="00160F5F"/>
    <w:rsid w:val="00161747"/>
    <w:rsid w:val="001626CF"/>
    <w:rsid w:val="00163180"/>
    <w:rsid w:val="0016323C"/>
    <w:rsid w:val="00163AE8"/>
    <w:rsid w:val="00164DDA"/>
    <w:rsid w:val="001652DA"/>
    <w:rsid w:val="001667A2"/>
    <w:rsid w:val="0016698E"/>
    <w:rsid w:val="00167106"/>
    <w:rsid w:val="00170CB8"/>
    <w:rsid w:val="00171951"/>
    <w:rsid w:val="00172F37"/>
    <w:rsid w:val="00175B67"/>
    <w:rsid w:val="0017648F"/>
    <w:rsid w:val="001766E8"/>
    <w:rsid w:val="0018065F"/>
    <w:rsid w:val="00181BA3"/>
    <w:rsid w:val="00181FCB"/>
    <w:rsid w:val="00182CA0"/>
    <w:rsid w:val="001834B6"/>
    <w:rsid w:val="001845A9"/>
    <w:rsid w:val="00185905"/>
    <w:rsid w:val="001859FD"/>
    <w:rsid w:val="0018659E"/>
    <w:rsid w:val="00186AFF"/>
    <w:rsid w:val="00192D5D"/>
    <w:rsid w:val="00194EE9"/>
    <w:rsid w:val="00194EFB"/>
    <w:rsid w:val="00194FFD"/>
    <w:rsid w:val="00195868"/>
    <w:rsid w:val="001A0267"/>
    <w:rsid w:val="001A348C"/>
    <w:rsid w:val="001A430E"/>
    <w:rsid w:val="001A4526"/>
    <w:rsid w:val="001A5669"/>
    <w:rsid w:val="001A5EAC"/>
    <w:rsid w:val="001A6F44"/>
    <w:rsid w:val="001B00FE"/>
    <w:rsid w:val="001B0606"/>
    <w:rsid w:val="001B11F2"/>
    <w:rsid w:val="001B12B5"/>
    <w:rsid w:val="001B156B"/>
    <w:rsid w:val="001B1AE3"/>
    <w:rsid w:val="001B2782"/>
    <w:rsid w:val="001B27AD"/>
    <w:rsid w:val="001B3E15"/>
    <w:rsid w:val="001B61BC"/>
    <w:rsid w:val="001B6233"/>
    <w:rsid w:val="001B7AC6"/>
    <w:rsid w:val="001B7F18"/>
    <w:rsid w:val="001C2460"/>
    <w:rsid w:val="001C46C1"/>
    <w:rsid w:val="001C606C"/>
    <w:rsid w:val="001C64A9"/>
    <w:rsid w:val="001C6FEC"/>
    <w:rsid w:val="001D0DEE"/>
    <w:rsid w:val="001D15B8"/>
    <w:rsid w:val="001D36AF"/>
    <w:rsid w:val="001D3FC6"/>
    <w:rsid w:val="001D4073"/>
    <w:rsid w:val="001D4CBD"/>
    <w:rsid w:val="001E12FF"/>
    <w:rsid w:val="001E1378"/>
    <w:rsid w:val="001E14D7"/>
    <w:rsid w:val="001E4C2E"/>
    <w:rsid w:val="001E5A95"/>
    <w:rsid w:val="001F0982"/>
    <w:rsid w:val="001F0DF9"/>
    <w:rsid w:val="001F30C2"/>
    <w:rsid w:val="001F419E"/>
    <w:rsid w:val="001F7624"/>
    <w:rsid w:val="00201A77"/>
    <w:rsid w:val="00202DEC"/>
    <w:rsid w:val="00204FA5"/>
    <w:rsid w:val="0020533D"/>
    <w:rsid w:val="00205882"/>
    <w:rsid w:val="002070F8"/>
    <w:rsid w:val="00210C26"/>
    <w:rsid w:val="002144ED"/>
    <w:rsid w:val="00214CF4"/>
    <w:rsid w:val="002156C7"/>
    <w:rsid w:val="00215D6A"/>
    <w:rsid w:val="002163E0"/>
    <w:rsid w:val="0022020C"/>
    <w:rsid w:val="0022066F"/>
    <w:rsid w:val="00220B1C"/>
    <w:rsid w:val="002255DA"/>
    <w:rsid w:val="00225606"/>
    <w:rsid w:val="002259CF"/>
    <w:rsid w:val="002266E1"/>
    <w:rsid w:val="0023004D"/>
    <w:rsid w:val="00232E6A"/>
    <w:rsid w:val="00233C98"/>
    <w:rsid w:val="002342A1"/>
    <w:rsid w:val="0023451D"/>
    <w:rsid w:val="00235145"/>
    <w:rsid w:val="00235EC9"/>
    <w:rsid w:val="00236947"/>
    <w:rsid w:val="00236F49"/>
    <w:rsid w:val="00237722"/>
    <w:rsid w:val="00240263"/>
    <w:rsid w:val="00242A6A"/>
    <w:rsid w:val="00243132"/>
    <w:rsid w:val="00243A6C"/>
    <w:rsid w:val="00245963"/>
    <w:rsid w:val="00247F75"/>
    <w:rsid w:val="0025003C"/>
    <w:rsid w:val="00250DED"/>
    <w:rsid w:val="0025178F"/>
    <w:rsid w:val="002519BA"/>
    <w:rsid w:val="00251B19"/>
    <w:rsid w:val="00254726"/>
    <w:rsid w:val="00254B29"/>
    <w:rsid w:val="002552B4"/>
    <w:rsid w:val="00255D6A"/>
    <w:rsid w:val="00256452"/>
    <w:rsid w:val="0025716E"/>
    <w:rsid w:val="00260C3E"/>
    <w:rsid w:val="00263D49"/>
    <w:rsid w:val="002643B1"/>
    <w:rsid w:val="00266003"/>
    <w:rsid w:val="002668EF"/>
    <w:rsid w:val="00266B0D"/>
    <w:rsid w:val="00267A93"/>
    <w:rsid w:val="00270DCE"/>
    <w:rsid w:val="00274A22"/>
    <w:rsid w:val="00274D0B"/>
    <w:rsid w:val="00275135"/>
    <w:rsid w:val="0027573E"/>
    <w:rsid w:val="00276F49"/>
    <w:rsid w:val="002802A4"/>
    <w:rsid w:val="00282EFC"/>
    <w:rsid w:val="0028428F"/>
    <w:rsid w:val="00284304"/>
    <w:rsid w:val="002866F9"/>
    <w:rsid w:val="0029121C"/>
    <w:rsid w:val="00291E18"/>
    <w:rsid w:val="00292A4F"/>
    <w:rsid w:val="0029307F"/>
    <w:rsid w:val="002964B8"/>
    <w:rsid w:val="002A1943"/>
    <w:rsid w:val="002A206F"/>
    <w:rsid w:val="002A2534"/>
    <w:rsid w:val="002A2C02"/>
    <w:rsid w:val="002B118E"/>
    <w:rsid w:val="002B1CD8"/>
    <w:rsid w:val="002B31B8"/>
    <w:rsid w:val="002B35C8"/>
    <w:rsid w:val="002B4CF9"/>
    <w:rsid w:val="002B607C"/>
    <w:rsid w:val="002B64EC"/>
    <w:rsid w:val="002C0878"/>
    <w:rsid w:val="002C228D"/>
    <w:rsid w:val="002C24A1"/>
    <w:rsid w:val="002C2B39"/>
    <w:rsid w:val="002C307C"/>
    <w:rsid w:val="002C41F0"/>
    <w:rsid w:val="002C4474"/>
    <w:rsid w:val="002C4CDD"/>
    <w:rsid w:val="002C559D"/>
    <w:rsid w:val="002C636B"/>
    <w:rsid w:val="002D0295"/>
    <w:rsid w:val="002D1767"/>
    <w:rsid w:val="002D2CFE"/>
    <w:rsid w:val="002D3015"/>
    <w:rsid w:val="002D30D5"/>
    <w:rsid w:val="002D324E"/>
    <w:rsid w:val="002D3E32"/>
    <w:rsid w:val="002D47DC"/>
    <w:rsid w:val="002D58C6"/>
    <w:rsid w:val="002D59BF"/>
    <w:rsid w:val="002D70F8"/>
    <w:rsid w:val="002D739E"/>
    <w:rsid w:val="002E17EF"/>
    <w:rsid w:val="002E1B65"/>
    <w:rsid w:val="002E59B8"/>
    <w:rsid w:val="002E5F7B"/>
    <w:rsid w:val="002E7758"/>
    <w:rsid w:val="002E7A2C"/>
    <w:rsid w:val="002F12FE"/>
    <w:rsid w:val="002F2826"/>
    <w:rsid w:val="002F2B49"/>
    <w:rsid w:val="002F3DC5"/>
    <w:rsid w:val="002F4209"/>
    <w:rsid w:val="002F52BB"/>
    <w:rsid w:val="002F564B"/>
    <w:rsid w:val="002F60CE"/>
    <w:rsid w:val="002F62D2"/>
    <w:rsid w:val="002F6882"/>
    <w:rsid w:val="002F6FC3"/>
    <w:rsid w:val="002F75E7"/>
    <w:rsid w:val="0030009E"/>
    <w:rsid w:val="003020AA"/>
    <w:rsid w:val="00303559"/>
    <w:rsid w:val="00305032"/>
    <w:rsid w:val="003063D4"/>
    <w:rsid w:val="00306744"/>
    <w:rsid w:val="003072AB"/>
    <w:rsid w:val="003103EB"/>
    <w:rsid w:val="00311D31"/>
    <w:rsid w:val="00312328"/>
    <w:rsid w:val="0031327D"/>
    <w:rsid w:val="00315A85"/>
    <w:rsid w:val="00315E47"/>
    <w:rsid w:val="00315F38"/>
    <w:rsid w:val="00316007"/>
    <w:rsid w:val="00316184"/>
    <w:rsid w:val="00320868"/>
    <w:rsid w:val="00320EA6"/>
    <w:rsid w:val="00320FEB"/>
    <w:rsid w:val="0032356D"/>
    <w:rsid w:val="00323BCA"/>
    <w:rsid w:val="00324C2A"/>
    <w:rsid w:val="00325878"/>
    <w:rsid w:val="0032796B"/>
    <w:rsid w:val="00331763"/>
    <w:rsid w:val="00333FA6"/>
    <w:rsid w:val="00334BD8"/>
    <w:rsid w:val="00334CB1"/>
    <w:rsid w:val="00334F4E"/>
    <w:rsid w:val="00336461"/>
    <w:rsid w:val="0033752A"/>
    <w:rsid w:val="00337823"/>
    <w:rsid w:val="00341805"/>
    <w:rsid w:val="00342AE9"/>
    <w:rsid w:val="00343E22"/>
    <w:rsid w:val="003453C1"/>
    <w:rsid w:val="00346873"/>
    <w:rsid w:val="00346C1B"/>
    <w:rsid w:val="00352906"/>
    <w:rsid w:val="003544FD"/>
    <w:rsid w:val="003545FB"/>
    <w:rsid w:val="003550C0"/>
    <w:rsid w:val="00355EDB"/>
    <w:rsid w:val="00356179"/>
    <w:rsid w:val="00356446"/>
    <w:rsid w:val="003565EF"/>
    <w:rsid w:val="00356EB9"/>
    <w:rsid w:val="003574CC"/>
    <w:rsid w:val="00357B35"/>
    <w:rsid w:val="00360250"/>
    <w:rsid w:val="003607F5"/>
    <w:rsid w:val="003612EF"/>
    <w:rsid w:val="0036202B"/>
    <w:rsid w:val="0036287C"/>
    <w:rsid w:val="00362BED"/>
    <w:rsid w:val="00365714"/>
    <w:rsid w:val="00365FC5"/>
    <w:rsid w:val="00370E5D"/>
    <w:rsid w:val="00373457"/>
    <w:rsid w:val="0037501D"/>
    <w:rsid w:val="00375A40"/>
    <w:rsid w:val="00376F0C"/>
    <w:rsid w:val="0038232C"/>
    <w:rsid w:val="003836F1"/>
    <w:rsid w:val="0038489C"/>
    <w:rsid w:val="0038679C"/>
    <w:rsid w:val="0038730F"/>
    <w:rsid w:val="003876AC"/>
    <w:rsid w:val="00391866"/>
    <w:rsid w:val="003919D1"/>
    <w:rsid w:val="00391A1E"/>
    <w:rsid w:val="00392C83"/>
    <w:rsid w:val="00395E91"/>
    <w:rsid w:val="00396549"/>
    <w:rsid w:val="003A1490"/>
    <w:rsid w:val="003A2952"/>
    <w:rsid w:val="003A503E"/>
    <w:rsid w:val="003A6DE4"/>
    <w:rsid w:val="003B1FF8"/>
    <w:rsid w:val="003B24C7"/>
    <w:rsid w:val="003B5D53"/>
    <w:rsid w:val="003B60EC"/>
    <w:rsid w:val="003B7193"/>
    <w:rsid w:val="003C0D5B"/>
    <w:rsid w:val="003C151B"/>
    <w:rsid w:val="003C227F"/>
    <w:rsid w:val="003C2755"/>
    <w:rsid w:val="003C2992"/>
    <w:rsid w:val="003C4D76"/>
    <w:rsid w:val="003C6992"/>
    <w:rsid w:val="003C78E1"/>
    <w:rsid w:val="003D1216"/>
    <w:rsid w:val="003D562E"/>
    <w:rsid w:val="003D574D"/>
    <w:rsid w:val="003D68E4"/>
    <w:rsid w:val="003D724F"/>
    <w:rsid w:val="003E1710"/>
    <w:rsid w:val="003E351F"/>
    <w:rsid w:val="003E36FA"/>
    <w:rsid w:val="003E450C"/>
    <w:rsid w:val="003E4525"/>
    <w:rsid w:val="003E471F"/>
    <w:rsid w:val="003E4D4F"/>
    <w:rsid w:val="003E5EF6"/>
    <w:rsid w:val="003F0DFD"/>
    <w:rsid w:val="003F2B9A"/>
    <w:rsid w:val="003F30C7"/>
    <w:rsid w:val="003F41B9"/>
    <w:rsid w:val="003F446C"/>
    <w:rsid w:val="003F4BB6"/>
    <w:rsid w:val="003F52FC"/>
    <w:rsid w:val="003F5970"/>
    <w:rsid w:val="003F60C7"/>
    <w:rsid w:val="003F7552"/>
    <w:rsid w:val="00401245"/>
    <w:rsid w:val="00404F0E"/>
    <w:rsid w:val="00406073"/>
    <w:rsid w:val="00406D3A"/>
    <w:rsid w:val="00407520"/>
    <w:rsid w:val="004100C7"/>
    <w:rsid w:val="004145A4"/>
    <w:rsid w:val="004146EB"/>
    <w:rsid w:val="00415DE5"/>
    <w:rsid w:val="004171D9"/>
    <w:rsid w:val="00417721"/>
    <w:rsid w:val="00417BD4"/>
    <w:rsid w:val="00420CF7"/>
    <w:rsid w:val="0042233B"/>
    <w:rsid w:val="00422458"/>
    <w:rsid w:val="00425EAD"/>
    <w:rsid w:val="00426081"/>
    <w:rsid w:val="00427B1D"/>
    <w:rsid w:val="00427B2E"/>
    <w:rsid w:val="004320FE"/>
    <w:rsid w:val="00432E3C"/>
    <w:rsid w:val="00432EB0"/>
    <w:rsid w:val="00433249"/>
    <w:rsid w:val="00433635"/>
    <w:rsid w:val="0044027A"/>
    <w:rsid w:val="004405F2"/>
    <w:rsid w:val="004406AA"/>
    <w:rsid w:val="004406B7"/>
    <w:rsid w:val="00440EE4"/>
    <w:rsid w:val="00441039"/>
    <w:rsid w:val="0044113C"/>
    <w:rsid w:val="00441B40"/>
    <w:rsid w:val="00444404"/>
    <w:rsid w:val="00445137"/>
    <w:rsid w:val="00445259"/>
    <w:rsid w:val="004456E3"/>
    <w:rsid w:val="00445A43"/>
    <w:rsid w:val="00447A83"/>
    <w:rsid w:val="0045337A"/>
    <w:rsid w:val="00453C3C"/>
    <w:rsid w:val="00456069"/>
    <w:rsid w:val="00457076"/>
    <w:rsid w:val="0045727C"/>
    <w:rsid w:val="00462530"/>
    <w:rsid w:val="004642A3"/>
    <w:rsid w:val="00464820"/>
    <w:rsid w:val="00465EFF"/>
    <w:rsid w:val="00466202"/>
    <w:rsid w:val="00466283"/>
    <w:rsid w:val="00466F9A"/>
    <w:rsid w:val="00470FE2"/>
    <w:rsid w:val="00471D91"/>
    <w:rsid w:val="00471E35"/>
    <w:rsid w:val="00472C1C"/>
    <w:rsid w:val="004763E1"/>
    <w:rsid w:val="004764AE"/>
    <w:rsid w:val="004773B0"/>
    <w:rsid w:val="00477713"/>
    <w:rsid w:val="00481E34"/>
    <w:rsid w:val="00482845"/>
    <w:rsid w:val="00484666"/>
    <w:rsid w:val="004848DB"/>
    <w:rsid w:val="00485FA2"/>
    <w:rsid w:val="00486355"/>
    <w:rsid w:val="00491F4E"/>
    <w:rsid w:val="00492875"/>
    <w:rsid w:val="00493815"/>
    <w:rsid w:val="004938C3"/>
    <w:rsid w:val="00494114"/>
    <w:rsid w:val="00494E63"/>
    <w:rsid w:val="0049529E"/>
    <w:rsid w:val="00495E26"/>
    <w:rsid w:val="00497AD2"/>
    <w:rsid w:val="004A00B0"/>
    <w:rsid w:val="004A05D5"/>
    <w:rsid w:val="004A1836"/>
    <w:rsid w:val="004A35E8"/>
    <w:rsid w:val="004A42A4"/>
    <w:rsid w:val="004A4E40"/>
    <w:rsid w:val="004A552F"/>
    <w:rsid w:val="004A6FFF"/>
    <w:rsid w:val="004A708F"/>
    <w:rsid w:val="004A78E5"/>
    <w:rsid w:val="004B003B"/>
    <w:rsid w:val="004B0EC3"/>
    <w:rsid w:val="004B1349"/>
    <w:rsid w:val="004B49F8"/>
    <w:rsid w:val="004B5F77"/>
    <w:rsid w:val="004C057E"/>
    <w:rsid w:val="004C192F"/>
    <w:rsid w:val="004C359A"/>
    <w:rsid w:val="004C362A"/>
    <w:rsid w:val="004C4E07"/>
    <w:rsid w:val="004C6837"/>
    <w:rsid w:val="004C69E6"/>
    <w:rsid w:val="004C7400"/>
    <w:rsid w:val="004D201F"/>
    <w:rsid w:val="004D793B"/>
    <w:rsid w:val="004D7C4C"/>
    <w:rsid w:val="004E02AE"/>
    <w:rsid w:val="004E4345"/>
    <w:rsid w:val="004E5C74"/>
    <w:rsid w:val="004E6485"/>
    <w:rsid w:val="004F0188"/>
    <w:rsid w:val="004F026F"/>
    <w:rsid w:val="004F0434"/>
    <w:rsid w:val="004F0D9B"/>
    <w:rsid w:val="004F104F"/>
    <w:rsid w:val="004F1905"/>
    <w:rsid w:val="004F3046"/>
    <w:rsid w:val="004F364D"/>
    <w:rsid w:val="004F4983"/>
    <w:rsid w:val="004F4C83"/>
    <w:rsid w:val="004F5356"/>
    <w:rsid w:val="004F5A17"/>
    <w:rsid w:val="004F6D3D"/>
    <w:rsid w:val="004F78CE"/>
    <w:rsid w:val="0050018C"/>
    <w:rsid w:val="00502738"/>
    <w:rsid w:val="005027D2"/>
    <w:rsid w:val="00502E0C"/>
    <w:rsid w:val="00503620"/>
    <w:rsid w:val="00503B34"/>
    <w:rsid w:val="00503E42"/>
    <w:rsid w:val="0050444C"/>
    <w:rsid w:val="00504787"/>
    <w:rsid w:val="005056F9"/>
    <w:rsid w:val="00505EAB"/>
    <w:rsid w:val="00505FA5"/>
    <w:rsid w:val="0050679C"/>
    <w:rsid w:val="00506836"/>
    <w:rsid w:val="00506F4B"/>
    <w:rsid w:val="0051040D"/>
    <w:rsid w:val="00514016"/>
    <w:rsid w:val="0051467C"/>
    <w:rsid w:val="00516A20"/>
    <w:rsid w:val="005211F4"/>
    <w:rsid w:val="005233BC"/>
    <w:rsid w:val="005308A9"/>
    <w:rsid w:val="005330F5"/>
    <w:rsid w:val="005411CE"/>
    <w:rsid w:val="005417DB"/>
    <w:rsid w:val="00541B34"/>
    <w:rsid w:val="00542E10"/>
    <w:rsid w:val="0054372C"/>
    <w:rsid w:val="005439D9"/>
    <w:rsid w:val="00544510"/>
    <w:rsid w:val="00547664"/>
    <w:rsid w:val="00547DA8"/>
    <w:rsid w:val="00551DE4"/>
    <w:rsid w:val="00553EB5"/>
    <w:rsid w:val="00554E46"/>
    <w:rsid w:val="00555A7C"/>
    <w:rsid w:val="00555C4D"/>
    <w:rsid w:val="005600F0"/>
    <w:rsid w:val="00566E6C"/>
    <w:rsid w:val="005706FA"/>
    <w:rsid w:val="00571AF0"/>
    <w:rsid w:val="00571D68"/>
    <w:rsid w:val="00573FA6"/>
    <w:rsid w:val="0057469F"/>
    <w:rsid w:val="00574FAA"/>
    <w:rsid w:val="00576706"/>
    <w:rsid w:val="00576904"/>
    <w:rsid w:val="0057783A"/>
    <w:rsid w:val="005804E3"/>
    <w:rsid w:val="00580BAF"/>
    <w:rsid w:val="00580F64"/>
    <w:rsid w:val="00583F2B"/>
    <w:rsid w:val="00584A5D"/>
    <w:rsid w:val="00584B69"/>
    <w:rsid w:val="00585833"/>
    <w:rsid w:val="00586387"/>
    <w:rsid w:val="005919C6"/>
    <w:rsid w:val="0059590A"/>
    <w:rsid w:val="00596539"/>
    <w:rsid w:val="00597CC3"/>
    <w:rsid w:val="00597E11"/>
    <w:rsid w:val="005A12EB"/>
    <w:rsid w:val="005A327E"/>
    <w:rsid w:val="005A3769"/>
    <w:rsid w:val="005A587B"/>
    <w:rsid w:val="005B07BD"/>
    <w:rsid w:val="005B1CC6"/>
    <w:rsid w:val="005B20F6"/>
    <w:rsid w:val="005B42A9"/>
    <w:rsid w:val="005B48BB"/>
    <w:rsid w:val="005C075B"/>
    <w:rsid w:val="005C2198"/>
    <w:rsid w:val="005C2FFE"/>
    <w:rsid w:val="005C5150"/>
    <w:rsid w:val="005C5DAB"/>
    <w:rsid w:val="005C60A2"/>
    <w:rsid w:val="005C6E76"/>
    <w:rsid w:val="005C75E3"/>
    <w:rsid w:val="005D0A7C"/>
    <w:rsid w:val="005D1D87"/>
    <w:rsid w:val="005D294C"/>
    <w:rsid w:val="005D5361"/>
    <w:rsid w:val="005D7266"/>
    <w:rsid w:val="005E0758"/>
    <w:rsid w:val="005E1212"/>
    <w:rsid w:val="005E20D9"/>
    <w:rsid w:val="005E3760"/>
    <w:rsid w:val="005E4835"/>
    <w:rsid w:val="005E4C5B"/>
    <w:rsid w:val="005E53F9"/>
    <w:rsid w:val="005E73F0"/>
    <w:rsid w:val="005F1398"/>
    <w:rsid w:val="005F3F18"/>
    <w:rsid w:val="005F3F39"/>
    <w:rsid w:val="005F40F8"/>
    <w:rsid w:val="005F6DDD"/>
    <w:rsid w:val="005F7E96"/>
    <w:rsid w:val="00603231"/>
    <w:rsid w:val="00604591"/>
    <w:rsid w:val="00605B05"/>
    <w:rsid w:val="00605E3D"/>
    <w:rsid w:val="00606753"/>
    <w:rsid w:val="0060709F"/>
    <w:rsid w:val="00610549"/>
    <w:rsid w:val="006112CC"/>
    <w:rsid w:val="0061506A"/>
    <w:rsid w:val="006208E8"/>
    <w:rsid w:val="00621185"/>
    <w:rsid w:val="00622227"/>
    <w:rsid w:val="00623480"/>
    <w:rsid w:val="00624649"/>
    <w:rsid w:val="00624BAE"/>
    <w:rsid w:val="006278EE"/>
    <w:rsid w:val="00630249"/>
    <w:rsid w:val="0063112D"/>
    <w:rsid w:val="00634BDA"/>
    <w:rsid w:val="006355EA"/>
    <w:rsid w:val="0063629F"/>
    <w:rsid w:val="006362FA"/>
    <w:rsid w:val="00636379"/>
    <w:rsid w:val="00636A73"/>
    <w:rsid w:val="0063742F"/>
    <w:rsid w:val="006400B8"/>
    <w:rsid w:val="006400F1"/>
    <w:rsid w:val="006401CC"/>
    <w:rsid w:val="006410C4"/>
    <w:rsid w:val="006418B4"/>
    <w:rsid w:val="00641ABA"/>
    <w:rsid w:val="00642C3B"/>
    <w:rsid w:val="00646B7F"/>
    <w:rsid w:val="00646C35"/>
    <w:rsid w:val="006471C6"/>
    <w:rsid w:val="006519A2"/>
    <w:rsid w:val="00652816"/>
    <w:rsid w:val="00652C89"/>
    <w:rsid w:val="00653A28"/>
    <w:rsid w:val="0065453F"/>
    <w:rsid w:val="00655BA5"/>
    <w:rsid w:val="00656480"/>
    <w:rsid w:val="006565CA"/>
    <w:rsid w:val="0066052F"/>
    <w:rsid w:val="0066387D"/>
    <w:rsid w:val="00663A2D"/>
    <w:rsid w:val="00663EFF"/>
    <w:rsid w:val="00665430"/>
    <w:rsid w:val="006673BB"/>
    <w:rsid w:val="0066758A"/>
    <w:rsid w:val="006701D8"/>
    <w:rsid w:val="00670A75"/>
    <w:rsid w:val="006712C7"/>
    <w:rsid w:val="006724D2"/>
    <w:rsid w:val="006739FE"/>
    <w:rsid w:val="0067480F"/>
    <w:rsid w:val="00675117"/>
    <w:rsid w:val="006754CE"/>
    <w:rsid w:val="00676B3D"/>
    <w:rsid w:val="006778B8"/>
    <w:rsid w:val="00680CC5"/>
    <w:rsid w:val="006838EC"/>
    <w:rsid w:val="00684A4E"/>
    <w:rsid w:val="006850F4"/>
    <w:rsid w:val="00686193"/>
    <w:rsid w:val="006861DB"/>
    <w:rsid w:val="00691B61"/>
    <w:rsid w:val="00692D8B"/>
    <w:rsid w:val="0069361B"/>
    <w:rsid w:val="00694D1B"/>
    <w:rsid w:val="00694FE3"/>
    <w:rsid w:val="00696359"/>
    <w:rsid w:val="00696D40"/>
    <w:rsid w:val="006A1071"/>
    <w:rsid w:val="006A3040"/>
    <w:rsid w:val="006A3C02"/>
    <w:rsid w:val="006A4C23"/>
    <w:rsid w:val="006A65E2"/>
    <w:rsid w:val="006B067D"/>
    <w:rsid w:val="006B142A"/>
    <w:rsid w:val="006B2DC0"/>
    <w:rsid w:val="006B3BD3"/>
    <w:rsid w:val="006B4FFF"/>
    <w:rsid w:val="006B51F0"/>
    <w:rsid w:val="006B595D"/>
    <w:rsid w:val="006B6D19"/>
    <w:rsid w:val="006B6DC4"/>
    <w:rsid w:val="006B7856"/>
    <w:rsid w:val="006C323A"/>
    <w:rsid w:val="006C3331"/>
    <w:rsid w:val="006C392C"/>
    <w:rsid w:val="006C3C1B"/>
    <w:rsid w:val="006C4419"/>
    <w:rsid w:val="006C4A96"/>
    <w:rsid w:val="006C5198"/>
    <w:rsid w:val="006C5E9B"/>
    <w:rsid w:val="006C6E14"/>
    <w:rsid w:val="006D1758"/>
    <w:rsid w:val="006D316C"/>
    <w:rsid w:val="006D38A6"/>
    <w:rsid w:val="006D4A5E"/>
    <w:rsid w:val="006D4B3D"/>
    <w:rsid w:val="006D75F7"/>
    <w:rsid w:val="006D7B28"/>
    <w:rsid w:val="006D7C42"/>
    <w:rsid w:val="006D7C6C"/>
    <w:rsid w:val="006E0879"/>
    <w:rsid w:val="006E1426"/>
    <w:rsid w:val="006E2301"/>
    <w:rsid w:val="006E3932"/>
    <w:rsid w:val="006E3DF0"/>
    <w:rsid w:val="006E7A69"/>
    <w:rsid w:val="006F0D38"/>
    <w:rsid w:val="006F2A6D"/>
    <w:rsid w:val="006F2D87"/>
    <w:rsid w:val="006F56D3"/>
    <w:rsid w:val="006F572E"/>
    <w:rsid w:val="006F7668"/>
    <w:rsid w:val="007004F6"/>
    <w:rsid w:val="0070061A"/>
    <w:rsid w:val="00700EC2"/>
    <w:rsid w:val="007033DA"/>
    <w:rsid w:val="007049B4"/>
    <w:rsid w:val="00704EDA"/>
    <w:rsid w:val="00705B43"/>
    <w:rsid w:val="007116AE"/>
    <w:rsid w:val="00712CDF"/>
    <w:rsid w:val="007135DA"/>
    <w:rsid w:val="00713C83"/>
    <w:rsid w:val="00714E65"/>
    <w:rsid w:val="00715509"/>
    <w:rsid w:val="00715886"/>
    <w:rsid w:val="007159FF"/>
    <w:rsid w:val="00716476"/>
    <w:rsid w:val="007166B2"/>
    <w:rsid w:val="0071682D"/>
    <w:rsid w:val="007228E5"/>
    <w:rsid w:val="007240FB"/>
    <w:rsid w:val="00725D43"/>
    <w:rsid w:val="0072627D"/>
    <w:rsid w:val="007317B7"/>
    <w:rsid w:val="00731AA7"/>
    <w:rsid w:val="00734297"/>
    <w:rsid w:val="00734360"/>
    <w:rsid w:val="007351DB"/>
    <w:rsid w:val="00736333"/>
    <w:rsid w:val="007363A8"/>
    <w:rsid w:val="007377B4"/>
    <w:rsid w:val="00741641"/>
    <w:rsid w:val="00741F55"/>
    <w:rsid w:val="00744098"/>
    <w:rsid w:val="00753437"/>
    <w:rsid w:val="007546D5"/>
    <w:rsid w:val="00755910"/>
    <w:rsid w:val="0075717B"/>
    <w:rsid w:val="0075751A"/>
    <w:rsid w:val="00760651"/>
    <w:rsid w:val="007620EB"/>
    <w:rsid w:val="007628E4"/>
    <w:rsid w:val="00764984"/>
    <w:rsid w:val="0076685C"/>
    <w:rsid w:val="00766985"/>
    <w:rsid w:val="00767208"/>
    <w:rsid w:val="00767620"/>
    <w:rsid w:val="00770020"/>
    <w:rsid w:val="00770359"/>
    <w:rsid w:val="00771149"/>
    <w:rsid w:val="00776918"/>
    <w:rsid w:val="007833DB"/>
    <w:rsid w:val="00791989"/>
    <w:rsid w:val="00791A3A"/>
    <w:rsid w:val="00791E18"/>
    <w:rsid w:val="00794933"/>
    <w:rsid w:val="0079529F"/>
    <w:rsid w:val="0079581C"/>
    <w:rsid w:val="007A009A"/>
    <w:rsid w:val="007A0676"/>
    <w:rsid w:val="007A1B47"/>
    <w:rsid w:val="007A2132"/>
    <w:rsid w:val="007A2F6C"/>
    <w:rsid w:val="007A335F"/>
    <w:rsid w:val="007A3C15"/>
    <w:rsid w:val="007A44EB"/>
    <w:rsid w:val="007A46B5"/>
    <w:rsid w:val="007A4816"/>
    <w:rsid w:val="007A66EC"/>
    <w:rsid w:val="007B2CD5"/>
    <w:rsid w:val="007B562D"/>
    <w:rsid w:val="007B5EBA"/>
    <w:rsid w:val="007B6D91"/>
    <w:rsid w:val="007B7ED1"/>
    <w:rsid w:val="007C1EAD"/>
    <w:rsid w:val="007C271E"/>
    <w:rsid w:val="007C2BA7"/>
    <w:rsid w:val="007C2BC0"/>
    <w:rsid w:val="007C4EEA"/>
    <w:rsid w:val="007D09EB"/>
    <w:rsid w:val="007D1663"/>
    <w:rsid w:val="007D1A3C"/>
    <w:rsid w:val="007D1BEE"/>
    <w:rsid w:val="007D2385"/>
    <w:rsid w:val="007D2F52"/>
    <w:rsid w:val="007D4E78"/>
    <w:rsid w:val="007E005D"/>
    <w:rsid w:val="007E0E62"/>
    <w:rsid w:val="007E1445"/>
    <w:rsid w:val="007E1530"/>
    <w:rsid w:val="007E1783"/>
    <w:rsid w:val="007E4A45"/>
    <w:rsid w:val="007E629B"/>
    <w:rsid w:val="007E7028"/>
    <w:rsid w:val="007E7A15"/>
    <w:rsid w:val="007F0473"/>
    <w:rsid w:val="007F05CD"/>
    <w:rsid w:val="007F12C8"/>
    <w:rsid w:val="007F29F2"/>
    <w:rsid w:val="007F2B03"/>
    <w:rsid w:val="007F3C81"/>
    <w:rsid w:val="007F74BF"/>
    <w:rsid w:val="00800866"/>
    <w:rsid w:val="008048D4"/>
    <w:rsid w:val="008062D4"/>
    <w:rsid w:val="00807151"/>
    <w:rsid w:val="00807593"/>
    <w:rsid w:val="0080759C"/>
    <w:rsid w:val="008101D2"/>
    <w:rsid w:val="0081188A"/>
    <w:rsid w:val="00812D7D"/>
    <w:rsid w:val="00812FF7"/>
    <w:rsid w:val="00814052"/>
    <w:rsid w:val="00814D13"/>
    <w:rsid w:val="008151EF"/>
    <w:rsid w:val="0081523B"/>
    <w:rsid w:val="00815C17"/>
    <w:rsid w:val="00816DAB"/>
    <w:rsid w:val="00816FB7"/>
    <w:rsid w:val="0081717A"/>
    <w:rsid w:val="00817A3E"/>
    <w:rsid w:val="008207FA"/>
    <w:rsid w:val="008207FE"/>
    <w:rsid w:val="0082136A"/>
    <w:rsid w:val="00822562"/>
    <w:rsid w:val="00823741"/>
    <w:rsid w:val="00823C03"/>
    <w:rsid w:val="00825671"/>
    <w:rsid w:val="00827C97"/>
    <w:rsid w:val="00830482"/>
    <w:rsid w:val="00830834"/>
    <w:rsid w:val="0083194A"/>
    <w:rsid w:val="008339C9"/>
    <w:rsid w:val="00833A58"/>
    <w:rsid w:val="00834EEA"/>
    <w:rsid w:val="00835304"/>
    <w:rsid w:val="0083538F"/>
    <w:rsid w:val="00836F94"/>
    <w:rsid w:val="00837686"/>
    <w:rsid w:val="008405C1"/>
    <w:rsid w:val="008411B7"/>
    <w:rsid w:val="0084271B"/>
    <w:rsid w:val="0084431F"/>
    <w:rsid w:val="008450B7"/>
    <w:rsid w:val="00847B56"/>
    <w:rsid w:val="0085003D"/>
    <w:rsid w:val="00850C18"/>
    <w:rsid w:val="00851F99"/>
    <w:rsid w:val="008531B8"/>
    <w:rsid w:val="008532E2"/>
    <w:rsid w:val="00853606"/>
    <w:rsid w:val="00853BAF"/>
    <w:rsid w:val="00854DA5"/>
    <w:rsid w:val="008560BE"/>
    <w:rsid w:val="0086001D"/>
    <w:rsid w:val="0086279F"/>
    <w:rsid w:val="0086292C"/>
    <w:rsid w:val="00863254"/>
    <w:rsid w:val="008636DF"/>
    <w:rsid w:val="00864FDF"/>
    <w:rsid w:val="008653A2"/>
    <w:rsid w:val="008661AD"/>
    <w:rsid w:val="008700EA"/>
    <w:rsid w:val="00870309"/>
    <w:rsid w:val="00871F8D"/>
    <w:rsid w:val="00872494"/>
    <w:rsid w:val="00874976"/>
    <w:rsid w:val="008753FF"/>
    <w:rsid w:val="00875EA2"/>
    <w:rsid w:val="00877997"/>
    <w:rsid w:val="008807EB"/>
    <w:rsid w:val="00881741"/>
    <w:rsid w:val="00882917"/>
    <w:rsid w:val="00882A0E"/>
    <w:rsid w:val="00883347"/>
    <w:rsid w:val="008838CC"/>
    <w:rsid w:val="00885026"/>
    <w:rsid w:val="00885151"/>
    <w:rsid w:val="0088546A"/>
    <w:rsid w:val="0088610C"/>
    <w:rsid w:val="00886A52"/>
    <w:rsid w:val="00886EEC"/>
    <w:rsid w:val="008916E3"/>
    <w:rsid w:val="00893E66"/>
    <w:rsid w:val="00894D69"/>
    <w:rsid w:val="00895928"/>
    <w:rsid w:val="00895D6E"/>
    <w:rsid w:val="00896A81"/>
    <w:rsid w:val="00897D6B"/>
    <w:rsid w:val="008A0816"/>
    <w:rsid w:val="008A1C17"/>
    <w:rsid w:val="008A204C"/>
    <w:rsid w:val="008A2407"/>
    <w:rsid w:val="008A25B7"/>
    <w:rsid w:val="008A28C7"/>
    <w:rsid w:val="008A4518"/>
    <w:rsid w:val="008A4945"/>
    <w:rsid w:val="008A4D85"/>
    <w:rsid w:val="008A695D"/>
    <w:rsid w:val="008A6F90"/>
    <w:rsid w:val="008B0A7A"/>
    <w:rsid w:val="008B279B"/>
    <w:rsid w:val="008B2CFE"/>
    <w:rsid w:val="008B323C"/>
    <w:rsid w:val="008B3980"/>
    <w:rsid w:val="008B4975"/>
    <w:rsid w:val="008B5CF6"/>
    <w:rsid w:val="008B608F"/>
    <w:rsid w:val="008C15EF"/>
    <w:rsid w:val="008C16FB"/>
    <w:rsid w:val="008C2A7C"/>
    <w:rsid w:val="008C2C14"/>
    <w:rsid w:val="008C38D3"/>
    <w:rsid w:val="008C4012"/>
    <w:rsid w:val="008C40C6"/>
    <w:rsid w:val="008C4F8D"/>
    <w:rsid w:val="008C508C"/>
    <w:rsid w:val="008C5C58"/>
    <w:rsid w:val="008C7C09"/>
    <w:rsid w:val="008D01DC"/>
    <w:rsid w:val="008D022D"/>
    <w:rsid w:val="008D0618"/>
    <w:rsid w:val="008D1507"/>
    <w:rsid w:val="008D17C0"/>
    <w:rsid w:val="008D2899"/>
    <w:rsid w:val="008D2E9B"/>
    <w:rsid w:val="008D43D5"/>
    <w:rsid w:val="008D4DCB"/>
    <w:rsid w:val="008D5787"/>
    <w:rsid w:val="008D6766"/>
    <w:rsid w:val="008D6A29"/>
    <w:rsid w:val="008D76E7"/>
    <w:rsid w:val="008E1B1B"/>
    <w:rsid w:val="008E2132"/>
    <w:rsid w:val="008E2DB3"/>
    <w:rsid w:val="008E489A"/>
    <w:rsid w:val="008E5D84"/>
    <w:rsid w:val="008F0AB6"/>
    <w:rsid w:val="008F0ED7"/>
    <w:rsid w:val="008F3DF4"/>
    <w:rsid w:val="008F5BE0"/>
    <w:rsid w:val="008F6DA5"/>
    <w:rsid w:val="008F7958"/>
    <w:rsid w:val="00901ABE"/>
    <w:rsid w:val="00902DEB"/>
    <w:rsid w:val="009067DB"/>
    <w:rsid w:val="00906ADC"/>
    <w:rsid w:val="009071AE"/>
    <w:rsid w:val="00907203"/>
    <w:rsid w:val="00907262"/>
    <w:rsid w:val="00910AA7"/>
    <w:rsid w:val="00912349"/>
    <w:rsid w:val="00912F3F"/>
    <w:rsid w:val="00913F27"/>
    <w:rsid w:val="00915EA3"/>
    <w:rsid w:val="00915F24"/>
    <w:rsid w:val="00920651"/>
    <w:rsid w:val="00920A60"/>
    <w:rsid w:val="009215D4"/>
    <w:rsid w:val="00921847"/>
    <w:rsid w:val="009232CB"/>
    <w:rsid w:val="0092491A"/>
    <w:rsid w:val="00925C87"/>
    <w:rsid w:val="00927E33"/>
    <w:rsid w:val="00931067"/>
    <w:rsid w:val="00931FFE"/>
    <w:rsid w:val="009322ED"/>
    <w:rsid w:val="00932E6B"/>
    <w:rsid w:val="009341E7"/>
    <w:rsid w:val="0093444C"/>
    <w:rsid w:val="00946E0F"/>
    <w:rsid w:val="00947411"/>
    <w:rsid w:val="00947D0A"/>
    <w:rsid w:val="009505F0"/>
    <w:rsid w:val="00950B0B"/>
    <w:rsid w:val="00950DC6"/>
    <w:rsid w:val="009526DC"/>
    <w:rsid w:val="00952C37"/>
    <w:rsid w:val="009559CB"/>
    <w:rsid w:val="0095627A"/>
    <w:rsid w:val="0095773F"/>
    <w:rsid w:val="00960310"/>
    <w:rsid w:val="009625E5"/>
    <w:rsid w:val="00963C8D"/>
    <w:rsid w:val="00964599"/>
    <w:rsid w:val="0096559F"/>
    <w:rsid w:val="00967501"/>
    <w:rsid w:val="00967891"/>
    <w:rsid w:val="00967D64"/>
    <w:rsid w:val="00972B70"/>
    <w:rsid w:val="009735FC"/>
    <w:rsid w:val="00973B3D"/>
    <w:rsid w:val="00973FA4"/>
    <w:rsid w:val="00974A80"/>
    <w:rsid w:val="009750EF"/>
    <w:rsid w:val="00976FEE"/>
    <w:rsid w:val="00981033"/>
    <w:rsid w:val="0098253E"/>
    <w:rsid w:val="009831D2"/>
    <w:rsid w:val="0098413A"/>
    <w:rsid w:val="00984AF4"/>
    <w:rsid w:val="00985232"/>
    <w:rsid w:val="009854F9"/>
    <w:rsid w:val="009870DE"/>
    <w:rsid w:val="009871D3"/>
    <w:rsid w:val="00990AFE"/>
    <w:rsid w:val="00991D56"/>
    <w:rsid w:val="009935E2"/>
    <w:rsid w:val="009967BB"/>
    <w:rsid w:val="00996EE7"/>
    <w:rsid w:val="009A0126"/>
    <w:rsid w:val="009A0186"/>
    <w:rsid w:val="009A103F"/>
    <w:rsid w:val="009A12A4"/>
    <w:rsid w:val="009A46C2"/>
    <w:rsid w:val="009A48BC"/>
    <w:rsid w:val="009A50B7"/>
    <w:rsid w:val="009A5FDF"/>
    <w:rsid w:val="009B0861"/>
    <w:rsid w:val="009B09C9"/>
    <w:rsid w:val="009B36B9"/>
    <w:rsid w:val="009B45A6"/>
    <w:rsid w:val="009B56C1"/>
    <w:rsid w:val="009B5985"/>
    <w:rsid w:val="009C1AF8"/>
    <w:rsid w:val="009C4FFD"/>
    <w:rsid w:val="009C689A"/>
    <w:rsid w:val="009C6A2C"/>
    <w:rsid w:val="009C7065"/>
    <w:rsid w:val="009D1F85"/>
    <w:rsid w:val="009D3AE2"/>
    <w:rsid w:val="009D5550"/>
    <w:rsid w:val="009D5E29"/>
    <w:rsid w:val="009D7C64"/>
    <w:rsid w:val="009E3E1A"/>
    <w:rsid w:val="009E4C66"/>
    <w:rsid w:val="009E518A"/>
    <w:rsid w:val="009E5589"/>
    <w:rsid w:val="009E6038"/>
    <w:rsid w:val="009E61E7"/>
    <w:rsid w:val="009E7EA2"/>
    <w:rsid w:val="009F08B8"/>
    <w:rsid w:val="009F23BD"/>
    <w:rsid w:val="009F3CA0"/>
    <w:rsid w:val="009F3EDF"/>
    <w:rsid w:val="009F5987"/>
    <w:rsid w:val="009F7608"/>
    <w:rsid w:val="00A011AB"/>
    <w:rsid w:val="00A02502"/>
    <w:rsid w:val="00A03B7C"/>
    <w:rsid w:val="00A03C1B"/>
    <w:rsid w:val="00A0401F"/>
    <w:rsid w:val="00A046F3"/>
    <w:rsid w:val="00A04E55"/>
    <w:rsid w:val="00A067FE"/>
    <w:rsid w:val="00A10CA6"/>
    <w:rsid w:val="00A11487"/>
    <w:rsid w:val="00A11B51"/>
    <w:rsid w:val="00A135D7"/>
    <w:rsid w:val="00A14391"/>
    <w:rsid w:val="00A14749"/>
    <w:rsid w:val="00A17407"/>
    <w:rsid w:val="00A17F20"/>
    <w:rsid w:val="00A205FD"/>
    <w:rsid w:val="00A217C5"/>
    <w:rsid w:val="00A23124"/>
    <w:rsid w:val="00A23F08"/>
    <w:rsid w:val="00A24F3D"/>
    <w:rsid w:val="00A2765F"/>
    <w:rsid w:val="00A30616"/>
    <w:rsid w:val="00A3081B"/>
    <w:rsid w:val="00A30E7D"/>
    <w:rsid w:val="00A3123F"/>
    <w:rsid w:val="00A35F6A"/>
    <w:rsid w:val="00A377A1"/>
    <w:rsid w:val="00A40E81"/>
    <w:rsid w:val="00A40F21"/>
    <w:rsid w:val="00A416A1"/>
    <w:rsid w:val="00A4360C"/>
    <w:rsid w:val="00A43A01"/>
    <w:rsid w:val="00A4452D"/>
    <w:rsid w:val="00A44945"/>
    <w:rsid w:val="00A4528E"/>
    <w:rsid w:val="00A45DDD"/>
    <w:rsid w:val="00A50FB8"/>
    <w:rsid w:val="00A5176E"/>
    <w:rsid w:val="00A5464F"/>
    <w:rsid w:val="00A54F13"/>
    <w:rsid w:val="00A56392"/>
    <w:rsid w:val="00A5768E"/>
    <w:rsid w:val="00A57E54"/>
    <w:rsid w:val="00A60052"/>
    <w:rsid w:val="00A61306"/>
    <w:rsid w:val="00A61BA1"/>
    <w:rsid w:val="00A635CF"/>
    <w:rsid w:val="00A63A47"/>
    <w:rsid w:val="00A6656A"/>
    <w:rsid w:val="00A7018C"/>
    <w:rsid w:val="00A70457"/>
    <w:rsid w:val="00A70AC2"/>
    <w:rsid w:val="00A71ABB"/>
    <w:rsid w:val="00A764C1"/>
    <w:rsid w:val="00A82711"/>
    <w:rsid w:val="00A829F7"/>
    <w:rsid w:val="00A82F46"/>
    <w:rsid w:val="00A83307"/>
    <w:rsid w:val="00A84721"/>
    <w:rsid w:val="00A8492E"/>
    <w:rsid w:val="00A852A3"/>
    <w:rsid w:val="00A8584B"/>
    <w:rsid w:val="00A87D30"/>
    <w:rsid w:val="00A9037C"/>
    <w:rsid w:val="00A915DD"/>
    <w:rsid w:val="00A919A2"/>
    <w:rsid w:val="00A91C06"/>
    <w:rsid w:val="00A94307"/>
    <w:rsid w:val="00A94998"/>
    <w:rsid w:val="00A95E8D"/>
    <w:rsid w:val="00A97240"/>
    <w:rsid w:val="00AA07F3"/>
    <w:rsid w:val="00AA1753"/>
    <w:rsid w:val="00AA1EF1"/>
    <w:rsid w:val="00AA27F0"/>
    <w:rsid w:val="00AA3A46"/>
    <w:rsid w:val="00AA48C4"/>
    <w:rsid w:val="00AA4FAD"/>
    <w:rsid w:val="00AA507C"/>
    <w:rsid w:val="00AA5618"/>
    <w:rsid w:val="00AA60AB"/>
    <w:rsid w:val="00AA64D4"/>
    <w:rsid w:val="00AA6B17"/>
    <w:rsid w:val="00AB008F"/>
    <w:rsid w:val="00AB1B72"/>
    <w:rsid w:val="00AB2808"/>
    <w:rsid w:val="00AB626E"/>
    <w:rsid w:val="00AB6F80"/>
    <w:rsid w:val="00AB704F"/>
    <w:rsid w:val="00AB72FA"/>
    <w:rsid w:val="00AC0087"/>
    <w:rsid w:val="00AC117F"/>
    <w:rsid w:val="00AC1736"/>
    <w:rsid w:val="00AC51C3"/>
    <w:rsid w:val="00AC5CE7"/>
    <w:rsid w:val="00AC7A89"/>
    <w:rsid w:val="00AC7FF9"/>
    <w:rsid w:val="00AD2AB3"/>
    <w:rsid w:val="00AD3748"/>
    <w:rsid w:val="00AD387F"/>
    <w:rsid w:val="00AD3BB4"/>
    <w:rsid w:val="00AD45D1"/>
    <w:rsid w:val="00AD658A"/>
    <w:rsid w:val="00AD6CAD"/>
    <w:rsid w:val="00AD7CFD"/>
    <w:rsid w:val="00AE014A"/>
    <w:rsid w:val="00AE029C"/>
    <w:rsid w:val="00AE49E7"/>
    <w:rsid w:val="00AE4D97"/>
    <w:rsid w:val="00AF215F"/>
    <w:rsid w:val="00AF3668"/>
    <w:rsid w:val="00AF394A"/>
    <w:rsid w:val="00AF47D4"/>
    <w:rsid w:val="00AF514F"/>
    <w:rsid w:val="00AF632F"/>
    <w:rsid w:val="00AF6737"/>
    <w:rsid w:val="00AF68A5"/>
    <w:rsid w:val="00AF6CCF"/>
    <w:rsid w:val="00B0183D"/>
    <w:rsid w:val="00B01C8D"/>
    <w:rsid w:val="00B023C7"/>
    <w:rsid w:val="00B0303D"/>
    <w:rsid w:val="00B0353C"/>
    <w:rsid w:val="00B05686"/>
    <w:rsid w:val="00B05BB1"/>
    <w:rsid w:val="00B0600A"/>
    <w:rsid w:val="00B07A0A"/>
    <w:rsid w:val="00B11E3B"/>
    <w:rsid w:val="00B13B34"/>
    <w:rsid w:val="00B1412D"/>
    <w:rsid w:val="00B16611"/>
    <w:rsid w:val="00B16FEE"/>
    <w:rsid w:val="00B21A13"/>
    <w:rsid w:val="00B22DC7"/>
    <w:rsid w:val="00B23C62"/>
    <w:rsid w:val="00B23F8E"/>
    <w:rsid w:val="00B241B4"/>
    <w:rsid w:val="00B27709"/>
    <w:rsid w:val="00B30CAC"/>
    <w:rsid w:val="00B30DE8"/>
    <w:rsid w:val="00B31AD3"/>
    <w:rsid w:val="00B33E2D"/>
    <w:rsid w:val="00B354C9"/>
    <w:rsid w:val="00B4006C"/>
    <w:rsid w:val="00B40A48"/>
    <w:rsid w:val="00B418DA"/>
    <w:rsid w:val="00B4210E"/>
    <w:rsid w:val="00B43D29"/>
    <w:rsid w:val="00B43DFC"/>
    <w:rsid w:val="00B44901"/>
    <w:rsid w:val="00B44A0C"/>
    <w:rsid w:val="00B4631B"/>
    <w:rsid w:val="00B47158"/>
    <w:rsid w:val="00B50024"/>
    <w:rsid w:val="00B501BD"/>
    <w:rsid w:val="00B50791"/>
    <w:rsid w:val="00B50B47"/>
    <w:rsid w:val="00B50F04"/>
    <w:rsid w:val="00B51306"/>
    <w:rsid w:val="00B51A59"/>
    <w:rsid w:val="00B53165"/>
    <w:rsid w:val="00B53231"/>
    <w:rsid w:val="00B5496F"/>
    <w:rsid w:val="00B5515C"/>
    <w:rsid w:val="00B576A1"/>
    <w:rsid w:val="00B62A04"/>
    <w:rsid w:val="00B64953"/>
    <w:rsid w:val="00B66FFC"/>
    <w:rsid w:val="00B673D1"/>
    <w:rsid w:val="00B70311"/>
    <w:rsid w:val="00B706C4"/>
    <w:rsid w:val="00B72063"/>
    <w:rsid w:val="00B72D25"/>
    <w:rsid w:val="00B72E02"/>
    <w:rsid w:val="00B7608B"/>
    <w:rsid w:val="00B76868"/>
    <w:rsid w:val="00B76C29"/>
    <w:rsid w:val="00B76C3A"/>
    <w:rsid w:val="00B800AF"/>
    <w:rsid w:val="00B806F6"/>
    <w:rsid w:val="00B80756"/>
    <w:rsid w:val="00B8257A"/>
    <w:rsid w:val="00B82723"/>
    <w:rsid w:val="00B87173"/>
    <w:rsid w:val="00B87472"/>
    <w:rsid w:val="00B916A8"/>
    <w:rsid w:val="00B91D03"/>
    <w:rsid w:val="00B91E13"/>
    <w:rsid w:val="00B92BF6"/>
    <w:rsid w:val="00BA0B0B"/>
    <w:rsid w:val="00BA0B58"/>
    <w:rsid w:val="00BA13D3"/>
    <w:rsid w:val="00BA23B6"/>
    <w:rsid w:val="00BA2519"/>
    <w:rsid w:val="00BA3A03"/>
    <w:rsid w:val="00BA3F18"/>
    <w:rsid w:val="00BA4C5D"/>
    <w:rsid w:val="00BA64C2"/>
    <w:rsid w:val="00BA6D5E"/>
    <w:rsid w:val="00BA701A"/>
    <w:rsid w:val="00BA78E8"/>
    <w:rsid w:val="00BB0E3D"/>
    <w:rsid w:val="00BB19F3"/>
    <w:rsid w:val="00BB20AB"/>
    <w:rsid w:val="00BB292F"/>
    <w:rsid w:val="00BB4654"/>
    <w:rsid w:val="00BC37A4"/>
    <w:rsid w:val="00BC5B40"/>
    <w:rsid w:val="00BC5CA9"/>
    <w:rsid w:val="00BD18CB"/>
    <w:rsid w:val="00BD3C5C"/>
    <w:rsid w:val="00BD4391"/>
    <w:rsid w:val="00BD4BFE"/>
    <w:rsid w:val="00BD4EDA"/>
    <w:rsid w:val="00BD5745"/>
    <w:rsid w:val="00BD7631"/>
    <w:rsid w:val="00BD7811"/>
    <w:rsid w:val="00BE2382"/>
    <w:rsid w:val="00BE269A"/>
    <w:rsid w:val="00BE3348"/>
    <w:rsid w:val="00BE55D1"/>
    <w:rsid w:val="00BE62ED"/>
    <w:rsid w:val="00BF014E"/>
    <w:rsid w:val="00BF0F16"/>
    <w:rsid w:val="00BF19AF"/>
    <w:rsid w:val="00BF4A2E"/>
    <w:rsid w:val="00BF62FF"/>
    <w:rsid w:val="00BF6A25"/>
    <w:rsid w:val="00C0058E"/>
    <w:rsid w:val="00C0064E"/>
    <w:rsid w:val="00C011EE"/>
    <w:rsid w:val="00C01800"/>
    <w:rsid w:val="00C01C57"/>
    <w:rsid w:val="00C0256A"/>
    <w:rsid w:val="00C02C96"/>
    <w:rsid w:val="00C038A2"/>
    <w:rsid w:val="00C04B56"/>
    <w:rsid w:val="00C05C1E"/>
    <w:rsid w:val="00C06246"/>
    <w:rsid w:val="00C068DD"/>
    <w:rsid w:val="00C105C4"/>
    <w:rsid w:val="00C12959"/>
    <w:rsid w:val="00C141CE"/>
    <w:rsid w:val="00C16A23"/>
    <w:rsid w:val="00C17010"/>
    <w:rsid w:val="00C2025A"/>
    <w:rsid w:val="00C212D9"/>
    <w:rsid w:val="00C21BF4"/>
    <w:rsid w:val="00C21F92"/>
    <w:rsid w:val="00C22E3C"/>
    <w:rsid w:val="00C230D9"/>
    <w:rsid w:val="00C2569D"/>
    <w:rsid w:val="00C25CA3"/>
    <w:rsid w:val="00C261B9"/>
    <w:rsid w:val="00C264C8"/>
    <w:rsid w:val="00C26C70"/>
    <w:rsid w:val="00C27234"/>
    <w:rsid w:val="00C27D74"/>
    <w:rsid w:val="00C30AE8"/>
    <w:rsid w:val="00C31E9C"/>
    <w:rsid w:val="00C3344D"/>
    <w:rsid w:val="00C344B6"/>
    <w:rsid w:val="00C352A2"/>
    <w:rsid w:val="00C37241"/>
    <w:rsid w:val="00C41AC6"/>
    <w:rsid w:val="00C42016"/>
    <w:rsid w:val="00C428EE"/>
    <w:rsid w:val="00C43B9B"/>
    <w:rsid w:val="00C4416D"/>
    <w:rsid w:val="00C449A3"/>
    <w:rsid w:val="00C47DD5"/>
    <w:rsid w:val="00C52B64"/>
    <w:rsid w:val="00C52E0E"/>
    <w:rsid w:val="00C52FEB"/>
    <w:rsid w:val="00C53247"/>
    <w:rsid w:val="00C55181"/>
    <w:rsid w:val="00C56021"/>
    <w:rsid w:val="00C5768F"/>
    <w:rsid w:val="00C6191B"/>
    <w:rsid w:val="00C62B5C"/>
    <w:rsid w:val="00C62B65"/>
    <w:rsid w:val="00C64620"/>
    <w:rsid w:val="00C64872"/>
    <w:rsid w:val="00C65AE4"/>
    <w:rsid w:val="00C66CD0"/>
    <w:rsid w:val="00C66E2D"/>
    <w:rsid w:val="00C67C8F"/>
    <w:rsid w:val="00C70F2F"/>
    <w:rsid w:val="00C727E5"/>
    <w:rsid w:val="00C74785"/>
    <w:rsid w:val="00C74A23"/>
    <w:rsid w:val="00C74CA9"/>
    <w:rsid w:val="00C75408"/>
    <w:rsid w:val="00C754A4"/>
    <w:rsid w:val="00C810D5"/>
    <w:rsid w:val="00C839D0"/>
    <w:rsid w:val="00C84944"/>
    <w:rsid w:val="00C850EC"/>
    <w:rsid w:val="00C945B7"/>
    <w:rsid w:val="00C947F1"/>
    <w:rsid w:val="00C94FAF"/>
    <w:rsid w:val="00C952BB"/>
    <w:rsid w:val="00C964AF"/>
    <w:rsid w:val="00CA0129"/>
    <w:rsid w:val="00CA0AA2"/>
    <w:rsid w:val="00CA3090"/>
    <w:rsid w:val="00CA5ABA"/>
    <w:rsid w:val="00CB135C"/>
    <w:rsid w:val="00CB65D8"/>
    <w:rsid w:val="00CB6A96"/>
    <w:rsid w:val="00CC1864"/>
    <w:rsid w:val="00CC2D9F"/>
    <w:rsid w:val="00CC3A50"/>
    <w:rsid w:val="00CC4A88"/>
    <w:rsid w:val="00CC4F1C"/>
    <w:rsid w:val="00CC4FAF"/>
    <w:rsid w:val="00CC7258"/>
    <w:rsid w:val="00CC7ACB"/>
    <w:rsid w:val="00CD0994"/>
    <w:rsid w:val="00CD706A"/>
    <w:rsid w:val="00CE0631"/>
    <w:rsid w:val="00CE389C"/>
    <w:rsid w:val="00CE3A7A"/>
    <w:rsid w:val="00CE4C57"/>
    <w:rsid w:val="00CE5503"/>
    <w:rsid w:val="00CE6B8C"/>
    <w:rsid w:val="00CF0C1D"/>
    <w:rsid w:val="00CF0C5F"/>
    <w:rsid w:val="00CF1B13"/>
    <w:rsid w:val="00CF1D98"/>
    <w:rsid w:val="00CF2FB4"/>
    <w:rsid w:val="00CF4B3B"/>
    <w:rsid w:val="00CF56D2"/>
    <w:rsid w:val="00CF7435"/>
    <w:rsid w:val="00D0089F"/>
    <w:rsid w:val="00D03E17"/>
    <w:rsid w:val="00D045FE"/>
    <w:rsid w:val="00D054B0"/>
    <w:rsid w:val="00D05D7C"/>
    <w:rsid w:val="00D076B8"/>
    <w:rsid w:val="00D079D9"/>
    <w:rsid w:val="00D11E26"/>
    <w:rsid w:val="00D12906"/>
    <w:rsid w:val="00D12CB1"/>
    <w:rsid w:val="00D17917"/>
    <w:rsid w:val="00D2124B"/>
    <w:rsid w:val="00D21557"/>
    <w:rsid w:val="00D21C90"/>
    <w:rsid w:val="00D22EFE"/>
    <w:rsid w:val="00D237DE"/>
    <w:rsid w:val="00D23E36"/>
    <w:rsid w:val="00D244E0"/>
    <w:rsid w:val="00D25264"/>
    <w:rsid w:val="00D26CD3"/>
    <w:rsid w:val="00D278B5"/>
    <w:rsid w:val="00D27B03"/>
    <w:rsid w:val="00D27D9C"/>
    <w:rsid w:val="00D27DDC"/>
    <w:rsid w:val="00D33237"/>
    <w:rsid w:val="00D3529C"/>
    <w:rsid w:val="00D360B9"/>
    <w:rsid w:val="00D36345"/>
    <w:rsid w:val="00D3670E"/>
    <w:rsid w:val="00D4166B"/>
    <w:rsid w:val="00D43617"/>
    <w:rsid w:val="00D45696"/>
    <w:rsid w:val="00D4574D"/>
    <w:rsid w:val="00D462C6"/>
    <w:rsid w:val="00D46A4E"/>
    <w:rsid w:val="00D47743"/>
    <w:rsid w:val="00D47BC2"/>
    <w:rsid w:val="00D47CE1"/>
    <w:rsid w:val="00D506F4"/>
    <w:rsid w:val="00D50998"/>
    <w:rsid w:val="00D51E66"/>
    <w:rsid w:val="00D52931"/>
    <w:rsid w:val="00D536E7"/>
    <w:rsid w:val="00D57D57"/>
    <w:rsid w:val="00D60F3B"/>
    <w:rsid w:val="00D61AE0"/>
    <w:rsid w:val="00D622A3"/>
    <w:rsid w:val="00D62E5F"/>
    <w:rsid w:val="00D63438"/>
    <w:rsid w:val="00D63A5A"/>
    <w:rsid w:val="00D63F6E"/>
    <w:rsid w:val="00D65E50"/>
    <w:rsid w:val="00D66973"/>
    <w:rsid w:val="00D67841"/>
    <w:rsid w:val="00D7157C"/>
    <w:rsid w:val="00D73486"/>
    <w:rsid w:val="00D737C2"/>
    <w:rsid w:val="00D754A3"/>
    <w:rsid w:val="00D8224B"/>
    <w:rsid w:val="00D82354"/>
    <w:rsid w:val="00D823E3"/>
    <w:rsid w:val="00D82494"/>
    <w:rsid w:val="00D82F12"/>
    <w:rsid w:val="00D8367F"/>
    <w:rsid w:val="00D850F9"/>
    <w:rsid w:val="00D85A86"/>
    <w:rsid w:val="00D85B9E"/>
    <w:rsid w:val="00D860CC"/>
    <w:rsid w:val="00D86561"/>
    <w:rsid w:val="00D87690"/>
    <w:rsid w:val="00D90DEC"/>
    <w:rsid w:val="00D9319F"/>
    <w:rsid w:val="00D94138"/>
    <w:rsid w:val="00D95046"/>
    <w:rsid w:val="00D964FD"/>
    <w:rsid w:val="00D9775B"/>
    <w:rsid w:val="00DA0235"/>
    <w:rsid w:val="00DA21D1"/>
    <w:rsid w:val="00DA2626"/>
    <w:rsid w:val="00DA27CD"/>
    <w:rsid w:val="00DA33AD"/>
    <w:rsid w:val="00DA3F08"/>
    <w:rsid w:val="00DA4075"/>
    <w:rsid w:val="00DA6CD5"/>
    <w:rsid w:val="00DB025D"/>
    <w:rsid w:val="00DB0CCC"/>
    <w:rsid w:val="00DB37CE"/>
    <w:rsid w:val="00DB448D"/>
    <w:rsid w:val="00DB4584"/>
    <w:rsid w:val="00DB495A"/>
    <w:rsid w:val="00DB4EF4"/>
    <w:rsid w:val="00DB6DA4"/>
    <w:rsid w:val="00DC0973"/>
    <w:rsid w:val="00DC1471"/>
    <w:rsid w:val="00DC1F70"/>
    <w:rsid w:val="00DC2634"/>
    <w:rsid w:val="00DC7DA8"/>
    <w:rsid w:val="00DD188E"/>
    <w:rsid w:val="00DD273D"/>
    <w:rsid w:val="00DD2740"/>
    <w:rsid w:val="00DD2AC9"/>
    <w:rsid w:val="00DD4A23"/>
    <w:rsid w:val="00DD649F"/>
    <w:rsid w:val="00DD698F"/>
    <w:rsid w:val="00DD731D"/>
    <w:rsid w:val="00DE00F0"/>
    <w:rsid w:val="00DE07AA"/>
    <w:rsid w:val="00DE1B1F"/>
    <w:rsid w:val="00DE1E6C"/>
    <w:rsid w:val="00DE1F5C"/>
    <w:rsid w:val="00DE3B5D"/>
    <w:rsid w:val="00DE3DED"/>
    <w:rsid w:val="00DE60E6"/>
    <w:rsid w:val="00DF19AC"/>
    <w:rsid w:val="00DF1D8F"/>
    <w:rsid w:val="00DF2BBF"/>
    <w:rsid w:val="00DF2C8A"/>
    <w:rsid w:val="00DF35D5"/>
    <w:rsid w:val="00DF392E"/>
    <w:rsid w:val="00DF3C95"/>
    <w:rsid w:val="00DF403E"/>
    <w:rsid w:val="00DF48D1"/>
    <w:rsid w:val="00DF5271"/>
    <w:rsid w:val="00DF5924"/>
    <w:rsid w:val="00DF62B6"/>
    <w:rsid w:val="00DF7EA4"/>
    <w:rsid w:val="00E00EEE"/>
    <w:rsid w:val="00E0203A"/>
    <w:rsid w:val="00E0378E"/>
    <w:rsid w:val="00E0471C"/>
    <w:rsid w:val="00E04E31"/>
    <w:rsid w:val="00E05E10"/>
    <w:rsid w:val="00E074EC"/>
    <w:rsid w:val="00E11162"/>
    <w:rsid w:val="00E123E4"/>
    <w:rsid w:val="00E12EF8"/>
    <w:rsid w:val="00E13B5C"/>
    <w:rsid w:val="00E14839"/>
    <w:rsid w:val="00E16263"/>
    <w:rsid w:val="00E222B4"/>
    <w:rsid w:val="00E239F5"/>
    <w:rsid w:val="00E2547D"/>
    <w:rsid w:val="00E25E08"/>
    <w:rsid w:val="00E31E31"/>
    <w:rsid w:val="00E3271E"/>
    <w:rsid w:val="00E32CCB"/>
    <w:rsid w:val="00E34282"/>
    <w:rsid w:val="00E342F7"/>
    <w:rsid w:val="00E353A2"/>
    <w:rsid w:val="00E37009"/>
    <w:rsid w:val="00E4098A"/>
    <w:rsid w:val="00E41079"/>
    <w:rsid w:val="00E43804"/>
    <w:rsid w:val="00E44DBC"/>
    <w:rsid w:val="00E47A9A"/>
    <w:rsid w:val="00E50285"/>
    <w:rsid w:val="00E52319"/>
    <w:rsid w:val="00E5292E"/>
    <w:rsid w:val="00E54ABE"/>
    <w:rsid w:val="00E54CD8"/>
    <w:rsid w:val="00E55677"/>
    <w:rsid w:val="00E56784"/>
    <w:rsid w:val="00E5773D"/>
    <w:rsid w:val="00E60621"/>
    <w:rsid w:val="00E60E68"/>
    <w:rsid w:val="00E60F81"/>
    <w:rsid w:val="00E6308B"/>
    <w:rsid w:val="00E63163"/>
    <w:rsid w:val="00E63293"/>
    <w:rsid w:val="00E63F08"/>
    <w:rsid w:val="00E64D19"/>
    <w:rsid w:val="00E65D87"/>
    <w:rsid w:val="00E66406"/>
    <w:rsid w:val="00E670A5"/>
    <w:rsid w:val="00E706E6"/>
    <w:rsid w:val="00E7125F"/>
    <w:rsid w:val="00E71ED7"/>
    <w:rsid w:val="00E73957"/>
    <w:rsid w:val="00E7406C"/>
    <w:rsid w:val="00E76610"/>
    <w:rsid w:val="00E76C31"/>
    <w:rsid w:val="00E76E3D"/>
    <w:rsid w:val="00E803B8"/>
    <w:rsid w:val="00E80DC4"/>
    <w:rsid w:val="00E83FE8"/>
    <w:rsid w:val="00E87942"/>
    <w:rsid w:val="00E9059C"/>
    <w:rsid w:val="00E90985"/>
    <w:rsid w:val="00E910E0"/>
    <w:rsid w:val="00E91D0C"/>
    <w:rsid w:val="00E91D88"/>
    <w:rsid w:val="00E92C8D"/>
    <w:rsid w:val="00E92EA4"/>
    <w:rsid w:val="00E93097"/>
    <w:rsid w:val="00E9589E"/>
    <w:rsid w:val="00E97311"/>
    <w:rsid w:val="00E97B1C"/>
    <w:rsid w:val="00E97E72"/>
    <w:rsid w:val="00EA03D8"/>
    <w:rsid w:val="00EA071E"/>
    <w:rsid w:val="00EA1299"/>
    <w:rsid w:val="00EA173B"/>
    <w:rsid w:val="00EA17A4"/>
    <w:rsid w:val="00EA18EA"/>
    <w:rsid w:val="00EA4999"/>
    <w:rsid w:val="00EA6A22"/>
    <w:rsid w:val="00EB05C7"/>
    <w:rsid w:val="00EB3058"/>
    <w:rsid w:val="00EB3666"/>
    <w:rsid w:val="00EB3DCD"/>
    <w:rsid w:val="00EB46FE"/>
    <w:rsid w:val="00EB47BC"/>
    <w:rsid w:val="00EB581B"/>
    <w:rsid w:val="00EB5B27"/>
    <w:rsid w:val="00EB6A87"/>
    <w:rsid w:val="00EB7E17"/>
    <w:rsid w:val="00EC244C"/>
    <w:rsid w:val="00EC2981"/>
    <w:rsid w:val="00EC798A"/>
    <w:rsid w:val="00EC7C9B"/>
    <w:rsid w:val="00ED0D7F"/>
    <w:rsid w:val="00ED2C7C"/>
    <w:rsid w:val="00ED3527"/>
    <w:rsid w:val="00ED3A5C"/>
    <w:rsid w:val="00ED4E97"/>
    <w:rsid w:val="00ED64DB"/>
    <w:rsid w:val="00ED6EAC"/>
    <w:rsid w:val="00ED7730"/>
    <w:rsid w:val="00ED7B34"/>
    <w:rsid w:val="00EE023D"/>
    <w:rsid w:val="00EE0FE2"/>
    <w:rsid w:val="00EE5212"/>
    <w:rsid w:val="00EE5B12"/>
    <w:rsid w:val="00EE73D3"/>
    <w:rsid w:val="00EF01FF"/>
    <w:rsid w:val="00EF170C"/>
    <w:rsid w:val="00EF2747"/>
    <w:rsid w:val="00EF3B25"/>
    <w:rsid w:val="00EF3F12"/>
    <w:rsid w:val="00EF42B1"/>
    <w:rsid w:val="00EF451A"/>
    <w:rsid w:val="00EF45B9"/>
    <w:rsid w:val="00F006E7"/>
    <w:rsid w:val="00F0114A"/>
    <w:rsid w:val="00F02F55"/>
    <w:rsid w:val="00F03EF0"/>
    <w:rsid w:val="00F03FF0"/>
    <w:rsid w:val="00F0480B"/>
    <w:rsid w:val="00F0509A"/>
    <w:rsid w:val="00F056FE"/>
    <w:rsid w:val="00F05A1A"/>
    <w:rsid w:val="00F0631E"/>
    <w:rsid w:val="00F07C5A"/>
    <w:rsid w:val="00F11947"/>
    <w:rsid w:val="00F13B5A"/>
    <w:rsid w:val="00F1487D"/>
    <w:rsid w:val="00F215EE"/>
    <w:rsid w:val="00F2199F"/>
    <w:rsid w:val="00F26035"/>
    <w:rsid w:val="00F26104"/>
    <w:rsid w:val="00F26AFA"/>
    <w:rsid w:val="00F2785C"/>
    <w:rsid w:val="00F31AB5"/>
    <w:rsid w:val="00F34228"/>
    <w:rsid w:val="00F3440F"/>
    <w:rsid w:val="00F3450F"/>
    <w:rsid w:val="00F34E8B"/>
    <w:rsid w:val="00F355E1"/>
    <w:rsid w:val="00F36D4C"/>
    <w:rsid w:val="00F4184E"/>
    <w:rsid w:val="00F4300F"/>
    <w:rsid w:val="00F43616"/>
    <w:rsid w:val="00F43868"/>
    <w:rsid w:val="00F441A7"/>
    <w:rsid w:val="00F445E0"/>
    <w:rsid w:val="00F46A94"/>
    <w:rsid w:val="00F50BB9"/>
    <w:rsid w:val="00F50F92"/>
    <w:rsid w:val="00F5315A"/>
    <w:rsid w:val="00F53FED"/>
    <w:rsid w:val="00F543A2"/>
    <w:rsid w:val="00F5586D"/>
    <w:rsid w:val="00F558A0"/>
    <w:rsid w:val="00F56753"/>
    <w:rsid w:val="00F61D62"/>
    <w:rsid w:val="00F626AB"/>
    <w:rsid w:val="00F63090"/>
    <w:rsid w:val="00F64BD7"/>
    <w:rsid w:val="00F66660"/>
    <w:rsid w:val="00F730CC"/>
    <w:rsid w:val="00F73DD3"/>
    <w:rsid w:val="00F7408B"/>
    <w:rsid w:val="00F74B68"/>
    <w:rsid w:val="00F768AF"/>
    <w:rsid w:val="00F76AE3"/>
    <w:rsid w:val="00F8000E"/>
    <w:rsid w:val="00F838F0"/>
    <w:rsid w:val="00F83A0C"/>
    <w:rsid w:val="00F8659B"/>
    <w:rsid w:val="00F86F57"/>
    <w:rsid w:val="00F926DF"/>
    <w:rsid w:val="00F92F38"/>
    <w:rsid w:val="00F93127"/>
    <w:rsid w:val="00F93E72"/>
    <w:rsid w:val="00F943CA"/>
    <w:rsid w:val="00F946E9"/>
    <w:rsid w:val="00F95F9B"/>
    <w:rsid w:val="00F96C8E"/>
    <w:rsid w:val="00FA0632"/>
    <w:rsid w:val="00FA0B12"/>
    <w:rsid w:val="00FA273D"/>
    <w:rsid w:val="00FA3D8F"/>
    <w:rsid w:val="00FA56C7"/>
    <w:rsid w:val="00FB1878"/>
    <w:rsid w:val="00FB1A24"/>
    <w:rsid w:val="00FB2DED"/>
    <w:rsid w:val="00FB3040"/>
    <w:rsid w:val="00FB37C8"/>
    <w:rsid w:val="00FB4A8A"/>
    <w:rsid w:val="00FB4EB7"/>
    <w:rsid w:val="00FB638F"/>
    <w:rsid w:val="00FB77A5"/>
    <w:rsid w:val="00FC3D56"/>
    <w:rsid w:val="00FC4308"/>
    <w:rsid w:val="00FC5638"/>
    <w:rsid w:val="00FC5BE2"/>
    <w:rsid w:val="00FC6DBE"/>
    <w:rsid w:val="00FC7ABC"/>
    <w:rsid w:val="00FC7D49"/>
    <w:rsid w:val="00FD0995"/>
    <w:rsid w:val="00FD2E63"/>
    <w:rsid w:val="00FD38A0"/>
    <w:rsid w:val="00FD4094"/>
    <w:rsid w:val="00FD4137"/>
    <w:rsid w:val="00FE00D3"/>
    <w:rsid w:val="00FE0ACE"/>
    <w:rsid w:val="00FE1D30"/>
    <w:rsid w:val="00FE3C32"/>
    <w:rsid w:val="00FE6126"/>
    <w:rsid w:val="00FE6A24"/>
    <w:rsid w:val="00FE6AD6"/>
    <w:rsid w:val="00FE70C5"/>
    <w:rsid w:val="00FF64A2"/>
    <w:rsid w:val="00FF6928"/>
    <w:rsid w:val="00FF79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E9CD9"/>
  <w15:chartTrackingRefBased/>
  <w15:docId w15:val="{8280655C-FF84-C546-AD1F-F552CE0B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74A23"/>
    <w:pPr>
      <w:jc w:val="center"/>
    </w:pPr>
    <w:rPr>
      <w:rFonts w:ascii="Arial" w:hAnsi="Arial" w:cs="Arial"/>
      <w:lang w:val="en-US"/>
    </w:rPr>
  </w:style>
  <w:style w:type="character" w:customStyle="1" w:styleId="EndNoteBibliographyTitleChar">
    <w:name w:val="EndNote Bibliography Title Char"/>
    <w:basedOn w:val="DefaultParagraphFont"/>
    <w:link w:val="EndNoteBibliographyTitle"/>
    <w:rsid w:val="00C74A23"/>
    <w:rPr>
      <w:rFonts w:ascii="Arial" w:hAnsi="Arial" w:cs="Arial"/>
      <w:lang w:val="en-US"/>
    </w:rPr>
  </w:style>
  <w:style w:type="paragraph" w:customStyle="1" w:styleId="EndNoteBibliography">
    <w:name w:val="EndNote Bibliography"/>
    <w:basedOn w:val="Normal"/>
    <w:link w:val="EndNoteBibliographyChar"/>
    <w:rsid w:val="00C74A23"/>
    <w:pPr>
      <w:spacing w:line="480" w:lineRule="auto"/>
    </w:pPr>
    <w:rPr>
      <w:rFonts w:ascii="Arial" w:hAnsi="Arial" w:cs="Arial"/>
      <w:lang w:val="en-US"/>
    </w:rPr>
  </w:style>
  <w:style w:type="character" w:customStyle="1" w:styleId="EndNoteBibliographyChar">
    <w:name w:val="EndNote Bibliography Char"/>
    <w:basedOn w:val="DefaultParagraphFont"/>
    <w:link w:val="EndNoteBibliography"/>
    <w:rsid w:val="00C74A23"/>
    <w:rPr>
      <w:rFonts w:ascii="Arial" w:hAnsi="Arial" w:cs="Arial"/>
      <w:lang w:val="en-US"/>
    </w:rPr>
  </w:style>
  <w:style w:type="paragraph" w:styleId="ListParagraph">
    <w:name w:val="List Paragraph"/>
    <w:basedOn w:val="Normal"/>
    <w:uiPriority w:val="34"/>
    <w:qFormat/>
    <w:rsid w:val="00AA07F3"/>
    <w:pPr>
      <w:ind w:left="720"/>
      <w:contextualSpacing/>
    </w:pPr>
  </w:style>
  <w:style w:type="character" w:styleId="Hyperlink">
    <w:name w:val="Hyperlink"/>
    <w:basedOn w:val="DefaultParagraphFont"/>
    <w:uiPriority w:val="99"/>
    <w:unhideWhenUsed/>
    <w:rsid w:val="000E7B7B"/>
    <w:rPr>
      <w:color w:val="0563C1" w:themeColor="hyperlink"/>
      <w:u w:val="single"/>
    </w:rPr>
  </w:style>
  <w:style w:type="character" w:styleId="UnresolvedMention">
    <w:name w:val="Unresolved Mention"/>
    <w:basedOn w:val="DefaultParagraphFont"/>
    <w:uiPriority w:val="99"/>
    <w:semiHidden/>
    <w:unhideWhenUsed/>
    <w:rsid w:val="000E7B7B"/>
    <w:rPr>
      <w:color w:val="605E5C"/>
      <w:shd w:val="clear" w:color="auto" w:fill="E1DFDD"/>
    </w:rPr>
  </w:style>
  <w:style w:type="character" w:styleId="FollowedHyperlink">
    <w:name w:val="FollowedHyperlink"/>
    <w:basedOn w:val="DefaultParagraphFont"/>
    <w:uiPriority w:val="99"/>
    <w:semiHidden/>
    <w:unhideWhenUsed/>
    <w:rsid w:val="000E7B7B"/>
    <w:rPr>
      <w:color w:val="954F72" w:themeColor="followedHyperlink"/>
      <w:u w:val="single"/>
    </w:rPr>
  </w:style>
  <w:style w:type="paragraph" w:styleId="Header">
    <w:name w:val="header"/>
    <w:basedOn w:val="Normal"/>
    <w:link w:val="HeaderChar"/>
    <w:uiPriority w:val="99"/>
    <w:unhideWhenUsed/>
    <w:rsid w:val="000E7B7B"/>
    <w:pPr>
      <w:tabs>
        <w:tab w:val="center" w:pos="4680"/>
        <w:tab w:val="right" w:pos="9360"/>
      </w:tabs>
    </w:pPr>
  </w:style>
  <w:style w:type="character" w:customStyle="1" w:styleId="HeaderChar">
    <w:name w:val="Header Char"/>
    <w:basedOn w:val="DefaultParagraphFont"/>
    <w:link w:val="Header"/>
    <w:uiPriority w:val="99"/>
    <w:rsid w:val="000E7B7B"/>
  </w:style>
  <w:style w:type="paragraph" w:styleId="Footer">
    <w:name w:val="footer"/>
    <w:basedOn w:val="Normal"/>
    <w:link w:val="FooterChar"/>
    <w:uiPriority w:val="99"/>
    <w:unhideWhenUsed/>
    <w:rsid w:val="000E7B7B"/>
    <w:pPr>
      <w:tabs>
        <w:tab w:val="center" w:pos="4680"/>
        <w:tab w:val="right" w:pos="9360"/>
      </w:tabs>
    </w:pPr>
  </w:style>
  <w:style w:type="character" w:customStyle="1" w:styleId="FooterChar">
    <w:name w:val="Footer Char"/>
    <w:basedOn w:val="DefaultParagraphFont"/>
    <w:link w:val="Footer"/>
    <w:uiPriority w:val="99"/>
    <w:rsid w:val="000E7B7B"/>
  </w:style>
  <w:style w:type="character" w:styleId="PageNumber">
    <w:name w:val="page number"/>
    <w:basedOn w:val="DefaultParagraphFont"/>
    <w:uiPriority w:val="99"/>
    <w:semiHidden/>
    <w:unhideWhenUsed/>
    <w:rsid w:val="000E7B7B"/>
  </w:style>
  <w:style w:type="character" w:styleId="PlaceholderText">
    <w:name w:val="Placeholder Text"/>
    <w:basedOn w:val="DefaultParagraphFont"/>
    <w:uiPriority w:val="99"/>
    <w:semiHidden/>
    <w:rsid w:val="00DA21D1"/>
    <w:rPr>
      <w:color w:val="808080"/>
    </w:rPr>
  </w:style>
  <w:style w:type="table" w:styleId="TableGrid">
    <w:name w:val="Table Grid"/>
    <w:basedOn w:val="TableNormal"/>
    <w:uiPriority w:val="39"/>
    <w:rsid w:val="005B1CC6"/>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D68"/>
    <w:rPr>
      <w:sz w:val="16"/>
      <w:szCs w:val="16"/>
    </w:rPr>
  </w:style>
  <w:style w:type="paragraph" w:styleId="CommentText">
    <w:name w:val="annotation text"/>
    <w:basedOn w:val="Normal"/>
    <w:link w:val="CommentTextChar"/>
    <w:uiPriority w:val="99"/>
    <w:unhideWhenUsed/>
    <w:rsid w:val="00571D68"/>
    <w:rPr>
      <w:sz w:val="20"/>
      <w:szCs w:val="20"/>
    </w:rPr>
  </w:style>
  <w:style w:type="character" w:customStyle="1" w:styleId="CommentTextChar">
    <w:name w:val="Comment Text Char"/>
    <w:basedOn w:val="DefaultParagraphFont"/>
    <w:link w:val="CommentText"/>
    <w:uiPriority w:val="99"/>
    <w:rsid w:val="00571D68"/>
    <w:rPr>
      <w:sz w:val="20"/>
      <w:szCs w:val="20"/>
    </w:rPr>
  </w:style>
  <w:style w:type="paragraph" w:styleId="CommentSubject">
    <w:name w:val="annotation subject"/>
    <w:basedOn w:val="CommentText"/>
    <w:next w:val="CommentText"/>
    <w:link w:val="CommentSubjectChar"/>
    <w:uiPriority w:val="99"/>
    <w:semiHidden/>
    <w:unhideWhenUsed/>
    <w:rsid w:val="00571D68"/>
    <w:rPr>
      <w:b/>
      <w:bCs/>
    </w:rPr>
  </w:style>
  <w:style w:type="character" w:customStyle="1" w:styleId="CommentSubjectChar">
    <w:name w:val="Comment Subject Char"/>
    <w:basedOn w:val="CommentTextChar"/>
    <w:link w:val="CommentSubject"/>
    <w:uiPriority w:val="99"/>
    <w:semiHidden/>
    <w:rsid w:val="00571D68"/>
    <w:rPr>
      <w:b/>
      <w:bCs/>
      <w:sz w:val="20"/>
      <w:szCs w:val="20"/>
    </w:rPr>
  </w:style>
  <w:style w:type="paragraph" w:styleId="Revision">
    <w:name w:val="Revision"/>
    <w:hidden/>
    <w:uiPriority w:val="99"/>
    <w:semiHidden/>
    <w:rsid w:val="007F0473"/>
  </w:style>
  <w:style w:type="character" w:styleId="LineNumber">
    <w:name w:val="line number"/>
    <w:basedOn w:val="DefaultParagraphFont"/>
    <w:uiPriority w:val="99"/>
    <w:semiHidden/>
    <w:unhideWhenUsed/>
    <w:rsid w:val="00F0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54C7-7F5F-43E4-BE35-36B9F8D1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8539</Words>
  <Characters>48678</Characters>
  <Application>Microsoft Office Word</Application>
  <DocSecurity>0</DocSecurity>
  <Lines>405</Lines>
  <Paragraphs>114</Paragraphs>
  <ScaleCrop>false</ScaleCrop>
  <HeadingPairs>
    <vt:vector size="6" baseType="variant">
      <vt:variant>
        <vt:lpstr>Title</vt:lpstr>
      </vt:variant>
      <vt:variant>
        <vt:i4>1</vt:i4>
      </vt:variant>
      <vt:variant>
        <vt:lpstr>Título</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Farhat</dc:creator>
  <cp:keywords/>
  <dc:description/>
  <cp:lastModifiedBy>Samuele Cortese</cp:lastModifiedBy>
  <cp:revision>2</cp:revision>
  <dcterms:created xsi:type="dcterms:W3CDTF">2023-12-05T11:17:00Z</dcterms:created>
  <dcterms:modified xsi:type="dcterms:W3CDTF">2023-12-05T11:17:00Z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c6480430897ebe11e535cd2d2765c2fb119b32443c6bf0ceb88c1b8cba7551d3</vt:lpwstr>
  </property>
</Properties>
</file>