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C4B2" w14:textId="6AA5D11F" w:rsidR="00A040E1" w:rsidRPr="00223BA3" w:rsidRDefault="00A040E1" w:rsidP="00DE7836">
      <w:pPr>
        <w:spacing w:after="0" w:line="480" w:lineRule="auto"/>
        <w:rPr>
          <w:rFonts w:cstheme="minorHAnsi"/>
          <w:sz w:val="24"/>
          <w:szCs w:val="24"/>
        </w:rPr>
      </w:pPr>
      <w:r w:rsidRPr="00223BA3">
        <w:rPr>
          <w:rFonts w:cstheme="minorHAnsi"/>
          <w:b/>
          <w:bCs/>
          <w:sz w:val="24"/>
          <w:szCs w:val="24"/>
        </w:rPr>
        <w:t>Title:</w:t>
      </w:r>
      <w:r w:rsidR="00112478" w:rsidRPr="00223BA3">
        <w:rPr>
          <w:rFonts w:cstheme="minorHAnsi"/>
          <w:b/>
          <w:bCs/>
          <w:sz w:val="24"/>
          <w:szCs w:val="24"/>
        </w:rPr>
        <w:t xml:space="preserve"> </w:t>
      </w:r>
      <w:r w:rsidR="00F87881" w:rsidRPr="00223BA3">
        <w:rPr>
          <w:rFonts w:cstheme="minorHAnsi"/>
          <w:sz w:val="24"/>
          <w:szCs w:val="24"/>
        </w:rPr>
        <w:t xml:space="preserve">The use of routinely collected electronic prescribing data to </w:t>
      </w:r>
      <w:r w:rsidR="00B34E57" w:rsidRPr="00223BA3">
        <w:rPr>
          <w:rFonts w:cstheme="minorHAnsi"/>
          <w:sz w:val="24"/>
          <w:szCs w:val="24"/>
        </w:rPr>
        <w:t>benchmark</w:t>
      </w:r>
      <w:r w:rsidR="00F87881" w:rsidRPr="00223BA3">
        <w:rPr>
          <w:rFonts w:cstheme="minorHAnsi"/>
          <w:sz w:val="24"/>
          <w:szCs w:val="24"/>
        </w:rPr>
        <w:t xml:space="preserve"> </w:t>
      </w:r>
      <w:r w:rsidR="00B34E57" w:rsidRPr="00223BA3">
        <w:rPr>
          <w:rFonts w:cstheme="minorHAnsi"/>
          <w:sz w:val="24"/>
          <w:szCs w:val="24"/>
        </w:rPr>
        <w:t xml:space="preserve">intravenous antibiotic use </w:t>
      </w:r>
      <w:r w:rsidR="00E61FCF" w:rsidRPr="00223BA3">
        <w:rPr>
          <w:rFonts w:cstheme="minorHAnsi"/>
          <w:sz w:val="24"/>
          <w:szCs w:val="24"/>
        </w:rPr>
        <w:t>between</w:t>
      </w:r>
      <w:r w:rsidR="007C67B3" w:rsidRPr="00223BA3">
        <w:rPr>
          <w:rFonts w:cstheme="minorHAnsi"/>
          <w:sz w:val="24"/>
          <w:szCs w:val="24"/>
        </w:rPr>
        <w:t xml:space="preserve"> </w:t>
      </w:r>
      <w:r w:rsidR="00F87881" w:rsidRPr="00223BA3">
        <w:rPr>
          <w:rFonts w:cstheme="minorHAnsi"/>
          <w:sz w:val="24"/>
          <w:szCs w:val="24"/>
        </w:rPr>
        <w:t xml:space="preserve">two </w:t>
      </w:r>
      <w:r w:rsidR="0093331A" w:rsidRPr="00223BA3">
        <w:rPr>
          <w:rFonts w:cstheme="minorHAnsi"/>
          <w:sz w:val="24"/>
          <w:szCs w:val="24"/>
        </w:rPr>
        <w:t xml:space="preserve">tertiary </w:t>
      </w:r>
      <w:r w:rsidR="007C67B3" w:rsidRPr="00223BA3">
        <w:rPr>
          <w:rFonts w:cstheme="minorHAnsi"/>
          <w:sz w:val="24"/>
          <w:szCs w:val="24"/>
        </w:rPr>
        <w:t xml:space="preserve">paediatric Haematology-Oncology inpatient </w:t>
      </w:r>
      <w:r w:rsidR="00E61FCF" w:rsidRPr="00223BA3">
        <w:rPr>
          <w:rFonts w:cstheme="minorHAnsi"/>
          <w:sz w:val="24"/>
          <w:szCs w:val="24"/>
        </w:rPr>
        <w:t>units</w:t>
      </w:r>
      <w:r w:rsidR="00F87881" w:rsidRPr="00223BA3">
        <w:rPr>
          <w:rFonts w:cstheme="minorHAnsi"/>
          <w:sz w:val="24"/>
          <w:szCs w:val="24"/>
        </w:rPr>
        <w:t>:</w:t>
      </w:r>
      <w:r w:rsidR="0082735E">
        <w:rPr>
          <w:rFonts w:cstheme="minorHAnsi"/>
          <w:sz w:val="24"/>
          <w:szCs w:val="24"/>
        </w:rPr>
        <w:t xml:space="preserve"> a retrospective </w:t>
      </w:r>
      <w:r w:rsidR="008D2580">
        <w:rPr>
          <w:rFonts w:cstheme="minorHAnsi"/>
          <w:sz w:val="24"/>
          <w:szCs w:val="24"/>
        </w:rPr>
        <w:t>study</w:t>
      </w:r>
    </w:p>
    <w:p w14:paraId="19A7C549" w14:textId="05BB448F" w:rsidR="00A040E1" w:rsidRPr="00223BA3" w:rsidRDefault="00A040E1" w:rsidP="00DE7836">
      <w:pPr>
        <w:spacing w:after="0" w:line="480" w:lineRule="auto"/>
        <w:rPr>
          <w:rFonts w:cstheme="minorHAnsi"/>
          <w:sz w:val="24"/>
          <w:szCs w:val="24"/>
        </w:rPr>
      </w:pPr>
      <w:r w:rsidRPr="00223BA3">
        <w:rPr>
          <w:rFonts w:cstheme="minorHAnsi"/>
          <w:b/>
          <w:bCs/>
          <w:sz w:val="24"/>
          <w:szCs w:val="24"/>
        </w:rPr>
        <w:t>Authors:</w:t>
      </w:r>
      <w:r w:rsidRPr="00223BA3">
        <w:rPr>
          <w:rFonts w:cstheme="minorHAnsi"/>
          <w:sz w:val="24"/>
          <w:szCs w:val="24"/>
        </w:rPr>
        <w:t xml:space="preserve"> S</w:t>
      </w:r>
      <w:r w:rsidR="0001223A" w:rsidRPr="00223BA3">
        <w:rPr>
          <w:rFonts w:cstheme="minorHAnsi"/>
          <w:sz w:val="24"/>
          <w:szCs w:val="24"/>
        </w:rPr>
        <w:t>amuel</w:t>
      </w:r>
      <w:r w:rsidRPr="00223BA3">
        <w:rPr>
          <w:rFonts w:cstheme="minorHAnsi"/>
          <w:sz w:val="24"/>
          <w:szCs w:val="24"/>
        </w:rPr>
        <w:t xml:space="preserve"> Channon-Wells</w:t>
      </w:r>
      <w:r w:rsidRPr="00223BA3">
        <w:rPr>
          <w:rFonts w:cstheme="minorHAnsi"/>
          <w:sz w:val="24"/>
          <w:szCs w:val="24"/>
          <w:vertAlign w:val="superscript"/>
        </w:rPr>
        <w:t>1</w:t>
      </w:r>
      <w:r w:rsidR="00076449" w:rsidRPr="00223BA3">
        <w:rPr>
          <w:rFonts w:cstheme="minorHAnsi"/>
          <w:sz w:val="24"/>
          <w:szCs w:val="24"/>
          <w:vertAlign w:val="superscript"/>
        </w:rPr>
        <w:t>,2</w:t>
      </w:r>
      <w:r w:rsidR="0001223A" w:rsidRPr="00223BA3">
        <w:rPr>
          <w:rFonts w:cstheme="minorHAnsi"/>
          <w:sz w:val="24"/>
          <w:szCs w:val="24"/>
        </w:rPr>
        <w:t xml:space="preserve"> MBBS, </w:t>
      </w:r>
      <w:r w:rsidR="0036785E" w:rsidRPr="00223BA3">
        <w:rPr>
          <w:rFonts w:cstheme="minorHAnsi"/>
          <w:sz w:val="24"/>
          <w:szCs w:val="24"/>
        </w:rPr>
        <w:t>MRCPCH</w:t>
      </w:r>
      <w:r w:rsidR="0001223A" w:rsidRPr="00223BA3">
        <w:rPr>
          <w:rFonts w:cstheme="minorHAnsi"/>
          <w:sz w:val="24"/>
          <w:szCs w:val="24"/>
        </w:rPr>
        <w:t xml:space="preserve">, MMath, </w:t>
      </w:r>
      <w:r w:rsidR="00D57EE3" w:rsidRPr="00223BA3">
        <w:rPr>
          <w:rFonts w:cstheme="minorHAnsi"/>
          <w:sz w:val="24"/>
          <w:szCs w:val="24"/>
        </w:rPr>
        <w:t>C</w:t>
      </w:r>
      <w:r w:rsidR="0001223A" w:rsidRPr="00223BA3">
        <w:rPr>
          <w:rFonts w:cstheme="minorHAnsi"/>
          <w:sz w:val="24"/>
          <w:szCs w:val="24"/>
        </w:rPr>
        <w:t>aroline</w:t>
      </w:r>
      <w:r w:rsidR="00D57EE3" w:rsidRPr="00223BA3">
        <w:rPr>
          <w:rFonts w:cstheme="minorHAnsi"/>
          <w:sz w:val="24"/>
          <w:szCs w:val="24"/>
        </w:rPr>
        <w:t xml:space="preserve"> Herin</w:t>
      </w:r>
      <w:r w:rsidR="00D57EE3" w:rsidRPr="00223BA3">
        <w:rPr>
          <w:rFonts w:cstheme="minorHAnsi"/>
          <w:sz w:val="24"/>
          <w:szCs w:val="24"/>
          <w:vertAlign w:val="superscript"/>
        </w:rPr>
        <w:t>1</w:t>
      </w:r>
      <w:r w:rsidR="00FA24AE" w:rsidRPr="00223BA3">
        <w:rPr>
          <w:rFonts w:cstheme="minorHAnsi"/>
          <w:sz w:val="24"/>
          <w:szCs w:val="24"/>
        </w:rPr>
        <w:t xml:space="preserve"> P</w:t>
      </w:r>
      <w:r w:rsidR="00693B14" w:rsidRPr="00223BA3">
        <w:rPr>
          <w:rFonts w:cstheme="minorHAnsi"/>
          <w:sz w:val="24"/>
          <w:szCs w:val="24"/>
        </w:rPr>
        <w:t>gDip, MPharm</w:t>
      </w:r>
      <w:r w:rsidR="00FA24AE" w:rsidRPr="00223BA3">
        <w:rPr>
          <w:rFonts w:cstheme="minorHAnsi"/>
          <w:sz w:val="24"/>
          <w:szCs w:val="24"/>
        </w:rPr>
        <w:t>,</w:t>
      </w:r>
      <w:r w:rsidR="00D57EE3" w:rsidRPr="00223BA3">
        <w:rPr>
          <w:rFonts w:cstheme="minorHAnsi"/>
          <w:sz w:val="24"/>
          <w:szCs w:val="24"/>
        </w:rPr>
        <w:t xml:space="preserve"> I</w:t>
      </w:r>
      <w:r w:rsidR="0001223A" w:rsidRPr="00223BA3">
        <w:rPr>
          <w:rFonts w:cstheme="minorHAnsi"/>
          <w:sz w:val="24"/>
          <w:szCs w:val="24"/>
        </w:rPr>
        <w:t>smail</w:t>
      </w:r>
      <w:r w:rsidR="00D57EE3" w:rsidRPr="00223BA3">
        <w:rPr>
          <w:rFonts w:cstheme="minorHAnsi"/>
          <w:sz w:val="24"/>
          <w:szCs w:val="24"/>
        </w:rPr>
        <w:t xml:space="preserve"> ElBeshlawi</w:t>
      </w:r>
      <w:r w:rsidR="00D57EE3" w:rsidRPr="00223BA3">
        <w:rPr>
          <w:rFonts w:cstheme="minorHAnsi"/>
          <w:sz w:val="24"/>
          <w:szCs w:val="24"/>
          <w:vertAlign w:val="superscript"/>
        </w:rPr>
        <w:t>1</w:t>
      </w:r>
      <w:r w:rsidR="007A2DEB" w:rsidRPr="00223BA3">
        <w:rPr>
          <w:rFonts w:cstheme="minorHAnsi"/>
          <w:sz w:val="24"/>
          <w:szCs w:val="24"/>
        </w:rPr>
        <w:t xml:space="preserve"> MD, MRCPCH</w:t>
      </w:r>
      <w:r w:rsidR="00D57EE3" w:rsidRPr="00223BA3">
        <w:rPr>
          <w:rFonts w:cstheme="minorHAnsi"/>
          <w:sz w:val="24"/>
          <w:szCs w:val="24"/>
        </w:rPr>
        <w:t>, J</w:t>
      </w:r>
      <w:r w:rsidR="0001223A" w:rsidRPr="00223BA3">
        <w:rPr>
          <w:rFonts w:cstheme="minorHAnsi"/>
          <w:sz w:val="24"/>
          <w:szCs w:val="24"/>
        </w:rPr>
        <w:t>uliet</w:t>
      </w:r>
      <w:r w:rsidR="00D57EE3" w:rsidRPr="00223BA3">
        <w:rPr>
          <w:rFonts w:cstheme="minorHAnsi"/>
          <w:sz w:val="24"/>
          <w:szCs w:val="24"/>
        </w:rPr>
        <w:t xml:space="preserve"> Gray</w:t>
      </w:r>
      <w:r w:rsidR="00076449" w:rsidRPr="00223BA3">
        <w:rPr>
          <w:rFonts w:cstheme="minorHAnsi"/>
          <w:sz w:val="24"/>
          <w:szCs w:val="24"/>
          <w:vertAlign w:val="superscript"/>
        </w:rPr>
        <w:t>3</w:t>
      </w:r>
      <w:r w:rsidR="002A79B1" w:rsidRPr="00223BA3">
        <w:rPr>
          <w:rFonts w:cstheme="minorHAnsi"/>
          <w:sz w:val="24"/>
          <w:szCs w:val="24"/>
          <w:vertAlign w:val="superscript"/>
        </w:rPr>
        <w:t>,</w:t>
      </w:r>
      <w:r w:rsidR="00076449" w:rsidRPr="00223BA3">
        <w:rPr>
          <w:rFonts w:cstheme="minorHAnsi"/>
          <w:sz w:val="24"/>
          <w:szCs w:val="24"/>
          <w:vertAlign w:val="superscript"/>
        </w:rPr>
        <w:t>4</w:t>
      </w:r>
      <w:r w:rsidR="0036785E" w:rsidRPr="00223BA3">
        <w:rPr>
          <w:rFonts w:cstheme="minorHAnsi"/>
          <w:sz w:val="24"/>
          <w:szCs w:val="24"/>
        </w:rPr>
        <w:t xml:space="preserve"> MBBS, FRCPCH, PhD,</w:t>
      </w:r>
      <w:r w:rsidR="00D57EE3" w:rsidRPr="00223BA3">
        <w:rPr>
          <w:rFonts w:cstheme="minorHAnsi"/>
          <w:sz w:val="24"/>
          <w:szCs w:val="24"/>
        </w:rPr>
        <w:t xml:space="preserve"> </w:t>
      </w:r>
      <w:r w:rsidRPr="00223BA3">
        <w:rPr>
          <w:rFonts w:cstheme="minorHAnsi"/>
          <w:sz w:val="24"/>
          <w:szCs w:val="24"/>
        </w:rPr>
        <w:t>S</w:t>
      </w:r>
      <w:r w:rsidR="0001223A" w:rsidRPr="00223BA3">
        <w:rPr>
          <w:rFonts w:cstheme="minorHAnsi"/>
          <w:sz w:val="24"/>
          <w:szCs w:val="24"/>
        </w:rPr>
        <w:t>anjay</w:t>
      </w:r>
      <w:r w:rsidRPr="00223BA3">
        <w:rPr>
          <w:rFonts w:cstheme="minorHAnsi"/>
          <w:sz w:val="24"/>
          <w:szCs w:val="24"/>
        </w:rPr>
        <w:t xml:space="preserve"> Patel</w:t>
      </w:r>
      <w:r w:rsidR="00076449" w:rsidRPr="00223BA3">
        <w:rPr>
          <w:rFonts w:cstheme="minorHAnsi"/>
          <w:sz w:val="24"/>
          <w:szCs w:val="24"/>
          <w:vertAlign w:val="superscript"/>
        </w:rPr>
        <w:t>3</w:t>
      </w:r>
      <w:r w:rsidR="00127F04" w:rsidRPr="00223BA3">
        <w:rPr>
          <w:rFonts w:cstheme="minorHAnsi"/>
          <w:sz w:val="24"/>
          <w:szCs w:val="24"/>
        </w:rPr>
        <w:t xml:space="preserve"> MA, MBBS,</w:t>
      </w:r>
      <w:r w:rsidRPr="00223BA3">
        <w:rPr>
          <w:rFonts w:cstheme="minorHAnsi"/>
          <w:sz w:val="24"/>
          <w:szCs w:val="24"/>
        </w:rPr>
        <w:t xml:space="preserve"> S</w:t>
      </w:r>
      <w:r w:rsidR="0001223A" w:rsidRPr="00223BA3">
        <w:rPr>
          <w:rFonts w:cstheme="minorHAnsi"/>
          <w:sz w:val="24"/>
          <w:szCs w:val="24"/>
        </w:rPr>
        <w:t>tephane</w:t>
      </w:r>
      <w:r w:rsidRPr="00223BA3">
        <w:rPr>
          <w:rFonts w:cstheme="minorHAnsi"/>
          <w:sz w:val="24"/>
          <w:szCs w:val="24"/>
        </w:rPr>
        <w:t xml:space="preserve"> Paulus</w:t>
      </w:r>
      <w:r w:rsidRPr="00223BA3">
        <w:rPr>
          <w:rFonts w:cstheme="minorHAnsi"/>
          <w:sz w:val="24"/>
          <w:szCs w:val="24"/>
          <w:vertAlign w:val="superscript"/>
        </w:rPr>
        <w:t>1</w:t>
      </w:r>
      <w:r w:rsidR="007A2DEB" w:rsidRPr="00223BA3">
        <w:rPr>
          <w:rFonts w:cstheme="minorHAnsi"/>
          <w:sz w:val="24"/>
          <w:szCs w:val="24"/>
        </w:rPr>
        <w:t xml:space="preserve"> MD, FRCPCH</w:t>
      </w:r>
    </w:p>
    <w:p w14:paraId="7C2C875C" w14:textId="5F27EC79" w:rsidR="00A040E1" w:rsidRPr="00223BA3" w:rsidRDefault="00A040E1" w:rsidP="00DE7836">
      <w:pPr>
        <w:spacing w:after="0" w:line="480" w:lineRule="auto"/>
        <w:rPr>
          <w:rFonts w:cstheme="minorHAnsi"/>
          <w:b/>
          <w:bCs/>
          <w:sz w:val="24"/>
          <w:szCs w:val="24"/>
        </w:rPr>
      </w:pPr>
      <w:r w:rsidRPr="00223BA3">
        <w:rPr>
          <w:rFonts w:cstheme="minorHAnsi"/>
          <w:b/>
          <w:bCs/>
          <w:sz w:val="24"/>
          <w:szCs w:val="24"/>
        </w:rPr>
        <w:t>Author</w:t>
      </w:r>
      <w:r w:rsidRPr="00223BA3">
        <w:rPr>
          <w:rFonts w:cstheme="minorHAnsi"/>
          <w:sz w:val="24"/>
          <w:szCs w:val="24"/>
        </w:rPr>
        <w:t xml:space="preserve"> </w:t>
      </w:r>
      <w:r w:rsidRPr="00223BA3">
        <w:rPr>
          <w:rFonts w:cstheme="minorHAnsi"/>
          <w:b/>
          <w:bCs/>
          <w:sz w:val="24"/>
          <w:szCs w:val="24"/>
        </w:rPr>
        <w:t>Affiliations:</w:t>
      </w:r>
    </w:p>
    <w:p w14:paraId="74625039" w14:textId="568AF012" w:rsidR="00A040E1" w:rsidRPr="00223BA3" w:rsidRDefault="00A040E1" w:rsidP="00DE7836">
      <w:pPr>
        <w:pStyle w:val="ListParagraph"/>
        <w:numPr>
          <w:ilvl w:val="0"/>
          <w:numId w:val="1"/>
        </w:numPr>
        <w:spacing w:after="0" w:line="480" w:lineRule="auto"/>
        <w:rPr>
          <w:rFonts w:cstheme="minorHAnsi"/>
          <w:sz w:val="24"/>
          <w:szCs w:val="24"/>
        </w:rPr>
      </w:pPr>
      <w:r w:rsidRPr="00223BA3">
        <w:rPr>
          <w:rFonts w:cstheme="minorHAnsi"/>
          <w:sz w:val="24"/>
          <w:szCs w:val="24"/>
        </w:rPr>
        <w:t>Oxford University Hospitals NHS Foundation Trust</w:t>
      </w:r>
      <w:r w:rsidR="00076449" w:rsidRPr="00223BA3">
        <w:rPr>
          <w:rFonts w:cstheme="minorHAnsi"/>
          <w:sz w:val="24"/>
          <w:szCs w:val="24"/>
        </w:rPr>
        <w:t>, Oxford, UK</w:t>
      </w:r>
    </w:p>
    <w:p w14:paraId="57D47932" w14:textId="0C9DC01E" w:rsidR="00396E09" w:rsidRPr="00223BA3" w:rsidRDefault="00396E09" w:rsidP="00DE7836">
      <w:pPr>
        <w:pStyle w:val="ListParagraph"/>
        <w:spacing w:after="0" w:line="480" w:lineRule="auto"/>
        <w:rPr>
          <w:rFonts w:cstheme="minorHAnsi"/>
          <w:sz w:val="24"/>
          <w:szCs w:val="24"/>
        </w:rPr>
      </w:pPr>
      <w:r w:rsidRPr="00223BA3">
        <w:rPr>
          <w:rFonts w:cstheme="minorHAnsi"/>
          <w:sz w:val="24"/>
          <w:szCs w:val="24"/>
        </w:rPr>
        <w:t>Address: Oxford Children's Hospital, John Radcliffe Hospital, Headington, Oxford, OX3 9DU</w:t>
      </w:r>
    </w:p>
    <w:p w14:paraId="1C8FA8EF" w14:textId="3615AB63" w:rsidR="00076449" w:rsidRPr="00223BA3" w:rsidRDefault="00076449" w:rsidP="00DE7836">
      <w:pPr>
        <w:pStyle w:val="ListParagraph"/>
        <w:numPr>
          <w:ilvl w:val="0"/>
          <w:numId w:val="1"/>
        </w:numPr>
        <w:spacing w:after="0" w:line="480" w:lineRule="auto"/>
        <w:rPr>
          <w:rFonts w:cstheme="minorHAnsi"/>
          <w:sz w:val="24"/>
          <w:szCs w:val="24"/>
        </w:rPr>
      </w:pPr>
      <w:r w:rsidRPr="00223BA3">
        <w:rPr>
          <w:rFonts w:cstheme="minorHAnsi"/>
          <w:sz w:val="24"/>
          <w:szCs w:val="24"/>
        </w:rPr>
        <w:t>Department of Infectious Disease, Imperial College London, London, UK</w:t>
      </w:r>
    </w:p>
    <w:p w14:paraId="1E8A05B8" w14:textId="2D84B745" w:rsidR="00396E09" w:rsidRPr="00223BA3" w:rsidRDefault="00396E09" w:rsidP="00DE7836">
      <w:pPr>
        <w:pStyle w:val="ListParagraph"/>
        <w:spacing w:after="0" w:line="480" w:lineRule="auto"/>
        <w:rPr>
          <w:rFonts w:cstheme="minorHAnsi"/>
          <w:sz w:val="24"/>
          <w:szCs w:val="24"/>
        </w:rPr>
      </w:pPr>
      <w:r w:rsidRPr="00223BA3">
        <w:rPr>
          <w:rFonts w:cstheme="minorHAnsi"/>
          <w:sz w:val="24"/>
          <w:szCs w:val="24"/>
        </w:rPr>
        <w:t>Address: School of Medicine, St Mary's Hospital, Praed Street, London, W2 1NY</w:t>
      </w:r>
    </w:p>
    <w:p w14:paraId="124524A8" w14:textId="7F8091B0" w:rsidR="00A040E1" w:rsidRPr="00223BA3" w:rsidRDefault="00A040E1" w:rsidP="00DE7836">
      <w:pPr>
        <w:pStyle w:val="ListParagraph"/>
        <w:numPr>
          <w:ilvl w:val="0"/>
          <w:numId w:val="1"/>
        </w:numPr>
        <w:spacing w:after="0" w:line="480" w:lineRule="auto"/>
        <w:rPr>
          <w:rFonts w:cstheme="minorHAnsi"/>
          <w:sz w:val="24"/>
          <w:szCs w:val="24"/>
        </w:rPr>
      </w:pPr>
      <w:r w:rsidRPr="00223BA3">
        <w:rPr>
          <w:rFonts w:cstheme="minorHAnsi"/>
          <w:sz w:val="24"/>
          <w:szCs w:val="24"/>
        </w:rPr>
        <w:t>University Hospital Southampton NHS Foundation Trust</w:t>
      </w:r>
      <w:r w:rsidR="00076449" w:rsidRPr="00223BA3">
        <w:rPr>
          <w:rFonts w:cstheme="minorHAnsi"/>
          <w:sz w:val="24"/>
          <w:szCs w:val="24"/>
        </w:rPr>
        <w:t>, Southampton, UK</w:t>
      </w:r>
    </w:p>
    <w:p w14:paraId="2BA561EC" w14:textId="5A13F8C3" w:rsidR="00396E09" w:rsidRPr="00223BA3" w:rsidRDefault="00396E09" w:rsidP="00DE7836">
      <w:pPr>
        <w:pStyle w:val="ListParagraph"/>
        <w:spacing w:after="0" w:line="480" w:lineRule="auto"/>
        <w:rPr>
          <w:rFonts w:cstheme="minorHAnsi"/>
          <w:sz w:val="24"/>
          <w:szCs w:val="24"/>
        </w:rPr>
      </w:pPr>
      <w:r w:rsidRPr="00223BA3">
        <w:rPr>
          <w:rFonts w:cstheme="minorHAnsi"/>
          <w:sz w:val="24"/>
          <w:szCs w:val="24"/>
        </w:rPr>
        <w:t xml:space="preserve">Address: </w:t>
      </w:r>
      <w:proofErr w:type="spellStart"/>
      <w:r w:rsidRPr="00223BA3">
        <w:rPr>
          <w:rFonts w:cstheme="minorHAnsi"/>
          <w:sz w:val="24"/>
          <w:szCs w:val="24"/>
        </w:rPr>
        <w:t>Tremona</w:t>
      </w:r>
      <w:proofErr w:type="spellEnd"/>
      <w:r w:rsidRPr="00223BA3">
        <w:rPr>
          <w:rFonts w:cstheme="minorHAnsi"/>
          <w:sz w:val="24"/>
          <w:szCs w:val="24"/>
        </w:rPr>
        <w:t xml:space="preserve"> Road, Southampton, Hampshire, SO16 6YD</w:t>
      </w:r>
    </w:p>
    <w:p w14:paraId="124F7EC0" w14:textId="3381BC5D" w:rsidR="00D83331" w:rsidRPr="00223BA3" w:rsidRDefault="002A79B1" w:rsidP="00DE7836">
      <w:pPr>
        <w:pStyle w:val="ListParagraph"/>
        <w:numPr>
          <w:ilvl w:val="0"/>
          <w:numId w:val="1"/>
        </w:numPr>
        <w:spacing w:after="0" w:line="480" w:lineRule="auto"/>
        <w:rPr>
          <w:rFonts w:cstheme="minorHAnsi"/>
          <w:sz w:val="24"/>
          <w:szCs w:val="24"/>
        </w:rPr>
      </w:pPr>
      <w:r w:rsidRPr="00223BA3">
        <w:rPr>
          <w:rFonts w:cstheme="minorHAnsi"/>
          <w:sz w:val="24"/>
          <w:szCs w:val="24"/>
        </w:rPr>
        <w:t>Centre for Cancer Immunology, University of Southampton and Department of Paediatric Oncology, University Hospital Southampton NHS Foundation Trust</w:t>
      </w:r>
      <w:r w:rsidR="00076449" w:rsidRPr="00223BA3">
        <w:rPr>
          <w:rFonts w:cstheme="minorHAnsi"/>
          <w:sz w:val="24"/>
          <w:szCs w:val="24"/>
        </w:rPr>
        <w:t>, Southampton, UK</w:t>
      </w:r>
    </w:p>
    <w:p w14:paraId="0F04B34A" w14:textId="37CFD14A" w:rsidR="00396E09" w:rsidRPr="00223BA3" w:rsidRDefault="00396E09" w:rsidP="00DE7836">
      <w:pPr>
        <w:pStyle w:val="ListParagraph"/>
        <w:spacing w:after="0" w:line="480" w:lineRule="auto"/>
        <w:rPr>
          <w:rFonts w:cstheme="minorHAnsi"/>
          <w:sz w:val="24"/>
          <w:szCs w:val="24"/>
        </w:rPr>
      </w:pPr>
      <w:r w:rsidRPr="00223BA3">
        <w:rPr>
          <w:rFonts w:cstheme="minorHAnsi"/>
          <w:sz w:val="24"/>
          <w:szCs w:val="24"/>
        </w:rPr>
        <w:t>Address: University of Southampton, University Road, Southampton, SO17 1BJ</w:t>
      </w:r>
    </w:p>
    <w:p w14:paraId="38936DF2" w14:textId="3818DC28" w:rsidR="0001223A" w:rsidRPr="00223BA3" w:rsidRDefault="0001223A" w:rsidP="00DE7836">
      <w:pPr>
        <w:pStyle w:val="Header"/>
        <w:spacing w:line="480" w:lineRule="auto"/>
        <w:rPr>
          <w:rFonts w:cstheme="minorHAnsi"/>
          <w:sz w:val="24"/>
          <w:szCs w:val="24"/>
        </w:rPr>
      </w:pPr>
      <w:r w:rsidRPr="00223BA3">
        <w:rPr>
          <w:rFonts w:cstheme="minorHAnsi"/>
          <w:b/>
          <w:bCs/>
          <w:sz w:val="24"/>
          <w:szCs w:val="24"/>
        </w:rPr>
        <w:t xml:space="preserve">Corresponding author details: </w:t>
      </w:r>
      <w:r w:rsidRPr="00223BA3">
        <w:rPr>
          <w:rFonts w:cstheme="minorHAnsi"/>
          <w:sz w:val="24"/>
          <w:szCs w:val="24"/>
        </w:rPr>
        <w:t>Dr Samuel Channon-Wells; samuel.channon</w:t>
      </w:r>
      <w:r w:rsidR="00396E09" w:rsidRPr="00223BA3">
        <w:rPr>
          <w:rFonts w:cstheme="minorHAnsi"/>
          <w:sz w:val="24"/>
          <w:szCs w:val="24"/>
        </w:rPr>
        <w:t>18</w:t>
      </w:r>
      <w:r w:rsidRPr="00223BA3">
        <w:rPr>
          <w:rFonts w:cstheme="minorHAnsi"/>
          <w:sz w:val="24"/>
          <w:szCs w:val="24"/>
        </w:rPr>
        <w:t>@</w:t>
      </w:r>
      <w:r w:rsidR="00396E09" w:rsidRPr="00223BA3">
        <w:rPr>
          <w:rFonts w:cstheme="minorHAnsi"/>
          <w:sz w:val="24"/>
          <w:szCs w:val="24"/>
        </w:rPr>
        <w:t>imperial.ac.uk</w:t>
      </w:r>
      <w:r w:rsidRPr="00223BA3">
        <w:rPr>
          <w:rFonts w:cstheme="minorHAnsi"/>
          <w:sz w:val="24"/>
          <w:szCs w:val="24"/>
        </w:rPr>
        <w:t>; 020 7594 3990</w:t>
      </w:r>
    </w:p>
    <w:p w14:paraId="02489CB6" w14:textId="77777777" w:rsidR="004A4375" w:rsidRDefault="00396E09" w:rsidP="00DE7836">
      <w:pPr>
        <w:pStyle w:val="Header"/>
        <w:spacing w:line="480" w:lineRule="auto"/>
        <w:rPr>
          <w:rFonts w:cstheme="minorHAnsi"/>
          <w:sz w:val="24"/>
          <w:szCs w:val="24"/>
        </w:rPr>
      </w:pPr>
      <w:r w:rsidRPr="00223BA3">
        <w:rPr>
          <w:rFonts w:cstheme="minorHAnsi"/>
          <w:b/>
          <w:bCs/>
          <w:sz w:val="24"/>
          <w:szCs w:val="24"/>
        </w:rPr>
        <w:t>Running</w:t>
      </w:r>
      <w:r w:rsidR="0001223A" w:rsidRPr="00223BA3">
        <w:rPr>
          <w:rFonts w:cstheme="minorHAnsi"/>
          <w:b/>
          <w:bCs/>
          <w:sz w:val="24"/>
          <w:szCs w:val="24"/>
        </w:rPr>
        <w:t xml:space="preserve"> title:</w:t>
      </w:r>
      <w:r w:rsidR="0001223A" w:rsidRPr="00223BA3">
        <w:rPr>
          <w:rFonts w:cstheme="minorHAnsi"/>
          <w:sz w:val="24"/>
          <w:szCs w:val="24"/>
        </w:rPr>
        <w:t xml:space="preserve"> Benchmarking antibiotics in </w:t>
      </w:r>
      <w:r w:rsidRPr="00223BA3">
        <w:rPr>
          <w:rFonts w:cstheme="minorHAnsi"/>
          <w:sz w:val="24"/>
          <w:szCs w:val="24"/>
        </w:rPr>
        <w:t xml:space="preserve">paediatric </w:t>
      </w:r>
      <w:r w:rsidR="0001223A" w:rsidRPr="00223BA3">
        <w:rPr>
          <w:rFonts w:cstheme="minorHAnsi"/>
          <w:sz w:val="24"/>
          <w:szCs w:val="24"/>
        </w:rPr>
        <w:t>haematology-oncology</w:t>
      </w:r>
    </w:p>
    <w:p w14:paraId="370C0E0F" w14:textId="77777777" w:rsidR="004A4375" w:rsidRDefault="004A4375">
      <w:pPr>
        <w:rPr>
          <w:rFonts w:cstheme="minorHAnsi"/>
          <w:sz w:val="24"/>
          <w:szCs w:val="24"/>
        </w:rPr>
      </w:pPr>
      <w:r>
        <w:rPr>
          <w:rFonts w:cstheme="minorHAnsi"/>
          <w:sz w:val="24"/>
          <w:szCs w:val="24"/>
        </w:rPr>
        <w:br w:type="page"/>
      </w:r>
    </w:p>
    <w:p w14:paraId="11980BED" w14:textId="571761B4" w:rsidR="004A4375" w:rsidRPr="004A4375" w:rsidRDefault="004A4375" w:rsidP="00DE7836">
      <w:pPr>
        <w:pStyle w:val="Header"/>
        <w:spacing w:line="480" w:lineRule="auto"/>
        <w:rPr>
          <w:rFonts w:cstheme="minorHAnsi"/>
          <w:b/>
          <w:bCs/>
          <w:sz w:val="24"/>
          <w:szCs w:val="24"/>
        </w:rPr>
      </w:pPr>
      <w:r w:rsidRPr="004A4375">
        <w:rPr>
          <w:rFonts w:cstheme="minorHAnsi"/>
          <w:b/>
          <w:bCs/>
          <w:sz w:val="24"/>
          <w:szCs w:val="24"/>
        </w:rPr>
        <w:lastRenderedPageBreak/>
        <w:t>BRIEF REPORT GUIDANCE:</w:t>
      </w:r>
    </w:p>
    <w:p w14:paraId="6627FB93" w14:textId="4918078E" w:rsidR="00EC46A8" w:rsidRDefault="00EC46A8" w:rsidP="004A4375">
      <w:pPr>
        <w:pStyle w:val="Header"/>
        <w:numPr>
          <w:ilvl w:val="0"/>
          <w:numId w:val="6"/>
        </w:numPr>
        <w:spacing w:line="480" w:lineRule="auto"/>
        <w:rPr>
          <w:rFonts w:cstheme="minorHAnsi"/>
          <w:sz w:val="24"/>
          <w:szCs w:val="24"/>
        </w:rPr>
      </w:pPr>
      <w:r w:rsidRPr="004A4375">
        <w:rPr>
          <w:rFonts w:cstheme="minorHAnsi"/>
          <w:sz w:val="24"/>
          <w:szCs w:val="24"/>
        </w:rPr>
        <w:t>1500 words of main text</w:t>
      </w:r>
      <w:r w:rsidR="00773562">
        <w:rPr>
          <w:rFonts w:cstheme="minorHAnsi"/>
          <w:sz w:val="24"/>
          <w:szCs w:val="24"/>
        </w:rPr>
        <w:t xml:space="preserve"> (</w:t>
      </w:r>
      <w:r w:rsidR="00773562" w:rsidRPr="00773562">
        <w:rPr>
          <w:rFonts w:cstheme="minorHAnsi"/>
          <w:color w:val="FF0000"/>
          <w:sz w:val="24"/>
          <w:szCs w:val="24"/>
        </w:rPr>
        <w:t>Current Word count: 149</w:t>
      </w:r>
      <w:r w:rsidR="0083186F">
        <w:rPr>
          <w:rFonts w:cstheme="minorHAnsi"/>
          <w:color w:val="FF0000"/>
          <w:sz w:val="24"/>
          <w:szCs w:val="24"/>
        </w:rPr>
        <w:t>5</w:t>
      </w:r>
      <w:r w:rsidR="00773562">
        <w:rPr>
          <w:rFonts w:cstheme="minorHAnsi"/>
          <w:sz w:val="24"/>
          <w:szCs w:val="24"/>
        </w:rPr>
        <w:t>)</w:t>
      </w:r>
    </w:p>
    <w:p w14:paraId="3C2AB852" w14:textId="046D0A12" w:rsidR="004A4375" w:rsidRDefault="004A4375" w:rsidP="004A4375">
      <w:pPr>
        <w:pStyle w:val="Header"/>
        <w:numPr>
          <w:ilvl w:val="0"/>
          <w:numId w:val="6"/>
        </w:numPr>
        <w:spacing w:line="480" w:lineRule="auto"/>
        <w:rPr>
          <w:rFonts w:cstheme="minorHAnsi"/>
          <w:sz w:val="24"/>
          <w:szCs w:val="24"/>
        </w:rPr>
      </w:pPr>
      <w:r w:rsidRPr="004A4375">
        <w:rPr>
          <w:rFonts w:cstheme="minorHAnsi"/>
          <w:sz w:val="24"/>
          <w:szCs w:val="24"/>
        </w:rPr>
        <w:t>two figures/tables</w:t>
      </w:r>
    </w:p>
    <w:p w14:paraId="01060CC5" w14:textId="77777777" w:rsidR="004A4375" w:rsidRDefault="004A4375" w:rsidP="004A4375">
      <w:pPr>
        <w:pStyle w:val="Header"/>
        <w:numPr>
          <w:ilvl w:val="0"/>
          <w:numId w:val="6"/>
        </w:numPr>
        <w:spacing w:line="480" w:lineRule="auto"/>
        <w:rPr>
          <w:rFonts w:cstheme="minorHAnsi"/>
          <w:sz w:val="24"/>
          <w:szCs w:val="24"/>
        </w:rPr>
      </w:pPr>
      <w:r w:rsidRPr="004A4375">
        <w:rPr>
          <w:rFonts w:cstheme="minorHAnsi"/>
          <w:sz w:val="24"/>
          <w:szCs w:val="24"/>
        </w:rPr>
        <w:t>maximum of 20 references</w:t>
      </w:r>
    </w:p>
    <w:p w14:paraId="456809E3" w14:textId="5BB06027" w:rsidR="006A6A2B" w:rsidRPr="00223BA3" w:rsidRDefault="006A6A2B" w:rsidP="004A4375">
      <w:pPr>
        <w:pStyle w:val="Header"/>
        <w:numPr>
          <w:ilvl w:val="0"/>
          <w:numId w:val="6"/>
        </w:numPr>
        <w:spacing w:line="480" w:lineRule="auto"/>
        <w:rPr>
          <w:rFonts w:cstheme="minorHAnsi"/>
          <w:sz w:val="24"/>
          <w:szCs w:val="24"/>
        </w:rPr>
      </w:pPr>
      <w:r w:rsidRPr="00223BA3">
        <w:rPr>
          <w:rFonts w:cstheme="minorHAnsi"/>
          <w:sz w:val="24"/>
          <w:szCs w:val="24"/>
        </w:rPr>
        <w:br w:type="page"/>
      </w:r>
    </w:p>
    <w:p w14:paraId="70F3DC88" w14:textId="77777777" w:rsidR="007320C8" w:rsidRPr="00223BA3" w:rsidRDefault="007320C8" w:rsidP="00DE7836">
      <w:pPr>
        <w:spacing w:after="0" w:line="480" w:lineRule="auto"/>
        <w:rPr>
          <w:rFonts w:cstheme="minorHAnsi"/>
          <w:b/>
          <w:bCs/>
          <w:sz w:val="24"/>
          <w:szCs w:val="24"/>
        </w:rPr>
      </w:pPr>
      <w:r w:rsidRPr="00223BA3">
        <w:rPr>
          <w:rFonts w:cstheme="minorHAnsi"/>
          <w:b/>
          <w:bCs/>
          <w:sz w:val="24"/>
          <w:szCs w:val="24"/>
        </w:rPr>
        <w:lastRenderedPageBreak/>
        <w:t>ABSTRACT</w:t>
      </w:r>
    </w:p>
    <w:p w14:paraId="56602EE3" w14:textId="2CA194FC" w:rsidR="007320C8" w:rsidRPr="00223BA3" w:rsidRDefault="007320C8" w:rsidP="00DE7836">
      <w:pPr>
        <w:spacing w:after="0" w:line="480" w:lineRule="auto"/>
        <w:rPr>
          <w:rFonts w:cstheme="minorHAnsi"/>
          <w:b/>
          <w:bCs/>
          <w:sz w:val="24"/>
          <w:szCs w:val="24"/>
        </w:rPr>
      </w:pPr>
      <w:r w:rsidRPr="00223BA3">
        <w:rPr>
          <w:rFonts w:cstheme="minorHAnsi"/>
          <w:b/>
          <w:bCs/>
          <w:sz w:val="24"/>
          <w:szCs w:val="24"/>
        </w:rPr>
        <w:t>Background &amp; Objectives</w:t>
      </w:r>
    </w:p>
    <w:p w14:paraId="42F3A071" w14:textId="1D25B787" w:rsidR="007320C8" w:rsidRPr="00223BA3" w:rsidRDefault="007320C8" w:rsidP="00DE7836">
      <w:pPr>
        <w:spacing w:after="0" w:line="480" w:lineRule="auto"/>
        <w:rPr>
          <w:rFonts w:cstheme="minorHAnsi"/>
          <w:sz w:val="24"/>
          <w:szCs w:val="24"/>
        </w:rPr>
      </w:pPr>
      <w:r w:rsidRPr="00223BA3">
        <w:rPr>
          <w:rFonts w:cstheme="minorHAnsi"/>
          <w:sz w:val="24"/>
          <w:szCs w:val="24"/>
        </w:rPr>
        <w:t xml:space="preserve">High quality systematic data on antimicrobial use in UK inpatient paediatric Haematology-Oncology services is lacking, despite this population being at high risk from antimicrobial exposure and resistance. We conducted a </w:t>
      </w:r>
      <w:r w:rsidR="00E92B11">
        <w:rPr>
          <w:rFonts w:cstheme="minorHAnsi"/>
          <w:sz w:val="24"/>
          <w:szCs w:val="24"/>
        </w:rPr>
        <w:t>retrospective</w:t>
      </w:r>
      <w:r w:rsidRPr="00223BA3">
        <w:rPr>
          <w:rFonts w:cstheme="minorHAnsi"/>
          <w:sz w:val="24"/>
          <w:szCs w:val="24"/>
        </w:rPr>
        <w:t xml:space="preserve"> study to demonstrate how routinely collected electronic prescribing data can address this issue.</w:t>
      </w:r>
    </w:p>
    <w:p w14:paraId="175EF10F" w14:textId="092608A7" w:rsidR="007320C8" w:rsidRPr="00223BA3" w:rsidRDefault="007320C8" w:rsidP="00DE7836">
      <w:pPr>
        <w:spacing w:after="0" w:line="480" w:lineRule="auto"/>
        <w:rPr>
          <w:rFonts w:cstheme="minorHAnsi"/>
          <w:b/>
          <w:bCs/>
          <w:sz w:val="24"/>
          <w:szCs w:val="24"/>
        </w:rPr>
      </w:pPr>
      <w:r w:rsidRPr="00223BA3">
        <w:rPr>
          <w:rFonts w:cstheme="minorHAnsi"/>
          <w:b/>
          <w:bCs/>
          <w:sz w:val="24"/>
          <w:szCs w:val="24"/>
        </w:rPr>
        <w:t>Patients &amp; Methods</w:t>
      </w:r>
    </w:p>
    <w:p w14:paraId="30529668" w14:textId="55502156" w:rsidR="007320C8" w:rsidRPr="00223BA3" w:rsidRDefault="007320C8" w:rsidP="00DE7836">
      <w:pPr>
        <w:spacing w:after="0" w:line="480" w:lineRule="auto"/>
        <w:rPr>
          <w:rFonts w:cstheme="minorHAnsi"/>
          <w:b/>
          <w:bCs/>
          <w:sz w:val="24"/>
          <w:szCs w:val="24"/>
        </w:rPr>
      </w:pPr>
      <w:r w:rsidRPr="00223BA3">
        <w:rPr>
          <w:rFonts w:cstheme="minorHAnsi"/>
          <w:sz w:val="24"/>
          <w:szCs w:val="24"/>
        </w:rPr>
        <w:t xml:space="preserve">This </w:t>
      </w:r>
      <w:r w:rsidR="00E92B11">
        <w:rPr>
          <w:rFonts w:cstheme="minorHAnsi"/>
          <w:sz w:val="24"/>
          <w:szCs w:val="24"/>
        </w:rPr>
        <w:t>retrospective</w:t>
      </w:r>
      <w:r w:rsidR="00E92B11" w:rsidRPr="00223BA3">
        <w:rPr>
          <w:rFonts w:cstheme="minorHAnsi"/>
          <w:sz w:val="24"/>
          <w:szCs w:val="24"/>
        </w:rPr>
        <w:t xml:space="preserve"> </w:t>
      </w:r>
      <w:r w:rsidRPr="00BC1154">
        <w:rPr>
          <w:rFonts w:cstheme="minorHAnsi"/>
          <w:color w:val="000000" w:themeColor="text1"/>
          <w:sz w:val="24"/>
          <w:szCs w:val="24"/>
        </w:rPr>
        <w:t xml:space="preserve">study </w:t>
      </w:r>
      <w:r w:rsidR="009753AF" w:rsidRPr="00BC1154">
        <w:rPr>
          <w:rFonts w:cstheme="minorHAnsi"/>
          <w:color w:val="000000" w:themeColor="text1"/>
          <w:sz w:val="24"/>
          <w:szCs w:val="24"/>
        </w:rPr>
        <w:t>describes</w:t>
      </w:r>
      <w:r w:rsidRPr="00BC1154">
        <w:rPr>
          <w:rFonts w:cstheme="minorHAnsi"/>
          <w:color w:val="000000" w:themeColor="text1"/>
          <w:sz w:val="24"/>
          <w:szCs w:val="24"/>
        </w:rPr>
        <w:t xml:space="preserve"> </w:t>
      </w:r>
      <w:r w:rsidR="00915D70" w:rsidRPr="00BC1154">
        <w:rPr>
          <w:rFonts w:cstheme="minorHAnsi"/>
          <w:color w:val="000000" w:themeColor="text1"/>
          <w:sz w:val="24"/>
          <w:szCs w:val="24"/>
        </w:rPr>
        <w:t xml:space="preserve">and compares </w:t>
      </w:r>
      <w:r w:rsidRPr="00BC1154">
        <w:rPr>
          <w:rFonts w:cstheme="minorHAnsi"/>
          <w:color w:val="000000" w:themeColor="text1"/>
          <w:sz w:val="24"/>
          <w:szCs w:val="24"/>
        </w:rPr>
        <w:t xml:space="preserve">intravenous antibiotic consumption between two UK paediatric Haematology-Oncology inpatient </w:t>
      </w:r>
      <w:r w:rsidRPr="00223BA3">
        <w:rPr>
          <w:rFonts w:cstheme="minorHAnsi"/>
          <w:sz w:val="24"/>
          <w:szCs w:val="24"/>
        </w:rPr>
        <w:t>units, between 2018-2022. Both sites provide similar services and receive proactive antimicrobial stewardship input.</w:t>
      </w:r>
      <w:r w:rsidRPr="00223BA3">
        <w:rPr>
          <w:rFonts w:cstheme="minorHAnsi"/>
          <w:b/>
          <w:bCs/>
          <w:sz w:val="24"/>
          <w:szCs w:val="24"/>
        </w:rPr>
        <w:t xml:space="preserve"> </w:t>
      </w:r>
      <w:r w:rsidRPr="00223BA3">
        <w:rPr>
          <w:rFonts w:cstheme="minorHAnsi"/>
          <w:sz w:val="24"/>
          <w:szCs w:val="24"/>
        </w:rPr>
        <w:t>Data were extracted from each sites’ antimicrobial surveillance system, which report monthly Days</w:t>
      </w:r>
      <w:r w:rsidR="00215311">
        <w:rPr>
          <w:rFonts w:cstheme="minorHAnsi"/>
          <w:sz w:val="24"/>
          <w:szCs w:val="24"/>
        </w:rPr>
        <w:t xml:space="preserve"> </w:t>
      </w:r>
      <w:r w:rsidRPr="00223BA3">
        <w:rPr>
          <w:rFonts w:cstheme="minorHAnsi"/>
          <w:sz w:val="24"/>
          <w:szCs w:val="24"/>
        </w:rPr>
        <w:t>of</w:t>
      </w:r>
      <w:r w:rsidR="00215311">
        <w:rPr>
          <w:rFonts w:cstheme="minorHAnsi"/>
          <w:sz w:val="24"/>
          <w:szCs w:val="24"/>
        </w:rPr>
        <w:t xml:space="preserve"> </w:t>
      </w:r>
      <w:r w:rsidRPr="00223BA3">
        <w:rPr>
          <w:rFonts w:cstheme="minorHAnsi"/>
          <w:sz w:val="24"/>
          <w:szCs w:val="24"/>
        </w:rPr>
        <w:t>Therapy (DOT) per</w:t>
      </w:r>
      <w:r w:rsidR="004F495C">
        <w:rPr>
          <w:rFonts w:cstheme="minorHAnsi"/>
          <w:sz w:val="24"/>
          <w:szCs w:val="24"/>
        </w:rPr>
        <w:t>-</w:t>
      </w:r>
      <w:r w:rsidRPr="00223BA3">
        <w:rPr>
          <w:rFonts w:cstheme="minorHAnsi"/>
          <w:sz w:val="24"/>
          <w:szCs w:val="24"/>
        </w:rPr>
        <w:t>100-patient-days (PD). Consumption was reported for specific and total antibiotics. Trends were modelled using linear regression and autoregressive moving average models.</w:t>
      </w:r>
    </w:p>
    <w:p w14:paraId="6B60D1F8" w14:textId="77777777" w:rsidR="007320C8" w:rsidRPr="00223BA3" w:rsidRDefault="007320C8" w:rsidP="00DE7836">
      <w:pPr>
        <w:spacing w:after="0" w:line="480" w:lineRule="auto"/>
        <w:rPr>
          <w:rFonts w:cstheme="minorHAnsi"/>
          <w:b/>
          <w:bCs/>
          <w:sz w:val="24"/>
          <w:szCs w:val="24"/>
        </w:rPr>
      </w:pPr>
      <w:r w:rsidRPr="00223BA3">
        <w:rPr>
          <w:rFonts w:cstheme="minorHAnsi"/>
          <w:b/>
          <w:bCs/>
          <w:sz w:val="24"/>
          <w:szCs w:val="24"/>
        </w:rPr>
        <w:t>Results</w:t>
      </w:r>
    </w:p>
    <w:p w14:paraId="7C640E27" w14:textId="30AD11AA" w:rsidR="007320C8" w:rsidRPr="00223BA3" w:rsidRDefault="007320C8" w:rsidP="00DE7836">
      <w:pPr>
        <w:spacing w:after="0" w:line="480" w:lineRule="auto"/>
        <w:rPr>
          <w:rFonts w:cstheme="minorHAnsi"/>
          <w:sz w:val="24"/>
          <w:szCs w:val="24"/>
        </w:rPr>
      </w:pPr>
      <w:r w:rsidRPr="00223BA3">
        <w:rPr>
          <w:rFonts w:cstheme="minorHAnsi"/>
          <w:sz w:val="24"/>
          <w:szCs w:val="24"/>
        </w:rPr>
        <w:t>Total intravenous antibiotic consumption at each site was similar. Median monthly DOT</w:t>
      </w:r>
      <w:r w:rsidR="00F6107E">
        <w:rPr>
          <w:rFonts w:cstheme="minorHAnsi"/>
          <w:sz w:val="24"/>
          <w:szCs w:val="24"/>
        </w:rPr>
        <w:t xml:space="preserve"> </w:t>
      </w:r>
      <w:r w:rsidRPr="00223BA3">
        <w:rPr>
          <w:rFonts w:cstheme="minorHAnsi"/>
          <w:sz w:val="24"/>
          <w:szCs w:val="24"/>
        </w:rPr>
        <w:t xml:space="preserve">per-100-PD were 25.9 (interquartile range: 22.1-34.0) and 29.4 (24.2-34.9). Total antibiotic use declined at both sites, with estimated annual yearly reduction of 3.52 </w:t>
      </w:r>
      <w:r w:rsidR="00785454" w:rsidRPr="00223BA3">
        <w:rPr>
          <w:rFonts w:cstheme="minorHAnsi"/>
          <w:sz w:val="24"/>
          <w:szCs w:val="24"/>
        </w:rPr>
        <w:t>DOT</w:t>
      </w:r>
      <w:r w:rsidR="00785454">
        <w:rPr>
          <w:rFonts w:cstheme="minorHAnsi"/>
          <w:sz w:val="24"/>
          <w:szCs w:val="24"/>
        </w:rPr>
        <w:t xml:space="preserve"> </w:t>
      </w:r>
      <w:r w:rsidR="00785454" w:rsidRPr="00223BA3">
        <w:rPr>
          <w:rFonts w:cstheme="minorHAnsi"/>
          <w:sz w:val="24"/>
          <w:szCs w:val="24"/>
        </w:rPr>
        <w:t xml:space="preserve">per-100-PD </w:t>
      </w:r>
      <w:r w:rsidRPr="00223BA3">
        <w:rPr>
          <w:rFonts w:cstheme="minorHAnsi"/>
          <w:sz w:val="24"/>
          <w:szCs w:val="24"/>
        </w:rPr>
        <w:t>(95% confidence interval: 0.46-6.59) and 2.57 (1.30-3.85). Absolute consumption was similar for Carbapenems, Piperacillin/tazobactam and Aminoglycosides, whilst Ceftriaxone and Teicoplanin demonstrated approximately threefold relative differences in median monthly consumption. Meropenem, Piperacillin/tazobactam, Teicoplanin, Vancomycin and Gentamicin all demonstrated statistically significant reduction</w:t>
      </w:r>
      <w:r w:rsidR="00BC1154">
        <w:rPr>
          <w:rFonts w:cstheme="minorHAnsi"/>
          <w:sz w:val="24"/>
          <w:szCs w:val="24"/>
        </w:rPr>
        <w:t xml:space="preserve">s </w:t>
      </w:r>
      <w:r w:rsidRPr="00223BA3">
        <w:rPr>
          <w:rFonts w:cstheme="minorHAnsi"/>
          <w:sz w:val="24"/>
          <w:szCs w:val="24"/>
        </w:rPr>
        <w:t xml:space="preserve">in use over time at either </w:t>
      </w:r>
      <w:r w:rsidRPr="00223BA3">
        <w:rPr>
          <w:rFonts w:cstheme="minorHAnsi"/>
          <w:sz w:val="24"/>
          <w:szCs w:val="24"/>
        </w:rPr>
        <w:lastRenderedPageBreak/>
        <w:t>one or both sites, although this was most marked for Piperacillin/tazobactam and Vancomycin.</w:t>
      </w:r>
    </w:p>
    <w:p w14:paraId="257FE023" w14:textId="132694E2" w:rsidR="007320C8" w:rsidRPr="00223BA3" w:rsidRDefault="007320C8" w:rsidP="00DE7836">
      <w:pPr>
        <w:spacing w:after="0" w:line="480" w:lineRule="auto"/>
        <w:rPr>
          <w:rFonts w:cstheme="minorHAnsi"/>
          <w:b/>
          <w:bCs/>
          <w:sz w:val="24"/>
          <w:szCs w:val="24"/>
        </w:rPr>
      </w:pPr>
      <w:r w:rsidRPr="00223BA3">
        <w:rPr>
          <w:rFonts w:cstheme="minorHAnsi"/>
          <w:b/>
          <w:bCs/>
          <w:sz w:val="24"/>
          <w:szCs w:val="24"/>
        </w:rPr>
        <w:t>Conclusions</w:t>
      </w:r>
    </w:p>
    <w:p w14:paraId="786C4E77" w14:textId="77777777" w:rsidR="0008769D" w:rsidRDefault="007320C8" w:rsidP="00DE7836">
      <w:pPr>
        <w:spacing w:after="0" w:line="480" w:lineRule="auto"/>
        <w:rPr>
          <w:rFonts w:cstheme="minorHAnsi"/>
          <w:sz w:val="24"/>
          <w:szCs w:val="24"/>
        </w:rPr>
      </w:pPr>
      <w:r w:rsidRPr="00223BA3">
        <w:rPr>
          <w:rFonts w:cstheme="minorHAnsi"/>
          <w:sz w:val="24"/>
          <w:szCs w:val="24"/>
        </w:rPr>
        <w:t>Routinely collected electronic prescribing data can aid benchmarking antibiotic use in paediatric Haematology-Oncology inpatients, highlighting areas to target stewardship strategies, and evaluating their impact. This approach should be rolled out nationally, and to other high-risk group</w:t>
      </w:r>
      <w:r w:rsidRPr="00223BA3">
        <w:rPr>
          <w:rFonts w:cstheme="minorHAnsi"/>
          <w:sz w:val="24"/>
          <w:szCs w:val="24"/>
        </w:rPr>
        <w:t>s</w:t>
      </w:r>
      <w:r w:rsidR="00011059">
        <w:rPr>
          <w:rFonts w:cstheme="minorHAnsi"/>
          <w:sz w:val="24"/>
          <w:szCs w:val="24"/>
        </w:rPr>
        <w:t>.</w:t>
      </w:r>
    </w:p>
    <w:p w14:paraId="4E5B29D6" w14:textId="2730063E" w:rsidR="007320C8" w:rsidRPr="00223BA3" w:rsidRDefault="007320C8" w:rsidP="00DE7836">
      <w:pPr>
        <w:spacing w:after="0" w:line="480" w:lineRule="auto"/>
        <w:rPr>
          <w:rFonts w:cstheme="minorHAnsi"/>
          <w:sz w:val="24"/>
          <w:szCs w:val="24"/>
        </w:rPr>
      </w:pPr>
      <w:r w:rsidRPr="00223BA3">
        <w:rPr>
          <w:rFonts w:cstheme="minorHAnsi"/>
          <w:sz w:val="24"/>
          <w:szCs w:val="24"/>
        </w:rPr>
        <w:br w:type="page"/>
      </w:r>
    </w:p>
    <w:p w14:paraId="63A039DC" w14:textId="0C8CEC10" w:rsidR="007320C8" w:rsidRPr="00223BA3" w:rsidRDefault="007320C8" w:rsidP="00DE7836">
      <w:pPr>
        <w:spacing w:after="0" w:line="480" w:lineRule="auto"/>
        <w:rPr>
          <w:rFonts w:cstheme="minorHAnsi"/>
          <w:b/>
          <w:bCs/>
          <w:sz w:val="24"/>
          <w:szCs w:val="24"/>
        </w:rPr>
      </w:pPr>
      <w:r w:rsidRPr="00223BA3">
        <w:rPr>
          <w:rFonts w:cstheme="minorHAnsi"/>
          <w:b/>
          <w:bCs/>
          <w:sz w:val="24"/>
          <w:szCs w:val="24"/>
        </w:rPr>
        <w:lastRenderedPageBreak/>
        <w:t>INTRODUCTION</w:t>
      </w:r>
      <w:r w:rsidR="00651204">
        <w:rPr>
          <w:rFonts w:cstheme="minorHAnsi"/>
          <w:b/>
          <w:bCs/>
          <w:sz w:val="24"/>
          <w:szCs w:val="24"/>
        </w:rPr>
        <w:t xml:space="preserve"> </w:t>
      </w:r>
      <w:r w:rsidR="00E80D55">
        <w:rPr>
          <w:rFonts w:cstheme="minorHAnsi"/>
          <w:b/>
          <w:bCs/>
          <w:sz w:val="24"/>
          <w:szCs w:val="24"/>
        </w:rPr>
        <w:t>[</w:t>
      </w:r>
      <w:r w:rsidR="00651204" w:rsidRPr="00AE26B1">
        <w:rPr>
          <w:rFonts w:cstheme="minorHAnsi"/>
          <w:b/>
          <w:bCs/>
          <w:color w:val="FF0000"/>
          <w:sz w:val="24"/>
          <w:szCs w:val="24"/>
        </w:rPr>
        <w:t>25</w:t>
      </w:r>
      <w:r w:rsidR="007C183F" w:rsidRPr="00AE26B1">
        <w:rPr>
          <w:rFonts w:cstheme="minorHAnsi"/>
          <w:b/>
          <w:bCs/>
          <w:color w:val="FF0000"/>
          <w:sz w:val="24"/>
          <w:szCs w:val="24"/>
        </w:rPr>
        <w:t>9</w:t>
      </w:r>
      <w:r w:rsidR="00E80D55">
        <w:rPr>
          <w:rFonts w:cstheme="minorHAnsi"/>
          <w:b/>
          <w:bCs/>
          <w:sz w:val="24"/>
          <w:szCs w:val="24"/>
        </w:rPr>
        <w:t>]</w:t>
      </w:r>
    </w:p>
    <w:p w14:paraId="1DB0FB1A" w14:textId="236400DF" w:rsidR="00582627" w:rsidRDefault="00582627" w:rsidP="00582627">
      <w:pPr>
        <w:spacing w:after="0" w:line="480" w:lineRule="auto"/>
        <w:rPr>
          <w:rFonts w:cstheme="minorHAnsi"/>
          <w:sz w:val="24"/>
          <w:szCs w:val="24"/>
          <w:vertAlign w:val="superscript"/>
        </w:rPr>
      </w:pPr>
      <w:r w:rsidRPr="00223BA3">
        <w:rPr>
          <w:rFonts w:cstheme="minorHAnsi"/>
          <w:sz w:val="24"/>
          <w:szCs w:val="24"/>
        </w:rPr>
        <w:t xml:space="preserve">Antimicrobial consumption </w:t>
      </w:r>
      <w:r>
        <w:rPr>
          <w:rFonts w:cstheme="minorHAnsi"/>
          <w:sz w:val="24"/>
          <w:szCs w:val="24"/>
        </w:rPr>
        <w:t xml:space="preserve">(AC) </w:t>
      </w:r>
      <w:r w:rsidRPr="00223BA3">
        <w:rPr>
          <w:rFonts w:cstheme="minorHAnsi"/>
          <w:sz w:val="24"/>
          <w:szCs w:val="24"/>
        </w:rPr>
        <w:t>in children presenting or admitted to hospital is high, both</w:t>
      </w:r>
      <w:r>
        <w:rPr>
          <w:rFonts w:cstheme="minorHAnsi"/>
          <w:sz w:val="24"/>
          <w:szCs w:val="24"/>
        </w:rPr>
        <w:t xml:space="preserve"> </w:t>
      </w:r>
      <w:r w:rsidRPr="00223BA3">
        <w:rPr>
          <w:rFonts w:cstheme="minorHAnsi"/>
          <w:sz w:val="24"/>
          <w:szCs w:val="24"/>
        </w:rPr>
        <w:t>in the UK and globally, and contributes to antimicrobial resistance (AMR).</w:t>
      </w:r>
      <w:r w:rsidR="00043C8F" w:rsidRPr="00043C8F">
        <w:rPr>
          <w:vertAlign w:val="superscript"/>
        </w:rPr>
        <w:t>1</w:t>
      </w:r>
      <w:r w:rsidRPr="00223BA3">
        <w:rPr>
          <w:rFonts w:cstheme="minorHAnsi"/>
          <w:sz w:val="24"/>
          <w:szCs w:val="24"/>
        </w:rPr>
        <w:t xml:space="preserve"> High </w:t>
      </w:r>
      <w:r>
        <w:rPr>
          <w:rFonts w:cstheme="minorHAnsi"/>
          <w:sz w:val="24"/>
          <w:szCs w:val="24"/>
        </w:rPr>
        <w:t xml:space="preserve">AC </w:t>
      </w:r>
      <w:r w:rsidRPr="00223BA3">
        <w:rPr>
          <w:rFonts w:cstheme="minorHAnsi"/>
          <w:sz w:val="24"/>
          <w:szCs w:val="24"/>
        </w:rPr>
        <w:t xml:space="preserve">and AMR is a particular concern in paediatric </w:t>
      </w:r>
      <w:r w:rsidR="00242645">
        <w:rPr>
          <w:rFonts w:cstheme="minorHAnsi"/>
          <w:sz w:val="24"/>
          <w:szCs w:val="24"/>
        </w:rPr>
        <w:t>H</w:t>
      </w:r>
      <w:r w:rsidRPr="00223BA3">
        <w:rPr>
          <w:rFonts w:cstheme="minorHAnsi"/>
          <w:sz w:val="24"/>
          <w:szCs w:val="24"/>
        </w:rPr>
        <w:t xml:space="preserve">aematology and </w:t>
      </w:r>
      <w:r w:rsidR="00242645">
        <w:rPr>
          <w:rFonts w:cstheme="minorHAnsi"/>
          <w:sz w:val="24"/>
          <w:szCs w:val="24"/>
        </w:rPr>
        <w:t>O</w:t>
      </w:r>
      <w:r w:rsidRPr="00223BA3">
        <w:rPr>
          <w:rFonts w:cstheme="minorHAnsi"/>
          <w:sz w:val="24"/>
          <w:szCs w:val="24"/>
        </w:rPr>
        <w:t>ncology specialties</w:t>
      </w:r>
      <w:r>
        <w:rPr>
          <w:rFonts w:cstheme="minorHAnsi"/>
          <w:sz w:val="24"/>
          <w:szCs w:val="24"/>
        </w:rPr>
        <w:t>.</w:t>
      </w:r>
      <w:r w:rsidR="00043C8F" w:rsidRPr="00043C8F">
        <w:rPr>
          <w:vertAlign w:val="superscript"/>
        </w:rPr>
        <w:t>2</w:t>
      </w:r>
      <w:r w:rsidRPr="00223BA3">
        <w:rPr>
          <w:rFonts w:cstheme="minorHAnsi"/>
          <w:sz w:val="24"/>
          <w:szCs w:val="24"/>
        </w:rPr>
        <w:t xml:space="preserve"> AMR and </w:t>
      </w:r>
      <w:r>
        <w:rPr>
          <w:rFonts w:cstheme="minorHAnsi"/>
          <w:sz w:val="24"/>
          <w:szCs w:val="24"/>
        </w:rPr>
        <w:t xml:space="preserve">AC </w:t>
      </w:r>
      <w:r w:rsidRPr="00223BA3">
        <w:rPr>
          <w:rFonts w:cstheme="minorHAnsi"/>
          <w:sz w:val="24"/>
          <w:szCs w:val="24"/>
        </w:rPr>
        <w:t>vary by centre,</w:t>
      </w:r>
      <w:r w:rsidR="00043C8F" w:rsidRPr="00043C8F">
        <w:rPr>
          <w:vertAlign w:val="superscript"/>
        </w:rPr>
        <w:t>3</w:t>
      </w:r>
      <w:r w:rsidRPr="00223BA3">
        <w:rPr>
          <w:rFonts w:cstheme="minorHAnsi"/>
          <w:sz w:val="24"/>
          <w:szCs w:val="24"/>
        </w:rPr>
        <w:t xml:space="preserve"> highlighting the importance of accurate </w:t>
      </w:r>
      <w:r>
        <w:rPr>
          <w:rFonts w:cstheme="minorHAnsi"/>
          <w:sz w:val="24"/>
          <w:szCs w:val="24"/>
        </w:rPr>
        <w:t xml:space="preserve">and systematic </w:t>
      </w:r>
      <w:r w:rsidRPr="00223BA3">
        <w:rPr>
          <w:rFonts w:cstheme="minorHAnsi"/>
          <w:sz w:val="24"/>
          <w:szCs w:val="24"/>
        </w:rPr>
        <w:t>surveillance</w:t>
      </w:r>
      <w:r w:rsidR="00DB04B7">
        <w:rPr>
          <w:rFonts w:cstheme="minorHAnsi"/>
          <w:sz w:val="24"/>
          <w:szCs w:val="24"/>
        </w:rPr>
        <w:t>.</w:t>
      </w:r>
    </w:p>
    <w:p w14:paraId="299DC7C6" w14:textId="77777777" w:rsidR="00582627" w:rsidRPr="00223BA3" w:rsidRDefault="00582627" w:rsidP="00582627">
      <w:pPr>
        <w:spacing w:after="0" w:line="480" w:lineRule="auto"/>
        <w:rPr>
          <w:rFonts w:cstheme="minorHAnsi"/>
          <w:sz w:val="24"/>
          <w:szCs w:val="24"/>
        </w:rPr>
      </w:pPr>
    </w:p>
    <w:p w14:paraId="2505BAAB" w14:textId="1B8F89E5" w:rsidR="00582627" w:rsidRDefault="00582627" w:rsidP="00582627">
      <w:pPr>
        <w:spacing w:after="0" w:line="480" w:lineRule="auto"/>
        <w:rPr>
          <w:rFonts w:cstheme="minorHAnsi"/>
          <w:sz w:val="24"/>
          <w:szCs w:val="24"/>
          <w:vertAlign w:val="superscript"/>
        </w:rPr>
      </w:pPr>
      <w:r w:rsidRPr="00223BA3">
        <w:rPr>
          <w:rFonts w:cstheme="minorHAnsi"/>
          <w:sz w:val="24"/>
          <w:szCs w:val="24"/>
        </w:rPr>
        <w:t xml:space="preserve">Unfortunately, major issues </w:t>
      </w:r>
      <w:r>
        <w:rPr>
          <w:rFonts w:cstheme="minorHAnsi"/>
          <w:sz w:val="24"/>
          <w:szCs w:val="24"/>
        </w:rPr>
        <w:t>exist</w:t>
      </w:r>
      <w:r w:rsidRPr="00223BA3">
        <w:rPr>
          <w:rFonts w:cstheme="minorHAnsi"/>
          <w:sz w:val="24"/>
          <w:szCs w:val="24"/>
        </w:rPr>
        <w:t xml:space="preserve"> in the methods used for measuring and reporting </w:t>
      </w:r>
      <w:r>
        <w:rPr>
          <w:rFonts w:cstheme="minorHAnsi"/>
          <w:sz w:val="24"/>
          <w:szCs w:val="24"/>
        </w:rPr>
        <w:t>AC</w:t>
      </w:r>
      <w:r w:rsidRPr="00223BA3">
        <w:rPr>
          <w:rFonts w:cstheme="minorHAnsi"/>
          <w:sz w:val="24"/>
          <w:szCs w:val="24"/>
        </w:rPr>
        <w:t xml:space="preserve"> in children. </w:t>
      </w:r>
      <w:r>
        <w:rPr>
          <w:rFonts w:cstheme="minorHAnsi"/>
          <w:sz w:val="24"/>
          <w:szCs w:val="24"/>
        </w:rPr>
        <w:t>These include the standard use of the inappropriate defined daily dose metric</w:t>
      </w:r>
      <w:r w:rsidR="00043C8F" w:rsidRPr="00043C8F">
        <w:rPr>
          <w:vertAlign w:val="superscript"/>
        </w:rPr>
        <w:t>4</w:t>
      </w:r>
      <w:r w:rsidR="00043C8F" w:rsidRPr="004B3AA3">
        <w:rPr>
          <w:rFonts w:cstheme="minorHAnsi"/>
          <w:noProof/>
          <w:sz w:val="24"/>
          <w:szCs w:val="24"/>
          <w:vertAlign w:val="superscript"/>
        </w:rPr>
        <w:t>,</w:t>
      </w:r>
      <w:r w:rsidR="00043C8F" w:rsidRPr="00043C8F">
        <w:rPr>
          <w:vertAlign w:val="superscript"/>
        </w:rPr>
        <w:t>5</w:t>
      </w:r>
      <w:r>
        <w:rPr>
          <w:rFonts w:cstheme="minorHAnsi"/>
          <w:sz w:val="24"/>
          <w:szCs w:val="24"/>
        </w:rPr>
        <w:t>; estimations from dispensary data rather than actual patient-level administrations</w:t>
      </w:r>
      <w:r w:rsidR="00043C8F" w:rsidRPr="00043C8F">
        <w:rPr>
          <w:vertAlign w:val="superscript"/>
        </w:rPr>
        <w:t>6</w:t>
      </w:r>
      <w:r>
        <w:rPr>
          <w:rFonts w:cstheme="minorHAnsi"/>
          <w:sz w:val="24"/>
          <w:szCs w:val="24"/>
        </w:rPr>
        <w:t>; and lack of paediatric-specific reporting.</w:t>
      </w:r>
      <w:r w:rsidR="00043C8F" w:rsidRPr="00043C8F">
        <w:rPr>
          <w:vertAlign w:val="superscript"/>
        </w:rPr>
        <w:t>7</w:t>
      </w:r>
      <w:r w:rsidR="00043C8F" w:rsidRPr="004B3AA3">
        <w:rPr>
          <w:rFonts w:cstheme="minorHAnsi"/>
          <w:noProof/>
          <w:sz w:val="24"/>
          <w:szCs w:val="24"/>
          <w:vertAlign w:val="superscript"/>
        </w:rPr>
        <w:t>,</w:t>
      </w:r>
      <w:r w:rsidR="00043C8F" w:rsidRPr="00043C8F">
        <w:rPr>
          <w:vertAlign w:val="superscript"/>
        </w:rPr>
        <w:t>8</w:t>
      </w:r>
      <w:r>
        <w:rPr>
          <w:rFonts w:cstheme="minorHAnsi"/>
          <w:sz w:val="24"/>
          <w:szCs w:val="24"/>
        </w:rPr>
        <w:t xml:space="preserve"> </w:t>
      </w:r>
      <w:r w:rsidRPr="00223BA3">
        <w:rPr>
          <w:rFonts w:cstheme="minorHAnsi"/>
          <w:sz w:val="24"/>
          <w:szCs w:val="24"/>
        </w:rPr>
        <w:t xml:space="preserve">This is a major barrier to benchmarking </w:t>
      </w:r>
      <w:r>
        <w:rPr>
          <w:rFonts w:cstheme="minorHAnsi"/>
          <w:sz w:val="24"/>
          <w:szCs w:val="24"/>
        </w:rPr>
        <w:t>AC</w:t>
      </w:r>
      <w:r w:rsidRPr="00223BA3">
        <w:rPr>
          <w:rFonts w:cstheme="minorHAnsi"/>
          <w:sz w:val="24"/>
          <w:szCs w:val="24"/>
        </w:rPr>
        <w:t xml:space="preserve"> and sharing best antimicrobial stewardship</w:t>
      </w:r>
      <w:r>
        <w:rPr>
          <w:rFonts w:cstheme="minorHAnsi"/>
          <w:sz w:val="24"/>
          <w:szCs w:val="24"/>
        </w:rPr>
        <w:t xml:space="preserve"> (AMS)</w:t>
      </w:r>
      <w:r w:rsidRPr="00223BA3">
        <w:rPr>
          <w:rFonts w:cstheme="minorHAnsi"/>
          <w:sz w:val="24"/>
          <w:szCs w:val="24"/>
        </w:rPr>
        <w:t xml:space="preserve"> practices between centres and regions.</w:t>
      </w:r>
    </w:p>
    <w:p w14:paraId="67D6ED63" w14:textId="77777777" w:rsidR="00582627" w:rsidRPr="00223BA3" w:rsidRDefault="00582627" w:rsidP="00582627">
      <w:pPr>
        <w:spacing w:after="0" w:line="480" w:lineRule="auto"/>
        <w:rPr>
          <w:rFonts w:cstheme="minorHAnsi"/>
          <w:sz w:val="24"/>
          <w:szCs w:val="24"/>
        </w:rPr>
      </w:pPr>
    </w:p>
    <w:p w14:paraId="3B5DE2CE" w14:textId="0F84CD64" w:rsidR="00582627" w:rsidRDefault="00582627" w:rsidP="00582627">
      <w:pPr>
        <w:spacing w:after="0" w:line="480" w:lineRule="auto"/>
        <w:rPr>
          <w:rFonts w:cstheme="minorHAnsi"/>
          <w:sz w:val="24"/>
          <w:szCs w:val="24"/>
        </w:rPr>
      </w:pPr>
      <w:r>
        <w:rPr>
          <w:rFonts w:cstheme="minorHAnsi"/>
          <w:sz w:val="24"/>
          <w:szCs w:val="24"/>
        </w:rPr>
        <w:t>P</w:t>
      </w:r>
      <w:r w:rsidRPr="00223BA3">
        <w:rPr>
          <w:rFonts w:cstheme="minorHAnsi"/>
          <w:sz w:val="24"/>
          <w:szCs w:val="24"/>
        </w:rPr>
        <w:t xml:space="preserve">oint-prevalence surveys are often used to collect patient-level </w:t>
      </w:r>
      <w:r>
        <w:rPr>
          <w:rFonts w:cstheme="minorHAnsi"/>
          <w:sz w:val="24"/>
          <w:szCs w:val="24"/>
        </w:rPr>
        <w:t xml:space="preserve">AC </w:t>
      </w:r>
      <w:r w:rsidRPr="00223BA3">
        <w:rPr>
          <w:rFonts w:cstheme="minorHAnsi"/>
          <w:sz w:val="24"/>
          <w:szCs w:val="24"/>
        </w:rPr>
        <w:t>data</w:t>
      </w:r>
      <w:r>
        <w:rPr>
          <w:rFonts w:cstheme="minorHAnsi"/>
          <w:sz w:val="24"/>
          <w:szCs w:val="24"/>
        </w:rPr>
        <w:t xml:space="preserve"> in children</w:t>
      </w:r>
      <w:r w:rsidRPr="00223BA3">
        <w:rPr>
          <w:rFonts w:cstheme="minorHAnsi"/>
          <w:sz w:val="24"/>
          <w:szCs w:val="24"/>
        </w:rPr>
        <w:t>.</w:t>
      </w:r>
      <w:r w:rsidR="00043C8F" w:rsidRPr="00043C8F">
        <w:rPr>
          <w:vertAlign w:val="superscript"/>
        </w:rPr>
        <w:t>3</w:t>
      </w:r>
      <w:r w:rsidR="00043C8F" w:rsidRPr="004B3AA3">
        <w:rPr>
          <w:rFonts w:cstheme="minorHAnsi"/>
          <w:noProof/>
          <w:sz w:val="24"/>
          <w:szCs w:val="24"/>
          <w:vertAlign w:val="superscript"/>
        </w:rPr>
        <w:t>,</w:t>
      </w:r>
      <w:r w:rsidR="00043C8F" w:rsidRPr="00043C8F">
        <w:rPr>
          <w:vertAlign w:val="superscript"/>
        </w:rPr>
        <w:t>8</w:t>
      </w:r>
      <w:r w:rsidRPr="00223BA3">
        <w:rPr>
          <w:rFonts w:cstheme="minorHAnsi"/>
          <w:sz w:val="24"/>
          <w:szCs w:val="24"/>
        </w:rPr>
        <w:t xml:space="preserve"> These </w:t>
      </w:r>
      <w:r>
        <w:rPr>
          <w:rFonts w:cstheme="minorHAnsi"/>
          <w:sz w:val="24"/>
          <w:szCs w:val="24"/>
        </w:rPr>
        <w:t>manual surveys are valuable tools to assess</w:t>
      </w:r>
      <w:r w:rsidRPr="00223BA3">
        <w:rPr>
          <w:rFonts w:cstheme="minorHAnsi"/>
          <w:sz w:val="24"/>
          <w:szCs w:val="24"/>
        </w:rPr>
        <w:t xml:space="preserve"> </w:t>
      </w:r>
      <w:r>
        <w:rPr>
          <w:rFonts w:cstheme="minorHAnsi"/>
          <w:sz w:val="24"/>
          <w:szCs w:val="24"/>
        </w:rPr>
        <w:t xml:space="preserve">appropriateness of </w:t>
      </w:r>
      <w:r w:rsidRPr="00223BA3">
        <w:rPr>
          <w:rFonts w:cstheme="minorHAnsi"/>
          <w:sz w:val="24"/>
          <w:szCs w:val="24"/>
        </w:rPr>
        <w:t xml:space="preserve">antimicrobial prescriptions, </w:t>
      </w:r>
      <w:r>
        <w:rPr>
          <w:rFonts w:cstheme="minorHAnsi"/>
          <w:sz w:val="24"/>
          <w:szCs w:val="24"/>
        </w:rPr>
        <w:t xml:space="preserve">but </w:t>
      </w:r>
      <w:r w:rsidRPr="00223BA3">
        <w:rPr>
          <w:rFonts w:cstheme="minorHAnsi"/>
          <w:sz w:val="24"/>
          <w:szCs w:val="24"/>
        </w:rPr>
        <w:t xml:space="preserve">are labour intensive, and only provide a snap-shot in time, </w:t>
      </w:r>
      <w:r>
        <w:rPr>
          <w:rFonts w:cstheme="minorHAnsi"/>
          <w:sz w:val="24"/>
          <w:szCs w:val="24"/>
        </w:rPr>
        <w:t>resulting in poor estimates of trends over time.</w:t>
      </w:r>
      <w:r w:rsidR="00043C8F" w:rsidRPr="00043C8F">
        <w:rPr>
          <w:vertAlign w:val="superscript"/>
        </w:rPr>
        <w:t>5</w:t>
      </w:r>
      <w:r>
        <w:rPr>
          <w:rFonts w:cstheme="minorHAnsi"/>
          <w:sz w:val="24"/>
          <w:szCs w:val="24"/>
        </w:rPr>
        <w:t xml:space="preserve"> </w:t>
      </w:r>
      <w:r w:rsidRPr="00223BA3">
        <w:rPr>
          <w:rFonts w:cstheme="minorHAnsi"/>
          <w:sz w:val="24"/>
          <w:szCs w:val="24"/>
        </w:rPr>
        <w:t xml:space="preserve">Continuous data </w:t>
      </w:r>
      <w:r>
        <w:rPr>
          <w:rFonts w:cstheme="minorHAnsi"/>
          <w:sz w:val="24"/>
          <w:szCs w:val="24"/>
        </w:rPr>
        <w:t xml:space="preserve">from electronic prescribing systems </w:t>
      </w:r>
      <w:r w:rsidRPr="00223BA3">
        <w:rPr>
          <w:rFonts w:cstheme="minorHAnsi"/>
          <w:sz w:val="24"/>
          <w:szCs w:val="24"/>
        </w:rPr>
        <w:t xml:space="preserve">have been shown to improve reliability of estimating </w:t>
      </w:r>
      <w:r>
        <w:rPr>
          <w:rFonts w:cstheme="minorHAnsi"/>
          <w:sz w:val="24"/>
          <w:szCs w:val="24"/>
        </w:rPr>
        <w:t>AC</w:t>
      </w:r>
      <w:r w:rsidRPr="00223BA3">
        <w:rPr>
          <w:rFonts w:cstheme="minorHAnsi"/>
          <w:sz w:val="24"/>
          <w:szCs w:val="24"/>
        </w:rPr>
        <w:t xml:space="preserve"> over time, enhancing the ability to monitor trends and </w:t>
      </w:r>
      <w:r w:rsidR="002651BA">
        <w:rPr>
          <w:rFonts w:cstheme="minorHAnsi"/>
          <w:sz w:val="24"/>
          <w:szCs w:val="24"/>
        </w:rPr>
        <w:t xml:space="preserve">the </w:t>
      </w:r>
      <w:r w:rsidRPr="00223BA3">
        <w:rPr>
          <w:rFonts w:cstheme="minorHAnsi"/>
          <w:sz w:val="24"/>
          <w:szCs w:val="24"/>
        </w:rPr>
        <w:t xml:space="preserve">impact of </w:t>
      </w:r>
      <w:r>
        <w:rPr>
          <w:rFonts w:cstheme="minorHAnsi"/>
          <w:sz w:val="24"/>
          <w:szCs w:val="24"/>
        </w:rPr>
        <w:t>AMS programmes</w:t>
      </w:r>
      <w:r w:rsidRPr="00223BA3">
        <w:rPr>
          <w:rFonts w:cstheme="minorHAnsi"/>
          <w:sz w:val="24"/>
          <w:szCs w:val="24"/>
        </w:rPr>
        <w:t xml:space="preserve">, but are currently underutilised. </w:t>
      </w:r>
    </w:p>
    <w:p w14:paraId="1BD2CBA2" w14:textId="77777777" w:rsidR="00582627" w:rsidRDefault="00582627" w:rsidP="00582627">
      <w:pPr>
        <w:spacing w:after="0" w:line="480" w:lineRule="auto"/>
        <w:rPr>
          <w:rFonts w:cstheme="minorHAnsi"/>
          <w:sz w:val="24"/>
          <w:szCs w:val="24"/>
        </w:rPr>
      </w:pPr>
    </w:p>
    <w:p w14:paraId="24A8313C" w14:textId="6D8172A7" w:rsidR="00651204" w:rsidRDefault="00651204" w:rsidP="00651204">
      <w:pPr>
        <w:spacing w:after="0" w:line="480" w:lineRule="auto"/>
        <w:rPr>
          <w:rFonts w:cstheme="minorHAnsi"/>
          <w:sz w:val="24"/>
          <w:szCs w:val="24"/>
        </w:rPr>
      </w:pPr>
      <w:r w:rsidRPr="00223BA3">
        <w:rPr>
          <w:rFonts w:cstheme="minorHAnsi"/>
          <w:sz w:val="24"/>
          <w:szCs w:val="24"/>
        </w:rPr>
        <w:t xml:space="preserve">The inevitable move towards </w:t>
      </w:r>
      <w:r w:rsidR="002651BA">
        <w:rPr>
          <w:rFonts w:cstheme="minorHAnsi"/>
          <w:sz w:val="24"/>
          <w:szCs w:val="24"/>
        </w:rPr>
        <w:t>electronic prescribing</w:t>
      </w:r>
      <w:r w:rsidRPr="00223BA3">
        <w:rPr>
          <w:rFonts w:cstheme="minorHAnsi"/>
          <w:sz w:val="24"/>
          <w:szCs w:val="24"/>
        </w:rPr>
        <w:t xml:space="preserve"> in the UK National health service</w:t>
      </w:r>
      <w:r w:rsidR="002651BA">
        <w:rPr>
          <w:rFonts w:cstheme="minorHAnsi"/>
          <w:sz w:val="24"/>
          <w:szCs w:val="24"/>
        </w:rPr>
        <w:t xml:space="preserve"> (NHS)</w:t>
      </w:r>
      <w:r w:rsidRPr="00223BA3">
        <w:rPr>
          <w:rFonts w:cstheme="minorHAnsi"/>
          <w:sz w:val="24"/>
          <w:szCs w:val="24"/>
        </w:rPr>
        <w:t xml:space="preserve"> and other high-income countries presents an opportunity to establish more systematic approaches to benchmarking </w:t>
      </w:r>
      <w:r>
        <w:rPr>
          <w:rFonts w:cstheme="minorHAnsi"/>
          <w:sz w:val="24"/>
          <w:szCs w:val="24"/>
        </w:rPr>
        <w:t>AC</w:t>
      </w:r>
      <w:r w:rsidRPr="00223BA3">
        <w:rPr>
          <w:rFonts w:cstheme="minorHAnsi"/>
          <w:sz w:val="24"/>
          <w:szCs w:val="24"/>
        </w:rPr>
        <w:t xml:space="preserve"> in key paediatric populations. </w:t>
      </w:r>
      <w:r w:rsidR="002651BA">
        <w:rPr>
          <w:rFonts w:cstheme="minorHAnsi"/>
          <w:sz w:val="24"/>
          <w:szCs w:val="24"/>
        </w:rPr>
        <w:t>Electronic prescribing systems</w:t>
      </w:r>
      <w:r>
        <w:rPr>
          <w:rFonts w:cstheme="minorHAnsi"/>
          <w:sz w:val="24"/>
          <w:szCs w:val="24"/>
        </w:rPr>
        <w:t xml:space="preserve"> allow application of the Days of </w:t>
      </w:r>
      <w:r>
        <w:rPr>
          <w:rFonts w:cstheme="minorHAnsi"/>
          <w:sz w:val="24"/>
          <w:szCs w:val="24"/>
        </w:rPr>
        <w:lastRenderedPageBreak/>
        <w:t xml:space="preserve">Therapy (DOT) metric, which is theoretically and practically more suitable for paediatric populations. </w:t>
      </w:r>
      <w:r w:rsidRPr="00223BA3">
        <w:rPr>
          <w:rFonts w:cstheme="minorHAnsi"/>
          <w:sz w:val="24"/>
          <w:szCs w:val="24"/>
        </w:rPr>
        <w:t>To demonstrate this, we performed a</w:t>
      </w:r>
      <w:r>
        <w:rPr>
          <w:rFonts w:cstheme="minorHAnsi"/>
          <w:sz w:val="24"/>
          <w:szCs w:val="24"/>
        </w:rPr>
        <w:t xml:space="preserve"> retrospective </w:t>
      </w:r>
      <w:r w:rsidRPr="00223BA3">
        <w:rPr>
          <w:rFonts w:cstheme="minorHAnsi"/>
          <w:sz w:val="24"/>
          <w:szCs w:val="24"/>
        </w:rPr>
        <w:t xml:space="preserve">study comparing </w:t>
      </w:r>
      <w:r>
        <w:rPr>
          <w:rFonts w:cstheme="minorHAnsi"/>
          <w:sz w:val="24"/>
          <w:szCs w:val="24"/>
        </w:rPr>
        <w:t>AC</w:t>
      </w:r>
      <w:r w:rsidRPr="00223BA3">
        <w:rPr>
          <w:rFonts w:cstheme="minorHAnsi"/>
          <w:sz w:val="24"/>
          <w:szCs w:val="24"/>
        </w:rPr>
        <w:t xml:space="preserve"> between </w:t>
      </w:r>
      <w:r w:rsidR="00FD006A">
        <w:rPr>
          <w:rFonts w:cstheme="minorHAnsi"/>
          <w:sz w:val="24"/>
          <w:szCs w:val="24"/>
        </w:rPr>
        <w:t>H</w:t>
      </w:r>
      <w:r w:rsidRPr="00223BA3">
        <w:rPr>
          <w:rFonts w:cstheme="minorHAnsi"/>
          <w:sz w:val="24"/>
          <w:szCs w:val="24"/>
        </w:rPr>
        <w:t>aematology</w:t>
      </w:r>
      <w:r w:rsidR="008B5221">
        <w:rPr>
          <w:rFonts w:cstheme="minorHAnsi"/>
          <w:sz w:val="24"/>
          <w:szCs w:val="24"/>
        </w:rPr>
        <w:t>-</w:t>
      </w:r>
      <w:r w:rsidR="00FD006A">
        <w:rPr>
          <w:rFonts w:cstheme="minorHAnsi"/>
          <w:sz w:val="24"/>
          <w:szCs w:val="24"/>
        </w:rPr>
        <w:t>O</w:t>
      </w:r>
      <w:r w:rsidRPr="00223BA3">
        <w:rPr>
          <w:rFonts w:cstheme="minorHAnsi"/>
          <w:sz w:val="24"/>
          <w:szCs w:val="24"/>
        </w:rPr>
        <w:t xml:space="preserve">ncology units at two UK </w:t>
      </w:r>
      <w:r w:rsidR="007C183F">
        <w:rPr>
          <w:rFonts w:cstheme="minorHAnsi"/>
          <w:sz w:val="24"/>
          <w:szCs w:val="24"/>
        </w:rPr>
        <w:t>centres</w:t>
      </w:r>
      <w:r w:rsidRPr="00223BA3">
        <w:rPr>
          <w:rFonts w:cstheme="minorHAnsi"/>
          <w:sz w:val="24"/>
          <w:szCs w:val="24"/>
        </w:rPr>
        <w:t>.</w:t>
      </w:r>
    </w:p>
    <w:p w14:paraId="5A63A590" w14:textId="77777777" w:rsidR="00651204" w:rsidRPr="00223BA3" w:rsidRDefault="00651204" w:rsidP="00582627">
      <w:pPr>
        <w:spacing w:after="0" w:line="480" w:lineRule="auto"/>
        <w:rPr>
          <w:rFonts w:cstheme="minorHAnsi"/>
          <w:sz w:val="24"/>
          <w:szCs w:val="24"/>
        </w:rPr>
      </w:pPr>
    </w:p>
    <w:p w14:paraId="4899ADDB" w14:textId="7F3BD33D" w:rsidR="007320C8" w:rsidRPr="00223BA3" w:rsidRDefault="007320C8" w:rsidP="00DE7836">
      <w:pPr>
        <w:spacing w:after="0" w:line="480" w:lineRule="auto"/>
        <w:rPr>
          <w:rFonts w:cstheme="minorHAnsi"/>
          <w:sz w:val="24"/>
          <w:szCs w:val="24"/>
        </w:rPr>
      </w:pPr>
      <w:r w:rsidRPr="00223BA3">
        <w:rPr>
          <w:rFonts w:cstheme="minorHAnsi"/>
          <w:sz w:val="24"/>
          <w:szCs w:val="24"/>
        </w:rPr>
        <w:br w:type="page"/>
      </w:r>
    </w:p>
    <w:p w14:paraId="4AAF8380" w14:textId="7842D0BF" w:rsidR="007320C8" w:rsidRPr="00223BA3" w:rsidRDefault="007320C8" w:rsidP="00DE7836">
      <w:pPr>
        <w:spacing w:after="0" w:line="480" w:lineRule="auto"/>
        <w:rPr>
          <w:rFonts w:cstheme="minorHAnsi"/>
          <w:b/>
          <w:bCs/>
          <w:sz w:val="24"/>
          <w:szCs w:val="24"/>
        </w:rPr>
      </w:pPr>
      <w:r w:rsidRPr="00223BA3">
        <w:rPr>
          <w:rFonts w:cstheme="minorHAnsi"/>
          <w:b/>
          <w:bCs/>
          <w:sz w:val="24"/>
          <w:szCs w:val="24"/>
        </w:rPr>
        <w:lastRenderedPageBreak/>
        <w:t>MATERIALS AND METHODS</w:t>
      </w:r>
      <w:r w:rsidR="00E80D55">
        <w:rPr>
          <w:rFonts w:cstheme="minorHAnsi"/>
          <w:b/>
          <w:bCs/>
          <w:sz w:val="24"/>
          <w:szCs w:val="24"/>
        </w:rPr>
        <w:t xml:space="preserve"> [</w:t>
      </w:r>
      <w:r w:rsidR="00E80D55" w:rsidRPr="00E80D55">
        <w:rPr>
          <w:rFonts w:cstheme="minorHAnsi"/>
          <w:b/>
          <w:bCs/>
          <w:color w:val="FF0000"/>
          <w:sz w:val="24"/>
          <w:szCs w:val="24"/>
        </w:rPr>
        <w:t>33</w:t>
      </w:r>
      <w:r w:rsidR="0027018B">
        <w:rPr>
          <w:rFonts w:cstheme="minorHAnsi"/>
          <w:b/>
          <w:bCs/>
          <w:color w:val="FF0000"/>
          <w:sz w:val="24"/>
          <w:szCs w:val="24"/>
        </w:rPr>
        <w:t>2</w:t>
      </w:r>
      <w:r w:rsidR="00E80D55">
        <w:rPr>
          <w:rFonts w:cstheme="minorHAnsi"/>
          <w:b/>
          <w:bCs/>
          <w:sz w:val="24"/>
          <w:szCs w:val="24"/>
        </w:rPr>
        <w:t>]</w:t>
      </w:r>
    </w:p>
    <w:p w14:paraId="602C9E42" w14:textId="77777777" w:rsidR="00193CF2" w:rsidRPr="00223BA3" w:rsidRDefault="00193CF2" w:rsidP="00193CF2">
      <w:pPr>
        <w:spacing w:after="0" w:line="480" w:lineRule="auto"/>
        <w:rPr>
          <w:rFonts w:cstheme="minorHAnsi"/>
          <w:b/>
          <w:bCs/>
          <w:sz w:val="24"/>
          <w:szCs w:val="24"/>
        </w:rPr>
      </w:pPr>
      <w:r w:rsidRPr="00223BA3">
        <w:rPr>
          <w:rFonts w:cstheme="minorHAnsi"/>
          <w:b/>
          <w:bCs/>
          <w:sz w:val="24"/>
          <w:szCs w:val="24"/>
        </w:rPr>
        <w:t>Ethics</w:t>
      </w:r>
    </w:p>
    <w:p w14:paraId="2AC022B1" w14:textId="1F1469A8" w:rsidR="00193CF2" w:rsidRPr="00223BA3" w:rsidRDefault="00193CF2" w:rsidP="00193CF2">
      <w:pPr>
        <w:spacing w:after="0" w:line="480" w:lineRule="auto"/>
        <w:rPr>
          <w:rFonts w:cstheme="minorHAnsi"/>
          <w:sz w:val="24"/>
          <w:szCs w:val="24"/>
        </w:rPr>
      </w:pPr>
      <w:bookmarkStart w:id="0" w:name="_Hlk111216379"/>
      <w:r w:rsidRPr="00223BA3">
        <w:rPr>
          <w:rFonts w:cstheme="minorHAnsi"/>
          <w:sz w:val="24"/>
          <w:szCs w:val="24"/>
        </w:rPr>
        <w:t xml:space="preserve">Permission to use anonymous aggregated data for benchmarking purposes was obtained through Oxford University Hospitals (OUH) and University Hospital Southampton </w:t>
      </w:r>
      <w:r>
        <w:rPr>
          <w:rFonts w:cstheme="minorHAnsi"/>
          <w:sz w:val="24"/>
          <w:szCs w:val="24"/>
        </w:rPr>
        <w:t xml:space="preserve">(UHS) </w:t>
      </w:r>
      <w:r w:rsidRPr="00223BA3">
        <w:rPr>
          <w:rFonts w:cstheme="minorHAnsi"/>
          <w:sz w:val="24"/>
          <w:szCs w:val="24"/>
        </w:rPr>
        <w:t>NHS Foundation Trust</w:t>
      </w:r>
      <w:r>
        <w:rPr>
          <w:rFonts w:cstheme="minorHAnsi"/>
          <w:sz w:val="24"/>
          <w:szCs w:val="24"/>
        </w:rPr>
        <w:t>s</w:t>
      </w:r>
      <w:r w:rsidRPr="00223BA3">
        <w:rPr>
          <w:rFonts w:cstheme="minorHAnsi"/>
          <w:sz w:val="24"/>
          <w:szCs w:val="24"/>
        </w:rPr>
        <w:t xml:space="preserve"> as part of two ongoing quality improvement projects.</w:t>
      </w:r>
    </w:p>
    <w:bookmarkEnd w:id="0"/>
    <w:p w14:paraId="27FFBC8A" w14:textId="77777777" w:rsidR="00193CF2" w:rsidRPr="00223BA3" w:rsidRDefault="00193CF2" w:rsidP="00193CF2">
      <w:pPr>
        <w:spacing w:after="0" w:line="480" w:lineRule="auto"/>
        <w:rPr>
          <w:rFonts w:cstheme="minorHAnsi"/>
          <w:b/>
          <w:bCs/>
          <w:sz w:val="24"/>
          <w:szCs w:val="24"/>
        </w:rPr>
      </w:pPr>
      <w:r w:rsidRPr="00223BA3">
        <w:rPr>
          <w:rFonts w:cstheme="minorHAnsi"/>
          <w:b/>
          <w:bCs/>
          <w:sz w:val="24"/>
          <w:szCs w:val="24"/>
        </w:rPr>
        <w:t>Design &amp; Setting</w:t>
      </w:r>
    </w:p>
    <w:p w14:paraId="18F0C49D" w14:textId="2F5D196B" w:rsidR="00193CF2" w:rsidRPr="00223BA3" w:rsidRDefault="00193CF2" w:rsidP="00193CF2">
      <w:pPr>
        <w:spacing w:after="0" w:line="480" w:lineRule="auto"/>
        <w:rPr>
          <w:rFonts w:cstheme="minorHAnsi"/>
          <w:sz w:val="24"/>
          <w:szCs w:val="24"/>
        </w:rPr>
      </w:pPr>
      <w:r w:rsidRPr="00223BA3">
        <w:rPr>
          <w:rFonts w:cstheme="minorHAnsi"/>
          <w:sz w:val="24"/>
          <w:szCs w:val="24"/>
        </w:rPr>
        <w:t xml:space="preserve">This </w:t>
      </w:r>
      <w:r>
        <w:rPr>
          <w:rFonts w:cstheme="minorHAnsi"/>
          <w:sz w:val="24"/>
          <w:szCs w:val="24"/>
        </w:rPr>
        <w:t>retrospective analysis</w:t>
      </w:r>
      <w:r w:rsidRPr="00223BA3">
        <w:rPr>
          <w:rFonts w:cstheme="minorHAnsi"/>
          <w:sz w:val="24"/>
          <w:szCs w:val="24"/>
        </w:rPr>
        <w:t xml:space="preserve"> </w:t>
      </w:r>
      <w:r w:rsidR="00A00769">
        <w:rPr>
          <w:rFonts w:cstheme="minorHAnsi"/>
          <w:sz w:val="24"/>
          <w:szCs w:val="24"/>
        </w:rPr>
        <w:t>compares</w:t>
      </w:r>
      <w:r w:rsidRPr="00223BA3">
        <w:rPr>
          <w:rFonts w:cstheme="minorHAnsi"/>
          <w:sz w:val="24"/>
          <w:szCs w:val="24"/>
        </w:rPr>
        <w:t xml:space="preserve"> data from the inpatient Paediatric Haematology and Oncology </w:t>
      </w:r>
      <w:r>
        <w:rPr>
          <w:rFonts w:cstheme="minorHAnsi"/>
          <w:sz w:val="24"/>
          <w:szCs w:val="24"/>
        </w:rPr>
        <w:t>u</w:t>
      </w:r>
      <w:r w:rsidRPr="00223BA3">
        <w:rPr>
          <w:rFonts w:cstheme="minorHAnsi"/>
          <w:sz w:val="24"/>
          <w:szCs w:val="24"/>
        </w:rPr>
        <w:t>nits at two UK University hospitals. Each hospital provides tertiary-level Haematology and Oncology services to populations of approximately 3-4 million people and treats around 100-120 children with new oncological diagnos</w:t>
      </w:r>
      <w:r>
        <w:rPr>
          <w:rFonts w:cstheme="minorHAnsi"/>
          <w:sz w:val="24"/>
          <w:szCs w:val="24"/>
        </w:rPr>
        <w:t>e</w:t>
      </w:r>
      <w:r w:rsidRPr="00223BA3">
        <w:rPr>
          <w:rFonts w:cstheme="minorHAnsi"/>
          <w:sz w:val="24"/>
          <w:szCs w:val="24"/>
        </w:rPr>
        <w:t xml:space="preserve">s </w:t>
      </w:r>
      <w:r>
        <w:rPr>
          <w:rFonts w:cstheme="minorHAnsi"/>
          <w:sz w:val="24"/>
          <w:szCs w:val="24"/>
        </w:rPr>
        <w:t>yearly</w:t>
      </w:r>
      <w:r w:rsidRPr="00223BA3">
        <w:rPr>
          <w:rFonts w:cstheme="minorHAnsi"/>
          <w:sz w:val="24"/>
          <w:szCs w:val="24"/>
        </w:rPr>
        <w:t xml:space="preserve">. </w:t>
      </w:r>
      <w:r>
        <w:rPr>
          <w:rFonts w:cstheme="minorHAnsi"/>
          <w:sz w:val="24"/>
          <w:szCs w:val="24"/>
        </w:rPr>
        <w:t>Both</w:t>
      </w:r>
      <w:r w:rsidRPr="00223BA3">
        <w:rPr>
          <w:rFonts w:cstheme="minorHAnsi"/>
          <w:sz w:val="24"/>
          <w:szCs w:val="24"/>
        </w:rPr>
        <w:t xml:space="preserve"> deliver standard chemotherapy and autologous stem cell transplants in line with national/international protocols.</w:t>
      </w:r>
      <w:r>
        <w:rPr>
          <w:rFonts w:cstheme="minorHAnsi"/>
          <w:sz w:val="24"/>
          <w:szCs w:val="24"/>
        </w:rPr>
        <w:t xml:space="preserve"> </w:t>
      </w:r>
      <w:r w:rsidRPr="00223BA3">
        <w:rPr>
          <w:rFonts w:cstheme="minorHAnsi"/>
          <w:sz w:val="24"/>
          <w:szCs w:val="24"/>
        </w:rPr>
        <w:t xml:space="preserve">Neither site undertakes allogeneic paediatric stem cell transplants. Specialist Paediatric Infectious Diseases and </w:t>
      </w:r>
      <w:r>
        <w:rPr>
          <w:rFonts w:cstheme="minorHAnsi"/>
          <w:sz w:val="24"/>
          <w:szCs w:val="24"/>
        </w:rPr>
        <w:t>AMS</w:t>
      </w:r>
      <w:r w:rsidRPr="00223BA3">
        <w:rPr>
          <w:rFonts w:cstheme="minorHAnsi"/>
          <w:sz w:val="24"/>
          <w:szCs w:val="24"/>
        </w:rPr>
        <w:t xml:space="preserve"> programmes are available at each centre, providing consult-based services and routine review of all children on antimicrobials through regular </w:t>
      </w:r>
      <w:r>
        <w:rPr>
          <w:rFonts w:cstheme="minorHAnsi"/>
          <w:sz w:val="24"/>
          <w:szCs w:val="24"/>
        </w:rPr>
        <w:t>AMS</w:t>
      </w:r>
      <w:r w:rsidRPr="00223BA3">
        <w:rPr>
          <w:rFonts w:cstheme="minorHAnsi"/>
          <w:sz w:val="24"/>
          <w:szCs w:val="24"/>
        </w:rPr>
        <w:t xml:space="preserve"> rounds (2-3 times per</w:t>
      </w:r>
      <w:r>
        <w:rPr>
          <w:rFonts w:cstheme="minorHAnsi"/>
          <w:sz w:val="24"/>
          <w:szCs w:val="24"/>
        </w:rPr>
        <w:t>-</w:t>
      </w:r>
      <w:r w:rsidRPr="00223BA3">
        <w:rPr>
          <w:rFonts w:cstheme="minorHAnsi"/>
          <w:sz w:val="24"/>
          <w:szCs w:val="24"/>
        </w:rPr>
        <w:t>week).</w:t>
      </w:r>
    </w:p>
    <w:p w14:paraId="67B383A3" w14:textId="77777777" w:rsidR="00193CF2" w:rsidRPr="00223BA3" w:rsidRDefault="00193CF2" w:rsidP="00193CF2">
      <w:pPr>
        <w:spacing w:after="0" w:line="480" w:lineRule="auto"/>
        <w:rPr>
          <w:rFonts w:cstheme="minorHAnsi"/>
          <w:b/>
          <w:bCs/>
          <w:sz w:val="24"/>
          <w:szCs w:val="24"/>
        </w:rPr>
      </w:pPr>
      <w:r w:rsidRPr="00223BA3">
        <w:rPr>
          <w:rFonts w:cstheme="minorHAnsi"/>
          <w:b/>
          <w:bCs/>
          <w:sz w:val="24"/>
          <w:szCs w:val="24"/>
        </w:rPr>
        <w:t>Data collection</w:t>
      </w:r>
    </w:p>
    <w:p w14:paraId="6CCE04CA" w14:textId="77777777" w:rsidR="00193CF2" w:rsidRPr="00FC5E22" w:rsidRDefault="00193CF2" w:rsidP="00193CF2">
      <w:pPr>
        <w:spacing w:after="0" w:line="480" w:lineRule="auto"/>
        <w:rPr>
          <w:rFonts w:cstheme="minorHAnsi"/>
          <w:sz w:val="24"/>
          <w:szCs w:val="24"/>
        </w:rPr>
      </w:pPr>
      <w:r w:rsidRPr="00223BA3">
        <w:rPr>
          <w:rFonts w:cstheme="minorHAnsi"/>
          <w:sz w:val="24"/>
          <w:szCs w:val="24"/>
        </w:rPr>
        <w:t>Both hospitals have paediatric antimicrobial surveillance systems</w:t>
      </w:r>
      <w:r>
        <w:rPr>
          <w:rFonts w:cstheme="minorHAnsi"/>
          <w:sz w:val="24"/>
          <w:szCs w:val="24"/>
        </w:rPr>
        <w:t xml:space="preserve"> (</w:t>
      </w:r>
      <w:r w:rsidRPr="006E1CA7">
        <w:rPr>
          <w:rFonts w:cstheme="minorHAnsi"/>
          <w:sz w:val="24"/>
          <w:szCs w:val="24"/>
          <w:highlight w:val="yellow"/>
        </w:rPr>
        <w:t>supplementary methods</w:t>
      </w:r>
      <w:r>
        <w:rPr>
          <w:rFonts w:cstheme="minorHAnsi"/>
          <w:sz w:val="24"/>
          <w:szCs w:val="24"/>
        </w:rPr>
        <w:t>)</w:t>
      </w:r>
      <w:r w:rsidRPr="00223BA3">
        <w:rPr>
          <w:rFonts w:cstheme="minorHAnsi"/>
          <w:sz w:val="24"/>
          <w:szCs w:val="24"/>
        </w:rPr>
        <w:t>, reporting aggregated ward-level DOT for all antimicrobials, calculated directly from electronic health records</w:t>
      </w:r>
      <w:r>
        <w:rPr>
          <w:rFonts w:cstheme="minorHAnsi"/>
          <w:sz w:val="24"/>
          <w:szCs w:val="24"/>
        </w:rPr>
        <w:t xml:space="preserve">, </w:t>
      </w:r>
      <w:r w:rsidRPr="00223BA3">
        <w:rPr>
          <w:rFonts w:cstheme="minorHAnsi"/>
          <w:sz w:val="24"/>
          <w:szCs w:val="24"/>
        </w:rPr>
        <w:t xml:space="preserve">corrected for case load using the patient-days denominator: defined as the number of inpatients at midnight each day. </w:t>
      </w:r>
    </w:p>
    <w:p w14:paraId="369AADE6" w14:textId="6FC8741A" w:rsidR="00193CF2" w:rsidRPr="00223BA3" w:rsidRDefault="00193CF2" w:rsidP="00193CF2">
      <w:pPr>
        <w:spacing w:after="0" w:line="480" w:lineRule="auto"/>
        <w:rPr>
          <w:rFonts w:cstheme="minorHAnsi"/>
          <w:sz w:val="24"/>
          <w:szCs w:val="24"/>
        </w:rPr>
      </w:pPr>
      <w:r w:rsidRPr="00223BA3">
        <w:rPr>
          <w:rFonts w:cstheme="minorHAnsi"/>
          <w:sz w:val="24"/>
          <w:szCs w:val="24"/>
        </w:rPr>
        <w:t xml:space="preserve">Between January 2018 and December 2022, monthly DOT per-100-patient days (PD) for each unit were extracted directly from </w:t>
      </w:r>
      <w:r w:rsidR="002158CF">
        <w:rPr>
          <w:rFonts w:cstheme="minorHAnsi"/>
          <w:sz w:val="24"/>
          <w:szCs w:val="24"/>
        </w:rPr>
        <w:t>respective</w:t>
      </w:r>
      <w:r w:rsidRPr="00223BA3">
        <w:rPr>
          <w:rFonts w:cstheme="minorHAnsi"/>
          <w:sz w:val="24"/>
          <w:szCs w:val="24"/>
        </w:rPr>
        <w:t xml:space="preserve"> AMS system</w:t>
      </w:r>
      <w:r w:rsidR="002158CF">
        <w:rPr>
          <w:rFonts w:cstheme="minorHAnsi"/>
          <w:sz w:val="24"/>
          <w:szCs w:val="24"/>
        </w:rPr>
        <w:t xml:space="preserve">s </w:t>
      </w:r>
      <w:r>
        <w:rPr>
          <w:rFonts w:cstheme="minorHAnsi"/>
          <w:sz w:val="24"/>
          <w:szCs w:val="24"/>
        </w:rPr>
        <w:t xml:space="preserve">for a </w:t>
      </w:r>
      <w:r w:rsidRPr="00223BA3">
        <w:rPr>
          <w:rFonts w:cstheme="minorHAnsi"/>
          <w:sz w:val="24"/>
          <w:szCs w:val="24"/>
        </w:rPr>
        <w:t xml:space="preserve">subgroup </w:t>
      </w:r>
      <w:r>
        <w:rPr>
          <w:rFonts w:cstheme="minorHAnsi"/>
          <w:sz w:val="24"/>
          <w:szCs w:val="24"/>
        </w:rPr>
        <w:t xml:space="preserve">of intravenous antibiotics, </w:t>
      </w:r>
      <w:r w:rsidRPr="00223BA3">
        <w:rPr>
          <w:rFonts w:cstheme="minorHAnsi"/>
          <w:sz w:val="24"/>
          <w:szCs w:val="24"/>
        </w:rPr>
        <w:t>selected by clinical consensus based on their relevance to antibiotic prescribing in current Haematology</w:t>
      </w:r>
      <w:r w:rsidR="002158CF">
        <w:rPr>
          <w:rFonts w:cstheme="minorHAnsi"/>
          <w:sz w:val="24"/>
          <w:szCs w:val="24"/>
        </w:rPr>
        <w:t>-</w:t>
      </w:r>
      <w:r w:rsidRPr="00223BA3">
        <w:rPr>
          <w:rFonts w:cstheme="minorHAnsi"/>
          <w:sz w:val="24"/>
          <w:szCs w:val="24"/>
        </w:rPr>
        <w:t xml:space="preserve">Oncology guidelines. Total antibiotic use was calculated as the sum </w:t>
      </w:r>
      <w:r w:rsidRPr="00223BA3">
        <w:rPr>
          <w:rFonts w:cstheme="minorHAnsi"/>
          <w:sz w:val="24"/>
          <w:szCs w:val="24"/>
        </w:rPr>
        <w:lastRenderedPageBreak/>
        <w:t>of the</w:t>
      </w:r>
      <w:r>
        <w:rPr>
          <w:rFonts w:cstheme="minorHAnsi"/>
          <w:sz w:val="24"/>
          <w:szCs w:val="24"/>
        </w:rPr>
        <w:t>se antibiotics.</w:t>
      </w:r>
      <w:r w:rsidRPr="00223BA3">
        <w:rPr>
          <w:rFonts w:cstheme="minorHAnsi"/>
          <w:sz w:val="24"/>
          <w:szCs w:val="24"/>
        </w:rPr>
        <w:t xml:space="preserve"> Authors did not have direct access to the raw database from which aggregated data were extracted.</w:t>
      </w:r>
    </w:p>
    <w:p w14:paraId="670E1569" w14:textId="77777777" w:rsidR="00193CF2" w:rsidRPr="00223BA3" w:rsidRDefault="00193CF2" w:rsidP="00193CF2">
      <w:pPr>
        <w:spacing w:after="0" w:line="480" w:lineRule="auto"/>
        <w:rPr>
          <w:rFonts w:cstheme="minorHAnsi"/>
          <w:b/>
          <w:bCs/>
          <w:sz w:val="24"/>
          <w:szCs w:val="24"/>
        </w:rPr>
      </w:pPr>
      <w:r w:rsidRPr="00223BA3">
        <w:rPr>
          <w:rFonts w:cstheme="minorHAnsi"/>
          <w:b/>
          <w:bCs/>
          <w:sz w:val="24"/>
          <w:szCs w:val="24"/>
        </w:rPr>
        <w:t>Statistical methods</w:t>
      </w:r>
    </w:p>
    <w:p w14:paraId="0F5B84A0" w14:textId="484C4D5F" w:rsidR="00193CF2" w:rsidRDefault="00193CF2" w:rsidP="00193CF2">
      <w:pPr>
        <w:spacing w:after="0" w:line="480" w:lineRule="auto"/>
        <w:rPr>
          <w:rFonts w:cstheme="minorHAnsi"/>
          <w:sz w:val="24"/>
          <w:szCs w:val="24"/>
          <w:vertAlign w:val="superscript"/>
        </w:rPr>
      </w:pPr>
      <w:r>
        <w:rPr>
          <w:rFonts w:cstheme="minorHAnsi"/>
          <w:sz w:val="24"/>
          <w:szCs w:val="24"/>
        </w:rPr>
        <w:t>C</w:t>
      </w:r>
      <w:r w:rsidRPr="00223BA3">
        <w:rPr>
          <w:rFonts w:cstheme="minorHAnsi"/>
          <w:sz w:val="24"/>
          <w:szCs w:val="24"/>
        </w:rPr>
        <w:t xml:space="preserve">onsumption </w:t>
      </w:r>
      <w:r>
        <w:rPr>
          <w:rFonts w:cstheme="minorHAnsi"/>
          <w:sz w:val="24"/>
          <w:szCs w:val="24"/>
        </w:rPr>
        <w:t>wa</w:t>
      </w:r>
      <w:r w:rsidRPr="00223BA3">
        <w:rPr>
          <w:rFonts w:cstheme="minorHAnsi"/>
          <w:sz w:val="24"/>
          <w:szCs w:val="24"/>
        </w:rPr>
        <w:t>s reported as median (</w:t>
      </w:r>
      <w:r w:rsidR="00225EE6">
        <w:rPr>
          <w:rFonts w:cstheme="minorHAnsi"/>
          <w:sz w:val="24"/>
          <w:szCs w:val="24"/>
        </w:rPr>
        <w:t>i</w:t>
      </w:r>
      <w:r>
        <w:rPr>
          <w:rFonts w:cstheme="minorHAnsi"/>
          <w:sz w:val="24"/>
          <w:szCs w:val="24"/>
        </w:rPr>
        <w:t>nterquartile range)</w:t>
      </w:r>
      <w:r w:rsidRPr="00223BA3">
        <w:rPr>
          <w:rFonts w:cstheme="minorHAnsi"/>
          <w:sz w:val="24"/>
          <w:szCs w:val="24"/>
        </w:rPr>
        <w:t xml:space="preserve"> monthly DOT</w:t>
      </w:r>
      <w:r>
        <w:rPr>
          <w:rFonts w:cstheme="minorHAnsi"/>
          <w:sz w:val="24"/>
          <w:szCs w:val="24"/>
        </w:rPr>
        <w:t xml:space="preserve"> </w:t>
      </w:r>
      <w:r w:rsidRPr="00223BA3">
        <w:rPr>
          <w:rFonts w:cstheme="minorHAnsi"/>
          <w:sz w:val="24"/>
          <w:szCs w:val="24"/>
        </w:rPr>
        <w:t>per</w:t>
      </w:r>
      <w:r>
        <w:rPr>
          <w:rFonts w:cstheme="minorHAnsi"/>
          <w:sz w:val="24"/>
          <w:szCs w:val="24"/>
        </w:rPr>
        <w:t>-</w:t>
      </w:r>
      <w:r w:rsidRPr="00223BA3">
        <w:rPr>
          <w:rFonts w:cstheme="minorHAnsi"/>
          <w:sz w:val="24"/>
          <w:szCs w:val="24"/>
        </w:rPr>
        <w:t>100</w:t>
      </w:r>
      <w:r>
        <w:rPr>
          <w:rFonts w:cstheme="minorHAnsi"/>
          <w:sz w:val="24"/>
          <w:szCs w:val="24"/>
        </w:rPr>
        <w:t>-</w:t>
      </w:r>
      <w:r w:rsidRPr="00223BA3">
        <w:rPr>
          <w:rFonts w:cstheme="minorHAnsi"/>
          <w:sz w:val="24"/>
          <w:szCs w:val="24"/>
        </w:rPr>
        <w:t>PD by site.</w:t>
      </w:r>
      <w:r>
        <w:rPr>
          <w:rFonts w:cstheme="minorHAnsi"/>
          <w:sz w:val="24"/>
          <w:szCs w:val="24"/>
        </w:rPr>
        <w:t xml:space="preserve"> Median estimates were compared using the </w:t>
      </w:r>
      <w:r w:rsidRPr="005C5C6C">
        <w:rPr>
          <w:rFonts w:cstheme="minorHAnsi"/>
          <w:sz w:val="24"/>
          <w:szCs w:val="24"/>
        </w:rPr>
        <w:t>Wilcoxon rank-sum test</w:t>
      </w:r>
      <w:r>
        <w:rPr>
          <w:rFonts w:cstheme="minorHAnsi"/>
          <w:sz w:val="24"/>
          <w:szCs w:val="24"/>
        </w:rPr>
        <w:t>.</w:t>
      </w:r>
      <w:r w:rsidRPr="00223BA3">
        <w:rPr>
          <w:rFonts w:cstheme="minorHAnsi"/>
          <w:sz w:val="24"/>
          <w:szCs w:val="24"/>
        </w:rPr>
        <w:t xml:space="preserve"> </w:t>
      </w:r>
      <w:r>
        <w:rPr>
          <w:rFonts w:cstheme="minorHAnsi"/>
          <w:sz w:val="24"/>
          <w:szCs w:val="24"/>
        </w:rPr>
        <w:t xml:space="preserve">Time series were modelled using </w:t>
      </w:r>
      <w:r w:rsidRPr="00223BA3">
        <w:rPr>
          <w:rFonts w:cstheme="minorHAnsi"/>
          <w:sz w:val="24"/>
          <w:szCs w:val="24"/>
        </w:rPr>
        <w:t xml:space="preserve">linear regression or autoregressive moving-average (ARMA) models, </w:t>
      </w:r>
      <w:r>
        <w:rPr>
          <w:rFonts w:cstheme="minorHAnsi"/>
          <w:sz w:val="24"/>
          <w:szCs w:val="24"/>
        </w:rPr>
        <w:t xml:space="preserve">including seasonality terms, </w:t>
      </w:r>
      <w:r w:rsidRPr="00223BA3">
        <w:rPr>
          <w:rFonts w:cstheme="minorHAnsi"/>
          <w:sz w:val="24"/>
          <w:szCs w:val="24"/>
        </w:rPr>
        <w:t xml:space="preserve">with </w:t>
      </w:r>
      <w:r>
        <w:rPr>
          <w:rFonts w:cstheme="minorHAnsi"/>
          <w:sz w:val="24"/>
          <w:szCs w:val="24"/>
        </w:rPr>
        <w:t xml:space="preserve">final model </w:t>
      </w:r>
      <w:r w:rsidRPr="00223BA3">
        <w:rPr>
          <w:rFonts w:cstheme="minorHAnsi"/>
          <w:sz w:val="24"/>
          <w:szCs w:val="24"/>
        </w:rPr>
        <w:t>choice depending on Auto Correlation Function (ACF) and partial-ACF plots</w:t>
      </w:r>
      <w:r>
        <w:rPr>
          <w:rFonts w:cstheme="minorHAnsi"/>
          <w:sz w:val="24"/>
          <w:szCs w:val="24"/>
        </w:rPr>
        <w:t xml:space="preserve">, and optimal </w:t>
      </w:r>
      <w:r w:rsidRPr="00223BA3">
        <w:rPr>
          <w:rFonts w:cstheme="minorHAnsi"/>
          <w:sz w:val="24"/>
          <w:szCs w:val="24"/>
        </w:rPr>
        <w:t>Akaike information criterion.</w:t>
      </w:r>
      <w:r w:rsidR="00043C8F" w:rsidRPr="00043C8F">
        <w:rPr>
          <w:vertAlign w:val="superscript"/>
        </w:rPr>
        <w:t>9</w:t>
      </w:r>
      <w:r w:rsidRPr="00223BA3">
        <w:rPr>
          <w:rFonts w:cstheme="minorHAnsi"/>
          <w:sz w:val="24"/>
          <w:szCs w:val="24"/>
        </w:rPr>
        <w:t xml:space="preserve"> Estimate</w:t>
      </w:r>
      <w:r>
        <w:rPr>
          <w:rFonts w:cstheme="minorHAnsi"/>
          <w:sz w:val="24"/>
          <w:szCs w:val="24"/>
        </w:rPr>
        <w:t xml:space="preserve">s of change in consumption over time </w:t>
      </w:r>
      <w:r w:rsidRPr="00223BA3">
        <w:rPr>
          <w:rFonts w:cstheme="minorHAnsi"/>
          <w:sz w:val="24"/>
          <w:szCs w:val="24"/>
        </w:rPr>
        <w:t>were reported with 95% confidence intervals (CI) and p-values using robust standard errors where appropriate,</w:t>
      </w:r>
      <w:r w:rsidR="00043C8F" w:rsidRPr="00043C8F">
        <w:rPr>
          <w:vertAlign w:val="superscript"/>
        </w:rPr>
        <w:t>10</w:t>
      </w:r>
      <w:r w:rsidRPr="00223BA3">
        <w:rPr>
          <w:rFonts w:cstheme="minorHAnsi"/>
          <w:sz w:val="24"/>
          <w:szCs w:val="24"/>
        </w:rPr>
        <w:t xml:space="preserve"> without multiple hypothesis </w:t>
      </w:r>
      <w:r>
        <w:rPr>
          <w:rFonts w:cstheme="minorHAnsi"/>
          <w:sz w:val="24"/>
          <w:szCs w:val="24"/>
        </w:rPr>
        <w:t>correction</w:t>
      </w:r>
      <w:r w:rsidRPr="00223BA3">
        <w:rPr>
          <w:rFonts w:cstheme="minorHAnsi"/>
          <w:sz w:val="24"/>
          <w:szCs w:val="24"/>
        </w:rPr>
        <w:t>.</w:t>
      </w:r>
      <w:r>
        <w:rPr>
          <w:rFonts w:cstheme="minorHAnsi"/>
          <w:sz w:val="24"/>
          <w:szCs w:val="24"/>
        </w:rPr>
        <w:t xml:space="preserve"> Statistical analysis was performed </w:t>
      </w:r>
      <w:r w:rsidRPr="00223BA3">
        <w:rPr>
          <w:rFonts w:cstheme="minorHAnsi"/>
          <w:sz w:val="24"/>
          <w:szCs w:val="24"/>
        </w:rPr>
        <w:t>using R</w:t>
      </w:r>
      <w:r>
        <w:rPr>
          <w:rFonts w:cstheme="minorHAnsi"/>
          <w:sz w:val="24"/>
          <w:szCs w:val="24"/>
        </w:rPr>
        <w:t xml:space="preserve"> version 4.1.1.</w:t>
      </w:r>
      <w:r w:rsidR="00043C8F" w:rsidRPr="00043C8F">
        <w:rPr>
          <w:vertAlign w:val="superscript"/>
        </w:rPr>
        <w:t>11</w:t>
      </w:r>
    </w:p>
    <w:p w14:paraId="461AC727" w14:textId="6A031F59" w:rsidR="007320C8" w:rsidRPr="00011059" w:rsidRDefault="007320C8" w:rsidP="00193CF2">
      <w:pPr>
        <w:spacing w:after="0" w:line="480" w:lineRule="auto"/>
        <w:rPr>
          <w:rFonts w:cstheme="minorHAnsi"/>
          <w:sz w:val="24"/>
          <w:szCs w:val="24"/>
        </w:rPr>
      </w:pPr>
      <w:r w:rsidRPr="00223BA3">
        <w:rPr>
          <w:rFonts w:cstheme="minorHAnsi"/>
          <w:b/>
          <w:bCs/>
          <w:sz w:val="24"/>
          <w:szCs w:val="24"/>
        </w:rPr>
        <w:br w:type="page"/>
      </w:r>
    </w:p>
    <w:p w14:paraId="0C570CD2" w14:textId="272FD14F" w:rsidR="007320C8" w:rsidRPr="00223BA3" w:rsidRDefault="007320C8" w:rsidP="00DE7836">
      <w:pPr>
        <w:spacing w:after="0" w:line="480" w:lineRule="auto"/>
        <w:rPr>
          <w:rFonts w:cstheme="minorHAnsi"/>
          <w:b/>
          <w:bCs/>
          <w:sz w:val="24"/>
          <w:szCs w:val="24"/>
        </w:rPr>
      </w:pPr>
      <w:r w:rsidRPr="00223BA3">
        <w:rPr>
          <w:rFonts w:cstheme="minorHAnsi"/>
          <w:b/>
          <w:bCs/>
          <w:sz w:val="24"/>
          <w:szCs w:val="24"/>
        </w:rPr>
        <w:lastRenderedPageBreak/>
        <w:t>RESULTS</w:t>
      </w:r>
      <w:r w:rsidR="00DB3DC8">
        <w:rPr>
          <w:rFonts w:cstheme="minorHAnsi"/>
          <w:b/>
          <w:bCs/>
          <w:sz w:val="24"/>
          <w:szCs w:val="24"/>
        </w:rPr>
        <w:t xml:space="preserve"> [</w:t>
      </w:r>
      <w:r w:rsidR="00DB3DC8" w:rsidRPr="00DB3DC8">
        <w:rPr>
          <w:rFonts w:cstheme="minorHAnsi"/>
          <w:b/>
          <w:bCs/>
          <w:color w:val="FF0000"/>
          <w:sz w:val="24"/>
          <w:szCs w:val="24"/>
        </w:rPr>
        <w:t>309</w:t>
      </w:r>
      <w:r w:rsidR="00DB3DC8">
        <w:rPr>
          <w:rFonts w:cstheme="minorHAnsi"/>
          <w:b/>
          <w:bCs/>
          <w:sz w:val="24"/>
          <w:szCs w:val="24"/>
        </w:rPr>
        <w:t>]</w:t>
      </w:r>
    </w:p>
    <w:p w14:paraId="4DF55955" w14:textId="77777777" w:rsidR="00970015" w:rsidRPr="00223BA3" w:rsidRDefault="00970015" w:rsidP="00970015">
      <w:pPr>
        <w:spacing w:after="0" w:line="480" w:lineRule="auto"/>
        <w:rPr>
          <w:rFonts w:cstheme="minorHAnsi"/>
          <w:sz w:val="24"/>
          <w:szCs w:val="24"/>
        </w:rPr>
      </w:pPr>
      <w:r>
        <w:rPr>
          <w:rFonts w:cstheme="minorHAnsi"/>
          <w:sz w:val="24"/>
          <w:szCs w:val="24"/>
        </w:rPr>
        <w:t xml:space="preserve">Over the 5-year period </w:t>
      </w:r>
      <w:r w:rsidRPr="00223BA3">
        <w:rPr>
          <w:rFonts w:cstheme="minorHAnsi"/>
          <w:sz w:val="24"/>
          <w:szCs w:val="24"/>
        </w:rPr>
        <w:t xml:space="preserve">total patient-days were 18,505 for OUH and 24,427 for UHS. </w:t>
      </w:r>
      <w:r>
        <w:rPr>
          <w:rFonts w:cstheme="minorHAnsi"/>
          <w:sz w:val="24"/>
          <w:szCs w:val="24"/>
        </w:rPr>
        <w:t>T</w:t>
      </w:r>
      <w:r w:rsidRPr="00223BA3">
        <w:rPr>
          <w:rFonts w:cstheme="minorHAnsi"/>
          <w:sz w:val="24"/>
          <w:szCs w:val="24"/>
        </w:rPr>
        <w:t xml:space="preserve">otal </w:t>
      </w:r>
      <w:r>
        <w:rPr>
          <w:rFonts w:cstheme="minorHAnsi"/>
          <w:sz w:val="24"/>
          <w:szCs w:val="24"/>
        </w:rPr>
        <w:t xml:space="preserve">intravenous </w:t>
      </w:r>
      <w:r w:rsidRPr="00223BA3">
        <w:rPr>
          <w:rFonts w:cstheme="minorHAnsi"/>
          <w:sz w:val="24"/>
          <w:szCs w:val="24"/>
        </w:rPr>
        <w:t>antibiotic consumption was similar by site</w:t>
      </w:r>
      <w:r>
        <w:rPr>
          <w:rFonts w:cstheme="minorHAnsi"/>
          <w:sz w:val="24"/>
          <w:szCs w:val="24"/>
        </w:rPr>
        <w:t>, with m</w:t>
      </w:r>
      <w:r w:rsidRPr="00223BA3">
        <w:rPr>
          <w:rFonts w:cstheme="minorHAnsi"/>
          <w:sz w:val="24"/>
          <w:szCs w:val="24"/>
        </w:rPr>
        <w:t xml:space="preserve">edian monthly consumption </w:t>
      </w:r>
      <w:r>
        <w:rPr>
          <w:rFonts w:cstheme="minorHAnsi"/>
          <w:sz w:val="24"/>
          <w:szCs w:val="24"/>
        </w:rPr>
        <w:t>of</w:t>
      </w:r>
      <w:r w:rsidRPr="00223BA3">
        <w:rPr>
          <w:rFonts w:cstheme="minorHAnsi"/>
          <w:sz w:val="24"/>
          <w:szCs w:val="24"/>
        </w:rPr>
        <w:t xml:space="preserve"> 25.9</w:t>
      </w:r>
      <w:r>
        <w:rPr>
          <w:rFonts w:cstheme="minorHAnsi"/>
          <w:sz w:val="24"/>
          <w:szCs w:val="24"/>
        </w:rPr>
        <w:t xml:space="preserve"> (OUH)</w:t>
      </w:r>
      <w:r w:rsidRPr="00223BA3">
        <w:rPr>
          <w:rFonts w:cstheme="minorHAnsi"/>
          <w:sz w:val="24"/>
          <w:szCs w:val="24"/>
        </w:rPr>
        <w:t xml:space="preserve"> </w:t>
      </w:r>
      <w:r>
        <w:rPr>
          <w:rFonts w:cstheme="minorHAnsi"/>
          <w:sz w:val="24"/>
          <w:szCs w:val="24"/>
        </w:rPr>
        <w:t xml:space="preserve">and 29.4 (UHS) DOT per-100-PD (p-value 0.19, </w:t>
      </w:r>
      <w:r w:rsidRPr="00040111">
        <w:rPr>
          <w:rFonts w:cstheme="minorHAnsi"/>
          <w:sz w:val="24"/>
          <w:szCs w:val="24"/>
          <w:highlight w:val="yellow"/>
        </w:rPr>
        <w:t>Table 1</w:t>
      </w:r>
      <w:r>
        <w:rPr>
          <w:rFonts w:cstheme="minorHAnsi"/>
          <w:sz w:val="24"/>
          <w:szCs w:val="24"/>
        </w:rPr>
        <w:t xml:space="preserve">). We observed similar annual </w:t>
      </w:r>
      <w:r w:rsidRPr="00223BA3">
        <w:rPr>
          <w:rFonts w:cstheme="minorHAnsi"/>
          <w:sz w:val="24"/>
          <w:szCs w:val="24"/>
        </w:rPr>
        <w:t>decrease</w:t>
      </w:r>
      <w:r>
        <w:rPr>
          <w:rFonts w:cstheme="minorHAnsi"/>
          <w:sz w:val="24"/>
          <w:szCs w:val="24"/>
        </w:rPr>
        <w:t xml:space="preserve">s </w:t>
      </w:r>
      <w:r w:rsidRPr="00223BA3">
        <w:rPr>
          <w:rFonts w:cstheme="minorHAnsi"/>
          <w:sz w:val="24"/>
          <w:szCs w:val="24"/>
        </w:rPr>
        <w:t xml:space="preserve">in total consumption over time </w:t>
      </w:r>
      <w:r>
        <w:rPr>
          <w:rFonts w:cstheme="minorHAnsi"/>
          <w:sz w:val="24"/>
          <w:szCs w:val="24"/>
        </w:rPr>
        <w:t xml:space="preserve">for both sites </w:t>
      </w:r>
      <w:r w:rsidRPr="00223BA3">
        <w:rPr>
          <w:rFonts w:cstheme="minorHAnsi"/>
          <w:sz w:val="24"/>
          <w:szCs w:val="24"/>
        </w:rPr>
        <w:t>(</w:t>
      </w:r>
      <w:r w:rsidRPr="00487A09">
        <w:rPr>
          <w:rFonts w:cstheme="minorHAnsi"/>
          <w:sz w:val="24"/>
          <w:szCs w:val="24"/>
          <w:highlight w:val="yellow"/>
        </w:rPr>
        <w:t xml:space="preserve">Figure </w:t>
      </w:r>
      <w:r>
        <w:rPr>
          <w:rFonts w:cstheme="minorHAnsi"/>
          <w:sz w:val="24"/>
          <w:szCs w:val="24"/>
          <w:highlight w:val="yellow"/>
        </w:rPr>
        <w:t>S</w:t>
      </w:r>
      <w:r w:rsidRPr="00487A09">
        <w:rPr>
          <w:rFonts w:cstheme="minorHAnsi"/>
          <w:sz w:val="24"/>
          <w:szCs w:val="24"/>
          <w:highlight w:val="yellow"/>
        </w:rPr>
        <w:t xml:space="preserve">1, </w:t>
      </w:r>
      <w:r>
        <w:rPr>
          <w:rFonts w:cstheme="minorHAnsi"/>
          <w:sz w:val="24"/>
          <w:szCs w:val="24"/>
          <w:highlight w:val="yellow"/>
        </w:rPr>
        <w:t>supplementary t</w:t>
      </w:r>
      <w:r w:rsidRPr="00487A09">
        <w:rPr>
          <w:rFonts w:cstheme="minorHAnsi"/>
          <w:sz w:val="24"/>
          <w:szCs w:val="24"/>
          <w:highlight w:val="yellow"/>
        </w:rPr>
        <w:t>able 1</w:t>
      </w:r>
      <w:r w:rsidRPr="00223BA3">
        <w:rPr>
          <w:rFonts w:cstheme="minorHAnsi"/>
          <w:sz w:val="24"/>
          <w:szCs w:val="24"/>
        </w:rPr>
        <w:t>)</w:t>
      </w:r>
      <w:r>
        <w:rPr>
          <w:rFonts w:cstheme="minorHAnsi"/>
          <w:sz w:val="24"/>
          <w:szCs w:val="24"/>
        </w:rPr>
        <w:t>.</w:t>
      </w:r>
    </w:p>
    <w:p w14:paraId="5870E56C" w14:textId="77777777" w:rsidR="00970015" w:rsidRPr="00223BA3" w:rsidRDefault="00970015" w:rsidP="00970015">
      <w:pPr>
        <w:spacing w:after="0" w:line="480" w:lineRule="auto"/>
        <w:rPr>
          <w:rFonts w:cstheme="minorHAnsi"/>
          <w:b/>
          <w:bCs/>
          <w:sz w:val="24"/>
          <w:szCs w:val="24"/>
        </w:rPr>
      </w:pPr>
      <w:r w:rsidRPr="00223BA3">
        <w:rPr>
          <w:rFonts w:cstheme="minorHAnsi"/>
          <w:b/>
          <w:bCs/>
          <w:sz w:val="24"/>
          <w:szCs w:val="24"/>
        </w:rPr>
        <w:t>Usage by antibiotic</w:t>
      </w:r>
    </w:p>
    <w:p w14:paraId="7E1E4E60" w14:textId="77777777" w:rsidR="00970015" w:rsidRDefault="00970015" w:rsidP="00970015">
      <w:pPr>
        <w:spacing w:after="0" w:line="480" w:lineRule="auto"/>
        <w:rPr>
          <w:rFonts w:cstheme="minorHAnsi"/>
          <w:sz w:val="24"/>
          <w:szCs w:val="24"/>
        </w:rPr>
      </w:pPr>
      <w:r>
        <w:rPr>
          <w:rFonts w:cstheme="minorHAnsi"/>
          <w:sz w:val="24"/>
          <w:szCs w:val="24"/>
        </w:rPr>
        <w:t>Median monthly DOT per-100-PD was significantly greater at UHS vs OUH for Meropenem, Piperacillin/tazobactam and Teicoplanin (</w:t>
      </w:r>
      <w:r w:rsidRPr="00A146B4">
        <w:rPr>
          <w:rFonts w:cstheme="minorHAnsi"/>
          <w:sz w:val="24"/>
          <w:szCs w:val="24"/>
          <w:highlight w:val="yellow"/>
        </w:rPr>
        <w:t>Table 1</w:t>
      </w:r>
      <w:r>
        <w:rPr>
          <w:rFonts w:cstheme="minorHAnsi"/>
          <w:sz w:val="24"/>
          <w:szCs w:val="24"/>
        </w:rPr>
        <w:t>), although the relative differences between sites were small for Meropenem and Piperacillin/tazobactam. Ceftriaxone use was three times lower at UHS (</w:t>
      </w:r>
      <w:r w:rsidRPr="00487A09">
        <w:rPr>
          <w:rFonts w:cstheme="minorHAnsi"/>
          <w:sz w:val="24"/>
          <w:szCs w:val="24"/>
          <w:highlight w:val="yellow"/>
        </w:rPr>
        <w:t>Table 1</w:t>
      </w:r>
      <w:r>
        <w:rPr>
          <w:rFonts w:cstheme="minorHAnsi"/>
          <w:sz w:val="24"/>
          <w:szCs w:val="24"/>
        </w:rPr>
        <w:t>) – a pattern seen across the entire study period (</w:t>
      </w:r>
      <w:r w:rsidRPr="00A146B4">
        <w:rPr>
          <w:rFonts w:cstheme="minorHAnsi"/>
          <w:sz w:val="24"/>
          <w:szCs w:val="24"/>
          <w:highlight w:val="yellow"/>
        </w:rPr>
        <w:t>Figure 1</w:t>
      </w:r>
      <w:r>
        <w:rPr>
          <w:rFonts w:cstheme="minorHAnsi"/>
          <w:sz w:val="24"/>
          <w:szCs w:val="24"/>
        </w:rPr>
        <w:t>). Other antibiotics were used less frequently, with no significant difference between sites (</w:t>
      </w:r>
      <w:r w:rsidRPr="008F6F45">
        <w:rPr>
          <w:rFonts w:cstheme="minorHAnsi"/>
          <w:sz w:val="24"/>
          <w:szCs w:val="24"/>
          <w:highlight w:val="yellow"/>
        </w:rPr>
        <w:t>Table 1, F</w:t>
      </w:r>
      <w:r w:rsidRPr="00FD62F4">
        <w:rPr>
          <w:rFonts w:cstheme="minorHAnsi"/>
          <w:sz w:val="24"/>
          <w:szCs w:val="24"/>
          <w:highlight w:val="yellow"/>
        </w:rPr>
        <w:t>igure S2</w:t>
      </w:r>
      <w:r>
        <w:rPr>
          <w:rFonts w:cstheme="minorHAnsi"/>
          <w:sz w:val="24"/>
          <w:szCs w:val="24"/>
        </w:rPr>
        <w:t xml:space="preserve">). </w:t>
      </w:r>
      <w:r w:rsidRPr="00223BA3">
        <w:rPr>
          <w:rFonts w:cstheme="minorHAnsi"/>
          <w:sz w:val="24"/>
          <w:szCs w:val="24"/>
        </w:rPr>
        <w:t xml:space="preserve">Monthly mean, standard deviation, and percentage of total antibiotic use are presented in </w:t>
      </w:r>
      <w:r w:rsidRPr="001B46BC">
        <w:rPr>
          <w:rFonts w:cstheme="minorHAnsi"/>
          <w:sz w:val="24"/>
          <w:szCs w:val="24"/>
          <w:highlight w:val="yellow"/>
        </w:rPr>
        <w:t xml:space="preserve">supplementary table </w:t>
      </w:r>
      <w:r>
        <w:rPr>
          <w:rFonts w:cstheme="minorHAnsi"/>
          <w:sz w:val="24"/>
          <w:szCs w:val="24"/>
        </w:rPr>
        <w:t>2</w:t>
      </w:r>
      <w:r w:rsidRPr="00223BA3">
        <w:rPr>
          <w:rFonts w:cstheme="minorHAnsi"/>
          <w:sz w:val="24"/>
          <w:szCs w:val="24"/>
        </w:rPr>
        <w:t>.</w:t>
      </w:r>
    </w:p>
    <w:p w14:paraId="6BB1B986" w14:textId="77777777" w:rsidR="00970015" w:rsidRPr="00223BA3" w:rsidRDefault="00970015" w:rsidP="00970015">
      <w:pPr>
        <w:spacing w:after="0" w:line="480" w:lineRule="auto"/>
        <w:rPr>
          <w:rFonts w:cstheme="minorHAnsi"/>
          <w:b/>
          <w:bCs/>
          <w:sz w:val="24"/>
          <w:szCs w:val="24"/>
        </w:rPr>
      </w:pPr>
      <w:r w:rsidRPr="00223BA3">
        <w:rPr>
          <w:rFonts w:cstheme="minorHAnsi"/>
          <w:b/>
          <w:bCs/>
          <w:sz w:val="24"/>
          <w:szCs w:val="24"/>
        </w:rPr>
        <w:t>Trends for specific antibiotics</w:t>
      </w:r>
    </w:p>
    <w:p w14:paraId="1C27453D" w14:textId="77777777" w:rsidR="00970015" w:rsidRPr="00223BA3" w:rsidRDefault="00970015" w:rsidP="00970015">
      <w:pPr>
        <w:spacing w:after="0" w:line="480" w:lineRule="auto"/>
        <w:rPr>
          <w:rFonts w:cstheme="minorHAnsi"/>
          <w:sz w:val="24"/>
          <w:szCs w:val="24"/>
        </w:rPr>
      </w:pPr>
      <w:r w:rsidRPr="00223BA3">
        <w:rPr>
          <w:rFonts w:cstheme="minorHAnsi"/>
          <w:sz w:val="24"/>
          <w:szCs w:val="24"/>
        </w:rPr>
        <w:t xml:space="preserve">For the UHS site, </w:t>
      </w:r>
      <w:r>
        <w:rPr>
          <w:rFonts w:cstheme="minorHAnsi"/>
          <w:sz w:val="24"/>
          <w:szCs w:val="24"/>
        </w:rPr>
        <w:t>P</w:t>
      </w:r>
      <w:r w:rsidRPr="00223BA3">
        <w:rPr>
          <w:rFonts w:cstheme="minorHAnsi"/>
          <w:sz w:val="24"/>
          <w:szCs w:val="24"/>
        </w:rPr>
        <w:t xml:space="preserve">iperacillin/tazobactam </w:t>
      </w:r>
      <w:r>
        <w:rPr>
          <w:rFonts w:cstheme="minorHAnsi"/>
          <w:sz w:val="24"/>
          <w:szCs w:val="24"/>
        </w:rPr>
        <w:t xml:space="preserve">consumption </w:t>
      </w:r>
      <w:r w:rsidRPr="00223BA3">
        <w:rPr>
          <w:rFonts w:cstheme="minorHAnsi"/>
          <w:sz w:val="24"/>
          <w:szCs w:val="24"/>
        </w:rPr>
        <w:t>decreased annually by 2.3 DOT</w:t>
      </w:r>
      <w:r>
        <w:rPr>
          <w:rFonts w:cstheme="minorHAnsi"/>
          <w:sz w:val="24"/>
          <w:szCs w:val="24"/>
        </w:rPr>
        <w:t xml:space="preserve"> </w:t>
      </w:r>
      <w:r w:rsidRPr="00223BA3">
        <w:rPr>
          <w:rFonts w:cstheme="minorHAnsi"/>
          <w:sz w:val="24"/>
          <w:szCs w:val="24"/>
        </w:rPr>
        <w:t>per-100-PD (95% CI: 1.3-3.3) (</w:t>
      </w:r>
      <w:r w:rsidRPr="006D6720">
        <w:rPr>
          <w:rFonts w:cstheme="minorHAnsi"/>
          <w:sz w:val="24"/>
          <w:szCs w:val="24"/>
          <w:highlight w:val="yellow"/>
        </w:rPr>
        <w:t>Figure 1</w:t>
      </w:r>
      <w:r>
        <w:rPr>
          <w:rFonts w:cstheme="minorHAnsi"/>
          <w:sz w:val="24"/>
          <w:szCs w:val="24"/>
          <w:highlight w:val="yellow"/>
        </w:rPr>
        <w:t>A</w:t>
      </w:r>
      <w:r w:rsidRPr="006D6720">
        <w:rPr>
          <w:rFonts w:cstheme="minorHAnsi"/>
          <w:sz w:val="24"/>
          <w:szCs w:val="24"/>
          <w:highlight w:val="yellow"/>
        </w:rPr>
        <w:t xml:space="preserve">, supplementary table </w:t>
      </w:r>
      <w:r>
        <w:rPr>
          <w:rFonts w:cstheme="minorHAnsi"/>
          <w:sz w:val="24"/>
          <w:szCs w:val="24"/>
          <w:highlight w:val="yellow"/>
        </w:rPr>
        <w:t>1</w:t>
      </w:r>
      <w:r w:rsidRPr="00223BA3">
        <w:rPr>
          <w:rFonts w:cstheme="minorHAnsi"/>
          <w:sz w:val="24"/>
          <w:szCs w:val="24"/>
        </w:rPr>
        <w:t>). A decrease was also seen at OUH, although this was not statistically significant (annual decrease 0.8 DOT</w:t>
      </w:r>
      <w:r>
        <w:rPr>
          <w:rFonts w:cstheme="minorHAnsi"/>
          <w:sz w:val="24"/>
          <w:szCs w:val="24"/>
        </w:rPr>
        <w:t xml:space="preserve"> </w:t>
      </w:r>
      <w:r w:rsidRPr="00223BA3">
        <w:rPr>
          <w:rFonts w:cstheme="minorHAnsi"/>
          <w:sz w:val="24"/>
          <w:szCs w:val="24"/>
        </w:rPr>
        <w:t xml:space="preserve">per-100-PD, 95% CI: -1.73-3.33). LOESS-fitted curves show that consumption of </w:t>
      </w:r>
      <w:r>
        <w:rPr>
          <w:rFonts w:cstheme="minorHAnsi"/>
          <w:sz w:val="24"/>
          <w:szCs w:val="24"/>
        </w:rPr>
        <w:t>P</w:t>
      </w:r>
      <w:r w:rsidRPr="00223BA3">
        <w:rPr>
          <w:rFonts w:cstheme="minorHAnsi"/>
          <w:sz w:val="24"/>
          <w:szCs w:val="24"/>
        </w:rPr>
        <w:t xml:space="preserve">iperacillin/tazobactam at OUH decreased in </w:t>
      </w:r>
      <w:r>
        <w:rPr>
          <w:rFonts w:cstheme="minorHAnsi"/>
          <w:sz w:val="24"/>
          <w:szCs w:val="24"/>
        </w:rPr>
        <w:t>2018</w:t>
      </w:r>
      <w:r w:rsidRPr="00223BA3">
        <w:rPr>
          <w:rFonts w:cstheme="minorHAnsi"/>
          <w:sz w:val="24"/>
          <w:szCs w:val="24"/>
        </w:rPr>
        <w:t>, with steady usage</w:t>
      </w:r>
      <w:r>
        <w:rPr>
          <w:rFonts w:cstheme="minorHAnsi"/>
          <w:sz w:val="24"/>
          <w:szCs w:val="24"/>
        </w:rPr>
        <w:t xml:space="preserve"> for subsequent years</w:t>
      </w:r>
      <w:r w:rsidRPr="00223BA3">
        <w:rPr>
          <w:rFonts w:cstheme="minorHAnsi"/>
          <w:sz w:val="24"/>
          <w:szCs w:val="24"/>
        </w:rPr>
        <w:t>. Conversely, Meropenem consumption showed a significant decrease over time at the OUH site, and no change at UHS (</w:t>
      </w:r>
      <w:r w:rsidRPr="00D546EB">
        <w:rPr>
          <w:rFonts w:cstheme="minorHAnsi"/>
          <w:sz w:val="24"/>
          <w:szCs w:val="24"/>
          <w:highlight w:val="yellow"/>
        </w:rPr>
        <w:t>Figure 1B, supplementary table 2</w:t>
      </w:r>
      <w:r w:rsidRPr="00223BA3">
        <w:rPr>
          <w:rFonts w:cstheme="minorHAnsi"/>
          <w:sz w:val="24"/>
          <w:szCs w:val="24"/>
        </w:rPr>
        <w:t>). Ceftriaxone consumption showed no significant change over time at either site (</w:t>
      </w:r>
      <w:r w:rsidRPr="00D546EB">
        <w:rPr>
          <w:rFonts w:cstheme="minorHAnsi"/>
          <w:sz w:val="24"/>
          <w:szCs w:val="24"/>
          <w:highlight w:val="yellow"/>
        </w:rPr>
        <w:t>Figure 1C, supplementary table 2</w:t>
      </w:r>
      <w:r w:rsidRPr="00223BA3">
        <w:rPr>
          <w:rFonts w:cstheme="minorHAnsi"/>
          <w:sz w:val="24"/>
          <w:szCs w:val="24"/>
        </w:rPr>
        <w:t>).</w:t>
      </w:r>
    </w:p>
    <w:p w14:paraId="2997FCDE" w14:textId="77777777" w:rsidR="00970015" w:rsidRDefault="00970015" w:rsidP="00970015">
      <w:pPr>
        <w:spacing w:after="0" w:line="480" w:lineRule="auto"/>
      </w:pPr>
      <w:r w:rsidRPr="00223BA3">
        <w:rPr>
          <w:rFonts w:cstheme="minorHAnsi"/>
          <w:sz w:val="24"/>
          <w:szCs w:val="24"/>
        </w:rPr>
        <w:lastRenderedPageBreak/>
        <w:t>A small but statistically significant decrease in Vancomycin consumption was observed at both sites, with a greater decrease at OUH than UHS (annual decreases of 0.8 and 0.4 DOT</w:t>
      </w:r>
      <w:r>
        <w:rPr>
          <w:rFonts w:cstheme="minorHAnsi"/>
          <w:sz w:val="24"/>
          <w:szCs w:val="24"/>
        </w:rPr>
        <w:t xml:space="preserve"> </w:t>
      </w:r>
      <w:r w:rsidRPr="00223BA3">
        <w:rPr>
          <w:rFonts w:cstheme="minorHAnsi"/>
          <w:sz w:val="24"/>
          <w:szCs w:val="24"/>
        </w:rPr>
        <w:t xml:space="preserve">per-100-PD respectively, </w:t>
      </w:r>
      <w:r w:rsidRPr="00D546EB">
        <w:rPr>
          <w:rFonts w:cstheme="minorHAnsi"/>
          <w:sz w:val="24"/>
          <w:szCs w:val="24"/>
          <w:highlight w:val="yellow"/>
        </w:rPr>
        <w:t>supplementary table 2, Figure 1D</w:t>
      </w:r>
      <w:r w:rsidRPr="00223BA3">
        <w:rPr>
          <w:rFonts w:cstheme="minorHAnsi"/>
          <w:sz w:val="24"/>
          <w:szCs w:val="24"/>
        </w:rPr>
        <w:t>). Changes in Teicoplanin use were small, and only statistically significant for OUH. Similarly, we observed a small decrease in Gentamicin use at both sites, which was significant only for UHS.</w:t>
      </w:r>
    </w:p>
    <w:p w14:paraId="515F404E" w14:textId="57EEDD9F" w:rsidR="007320C8" w:rsidRPr="00CB351C" w:rsidRDefault="007320C8" w:rsidP="00CB351C">
      <w:pPr>
        <w:spacing w:after="0" w:line="480" w:lineRule="auto"/>
        <w:rPr>
          <w:rFonts w:cstheme="minorHAnsi"/>
          <w:sz w:val="24"/>
          <w:szCs w:val="24"/>
        </w:rPr>
      </w:pPr>
      <w:r w:rsidRPr="00223BA3">
        <w:rPr>
          <w:rFonts w:cstheme="minorHAnsi"/>
          <w:sz w:val="24"/>
          <w:szCs w:val="24"/>
        </w:rPr>
        <w:br w:type="page"/>
      </w:r>
      <w:r w:rsidRPr="00223BA3">
        <w:rPr>
          <w:rFonts w:cstheme="minorHAnsi"/>
          <w:b/>
          <w:bCs/>
          <w:sz w:val="24"/>
          <w:szCs w:val="24"/>
        </w:rPr>
        <w:t>DISCUSSION</w:t>
      </w:r>
      <w:r w:rsidR="00DB3DC8">
        <w:rPr>
          <w:rFonts w:cstheme="minorHAnsi"/>
          <w:b/>
          <w:bCs/>
          <w:sz w:val="24"/>
          <w:szCs w:val="24"/>
        </w:rPr>
        <w:t xml:space="preserve"> [</w:t>
      </w:r>
      <w:r w:rsidR="00DB3DC8" w:rsidRPr="00DB3DC8">
        <w:rPr>
          <w:rFonts w:cstheme="minorHAnsi"/>
          <w:b/>
          <w:bCs/>
          <w:color w:val="FF0000"/>
          <w:sz w:val="24"/>
          <w:szCs w:val="24"/>
        </w:rPr>
        <w:t>59</w:t>
      </w:r>
      <w:r w:rsidR="00AE26B1">
        <w:rPr>
          <w:rFonts w:cstheme="minorHAnsi"/>
          <w:b/>
          <w:bCs/>
          <w:color w:val="FF0000"/>
          <w:sz w:val="24"/>
          <w:szCs w:val="24"/>
        </w:rPr>
        <w:t>5</w:t>
      </w:r>
      <w:r w:rsidR="00DB3DC8">
        <w:rPr>
          <w:rFonts w:cstheme="minorHAnsi"/>
          <w:b/>
          <w:bCs/>
          <w:sz w:val="24"/>
          <w:szCs w:val="24"/>
        </w:rPr>
        <w:t>]</w:t>
      </w:r>
    </w:p>
    <w:p w14:paraId="33D2DA4E" w14:textId="22E715AB" w:rsidR="00CB08C1" w:rsidRDefault="00CB08C1" w:rsidP="00CB08C1">
      <w:pPr>
        <w:spacing w:after="0" w:line="480" w:lineRule="auto"/>
        <w:rPr>
          <w:rFonts w:cstheme="minorHAnsi"/>
          <w:sz w:val="24"/>
          <w:szCs w:val="24"/>
        </w:rPr>
      </w:pPr>
      <w:r w:rsidRPr="00223BA3">
        <w:rPr>
          <w:rFonts w:cstheme="minorHAnsi"/>
          <w:sz w:val="24"/>
          <w:szCs w:val="24"/>
        </w:rPr>
        <w:t xml:space="preserve">This </w:t>
      </w:r>
      <w:r w:rsidRPr="00DB3DC8">
        <w:rPr>
          <w:rFonts w:cstheme="minorHAnsi"/>
          <w:color w:val="000000" w:themeColor="text1"/>
          <w:sz w:val="24"/>
          <w:szCs w:val="24"/>
        </w:rPr>
        <w:t xml:space="preserve">retrospective </w:t>
      </w:r>
      <w:r w:rsidRPr="00223BA3">
        <w:rPr>
          <w:rFonts w:cstheme="minorHAnsi"/>
          <w:sz w:val="24"/>
          <w:szCs w:val="24"/>
        </w:rPr>
        <w:t xml:space="preserve">study sought to </w:t>
      </w:r>
      <w:r>
        <w:rPr>
          <w:rFonts w:cstheme="minorHAnsi"/>
          <w:sz w:val="24"/>
          <w:szCs w:val="24"/>
        </w:rPr>
        <w:t>describe</w:t>
      </w:r>
      <w:r w:rsidRPr="00223BA3">
        <w:rPr>
          <w:rFonts w:cstheme="minorHAnsi"/>
          <w:sz w:val="24"/>
          <w:szCs w:val="24"/>
        </w:rPr>
        <w:t xml:space="preserve"> intravenous antibiotic use at two inpatient paediatric Haematology-Oncology units. Our findings demonstrate substantial similarity in overall use and trends between sites</w:t>
      </w:r>
      <w:r>
        <w:rPr>
          <w:rFonts w:cstheme="minorHAnsi"/>
          <w:sz w:val="24"/>
          <w:szCs w:val="24"/>
        </w:rPr>
        <w:t xml:space="preserve">. Key strengths </w:t>
      </w:r>
      <w:r w:rsidRPr="000255D5">
        <w:rPr>
          <w:rFonts w:cstheme="minorHAnsi"/>
          <w:sz w:val="24"/>
          <w:szCs w:val="24"/>
        </w:rPr>
        <w:t>to our approach are the simplicity, use of longitudinal administration dat</w:t>
      </w:r>
      <w:r w:rsidR="0054193D">
        <w:rPr>
          <w:rFonts w:cstheme="minorHAnsi"/>
          <w:sz w:val="24"/>
          <w:szCs w:val="24"/>
        </w:rPr>
        <w:t>a</w:t>
      </w:r>
      <w:r w:rsidRPr="000255D5">
        <w:rPr>
          <w:rFonts w:cstheme="minorHAnsi"/>
          <w:sz w:val="24"/>
          <w:szCs w:val="24"/>
        </w:rPr>
        <w:t xml:space="preserve"> rather than dispensary data or </w:t>
      </w:r>
      <w:r w:rsidR="00605186">
        <w:rPr>
          <w:rFonts w:cstheme="minorHAnsi"/>
          <w:sz w:val="24"/>
          <w:szCs w:val="24"/>
        </w:rPr>
        <w:t>p</w:t>
      </w:r>
      <w:r w:rsidR="003927C3" w:rsidRPr="00223BA3">
        <w:rPr>
          <w:rFonts w:cstheme="minorHAnsi"/>
          <w:sz w:val="24"/>
          <w:szCs w:val="24"/>
        </w:rPr>
        <w:t>oint-prevalence surveys</w:t>
      </w:r>
      <w:r w:rsidRPr="000255D5">
        <w:rPr>
          <w:rFonts w:cstheme="minorHAnsi"/>
          <w:sz w:val="24"/>
          <w:szCs w:val="24"/>
        </w:rPr>
        <w:t>, and paediatric-appropriate metrics</w:t>
      </w:r>
      <w:r>
        <w:rPr>
          <w:rFonts w:cstheme="minorHAnsi"/>
          <w:sz w:val="24"/>
          <w:szCs w:val="24"/>
        </w:rPr>
        <w:t xml:space="preserve">. The observed decrease in overall antibiotic use at both sites is a welcome finding, </w:t>
      </w:r>
      <w:r w:rsidRPr="00223BA3">
        <w:rPr>
          <w:rFonts w:cstheme="minorHAnsi"/>
          <w:sz w:val="24"/>
          <w:szCs w:val="24"/>
        </w:rPr>
        <w:t>given the worrying global pattern of increased AMR rates in children and adults.</w:t>
      </w:r>
      <w:r w:rsidR="00043C8F" w:rsidRPr="00043C8F">
        <w:rPr>
          <w:vertAlign w:val="superscript"/>
        </w:rPr>
        <w:t>12</w:t>
      </w:r>
      <w:r>
        <w:rPr>
          <w:rFonts w:cstheme="minorHAnsi"/>
          <w:sz w:val="24"/>
          <w:szCs w:val="24"/>
        </w:rPr>
        <w:t xml:space="preserve"> </w:t>
      </w:r>
      <w:r w:rsidRPr="00223BA3">
        <w:rPr>
          <w:rFonts w:cstheme="minorHAnsi"/>
          <w:sz w:val="24"/>
          <w:szCs w:val="24"/>
        </w:rPr>
        <w:t>The very low rate of Aminoglycoside and Glycopeptide consumption is also reassuring, suggesting good adherence to national guidelines on management of neutropenic sepsis.</w:t>
      </w:r>
      <w:r w:rsidR="00043C8F" w:rsidRPr="00043C8F">
        <w:rPr>
          <w:vertAlign w:val="superscript"/>
        </w:rPr>
        <w:t>13</w:t>
      </w:r>
    </w:p>
    <w:p w14:paraId="3B0DA6BF" w14:textId="77777777" w:rsidR="00CB08C1" w:rsidRDefault="00CB08C1" w:rsidP="00CB08C1">
      <w:pPr>
        <w:spacing w:after="0" w:line="480" w:lineRule="auto"/>
        <w:rPr>
          <w:rFonts w:cstheme="minorHAnsi"/>
          <w:sz w:val="24"/>
          <w:szCs w:val="24"/>
        </w:rPr>
      </w:pPr>
    </w:p>
    <w:p w14:paraId="15C2C102" w14:textId="5FA1A17B" w:rsidR="00CB08C1" w:rsidRDefault="00CB08C1" w:rsidP="00CB08C1">
      <w:pPr>
        <w:spacing w:after="0" w:line="480" w:lineRule="auto"/>
        <w:rPr>
          <w:rFonts w:cstheme="minorHAnsi"/>
          <w:sz w:val="24"/>
          <w:szCs w:val="24"/>
        </w:rPr>
      </w:pPr>
      <w:r>
        <w:rPr>
          <w:rFonts w:cstheme="minorHAnsi"/>
          <w:sz w:val="24"/>
          <w:szCs w:val="24"/>
        </w:rPr>
        <w:t xml:space="preserve">Although prescribing patterns at both sites were similar overall, significant differences were observed, </w:t>
      </w:r>
      <w:r w:rsidRPr="003B2BB8">
        <w:rPr>
          <w:rFonts w:cstheme="minorHAnsi"/>
          <w:sz w:val="24"/>
          <w:szCs w:val="24"/>
        </w:rPr>
        <w:t>demonstrat</w:t>
      </w:r>
      <w:r>
        <w:rPr>
          <w:rFonts w:cstheme="minorHAnsi"/>
          <w:sz w:val="24"/>
          <w:szCs w:val="24"/>
        </w:rPr>
        <w:t xml:space="preserve">ing </w:t>
      </w:r>
      <w:r w:rsidRPr="003B2BB8">
        <w:rPr>
          <w:rFonts w:cstheme="minorHAnsi"/>
          <w:sz w:val="24"/>
          <w:szCs w:val="24"/>
        </w:rPr>
        <w:t xml:space="preserve">the power of this approach to produce vital benchmarking data. For example, the observed lower rate of Ceftriaxone use at UHS identifies a possible target </w:t>
      </w:r>
      <w:r>
        <w:rPr>
          <w:rFonts w:cstheme="minorHAnsi"/>
          <w:sz w:val="24"/>
          <w:szCs w:val="24"/>
        </w:rPr>
        <w:t xml:space="preserve">for </w:t>
      </w:r>
      <w:r w:rsidRPr="003B2BB8">
        <w:rPr>
          <w:rFonts w:cstheme="minorHAnsi"/>
          <w:sz w:val="24"/>
          <w:szCs w:val="24"/>
        </w:rPr>
        <w:t>AMS interventions. As very broad-spectrum antimicrobial use is high in this vulnerable patient group, especially Piperacillin/tazobactam and Meropenem, a switch to Ceftriaxone when appropriate, such as in non-neutropeni</w:t>
      </w:r>
      <w:r w:rsidR="003A3C19">
        <w:rPr>
          <w:rFonts w:cstheme="minorHAnsi"/>
          <w:sz w:val="24"/>
          <w:szCs w:val="24"/>
        </w:rPr>
        <w:t>c</w:t>
      </w:r>
      <w:r w:rsidRPr="003B2BB8">
        <w:rPr>
          <w:rFonts w:cstheme="minorHAnsi"/>
          <w:sz w:val="24"/>
          <w:szCs w:val="24"/>
        </w:rPr>
        <w:t xml:space="preserve"> febrile patients, is desirable, and </w:t>
      </w:r>
      <w:r>
        <w:rPr>
          <w:rFonts w:cstheme="minorHAnsi"/>
          <w:sz w:val="24"/>
          <w:szCs w:val="24"/>
        </w:rPr>
        <w:t xml:space="preserve">also </w:t>
      </w:r>
      <w:r w:rsidRPr="003B2BB8">
        <w:rPr>
          <w:rFonts w:cstheme="minorHAnsi"/>
          <w:sz w:val="24"/>
          <w:szCs w:val="24"/>
        </w:rPr>
        <w:t xml:space="preserve">facilitates ambulatory care. </w:t>
      </w:r>
      <w:r w:rsidRPr="00223BA3">
        <w:rPr>
          <w:rFonts w:cstheme="minorHAnsi"/>
          <w:sz w:val="24"/>
          <w:szCs w:val="24"/>
        </w:rPr>
        <w:t>Targeting paediatric Haematology-Oncology AMS interventions to specific antimicrobial groups has been shown to be feasible and safe whilst also reducing antimicrobial exposure, AMR rates, and cost.</w:t>
      </w:r>
      <w:r w:rsidR="00043C8F" w:rsidRPr="00043C8F">
        <w:rPr>
          <w:vertAlign w:val="superscript"/>
        </w:rPr>
        <w:t>14</w:t>
      </w:r>
      <w:r w:rsidR="00043C8F" w:rsidRPr="004B3AA3">
        <w:rPr>
          <w:rFonts w:cstheme="minorHAnsi"/>
          <w:noProof/>
          <w:sz w:val="24"/>
          <w:szCs w:val="24"/>
          <w:vertAlign w:val="superscript"/>
        </w:rPr>
        <w:t>,</w:t>
      </w:r>
      <w:r w:rsidR="00043C8F" w:rsidRPr="00043C8F">
        <w:rPr>
          <w:vertAlign w:val="superscript"/>
        </w:rPr>
        <w:t>15</w:t>
      </w:r>
      <w:r>
        <w:rPr>
          <w:rFonts w:cstheme="minorHAnsi"/>
          <w:sz w:val="24"/>
          <w:szCs w:val="24"/>
          <w:vertAlign w:val="superscript"/>
        </w:rPr>
        <w:t xml:space="preserve"> </w:t>
      </w:r>
      <w:r>
        <w:rPr>
          <w:rFonts w:cstheme="minorHAnsi"/>
          <w:sz w:val="24"/>
          <w:szCs w:val="24"/>
        </w:rPr>
        <w:t>Our use of</w:t>
      </w:r>
      <w:r w:rsidRPr="003B2BB8">
        <w:rPr>
          <w:rFonts w:cstheme="minorHAnsi"/>
          <w:sz w:val="24"/>
          <w:szCs w:val="24"/>
        </w:rPr>
        <w:t xml:space="preserve"> continuous data </w:t>
      </w:r>
      <w:r>
        <w:rPr>
          <w:rFonts w:cstheme="minorHAnsi"/>
          <w:sz w:val="24"/>
          <w:szCs w:val="24"/>
        </w:rPr>
        <w:t xml:space="preserve">also </w:t>
      </w:r>
      <w:r w:rsidRPr="003B2BB8">
        <w:rPr>
          <w:rFonts w:cstheme="minorHAnsi"/>
          <w:sz w:val="24"/>
          <w:szCs w:val="24"/>
        </w:rPr>
        <w:t xml:space="preserve">enables </w:t>
      </w:r>
      <w:r>
        <w:rPr>
          <w:rFonts w:cstheme="minorHAnsi"/>
          <w:sz w:val="24"/>
          <w:szCs w:val="24"/>
        </w:rPr>
        <w:t xml:space="preserve">temporal </w:t>
      </w:r>
      <w:r w:rsidRPr="003B2BB8">
        <w:rPr>
          <w:rFonts w:cstheme="minorHAnsi"/>
          <w:sz w:val="24"/>
          <w:szCs w:val="24"/>
        </w:rPr>
        <w:t>intra-site benchmarking</w:t>
      </w:r>
      <w:r>
        <w:rPr>
          <w:rFonts w:cstheme="minorHAnsi"/>
          <w:sz w:val="24"/>
          <w:szCs w:val="24"/>
        </w:rPr>
        <w:t>,</w:t>
      </w:r>
      <w:r w:rsidRPr="003B2BB8">
        <w:rPr>
          <w:rFonts w:cstheme="minorHAnsi"/>
          <w:sz w:val="24"/>
          <w:szCs w:val="24"/>
        </w:rPr>
        <w:t xml:space="preserve"> </w:t>
      </w:r>
      <w:r>
        <w:rPr>
          <w:rFonts w:cstheme="minorHAnsi"/>
          <w:sz w:val="24"/>
          <w:szCs w:val="24"/>
        </w:rPr>
        <w:t>and could be used to assess the impact of such targeted interventions, with</w:t>
      </w:r>
      <w:r w:rsidRPr="003B2BB8">
        <w:rPr>
          <w:rFonts w:cstheme="minorHAnsi"/>
          <w:sz w:val="24"/>
          <w:szCs w:val="24"/>
        </w:rPr>
        <w:t xml:space="preserve"> </w:t>
      </w:r>
      <w:r>
        <w:rPr>
          <w:rFonts w:cstheme="minorHAnsi"/>
          <w:sz w:val="24"/>
          <w:szCs w:val="24"/>
        </w:rPr>
        <w:t>greater precision than other methods</w:t>
      </w:r>
      <w:r w:rsidRPr="003B2BB8">
        <w:rPr>
          <w:rFonts w:cstheme="minorHAnsi"/>
          <w:sz w:val="24"/>
          <w:szCs w:val="24"/>
        </w:rPr>
        <w:t>.</w:t>
      </w:r>
    </w:p>
    <w:p w14:paraId="6B733879" w14:textId="77777777" w:rsidR="00CB08C1" w:rsidRDefault="00CB08C1" w:rsidP="00CB08C1">
      <w:pPr>
        <w:spacing w:after="0" w:line="480" w:lineRule="auto"/>
        <w:rPr>
          <w:rFonts w:cstheme="minorHAnsi"/>
          <w:sz w:val="24"/>
          <w:szCs w:val="24"/>
        </w:rPr>
      </w:pPr>
    </w:p>
    <w:p w14:paraId="3E4A767D" w14:textId="5E40B9A0" w:rsidR="00CB08C1" w:rsidRDefault="00CB08C1" w:rsidP="00CB08C1">
      <w:pPr>
        <w:spacing w:after="0" w:line="480" w:lineRule="auto"/>
        <w:rPr>
          <w:rFonts w:cstheme="minorHAnsi"/>
          <w:sz w:val="24"/>
          <w:szCs w:val="24"/>
        </w:rPr>
      </w:pPr>
      <w:r w:rsidRPr="00223BA3">
        <w:rPr>
          <w:rFonts w:cstheme="minorHAnsi"/>
          <w:sz w:val="24"/>
          <w:szCs w:val="24"/>
        </w:rPr>
        <w:lastRenderedPageBreak/>
        <w:t>Lack of similar data limits comparisons that can be made between our data and other centres. Where similar data is available, there are often multiple confounders limiting interpretability.</w:t>
      </w:r>
      <w:r w:rsidR="00043C8F" w:rsidRPr="00043C8F">
        <w:rPr>
          <w:vertAlign w:val="superscript"/>
        </w:rPr>
        <w:t>3</w:t>
      </w:r>
      <w:r w:rsidR="00043C8F" w:rsidRPr="004B3AA3">
        <w:rPr>
          <w:rFonts w:cstheme="minorHAnsi"/>
          <w:noProof/>
          <w:sz w:val="24"/>
          <w:szCs w:val="24"/>
          <w:vertAlign w:val="superscript"/>
        </w:rPr>
        <w:t>,</w:t>
      </w:r>
      <w:r w:rsidR="00043C8F" w:rsidRPr="00043C8F">
        <w:rPr>
          <w:vertAlign w:val="superscript"/>
        </w:rPr>
        <w:t>16</w:t>
      </w:r>
      <w:r w:rsidRPr="00223BA3">
        <w:rPr>
          <w:rFonts w:cstheme="minorHAnsi"/>
          <w:sz w:val="24"/>
          <w:szCs w:val="24"/>
        </w:rPr>
        <w:t xml:space="preserve"> </w:t>
      </w:r>
      <w:r>
        <w:rPr>
          <w:rFonts w:cstheme="minorHAnsi"/>
          <w:sz w:val="24"/>
          <w:szCs w:val="24"/>
        </w:rPr>
        <w:t xml:space="preserve">This highlights the need for a more systematic approach to AC reporting in children. </w:t>
      </w:r>
      <w:r w:rsidRPr="00223BA3">
        <w:rPr>
          <w:rFonts w:cstheme="minorHAnsi"/>
          <w:sz w:val="24"/>
          <w:szCs w:val="24"/>
        </w:rPr>
        <w:t xml:space="preserve">Numerous expert consensus reviews have highlighted the importance of systematic surveillance of both </w:t>
      </w:r>
      <w:r>
        <w:rPr>
          <w:rFonts w:cstheme="minorHAnsi"/>
          <w:sz w:val="24"/>
          <w:szCs w:val="24"/>
        </w:rPr>
        <w:t>AC</w:t>
      </w:r>
      <w:r w:rsidRPr="00223BA3">
        <w:rPr>
          <w:rFonts w:cstheme="minorHAnsi"/>
          <w:sz w:val="24"/>
          <w:szCs w:val="24"/>
        </w:rPr>
        <w:t xml:space="preserve"> and AMR,</w:t>
      </w:r>
      <w:r w:rsidR="00043C8F" w:rsidRPr="00043C8F">
        <w:rPr>
          <w:vertAlign w:val="superscript"/>
        </w:rPr>
        <w:t>17</w:t>
      </w:r>
      <w:r w:rsidR="00043C8F" w:rsidRPr="004B3AA3">
        <w:rPr>
          <w:rFonts w:cstheme="minorHAnsi"/>
          <w:noProof/>
          <w:sz w:val="24"/>
          <w:szCs w:val="24"/>
          <w:vertAlign w:val="superscript"/>
        </w:rPr>
        <w:t>,</w:t>
      </w:r>
      <w:r w:rsidR="00043C8F" w:rsidRPr="00043C8F">
        <w:rPr>
          <w:vertAlign w:val="superscript"/>
        </w:rPr>
        <w:t>18</w:t>
      </w:r>
      <w:r w:rsidRPr="00223BA3">
        <w:rPr>
          <w:rFonts w:cstheme="minorHAnsi"/>
          <w:sz w:val="24"/>
          <w:szCs w:val="24"/>
        </w:rPr>
        <w:t xml:space="preserve"> as understanding the interplay between these factors is crucial to developing effective and safe AMS strategies.</w:t>
      </w:r>
    </w:p>
    <w:p w14:paraId="49B06F0E" w14:textId="77777777" w:rsidR="00CB08C1" w:rsidRDefault="00CB08C1" w:rsidP="00CB08C1">
      <w:pPr>
        <w:spacing w:after="0" w:line="480" w:lineRule="auto"/>
        <w:rPr>
          <w:rFonts w:cstheme="minorHAnsi"/>
          <w:sz w:val="24"/>
          <w:szCs w:val="24"/>
        </w:rPr>
      </w:pPr>
    </w:p>
    <w:p w14:paraId="10A1372B" w14:textId="77777777" w:rsidR="00CB08C1" w:rsidRDefault="00CB08C1" w:rsidP="00CB08C1">
      <w:pPr>
        <w:spacing w:after="0" w:line="480" w:lineRule="auto"/>
        <w:rPr>
          <w:rFonts w:cstheme="minorHAnsi"/>
          <w:sz w:val="24"/>
          <w:szCs w:val="24"/>
        </w:rPr>
      </w:pPr>
      <w:r w:rsidRPr="00223BA3">
        <w:rPr>
          <w:rFonts w:cstheme="minorHAnsi"/>
          <w:sz w:val="24"/>
          <w:szCs w:val="24"/>
        </w:rPr>
        <w:t>Our study has important limitations.</w:t>
      </w:r>
      <w:r w:rsidRPr="00775F38">
        <w:rPr>
          <w:rFonts w:cstheme="minorHAnsi"/>
          <w:sz w:val="24"/>
          <w:szCs w:val="24"/>
        </w:rPr>
        <w:t xml:space="preserve"> </w:t>
      </w:r>
      <w:r w:rsidRPr="00223BA3">
        <w:rPr>
          <w:rFonts w:cstheme="minorHAnsi"/>
          <w:sz w:val="24"/>
          <w:szCs w:val="24"/>
        </w:rPr>
        <w:t>Including only two sites</w:t>
      </w:r>
      <w:r>
        <w:rPr>
          <w:rFonts w:cstheme="minorHAnsi"/>
          <w:sz w:val="24"/>
          <w:szCs w:val="24"/>
        </w:rPr>
        <w:t>, neither of which offers allogenic BMT, limits generalisability</w:t>
      </w:r>
      <w:r w:rsidRPr="00223BA3">
        <w:rPr>
          <w:rFonts w:cstheme="minorHAnsi"/>
          <w:sz w:val="24"/>
          <w:szCs w:val="24"/>
        </w:rPr>
        <w:t xml:space="preserve">. However, </w:t>
      </w:r>
      <w:r>
        <w:rPr>
          <w:rFonts w:cstheme="minorHAnsi"/>
          <w:sz w:val="24"/>
          <w:szCs w:val="24"/>
        </w:rPr>
        <w:t xml:space="preserve">this </w:t>
      </w:r>
      <w:r w:rsidRPr="00223BA3">
        <w:rPr>
          <w:rFonts w:cstheme="minorHAnsi"/>
          <w:sz w:val="24"/>
          <w:szCs w:val="24"/>
        </w:rPr>
        <w:t xml:space="preserve">is a highly specialised service, offered at a small number of centres. Our data will therefore be meaningful to many units in the UK and abroad. </w:t>
      </w:r>
    </w:p>
    <w:p w14:paraId="13CE2040" w14:textId="77777777" w:rsidR="00CB08C1" w:rsidRDefault="00CB08C1" w:rsidP="00CB08C1">
      <w:pPr>
        <w:spacing w:after="0" w:line="480" w:lineRule="auto"/>
        <w:rPr>
          <w:rFonts w:cstheme="minorHAnsi"/>
          <w:sz w:val="24"/>
          <w:szCs w:val="24"/>
        </w:rPr>
      </w:pPr>
    </w:p>
    <w:p w14:paraId="65B7F07E" w14:textId="003854FD" w:rsidR="00CB08C1" w:rsidRDefault="00CB08C1" w:rsidP="00CB08C1">
      <w:pPr>
        <w:spacing w:after="0" w:line="480" w:lineRule="auto"/>
        <w:rPr>
          <w:rFonts w:cstheme="minorHAnsi"/>
          <w:sz w:val="24"/>
          <w:szCs w:val="24"/>
        </w:rPr>
      </w:pPr>
      <w:r>
        <w:rPr>
          <w:rFonts w:cstheme="minorHAnsi"/>
          <w:sz w:val="24"/>
          <w:szCs w:val="24"/>
        </w:rPr>
        <w:t>In this current analysis we were unable to link data to report additional measures of interest, including</w:t>
      </w:r>
      <w:r w:rsidRPr="00B95D2B">
        <w:rPr>
          <w:rFonts w:cstheme="minorHAnsi"/>
          <w:sz w:val="24"/>
          <w:szCs w:val="24"/>
        </w:rPr>
        <w:t xml:space="preserve"> </w:t>
      </w:r>
      <w:r w:rsidRPr="00223BA3">
        <w:rPr>
          <w:rFonts w:cstheme="minorHAnsi"/>
          <w:sz w:val="24"/>
          <w:szCs w:val="24"/>
        </w:rPr>
        <w:t>length of antibiotic course, dosing, indication, prophylaxis versus treatment,</w:t>
      </w:r>
      <w:r>
        <w:rPr>
          <w:rFonts w:cstheme="minorHAnsi"/>
          <w:sz w:val="24"/>
          <w:szCs w:val="24"/>
        </w:rPr>
        <w:t xml:space="preserve"> case-mix,</w:t>
      </w:r>
      <w:r w:rsidRPr="00223BA3">
        <w:rPr>
          <w:rFonts w:cstheme="minorHAnsi"/>
          <w:sz w:val="24"/>
          <w:szCs w:val="24"/>
        </w:rPr>
        <w:t xml:space="preserve"> or clinical outcomes</w:t>
      </w:r>
      <w:r>
        <w:rPr>
          <w:rFonts w:cstheme="minorHAnsi"/>
          <w:sz w:val="24"/>
          <w:szCs w:val="24"/>
        </w:rPr>
        <w:t xml:space="preserve">. This would require additional funding specifically for paediatric AMS activities at both sites, but would greatly enhance the clinical impact of this data. We also restricted this analysis to intravenous antibiotics to present a clear message. Future work will focus on additional antimicrobial groups and routes. </w:t>
      </w:r>
      <w:r w:rsidRPr="00223BA3">
        <w:rPr>
          <w:rFonts w:cstheme="minorHAnsi"/>
          <w:sz w:val="24"/>
          <w:szCs w:val="24"/>
        </w:rPr>
        <w:t xml:space="preserve">We have assumed the case-mix is comparable based on the </w:t>
      </w:r>
      <w:r>
        <w:rPr>
          <w:rFonts w:cstheme="minorHAnsi"/>
          <w:sz w:val="24"/>
          <w:szCs w:val="24"/>
        </w:rPr>
        <w:t xml:space="preserve">scope and size of each </w:t>
      </w:r>
      <w:r w:rsidRPr="00223BA3">
        <w:rPr>
          <w:rFonts w:cstheme="minorHAnsi"/>
          <w:sz w:val="24"/>
          <w:szCs w:val="24"/>
        </w:rPr>
        <w:t>service, and through anecdotal discussion with service providers. However, these discussions revealed some potential differences that could affect our results</w:t>
      </w:r>
      <w:r>
        <w:rPr>
          <w:rFonts w:cstheme="minorHAnsi"/>
          <w:sz w:val="24"/>
          <w:szCs w:val="24"/>
        </w:rPr>
        <w:t>, but which we could not directly measure</w:t>
      </w:r>
      <w:r w:rsidRPr="00223BA3">
        <w:rPr>
          <w:rFonts w:cstheme="minorHAnsi"/>
          <w:sz w:val="24"/>
          <w:szCs w:val="24"/>
        </w:rPr>
        <w:t xml:space="preserve">, such as </w:t>
      </w:r>
      <w:r w:rsidR="000B0D1A">
        <w:rPr>
          <w:rFonts w:cstheme="minorHAnsi"/>
          <w:sz w:val="24"/>
          <w:szCs w:val="24"/>
        </w:rPr>
        <w:t xml:space="preserve">the </w:t>
      </w:r>
      <w:r w:rsidRPr="00223BA3">
        <w:rPr>
          <w:rFonts w:cstheme="minorHAnsi"/>
          <w:sz w:val="24"/>
          <w:szCs w:val="24"/>
        </w:rPr>
        <w:t>proportions of “outlier” patients</w:t>
      </w:r>
      <w:r>
        <w:rPr>
          <w:rFonts w:cstheme="minorHAnsi"/>
          <w:sz w:val="24"/>
          <w:szCs w:val="24"/>
        </w:rPr>
        <w:t xml:space="preserve">, </w:t>
      </w:r>
      <w:r w:rsidRPr="00223BA3">
        <w:rPr>
          <w:rFonts w:cstheme="minorHAnsi"/>
          <w:sz w:val="24"/>
          <w:szCs w:val="24"/>
        </w:rPr>
        <w:t>treated for a Haematological or Oncological condition outside of the specialist ward</w:t>
      </w:r>
      <w:r>
        <w:rPr>
          <w:rFonts w:cstheme="minorHAnsi"/>
          <w:sz w:val="24"/>
          <w:szCs w:val="24"/>
        </w:rPr>
        <w:t>.</w:t>
      </w:r>
    </w:p>
    <w:p w14:paraId="5C920948" w14:textId="77777777" w:rsidR="00CB08C1" w:rsidRDefault="00CB08C1" w:rsidP="00CB08C1">
      <w:pPr>
        <w:spacing w:after="0" w:line="480" w:lineRule="auto"/>
        <w:rPr>
          <w:rFonts w:cstheme="minorHAnsi"/>
          <w:sz w:val="24"/>
          <w:szCs w:val="24"/>
        </w:rPr>
      </w:pPr>
    </w:p>
    <w:p w14:paraId="697B047E" w14:textId="5A769664" w:rsidR="00CB08C1" w:rsidRDefault="00CB08C1" w:rsidP="00CB08C1">
      <w:pPr>
        <w:spacing w:after="0" w:line="480" w:lineRule="auto"/>
        <w:rPr>
          <w:rFonts w:cstheme="minorHAnsi"/>
          <w:sz w:val="24"/>
          <w:szCs w:val="24"/>
        </w:rPr>
      </w:pPr>
      <w:r w:rsidRPr="00223BA3">
        <w:rPr>
          <w:rFonts w:cstheme="minorHAnsi"/>
          <w:sz w:val="24"/>
          <w:szCs w:val="24"/>
        </w:rPr>
        <w:lastRenderedPageBreak/>
        <w:t xml:space="preserve">Despite these limitations, we believe our </w:t>
      </w:r>
      <w:r>
        <w:rPr>
          <w:rFonts w:cstheme="minorHAnsi"/>
          <w:sz w:val="24"/>
          <w:szCs w:val="24"/>
        </w:rPr>
        <w:t>study</w:t>
      </w:r>
      <w:r w:rsidRPr="00223BA3">
        <w:rPr>
          <w:rFonts w:cstheme="minorHAnsi"/>
          <w:sz w:val="24"/>
          <w:szCs w:val="24"/>
        </w:rPr>
        <w:t xml:space="preserve"> establishes a simple and reproducible methodology for</w:t>
      </w:r>
      <w:r>
        <w:rPr>
          <w:rFonts w:cstheme="minorHAnsi"/>
          <w:sz w:val="24"/>
          <w:szCs w:val="24"/>
        </w:rPr>
        <w:t xml:space="preserve"> intra-site and inter-site benchmarking of AC, using routinely collected </w:t>
      </w:r>
      <w:r w:rsidRPr="00223BA3">
        <w:rPr>
          <w:rFonts w:cstheme="minorHAnsi"/>
          <w:sz w:val="24"/>
          <w:szCs w:val="24"/>
        </w:rPr>
        <w:t>electronic prescribing data, which we show can highlight clinically impactful similarities and differences in practice.</w:t>
      </w:r>
      <w:r>
        <w:rPr>
          <w:rFonts w:cstheme="minorHAnsi"/>
          <w:sz w:val="24"/>
          <w:szCs w:val="24"/>
        </w:rPr>
        <w:t xml:space="preserve"> This </w:t>
      </w:r>
      <w:r w:rsidRPr="00223BA3">
        <w:rPr>
          <w:rFonts w:cstheme="minorHAnsi"/>
          <w:sz w:val="24"/>
          <w:szCs w:val="24"/>
        </w:rPr>
        <w:t>provides a template for coordinating future large-scale</w:t>
      </w:r>
      <w:r>
        <w:rPr>
          <w:rFonts w:cstheme="minorHAnsi"/>
          <w:sz w:val="24"/>
          <w:szCs w:val="24"/>
        </w:rPr>
        <w:t xml:space="preserve"> paediatric AC monitoring in hospitals</w:t>
      </w:r>
      <w:r w:rsidRPr="00223BA3">
        <w:rPr>
          <w:rFonts w:cstheme="minorHAnsi"/>
          <w:sz w:val="24"/>
          <w:szCs w:val="24"/>
        </w:rPr>
        <w:t>. Such programs would</w:t>
      </w:r>
      <w:r w:rsidRPr="00635542">
        <w:rPr>
          <w:rFonts w:cstheme="minorHAnsi"/>
          <w:sz w:val="24"/>
          <w:szCs w:val="24"/>
        </w:rPr>
        <w:t xml:space="preserve"> </w:t>
      </w:r>
      <w:r w:rsidRPr="00223BA3">
        <w:rPr>
          <w:rFonts w:cstheme="minorHAnsi"/>
          <w:sz w:val="24"/>
          <w:szCs w:val="24"/>
        </w:rPr>
        <w:t xml:space="preserve">fill the existing void in systematic data on </w:t>
      </w:r>
      <w:r>
        <w:rPr>
          <w:rFonts w:cstheme="minorHAnsi"/>
          <w:sz w:val="24"/>
          <w:szCs w:val="24"/>
        </w:rPr>
        <w:t>AC</w:t>
      </w:r>
      <w:r w:rsidRPr="00223BA3">
        <w:rPr>
          <w:rFonts w:cstheme="minorHAnsi"/>
          <w:sz w:val="24"/>
          <w:szCs w:val="24"/>
        </w:rPr>
        <w:t xml:space="preserve"> in paediatric inpatients</w:t>
      </w:r>
      <w:r>
        <w:rPr>
          <w:rFonts w:cstheme="minorHAnsi"/>
          <w:sz w:val="24"/>
          <w:szCs w:val="24"/>
        </w:rPr>
        <w:t xml:space="preserve">, but would </w:t>
      </w:r>
      <w:r w:rsidRPr="00223BA3">
        <w:rPr>
          <w:rFonts w:cstheme="minorHAnsi"/>
          <w:sz w:val="24"/>
          <w:szCs w:val="24"/>
        </w:rPr>
        <w:t>require a centrally coordinated approach to enable uniformity of data collection, analysis, and reporting, to maximise comparability.</w:t>
      </w:r>
      <w:r w:rsidRPr="002208E2">
        <w:rPr>
          <w:rFonts w:cstheme="minorHAnsi"/>
          <w:sz w:val="24"/>
          <w:szCs w:val="24"/>
        </w:rPr>
        <w:t xml:space="preserve"> </w:t>
      </w:r>
      <w:r w:rsidRPr="00223BA3">
        <w:rPr>
          <w:rFonts w:cstheme="minorHAnsi"/>
          <w:sz w:val="24"/>
          <w:szCs w:val="24"/>
        </w:rPr>
        <w:t xml:space="preserve">This highlights the crucial role played by national bodies in recognising the risk of AMR in children and funding </w:t>
      </w:r>
      <w:r>
        <w:rPr>
          <w:rFonts w:cstheme="minorHAnsi"/>
          <w:sz w:val="24"/>
          <w:szCs w:val="24"/>
        </w:rPr>
        <w:t>Paediatric AMS</w:t>
      </w:r>
      <w:r w:rsidRPr="00223BA3">
        <w:rPr>
          <w:rFonts w:cstheme="minorHAnsi"/>
          <w:sz w:val="24"/>
          <w:szCs w:val="24"/>
        </w:rPr>
        <w:t xml:space="preserve"> services appropriately.</w:t>
      </w:r>
      <w:r w:rsidR="00043C8F" w:rsidRPr="00043C8F">
        <w:rPr>
          <w:vertAlign w:val="superscript"/>
        </w:rPr>
        <w:t>19</w:t>
      </w:r>
      <w:r w:rsidR="00043C8F" w:rsidRPr="004B3AA3">
        <w:rPr>
          <w:rFonts w:cstheme="minorHAnsi"/>
          <w:noProof/>
          <w:sz w:val="24"/>
          <w:szCs w:val="24"/>
          <w:vertAlign w:val="superscript"/>
        </w:rPr>
        <w:t>,</w:t>
      </w:r>
      <w:r w:rsidR="00043C8F" w:rsidRPr="00043C8F">
        <w:rPr>
          <w:vertAlign w:val="superscript"/>
        </w:rPr>
        <w:t>20</w:t>
      </w:r>
    </w:p>
    <w:p w14:paraId="625E0009" w14:textId="517C97A8" w:rsidR="007320C8" w:rsidRPr="00223BA3" w:rsidRDefault="007320C8" w:rsidP="00DE7836">
      <w:pPr>
        <w:spacing w:after="0" w:line="480" w:lineRule="auto"/>
        <w:rPr>
          <w:rFonts w:cstheme="minorHAnsi"/>
          <w:sz w:val="24"/>
          <w:szCs w:val="24"/>
        </w:rPr>
      </w:pPr>
      <w:r w:rsidRPr="00223BA3">
        <w:rPr>
          <w:rFonts w:cstheme="minorHAnsi"/>
          <w:sz w:val="24"/>
          <w:szCs w:val="24"/>
        </w:rPr>
        <w:br w:type="page"/>
      </w:r>
    </w:p>
    <w:p w14:paraId="29BD4DD1" w14:textId="77777777" w:rsidR="007320C8" w:rsidRPr="00223BA3" w:rsidRDefault="007320C8" w:rsidP="00DE7836">
      <w:pPr>
        <w:spacing w:after="0" w:line="480" w:lineRule="auto"/>
        <w:rPr>
          <w:rFonts w:cstheme="minorHAnsi"/>
          <w:b/>
          <w:bCs/>
          <w:sz w:val="24"/>
          <w:szCs w:val="24"/>
        </w:rPr>
      </w:pPr>
      <w:r w:rsidRPr="00223BA3">
        <w:rPr>
          <w:rFonts w:cstheme="minorHAnsi"/>
          <w:b/>
          <w:bCs/>
          <w:sz w:val="24"/>
          <w:szCs w:val="24"/>
        </w:rPr>
        <w:lastRenderedPageBreak/>
        <w:t>FOOTNOTES</w:t>
      </w:r>
    </w:p>
    <w:p w14:paraId="00520490" w14:textId="64DC9968" w:rsidR="007320C8" w:rsidRPr="00223BA3" w:rsidRDefault="007320C8" w:rsidP="00DE7836">
      <w:pPr>
        <w:spacing w:after="0" w:line="480" w:lineRule="auto"/>
        <w:rPr>
          <w:rFonts w:cstheme="minorHAnsi"/>
          <w:b/>
          <w:bCs/>
          <w:sz w:val="24"/>
          <w:szCs w:val="24"/>
        </w:rPr>
      </w:pPr>
      <w:r w:rsidRPr="00223BA3">
        <w:rPr>
          <w:rFonts w:cstheme="minorHAnsi"/>
          <w:b/>
          <w:bCs/>
          <w:sz w:val="24"/>
          <w:szCs w:val="24"/>
        </w:rPr>
        <w:t>Acknowledgements</w:t>
      </w:r>
    </w:p>
    <w:p w14:paraId="6836278C" w14:textId="77777777" w:rsidR="007320C8" w:rsidRPr="00223BA3" w:rsidRDefault="007320C8" w:rsidP="00DE7836">
      <w:pPr>
        <w:pStyle w:val="Header"/>
        <w:spacing w:line="480" w:lineRule="auto"/>
        <w:rPr>
          <w:rFonts w:cstheme="minorHAnsi"/>
          <w:sz w:val="24"/>
          <w:szCs w:val="24"/>
        </w:rPr>
      </w:pPr>
      <w:r w:rsidRPr="00223BA3">
        <w:rPr>
          <w:rFonts w:cstheme="minorHAnsi"/>
          <w:b/>
          <w:bCs/>
          <w:sz w:val="24"/>
          <w:szCs w:val="24"/>
        </w:rPr>
        <w:t xml:space="preserve">Transparency declarations: </w:t>
      </w:r>
      <w:r w:rsidRPr="00223BA3">
        <w:rPr>
          <w:rFonts w:cstheme="minorHAnsi"/>
          <w:sz w:val="24"/>
          <w:szCs w:val="24"/>
        </w:rPr>
        <w:t>All authors have no competing interests.</w:t>
      </w:r>
    </w:p>
    <w:p w14:paraId="3B47B394" w14:textId="04F40A41" w:rsidR="007320C8" w:rsidRPr="00011059" w:rsidRDefault="007320C8" w:rsidP="00011059">
      <w:pPr>
        <w:pStyle w:val="Header"/>
        <w:spacing w:line="480" w:lineRule="auto"/>
        <w:rPr>
          <w:rFonts w:cstheme="minorHAnsi"/>
          <w:sz w:val="24"/>
          <w:szCs w:val="24"/>
        </w:rPr>
      </w:pPr>
      <w:r w:rsidRPr="00223BA3">
        <w:rPr>
          <w:rFonts w:cstheme="minorHAnsi"/>
          <w:b/>
          <w:bCs/>
          <w:sz w:val="24"/>
          <w:szCs w:val="24"/>
        </w:rPr>
        <w:t xml:space="preserve">Funding: </w:t>
      </w:r>
      <w:r w:rsidRPr="00223BA3">
        <w:rPr>
          <w:rFonts w:cstheme="minorHAnsi"/>
          <w:sz w:val="24"/>
          <w:szCs w:val="24"/>
        </w:rPr>
        <w:t>This research did not receive any specific grant from funding agencies in the public, commercial, or not-for-profit sectors.</w:t>
      </w:r>
      <w:r w:rsidRPr="00223BA3">
        <w:rPr>
          <w:rFonts w:cstheme="minorHAnsi"/>
          <w:b/>
          <w:bCs/>
          <w:sz w:val="24"/>
          <w:szCs w:val="24"/>
        </w:rPr>
        <w:br w:type="page"/>
      </w:r>
    </w:p>
    <w:p w14:paraId="4B34423E" w14:textId="388401D9" w:rsidR="007320C8" w:rsidRPr="00223BA3" w:rsidRDefault="007320C8" w:rsidP="00DE7836">
      <w:pPr>
        <w:pStyle w:val="EndNoteBibliographyTitle"/>
        <w:spacing w:line="480" w:lineRule="auto"/>
        <w:jc w:val="left"/>
        <w:rPr>
          <w:rFonts w:asciiTheme="minorHAnsi" w:hAnsiTheme="minorHAnsi" w:cstheme="minorHAnsi"/>
          <w:b/>
          <w:bCs/>
          <w:sz w:val="24"/>
          <w:szCs w:val="24"/>
        </w:rPr>
      </w:pPr>
      <w:r w:rsidRPr="00223BA3">
        <w:rPr>
          <w:rFonts w:asciiTheme="minorHAnsi" w:hAnsiTheme="minorHAnsi" w:cstheme="minorHAnsi"/>
          <w:b/>
          <w:bCs/>
          <w:sz w:val="24"/>
          <w:szCs w:val="24"/>
        </w:rPr>
        <w:lastRenderedPageBreak/>
        <w:t>REFERENCES</w:t>
      </w:r>
    </w:p>
    <w:p w14:paraId="2EDE30B9" w14:textId="77777777" w:rsidR="007320C8" w:rsidRPr="00223BA3" w:rsidRDefault="007320C8" w:rsidP="00DE7836">
      <w:pPr>
        <w:pStyle w:val="EndNoteBibliography"/>
        <w:spacing w:after="0" w:line="480" w:lineRule="auto"/>
        <w:rPr>
          <w:rFonts w:asciiTheme="minorHAnsi" w:hAnsiTheme="minorHAnsi" w:cstheme="minorHAnsi"/>
          <w:sz w:val="24"/>
          <w:szCs w:val="24"/>
        </w:rPr>
      </w:pPr>
      <w:r w:rsidRPr="00223BA3">
        <w:rPr>
          <w:rFonts w:asciiTheme="minorHAnsi" w:hAnsiTheme="minorHAnsi" w:cstheme="minorHAnsi"/>
          <w:sz w:val="24"/>
          <w:szCs w:val="24"/>
        </w:rPr>
        <w:t>1.</w:t>
      </w:r>
      <w:r w:rsidRPr="00223BA3">
        <w:rPr>
          <w:rFonts w:asciiTheme="minorHAnsi" w:hAnsiTheme="minorHAnsi" w:cstheme="minorHAnsi"/>
          <w:sz w:val="24"/>
          <w:szCs w:val="24"/>
        </w:rPr>
        <w:tab/>
        <w:t xml:space="preserve">Hagedoorn NN, Borensztajn DM, Nijman R, et al. Variation in antibiotic prescription rates in febrile children presenting to emergency departments across Europe (MOFICHE): A multicentre observational study. </w:t>
      </w:r>
      <w:r w:rsidRPr="00223BA3">
        <w:rPr>
          <w:rFonts w:asciiTheme="minorHAnsi" w:hAnsiTheme="minorHAnsi" w:cstheme="minorHAnsi"/>
          <w:i/>
          <w:sz w:val="24"/>
          <w:szCs w:val="24"/>
        </w:rPr>
        <w:t>PLoS Med</w:t>
      </w:r>
      <w:r w:rsidRPr="00223BA3">
        <w:rPr>
          <w:rFonts w:asciiTheme="minorHAnsi" w:hAnsiTheme="minorHAnsi" w:cstheme="minorHAnsi"/>
          <w:sz w:val="24"/>
          <w:szCs w:val="24"/>
        </w:rPr>
        <w:t xml:space="preserve"> 2020; </w:t>
      </w:r>
      <w:r w:rsidRPr="00223BA3">
        <w:rPr>
          <w:rFonts w:asciiTheme="minorHAnsi" w:hAnsiTheme="minorHAnsi" w:cstheme="minorHAnsi"/>
          <w:b/>
          <w:sz w:val="24"/>
          <w:szCs w:val="24"/>
        </w:rPr>
        <w:t>17</w:t>
      </w:r>
      <w:r w:rsidRPr="00223BA3">
        <w:rPr>
          <w:rFonts w:asciiTheme="minorHAnsi" w:hAnsiTheme="minorHAnsi" w:cstheme="minorHAnsi"/>
          <w:sz w:val="24"/>
          <w:szCs w:val="24"/>
        </w:rPr>
        <w:t>(8): e1003208.</w:t>
      </w:r>
    </w:p>
    <w:p w14:paraId="52EC3D18" w14:textId="1EB70D74" w:rsidR="007320C8" w:rsidRPr="00223BA3" w:rsidRDefault="005E6709" w:rsidP="00DE7836">
      <w:pPr>
        <w:pStyle w:val="EndNoteBibliography"/>
        <w:spacing w:after="0" w:line="480" w:lineRule="auto"/>
        <w:rPr>
          <w:rFonts w:asciiTheme="minorHAnsi" w:hAnsiTheme="minorHAnsi" w:cstheme="minorHAnsi"/>
          <w:sz w:val="24"/>
          <w:szCs w:val="24"/>
        </w:rPr>
      </w:pPr>
      <w:r>
        <w:rPr>
          <w:rFonts w:asciiTheme="minorHAnsi" w:hAnsiTheme="minorHAnsi" w:cstheme="minorHAnsi"/>
          <w:sz w:val="24"/>
          <w:szCs w:val="24"/>
        </w:rPr>
        <w:t>2</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 xml:space="preserve">Wolf J, Sun Y, Tang L, et al. Antimicrobial Stewardship Barriers and Goals in Pediatric Oncology and Bone Marrow Transplantation: A Survey of Antimicrobial Stewardship Practitioners. </w:t>
      </w:r>
      <w:r w:rsidR="007320C8" w:rsidRPr="00223BA3">
        <w:rPr>
          <w:rFonts w:asciiTheme="minorHAnsi" w:hAnsiTheme="minorHAnsi" w:cstheme="minorHAnsi"/>
          <w:i/>
          <w:sz w:val="24"/>
          <w:szCs w:val="24"/>
        </w:rPr>
        <w:t>Infect Control Hosp Epidemiol</w:t>
      </w:r>
      <w:r w:rsidR="007320C8" w:rsidRPr="00223BA3">
        <w:rPr>
          <w:rFonts w:asciiTheme="minorHAnsi" w:hAnsiTheme="minorHAnsi" w:cstheme="minorHAnsi"/>
          <w:sz w:val="24"/>
          <w:szCs w:val="24"/>
        </w:rPr>
        <w:t xml:space="preserve"> 2016; </w:t>
      </w:r>
      <w:r w:rsidR="007320C8" w:rsidRPr="00223BA3">
        <w:rPr>
          <w:rFonts w:asciiTheme="minorHAnsi" w:hAnsiTheme="minorHAnsi" w:cstheme="minorHAnsi"/>
          <w:b/>
          <w:sz w:val="24"/>
          <w:szCs w:val="24"/>
        </w:rPr>
        <w:t>37</w:t>
      </w:r>
      <w:r w:rsidR="007320C8" w:rsidRPr="00223BA3">
        <w:rPr>
          <w:rFonts w:asciiTheme="minorHAnsi" w:hAnsiTheme="minorHAnsi" w:cstheme="minorHAnsi"/>
          <w:sz w:val="24"/>
          <w:szCs w:val="24"/>
        </w:rPr>
        <w:t>(3): 343-7.</w:t>
      </w:r>
    </w:p>
    <w:p w14:paraId="0CB41091" w14:textId="4453E981" w:rsidR="007320C8" w:rsidRPr="00223BA3" w:rsidRDefault="005E6709" w:rsidP="00DE7836">
      <w:pPr>
        <w:pStyle w:val="EndNoteBibliography"/>
        <w:spacing w:after="0" w:line="480" w:lineRule="auto"/>
        <w:rPr>
          <w:rFonts w:asciiTheme="minorHAnsi" w:hAnsiTheme="minorHAnsi" w:cstheme="minorHAnsi"/>
          <w:sz w:val="24"/>
          <w:szCs w:val="24"/>
        </w:rPr>
      </w:pPr>
      <w:r>
        <w:rPr>
          <w:rFonts w:asciiTheme="minorHAnsi" w:hAnsiTheme="minorHAnsi" w:cstheme="minorHAnsi"/>
          <w:sz w:val="24"/>
          <w:szCs w:val="24"/>
        </w:rPr>
        <w:t>3</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 xml:space="preserve">Papan C, Reifenrath K, Last K, et al. Antimicrobial use in pediatric oncology and hematology in Germany and Austria, 2020/2021: a cross-sectional, multi-center point-prevalence study with a multi-step qualitative adjudication process. </w:t>
      </w:r>
      <w:r w:rsidR="007320C8" w:rsidRPr="00223BA3">
        <w:rPr>
          <w:rFonts w:asciiTheme="minorHAnsi" w:hAnsiTheme="minorHAnsi" w:cstheme="minorHAnsi"/>
          <w:i/>
          <w:sz w:val="24"/>
          <w:szCs w:val="24"/>
        </w:rPr>
        <w:t>The Lancet Regional Health - Europe</w:t>
      </w:r>
      <w:r w:rsidR="007320C8" w:rsidRPr="00223BA3">
        <w:rPr>
          <w:rFonts w:asciiTheme="minorHAnsi" w:hAnsiTheme="minorHAnsi" w:cstheme="minorHAnsi"/>
          <w:sz w:val="24"/>
          <w:szCs w:val="24"/>
        </w:rPr>
        <w:t xml:space="preserve"> 2023.</w:t>
      </w:r>
    </w:p>
    <w:p w14:paraId="38B50F3C" w14:textId="3FFDFC48" w:rsidR="007320C8" w:rsidRPr="00223BA3" w:rsidRDefault="007C058C" w:rsidP="00DE7836">
      <w:pPr>
        <w:pStyle w:val="EndNoteBibliography"/>
        <w:spacing w:after="0" w:line="480" w:lineRule="auto"/>
        <w:rPr>
          <w:rFonts w:asciiTheme="minorHAnsi" w:hAnsiTheme="minorHAnsi" w:cstheme="minorHAnsi"/>
          <w:sz w:val="24"/>
          <w:szCs w:val="24"/>
        </w:rPr>
      </w:pPr>
      <w:r>
        <w:rPr>
          <w:rFonts w:asciiTheme="minorHAnsi" w:hAnsiTheme="minorHAnsi" w:cstheme="minorHAnsi"/>
          <w:sz w:val="24"/>
          <w:szCs w:val="24"/>
        </w:rPr>
        <w:t>4</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 xml:space="preserve">Moehring RW, Anderson DJ, Cochran RL, et al. Expert Consensus on Metrics to Assess the Impact of Patient-Level Antimicrobial Stewardship Interventions in Acute-Care Settings. </w:t>
      </w:r>
      <w:r w:rsidR="007320C8" w:rsidRPr="00223BA3">
        <w:rPr>
          <w:rFonts w:asciiTheme="minorHAnsi" w:hAnsiTheme="minorHAnsi" w:cstheme="minorHAnsi"/>
          <w:i/>
          <w:sz w:val="24"/>
          <w:szCs w:val="24"/>
        </w:rPr>
        <w:t>Clin Infect Dis</w:t>
      </w:r>
      <w:r w:rsidR="007320C8" w:rsidRPr="00223BA3">
        <w:rPr>
          <w:rFonts w:asciiTheme="minorHAnsi" w:hAnsiTheme="minorHAnsi" w:cstheme="minorHAnsi"/>
          <w:sz w:val="24"/>
          <w:szCs w:val="24"/>
        </w:rPr>
        <w:t xml:space="preserve"> 2017; </w:t>
      </w:r>
      <w:r w:rsidR="007320C8" w:rsidRPr="00223BA3">
        <w:rPr>
          <w:rFonts w:asciiTheme="minorHAnsi" w:hAnsiTheme="minorHAnsi" w:cstheme="minorHAnsi"/>
          <w:b/>
          <w:sz w:val="24"/>
          <w:szCs w:val="24"/>
        </w:rPr>
        <w:t>64</w:t>
      </w:r>
      <w:r w:rsidR="007320C8" w:rsidRPr="00223BA3">
        <w:rPr>
          <w:rFonts w:asciiTheme="minorHAnsi" w:hAnsiTheme="minorHAnsi" w:cstheme="minorHAnsi"/>
          <w:sz w:val="24"/>
          <w:szCs w:val="24"/>
        </w:rPr>
        <w:t>(3): 377-83.</w:t>
      </w:r>
    </w:p>
    <w:p w14:paraId="151638CE" w14:textId="22A7DF18" w:rsidR="007320C8" w:rsidRDefault="007C058C" w:rsidP="00DE7836">
      <w:pPr>
        <w:pStyle w:val="EndNoteBibliography"/>
        <w:spacing w:after="0" w:line="480" w:lineRule="auto"/>
        <w:rPr>
          <w:rFonts w:asciiTheme="minorHAnsi" w:hAnsiTheme="minorHAnsi" w:cstheme="minorHAnsi"/>
          <w:sz w:val="24"/>
          <w:szCs w:val="24"/>
        </w:rPr>
      </w:pPr>
      <w:r>
        <w:rPr>
          <w:rFonts w:asciiTheme="minorHAnsi" w:hAnsiTheme="minorHAnsi" w:cstheme="minorHAnsi"/>
          <w:sz w:val="24"/>
          <w:szCs w:val="24"/>
        </w:rPr>
        <w:t>5</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 xml:space="preserve">Channon-Wells S, Kwok M, Booth J, et al. The use of continuous electronic prescribing data to infer trends in antimicrobial consumption and estimate the impact of stewardship interventions in hospitalized children. </w:t>
      </w:r>
      <w:r w:rsidR="007320C8" w:rsidRPr="00223BA3">
        <w:rPr>
          <w:rFonts w:asciiTheme="minorHAnsi" w:hAnsiTheme="minorHAnsi" w:cstheme="minorHAnsi"/>
          <w:i/>
          <w:sz w:val="24"/>
          <w:szCs w:val="24"/>
        </w:rPr>
        <w:t>J Antimicrob Chemother</w:t>
      </w:r>
      <w:r w:rsidR="007320C8" w:rsidRPr="00223BA3">
        <w:rPr>
          <w:rFonts w:asciiTheme="minorHAnsi" w:hAnsiTheme="minorHAnsi" w:cstheme="minorHAnsi"/>
          <w:sz w:val="24"/>
          <w:szCs w:val="24"/>
        </w:rPr>
        <w:t xml:space="preserve"> 2021; </w:t>
      </w:r>
      <w:r w:rsidR="007320C8" w:rsidRPr="00223BA3">
        <w:rPr>
          <w:rFonts w:asciiTheme="minorHAnsi" w:hAnsiTheme="minorHAnsi" w:cstheme="minorHAnsi"/>
          <w:b/>
          <w:sz w:val="24"/>
          <w:szCs w:val="24"/>
        </w:rPr>
        <w:t>76</w:t>
      </w:r>
      <w:r w:rsidR="007320C8" w:rsidRPr="00223BA3">
        <w:rPr>
          <w:rFonts w:asciiTheme="minorHAnsi" w:hAnsiTheme="minorHAnsi" w:cstheme="minorHAnsi"/>
          <w:sz w:val="24"/>
          <w:szCs w:val="24"/>
        </w:rPr>
        <w:t>(9): 2464-71.</w:t>
      </w:r>
    </w:p>
    <w:p w14:paraId="602FE6E9" w14:textId="77777777" w:rsidR="006B173B" w:rsidRPr="00223BA3" w:rsidRDefault="006B173B" w:rsidP="006B173B">
      <w:pPr>
        <w:pStyle w:val="EndNoteBibliography"/>
        <w:spacing w:after="0" w:line="480" w:lineRule="auto"/>
        <w:rPr>
          <w:rFonts w:asciiTheme="minorHAnsi" w:hAnsiTheme="minorHAnsi" w:cstheme="minorHAnsi"/>
          <w:sz w:val="24"/>
          <w:szCs w:val="24"/>
        </w:rPr>
      </w:pPr>
      <w:r>
        <w:rPr>
          <w:rFonts w:asciiTheme="minorHAnsi" w:hAnsiTheme="minorHAnsi" w:cstheme="minorHAnsi"/>
          <w:sz w:val="24"/>
          <w:szCs w:val="24"/>
        </w:rPr>
        <w:t>6</w:t>
      </w:r>
      <w:r w:rsidRPr="00223BA3">
        <w:rPr>
          <w:rFonts w:asciiTheme="minorHAnsi" w:hAnsiTheme="minorHAnsi" w:cstheme="minorHAnsi"/>
          <w:sz w:val="24"/>
          <w:szCs w:val="24"/>
        </w:rPr>
        <w:t>.</w:t>
      </w:r>
      <w:r w:rsidRPr="00223BA3">
        <w:rPr>
          <w:rFonts w:asciiTheme="minorHAnsi" w:hAnsiTheme="minorHAnsi" w:cstheme="minorHAnsi"/>
          <w:sz w:val="24"/>
          <w:szCs w:val="24"/>
        </w:rPr>
        <w:tab/>
        <w:t xml:space="preserve">Ockfen S, Egle L, Sauter K, et al. Meropenem Use in Pediatric Oncology - Audit on Indication, Appropriateness and Consumption Comparing Patient Derived and Pharmacy Dispensing Data. </w:t>
      </w:r>
      <w:r w:rsidRPr="00223BA3">
        <w:rPr>
          <w:rFonts w:asciiTheme="minorHAnsi" w:hAnsiTheme="minorHAnsi" w:cstheme="minorHAnsi"/>
          <w:i/>
          <w:sz w:val="24"/>
          <w:szCs w:val="24"/>
        </w:rPr>
        <w:t>Klin Padiatr</w:t>
      </w:r>
      <w:r w:rsidRPr="00223BA3">
        <w:rPr>
          <w:rFonts w:asciiTheme="minorHAnsi" w:hAnsiTheme="minorHAnsi" w:cstheme="minorHAnsi"/>
          <w:sz w:val="24"/>
          <w:szCs w:val="24"/>
        </w:rPr>
        <w:t xml:space="preserve"> 2021; </w:t>
      </w:r>
      <w:r w:rsidRPr="00223BA3">
        <w:rPr>
          <w:rFonts w:asciiTheme="minorHAnsi" w:hAnsiTheme="minorHAnsi" w:cstheme="minorHAnsi"/>
          <w:b/>
          <w:sz w:val="24"/>
          <w:szCs w:val="24"/>
        </w:rPr>
        <w:t>233</w:t>
      </w:r>
      <w:r w:rsidRPr="00223BA3">
        <w:rPr>
          <w:rFonts w:asciiTheme="minorHAnsi" w:hAnsiTheme="minorHAnsi" w:cstheme="minorHAnsi"/>
          <w:sz w:val="24"/>
          <w:szCs w:val="24"/>
        </w:rPr>
        <w:t>(6): 278-85.</w:t>
      </w:r>
    </w:p>
    <w:p w14:paraId="108DFFAB" w14:textId="793F63E9" w:rsidR="007320C8" w:rsidRPr="00223BA3" w:rsidRDefault="007C058C" w:rsidP="00DE7836">
      <w:pPr>
        <w:pStyle w:val="EndNoteBibliography"/>
        <w:spacing w:after="0" w:line="480" w:lineRule="auto"/>
        <w:rPr>
          <w:rFonts w:asciiTheme="minorHAnsi" w:hAnsiTheme="minorHAnsi" w:cstheme="minorHAnsi"/>
          <w:sz w:val="24"/>
          <w:szCs w:val="24"/>
        </w:rPr>
      </w:pPr>
      <w:r>
        <w:rPr>
          <w:rFonts w:asciiTheme="minorHAnsi" w:hAnsiTheme="minorHAnsi" w:cstheme="minorHAnsi"/>
          <w:sz w:val="24"/>
          <w:szCs w:val="24"/>
        </w:rPr>
        <w:t>7</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UK Health Security Agency (UKHSA). English surveillance programme for antimicrobial utilisation and resistance (ESPAUR). In: UKHSA, editor.; 2022.</w:t>
      </w:r>
    </w:p>
    <w:p w14:paraId="32960BE1" w14:textId="5DC8B288" w:rsidR="007320C8" w:rsidRPr="00223BA3" w:rsidRDefault="007C058C" w:rsidP="00DE7836">
      <w:pPr>
        <w:pStyle w:val="EndNoteBibliography"/>
        <w:spacing w:after="0" w:line="480" w:lineRule="auto"/>
        <w:rPr>
          <w:rFonts w:asciiTheme="minorHAnsi" w:hAnsiTheme="minorHAnsi" w:cstheme="minorHAnsi"/>
          <w:sz w:val="24"/>
          <w:szCs w:val="24"/>
        </w:rPr>
      </w:pPr>
      <w:r>
        <w:rPr>
          <w:rFonts w:asciiTheme="minorHAnsi" w:hAnsiTheme="minorHAnsi" w:cstheme="minorHAnsi"/>
          <w:sz w:val="24"/>
          <w:szCs w:val="24"/>
        </w:rPr>
        <w:t>8</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European Centre for Disease Prevention and Control. Antimicrobial consumption in the EU/EEA (ESAC-Net) - Annual Epidemiological Report 2021. 2022.</w:t>
      </w:r>
    </w:p>
    <w:p w14:paraId="033A7892" w14:textId="5AFE413D" w:rsidR="007320C8" w:rsidRPr="00223BA3" w:rsidRDefault="006B173B" w:rsidP="00DE7836">
      <w:pPr>
        <w:pStyle w:val="EndNoteBibliography"/>
        <w:spacing w:after="0" w:line="480" w:lineRule="auto"/>
        <w:rPr>
          <w:rFonts w:asciiTheme="minorHAnsi" w:hAnsiTheme="minorHAnsi" w:cstheme="minorHAnsi"/>
          <w:sz w:val="24"/>
          <w:szCs w:val="24"/>
        </w:rPr>
      </w:pPr>
      <w:r>
        <w:rPr>
          <w:rFonts w:asciiTheme="minorHAnsi" w:hAnsiTheme="minorHAnsi" w:cstheme="minorHAnsi"/>
          <w:sz w:val="24"/>
          <w:szCs w:val="24"/>
        </w:rPr>
        <w:t>9</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Diggle PJ. Time Series: A Biostatistical Introduction. 1st Edition ed. Oxford, UK: Oxford University Press; 1995.</w:t>
      </w:r>
    </w:p>
    <w:p w14:paraId="56C3779F" w14:textId="3F8B9EE2" w:rsidR="007320C8" w:rsidRDefault="006B173B" w:rsidP="00DE7836">
      <w:pPr>
        <w:pStyle w:val="EndNoteBibliography"/>
        <w:spacing w:after="0" w:line="480" w:lineRule="auto"/>
        <w:rPr>
          <w:rFonts w:asciiTheme="minorHAnsi" w:hAnsiTheme="minorHAnsi" w:cstheme="minorHAnsi"/>
          <w:sz w:val="24"/>
          <w:szCs w:val="24"/>
        </w:rPr>
      </w:pPr>
      <w:bookmarkStart w:id="1" w:name="_ENREF_32"/>
      <w:r>
        <w:rPr>
          <w:rFonts w:asciiTheme="minorHAnsi" w:hAnsiTheme="minorHAnsi" w:cstheme="minorHAnsi"/>
          <w:sz w:val="24"/>
          <w:szCs w:val="24"/>
        </w:rPr>
        <w:t>10</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Diggle PJ, Heagerty P, Liang K-Y, Zeger SL. Analysis of Longitudinal Data. Second Edition ed. Oxford, UK: Oxford University Press; 2013.</w:t>
      </w:r>
      <w:bookmarkEnd w:id="1"/>
    </w:p>
    <w:p w14:paraId="6F765945" w14:textId="50180C99" w:rsidR="006B173B" w:rsidRPr="00223BA3" w:rsidRDefault="006B173B" w:rsidP="00DE7836">
      <w:pPr>
        <w:pStyle w:val="EndNoteBibliography"/>
        <w:spacing w:after="0" w:line="480" w:lineRule="auto"/>
        <w:rPr>
          <w:rFonts w:asciiTheme="minorHAnsi" w:hAnsiTheme="minorHAnsi" w:cstheme="minorHAnsi"/>
          <w:sz w:val="24"/>
          <w:szCs w:val="24"/>
        </w:rPr>
      </w:pPr>
      <w:r>
        <w:rPr>
          <w:rFonts w:asciiTheme="minorHAnsi" w:hAnsiTheme="minorHAnsi" w:cstheme="minorHAnsi"/>
          <w:sz w:val="24"/>
          <w:szCs w:val="24"/>
        </w:rPr>
        <w:t>11</w:t>
      </w:r>
      <w:r w:rsidRPr="00223BA3">
        <w:rPr>
          <w:rFonts w:asciiTheme="minorHAnsi" w:hAnsiTheme="minorHAnsi" w:cstheme="minorHAnsi"/>
          <w:sz w:val="24"/>
          <w:szCs w:val="24"/>
        </w:rPr>
        <w:t>.</w:t>
      </w:r>
      <w:r w:rsidRPr="00223BA3">
        <w:rPr>
          <w:rFonts w:asciiTheme="minorHAnsi" w:hAnsiTheme="minorHAnsi" w:cstheme="minorHAnsi"/>
          <w:sz w:val="24"/>
          <w:szCs w:val="24"/>
        </w:rPr>
        <w:tab/>
        <w:t>R Core Team (2022). R: A language and environment for statistical computing. R Foundation for Statistical Computing, Vienna, Austria.</w:t>
      </w:r>
    </w:p>
    <w:p w14:paraId="23D1023A" w14:textId="1949F0C0" w:rsidR="007320C8" w:rsidRPr="00223BA3" w:rsidRDefault="006B173B" w:rsidP="00DE7836">
      <w:pPr>
        <w:pStyle w:val="EndNoteBibliography"/>
        <w:spacing w:after="0" w:line="480" w:lineRule="auto"/>
        <w:rPr>
          <w:rFonts w:asciiTheme="minorHAnsi" w:hAnsiTheme="minorHAnsi" w:cstheme="minorHAnsi"/>
          <w:sz w:val="24"/>
          <w:szCs w:val="24"/>
        </w:rPr>
      </w:pPr>
      <w:bookmarkStart w:id="2" w:name="_ENREF_33"/>
      <w:r>
        <w:rPr>
          <w:rFonts w:asciiTheme="minorHAnsi" w:hAnsiTheme="minorHAnsi" w:cstheme="minorHAnsi"/>
          <w:sz w:val="24"/>
          <w:szCs w:val="24"/>
        </w:rPr>
        <w:t>12</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 xml:space="preserve">Antimicrobial Resistance C. Global burden of bacterial antimicrobial resistance in 2019: a systematic analysis. </w:t>
      </w:r>
      <w:r w:rsidR="007320C8" w:rsidRPr="00223BA3">
        <w:rPr>
          <w:rFonts w:asciiTheme="minorHAnsi" w:hAnsiTheme="minorHAnsi" w:cstheme="minorHAnsi"/>
          <w:i/>
          <w:sz w:val="24"/>
          <w:szCs w:val="24"/>
        </w:rPr>
        <w:t>Lancet</w:t>
      </w:r>
      <w:r w:rsidR="007320C8" w:rsidRPr="00223BA3">
        <w:rPr>
          <w:rFonts w:asciiTheme="minorHAnsi" w:hAnsiTheme="minorHAnsi" w:cstheme="minorHAnsi"/>
          <w:sz w:val="24"/>
          <w:szCs w:val="24"/>
        </w:rPr>
        <w:t xml:space="preserve"> 2022; </w:t>
      </w:r>
      <w:r w:rsidR="007320C8" w:rsidRPr="00223BA3">
        <w:rPr>
          <w:rFonts w:asciiTheme="minorHAnsi" w:hAnsiTheme="minorHAnsi" w:cstheme="minorHAnsi"/>
          <w:b/>
          <w:sz w:val="24"/>
          <w:szCs w:val="24"/>
        </w:rPr>
        <w:t>399</w:t>
      </w:r>
      <w:r w:rsidR="007320C8" w:rsidRPr="00223BA3">
        <w:rPr>
          <w:rFonts w:asciiTheme="minorHAnsi" w:hAnsiTheme="minorHAnsi" w:cstheme="minorHAnsi"/>
          <w:sz w:val="24"/>
          <w:szCs w:val="24"/>
        </w:rPr>
        <w:t>(10325): 629-55.</w:t>
      </w:r>
      <w:bookmarkEnd w:id="2"/>
    </w:p>
    <w:p w14:paraId="0F8C5666" w14:textId="39D62D75" w:rsidR="007320C8" w:rsidRDefault="006B173B" w:rsidP="00DE7836">
      <w:pPr>
        <w:pStyle w:val="EndNoteBibliography"/>
        <w:spacing w:after="0" w:line="480" w:lineRule="auto"/>
        <w:rPr>
          <w:rFonts w:asciiTheme="minorHAnsi" w:hAnsiTheme="minorHAnsi" w:cstheme="minorHAnsi"/>
          <w:sz w:val="24"/>
          <w:szCs w:val="24"/>
        </w:rPr>
      </w:pPr>
      <w:bookmarkStart w:id="3" w:name="_ENREF_35"/>
      <w:r>
        <w:rPr>
          <w:rFonts w:asciiTheme="minorHAnsi" w:hAnsiTheme="minorHAnsi" w:cstheme="minorHAnsi"/>
          <w:sz w:val="24"/>
          <w:szCs w:val="24"/>
        </w:rPr>
        <w:t>13</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National Institute for Health and Care Excellence (NICE). Neutropenic sepsis: prevention and management in people with cancer. Clinical guideline [CG151]. 2012, Updated January 2020.</w:t>
      </w:r>
      <w:bookmarkEnd w:id="3"/>
    </w:p>
    <w:p w14:paraId="56AAE437" w14:textId="08AE1138" w:rsidR="006B173B" w:rsidRPr="00223BA3" w:rsidRDefault="006B173B" w:rsidP="00DE7836">
      <w:pPr>
        <w:pStyle w:val="EndNoteBibliography"/>
        <w:spacing w:after="0" w:line="480" w:lineRule="auto"/>
        <w:rPr>
          <w:rFonts w:asciiTheme="minorHAnsi" w:hAnsiTheme="minorHAnsi" w:cstheme="minorHAnsi"/>
          <w:sz w:val="24"/>
          <w:szCs w:val="24"/>
        </w:rPr>
      </w:pPr>
      <w:r w:rsidRPr="00223BA3">
        <w:rPr>
          <w:rFonts w:asciiTheme="minorHAnsi" w:hAnsiTheme="minorHAnsi" w:cstheme="minorHAnsi"/>
          <w:sz w:val="24"/>
          <w:szCs w:val="24"/>
        </w:rPr>
        <w:t>1</w:t>
      </w:r>
      <w:r>
        <w:rPr>
          <w:rFonts w:asciiTheme="minorHAnsi" w:hAnsiTheme="minorHAnsi" w:cstheme="minorHAnsi"/>
          <w:sz w:val="24"/>
          <w:szCs w:val="24"/>
        </w:rPr>
        <w:t>4</w:t>
      </w:r>
      <w:r w:rsidRPr="00223BA3">
        <w:rPr>
          <w:rFonts w:asciiTheme="minorHAnsi" w:hAnsiTheme="minorHAnsi" w:cstheme="minorHAnsi"/>
          <w:sz w:val="24"/>
          <w:szCs w:val="24"/>
        </w:rPr>
        <w:t>.</w:t>
      </w:r>
      <w:r w:rsidRPr="00223BA3">
        <w:rPr>
          <w:rFonts w:asciiTheme="minorHAnsi" w:hAnsiTheme="minorHAnsi" w:cstheme="minorHAnsi"/>
          <w:sz w:val="24"/>
          <w:szCs w:val="24"/>
        </w:rPr>
        <w:tab/>
        <w:t xml:space="preserve">Karandikar MV, Milliren CE, Zaboulian R, et al. Limiting Vancomycin Exposure in Pediatric Oncology Patients With Febrile Neutropenia May Be Associated With Decreased Vancomycin-Resistant Enterococcus Incidence. </w:t>
      </w:r>
      <w:r w:rsidRPr="00223BA3">
        <w:rPr>
          <w:rFonts w:asciiTheme="minorHAnsi" w:hAnsiTheme="minorHAnsi" w:cstheme="minorHAnsi"/>
          <w:i/>
          <w:sz w:val="24"/>
          <w:szCs w:val="24"/>
        </w:rPr>
        <w:t>J Pediatric Infect Dis Soc</w:t>
      </w:r>
      <w:r w:rsidRPr="00223BA3">
        <w:rPr>
          <w:rFonts w:asciiTheme="minorHAnsi" w:hAnsiTheme="minorHAnsi" w:cstheme="minorHAnsi"/>
          <w:sz w:val="24"/>
          <w:szCs w:val="24"/>
        </w:rPr>
        <w:t xml:space="preserve"> 2020; </w:t>
      </w:r>
      <w:r w:rsidRPr="00223BA3">
        <w:rPr>
          <w:rFonts w:asciiTheme="minorHAnsi" w:hAnsiTheme="minorHAnsi" w:cstheme="minorHAnsi"/>
          <w:b/>
          <w:sz w:val="24"/>
          <w:szCs w:val="24"/>
        </w:rPr>
        <w:t>9</w:t>
      </w:r>
      <w:r w:rsidRPr="00223BA3">
        <w:rPr>
          <w:rFonts w:asciiTheme="minorHAnsi" w:hAnsiTheme="minorHAnsi" w:cstheme="minorHAnsi"/>
          <w:sz w:val="24"/>
          <w:szCs w:val="24"/>
        </w:rPr>
        <w:t>(4): 428-36.</w:t>
      </w:r>
    </w:p>
    <w:p w14:paraId="21729DF5" w14:textId="77777777" w:rsidR="006B173B" w:rsidRDefault="006B173B" w:rsidP="006B173B">
      <w:pPr>
        <w:pStyle w:val="EndNoteBibliography"/>
        <w:spacing w:after="0" w:line="480" w:lineRule="auto"/>
        <w:rPr>
          <w:rFonts w:asciiTheme="minorHAnsi" w:hAnsiTheme="minorHAnsi" w:cstheme="minorHAnsi"/>
          <w:sz w:val="24"/>
          <w:szCs w:val="24"/>
        </w:rPr>
      </w:pPr>
      <w:bookmarkStart w:id="4" w:name="_ENREF_36"/>
      <w:bookmarkStart w:id="5" w:name="_ENREF_43"/>
      <w:r>
        <w:rPr>
          <w:rFonts w:asciiTheme="minorHAnsi" w:hAnsiTheme="minorHAnsi" w:cstheme="minorHAnsi"/>
          <w:sz w:val="24"/>
          <w:szCs w:val="24"/>
        </w:rPr>
        <w:lastRenderedPageBreak/>
        <w:t>15</w:t>
      </w:r>
      <w:r w:rsidRPr="00223BA3">
        <w:rPr>
          <w:rFonts w:asciiTheme="minorHAnsi" w:hAnsiTheme="minorHAnsi" w:cstheme="minorHAnsi"/>
          <w:sz w:val="24"/>
          <w:szCs w:val="24"/>
        </w:rPr>
        <w:t>.</w:t>
      </w:r>
      <w:r w:rsidRPr="00223BA3">
        <w:rPr>
          <w:rFonts w:asciiTheme="minorHAnsi" w:hAnsiTheme="minorHAnsi" w:cstheme="minorHAnsi"/>
          <w:sz w:val="24"/>
          <w:szCs w:val="24"/>
        </w:rPr>
        <w:tab/>
        <w:t xml:space="preserve">Horikoshi Y, Kaneko T, Morikawa Y, et al. The North Wind and the Sun: Pediatric Antimicrobial Stewardship Program Combining Restrictive and Persuasive Approaches in Hematology-Oncology Ward and Hematopoietic Stem Cell Transplant Unit. </w:t>
      </w:r>
      <w:r w:rsidRPr="00223BA3">
        <w:rPr>
          <w:rFonts w:asciiTheme="minorHAnsi" w:hAnsiTheme="minorHAnsi" w:cstheme="minorHAnsi"/>
          <w:i/>
          <w:sz w:val="24"/>
          <w:szCs w:val="24"/>
        </w:rPr>
        <w:t>Pediatr Infect Dis J</w:t>
      </w:r>
      <w:r w:rsidRPr="00223BA3">
        <w:rPr>
          <w:rFonts w:asciiTheme="minorHAnsi" w:hAnsiTheme="minorHAnsi" w:cstheme="minorHAnsi"/>
          <w:sz w:val="24"/>
          <w:szCs w:val="24"/>
        </w:rPr>
        <w:t xml:space="preserve"> 2018; </w:t>
      </w:r>
      <w:r w:rsidRPr="00223BA3">
        <w:rPr>
          <w:rFonts w:asciiTheme="minorHAnsi" w:hAnsiTheme="minorHAnsi" w:cstheme="minorHAnsi"/>
          <w:b/>
          <w:sz w:val="24"/>
          <w:szCs w:val="24"/>
        </w:rPr>
        <w:t>37</w:t>
      </w:r>
      <w:r w:rsidRPr="00223BA3">
        <w:rPr>
          <w:rFonts w:asciiTheme="minorHAnsi" w:hAnsiTheme="minorHAnsi" w:cstheme="minorHAnsi"/>
          <w:sz w:val="24"/>
          <w:szCs w:val="24"/>
        </w:rPr>
        <w:t>(2): 164-8.</w:t>
      </w:r>
      <w:bookmarkEnd w:id="5"/>
    </w:p>
    <w:p w14:paraId="15DB3BF5" w14:textId="73819FEC" w:rsidR="007320C8" w:rsidRPr="00223BA3" w:rsidRDefault="006B173B" w:rsidP="00DE7836">
      <w:pPr>
        <w:pStyle w:val="EndNoteBibliography"/>
        <w:spacing w:after="0" w:line="480" w:lineRule="auto"/>
        <w:rPr>
          <w:rFonts w:asciiTheme="minorHAnsi" w:hAnsiTheme="minorHAnsi" w:cstheme="minorHAnsi"/>
          <w:sz w:val="24"/>
          <w:szCs w:val="24"/>
        </w:rPr>
      </w:pPr>
      <w:r>
        <w:rPr>
          <w:rFonts w:asciiTheme="minorHAnsi" w:hAnsiTheme="minorHAnsi" w:cstheme="minorHAnsi"/>
          <w:sz w:val="24"/>
          <w:szCs w:val="24"/>
        </w:rPr>
        <w:t>1</w:t>
      </w:r>
      <w:r w:rsidR="007320C8" w:rsidRPr="00223BA3">
        <w:rPr>
          <w:rFonts w:asciiTheme="minorHAnsi" w:hAnsiTheme="minorHAnsi" w:cstheme="minorHAnsi"/>
          <w:sz w:val="24"/>
          <w:szCs w:val="24"/>
        </w:rPr>
        <w:t>6.</w:t>
      </w:r>
      <w:r w:rsidR="007320C8" w:rsidRPr="00223BA3">
        <w:rPr>
          <w:rFonts w:asciiTheme="minorHAnsi" w:hAnsiTheme="minorHAnsi" w:cstheme="minorHAnsi"/>
          <w:sz w:val="24"/>
          <w:szCs w:val="24"/>
        </w:rPr>
        <w:tab/>
        <w:t xml:space="preserve">Mantadakis E, Kopsidas I, Coffin S, et al. A national study of antibiotic use in Greek pediatric hematology oncology and bone marrow transplant units. </w:t>
      </w:r>
      <w:r w:rsidR="007320C8" w:rsidRPr="00223BA3">
        <w:rPr>
          <w:rFonts w:asciiTheme="minorHAnsi" w:hAnsiTheme="minorHAnsi" w:cstheme="minorHAnsi"/>
          <w:i/>
          <w:sz w:val="24"/>
          <w:szCs w:val="24"/>
        </w:rPr>
        <w:t>Antimicrob Steward Healthc Epidemiol</w:t>
      </w:r>
      <w:r w:rsidR="007320C8" w:rsidRPr="00223BA3">
        <w:rPr>
          <w:rFonts w:asciiTheme="minorHAnsi" w:hAnsiTheme="minorHAnsi" w:cstheme="minorHAnsi"/>
          <w:sz w:val="24"/>
          <w:szCs w:val="24"/>
        </w:rPr>
        <w:t xml:space="preserve"> 2022; </w:t>
      </w:r>
      <w:r w:rsidR="007320C8" w:rsidRPr="00223BA3">
        <w:rPr>
          <w:rFonts w:asciiTheme="minorHAnsi" w:hAnsiTheme="minorHAnsi" w:cstheme="minorHAnsi"/>
          <w:b/>
          <w:sz w:val="24"/>
          <w:szCs w:val="24"/>
        </w:rPr>
        <w:t>2</w:t>
      </w:r>
      <w:r w:rsidR="007320C8" w:rsidRPr="00223BA3">
        <w:rPr>
          <w:rFonts w:asciiTheme="minorHAnsi" w:hAnsiTheme="minorHAnsi" w:cstheme="minorHAnsi"/>
          <w:sz w:val="24"/>
          <w:szCs w:val="24"/>
        </w:rPr>
        <w:t>(1): e71.</w:t>
      </w:r>
      <w:bookmarkEnd w:id="4"/>
    </w:p>
    <w:p w14:paraId="5BDDC594" w14:textId="19771C2D" w:rsidR="007320C8" w:rsidRPr="00223BA3" w:rsidRDefault="006B173B" w:rsidP="00DE7836">
      <w:pPr>
        <w:pStyle w:val="EndNoteBibliography"/>
        <w:spacing w:after="0" w:line="480" w:lineRule="auto"/>
        <w:rPr>
          <w:rFonts w:asciiTheme="minorHAnsi" w:hAnsiTheme="minorHAnsi" w:cstheme="minorHAnsi"/>
          <w:sz w:val="24"/>
          <w:szCs w:val="24"/>
        </w:rPr>
      </w:pPr>
      <w:bookmarkStart w:id="6" w:name="_ENREF_38"/>
      <w:r>
        <w:rPr>
          <w:rFonts w:asciiTheme="minorHAnsi" w:hAnsiTheme="minorHAnsi" w:cstheme="minorHAnsi"/>
          <w:sz w:val="24"/>
          <w:szCs w:val="24"/>
        </w:rPr>
        <w:t>17</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 xml:space="preserve">Pezzani MD, Carrara E, Sibani M, et al. White Paper: Bridging the gap between human and animal surveillance data, antibiotic policy and stewardship in the hospital sector-practical guidance from the JPIAMR ARCH and COMBACTE-MAGNET EPI-Net networks. </w:t>
      </w:r>
      <w:r w:rsidR="007320C8" w:rsidRPr="00223BA3">
        <w:rPr>
          <w:rFonts w:asciiTheme="minorHAnsi" w:hAnsiTheme="minorHAnsi" w:cstheme="minorHAnsi"/>
          <w:i/>
          <w:sz w:val="24"/>
          <w:szCs w:val="24"/>
        </w:rPr>
        <w:t>J Antimicrob Chemother</w:t>
      </w:r>
      <w:r w:rsidR="007320C8" w:rsidRPr="00223BA3">
        <w:rPr>
          <w:rFonts w:asciiTheme="minorHAnsi" w:hAnsiTheme="minorHAnsi" w:cstheme="minorHAnsi"/>
          <w:sz w:val="24"/>
          <w:szCs w:val="24"/>
        </w:rPr>
        <w:t xml:space="preserve"> 2020; </w:t>
      </w:r>
      <w:r w:rsidR="007320C8" w:rsidRPr="00223BA3">
        <w:rPr>
          <w:rFonts w:asciiTheme="minorHAnsi" w:hAnsiTheme="minorHAnsi" w:cstheme="minorHAnsi"/>
          <w:b/>
          <w:sz w:val="24"/>
          <w:szCs w:val="24"/>
        </w:rPr>
        <w:t>75</w:t>
      </w:r>
      <w:r w:rsidR="007320C8" w:rsidRPr="00223BA3">
        <w:rPr>
          <w:rFonts w:asciiTheme="minorHAnsi" w:hAnsiTheme="minorHAnsi" w:cstheme="minorHAnsi"/>
          <w:sz w:val="24"/>
          <w:szCs w:val="24"/>
        </w:rPr>
        <w:t>(Suppl 2): ii20-ii32.</w:t>
      </w:r>
      <w:bookmarkEnd w:id="6"/>
    </w:p>
    <w:p w14:paraId="65F1941B" w14:textId="155F8E44" w:rsidR="007320C8" w:rsidRPr="00223BA3" w:rsidRDefault="006B173B" w:rsidP="00DE7836">
      <w:pPr>
        <w:pStyle w:val="EndNoteBibliography"/>
        <w:spacing w:after="0" w:line="480" w:lineRule="auto"/>
        <w:rPr>
          <w:rFonts w:asciiTheme="minorHAnsi" w:hAnsiTheme="minorHAnsi" w:cstheme="minorHAnsi"/>
          <w:sz w:val="24"/>
          <w:szCs w:val="24"/>
        </w:rPr>
      </w:pPr>
      <w:bookmarkStart w:id="7" w:name="_ENREF_39"/>
      <w:r>
        <w:rPr>
          <w:rFonts w:asciiTheme="minorHAnsi" w:hAnsiTheme="minorHAnsi" w:cstheme="minorHAnsi"/>
          <w:sz w:val="24"/>
          <w:szCs w:val="24"/>
        </w:rPr>
        <w:t>18</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 xml:space="preserve">Cercenado E, Rodriguez-Bano J, Alfonso JL, et al. Antimicrobial stewardship in hospitals: Expert recommendation guidance document for activities in specific populations, syndromes and other aspects (PROA-2) from SEIMC, SEFH, SEMPSPGS, SEMICYUC and SEIP. </w:t>
      </w:r>
      <w:r w:rsidR="007320C8" w:rsidRPr="00223BA3">
        <w:rPr>
          <w:rFonts w:asciiTheme="minorHAnsi" w:hAnsiTheme="minorHAnsi" w:cstheme="minorHAnsi"/>
          <w:i/>
          <w:sz w:val="24"/>
          <w:szCs w:val="24"/>
        </w:rPr>
        <w:t>Enferm Infecc Microbiol Clin (Engl Ed)</w:t>
      </w:r>
      <w:r w:rsidR="007320C8" w:rsidRPr="00223BA3">
        <w:rPr>
          <w:rFonts w:asciiTheme="minorHAnsi" w:hAnsiTheme="minorHAnsi" w:cstheme="minorHAnsi"/>
          <w:sz w:val="24"/>
          <w:szCs w:val="24"/>
        </w:rPr>
        <w:t xml:space="preserve"> 2023.</w:t>
      </w:r>
      <w:bookmarkEnd w:id="7"/>
    </w:p>
    <w:p w14:paraId="7FCBCBBD" w14:textId="4F5DCAC6" w:rsidR="007320C8" w:rsidRPr="00223BA3" w:rsidRDefault="006B173B" w:rsidP="00DE7836">
      <w:pPr>
        <w:pStyle w:val="EndNoteBibliography"/>
        <w:spacing w:after="0" w:line="480" w:lineRule="auto"/>
        <w:rPr>
          <w:rFonts w:asciiTheme="minorHAnsi" w:hAnsiTheme="minorHAnsi" w:cstheme="minorHAnsi"/>
          <w:sz w:val="24"/>
          <w:szCs w:val="24"/>
        </w:rPr>
      </w:pPr>
      <w:bookmarkStart w:id="8" w:name="_ENREF_40"/>
      <w:r>
        <w:rPr>
          <w:rFonts w:asciiTheme="minorHAnsi" w:hAnsiTheme="minorHAnsi" w:cstheme="minorHAnsi"/>
          <w:sz w:val="24"/>
          <w:szCs w:val="24"/>
        </w:rPr>
        <w:t>19</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 xml:space="preserve">Vergnano S, Bamford A, Bandi S, et al. Paediatric antimicrobial stewardship programmes in the UK's regional children's hospitals. </w:t>
      </w:r>
      <w:r w:rsidR="007320C8" w:rsidRPr="00223BA3">
        <w:rPr>
          <w:rFonts w:asciiTheme="minorHAnsi" w:hAnsiTheme="minorHAnsi" w:cstheme="minorHAnsi"/>
          <w:i/>
          <w:sz w:val="24"/>
          <w:szCs w:val="24"/>
        </w:rPr>
        <w:t>J Hosp Infect</w:t>
      </w:r>
      <w:r w:rsidR="007320C8" w:rsidRPr="00223BA3">
        <w:rPr>
          <w:rFonts w:asciiTheme="minorHAnsi" w:hAnsiTheme="minorHAnsi" w:cstheme="minorHAnsi"/>
          <w:sz w:val="24"/>
          <w:szCs w:val="24"/>
        </w:rPr>
        <w:t xml:space="preserve"> 2020; </w:t>
      </w:r>
      <w:r w:rsidR="007320C8" w:rsidRPr="00223BA3">
        <w:rPr>
          <w:rFonts w:asciiTheme="minorHAnsi" w:hAnsiTheme="minorHAnsi" w:cstheme="minorHAnsi"/>
          <w:b/>
          <w:sz w:val="24"/>
          <w:szCs w:val="24"/>
        </w:rPr>
        <w:t>105</w:t>
      </w:r>
      <w:r w:rsidR="007320C8" w:rsidRPr="00223BA3">
        <w:rPr>
          <w:rFonts w:asciiTheme="minorHAnsi" w:hAnsiTheme="minorHAnsi" w:cstheme="minorHAnsi"/>
          <w:sz w:val="24"/>
          <w:szCs w:val="24"/>
        </w:rPr>
        <w:t>(4): 736-40.</w:t>
      </w:r>
      <w:bookmarkEnd w:id="8"/>
    </w:p>
    <w:p w14:paraId="4853FC22" w14:textId="1DD93939" w:rsidR="007320C8" w:rsidRPr="00223BA3" w:rsidRDefault="006B173B" w:rsidP="00DE7836">
      <w:pPr>
        <w:pStyle w:val="EndNoteBibliography"/>
        <w:spacing w:after="0" w:line="480" w:lineRule="auto"/>
        <w:rPr>
          <w:rFonts w:asciiTheme="minorHAnsi" w:hAnsiTheme="minorHAnsi" w:cstheme="minorHAnsi"/>
          <w:sz w:val="24"/>
          <w:szCs w:val="24"/>
        </w:rPr>
      </w:pPr>
      <w:bookmarkStart w:id="9" w:name="_ENREF_41"/>
      <w:r>
        <w:rPr>
          <w:rFonts w:asciiTheme="minorHAnsi" w:hAnsiTheme="minorHAnsi" w:cstheme="minorHAnsi"/>
          <w:sz w:val="24"/>
          <w:szCs w:val="24"/>
        </w:rPr>
        <w:t>20</w:t>
      </w:r>
      <w:r w:rsidR="007320C8" w:rsidRPr="00223BA3">
        <w:rPr>
          <w:rFonts w:asciiTheme="minorHAnsi" w:hAnsiTheme="minorHAnsi" w:cstheme="minorHAnsi"/>
          <w:sz w:val="24"/>
          <w:szCs w:val="24"/>
        </w:rPr>
        <w:t>.</w:t>
      </w:r>
      <w:r w:rsidR="007320C8" w:rsidRPr="00223BA3">
        <w:rPr>
          <w:rFonts w:asciiTheme="minorHAnsi" w:hAnsiTheme="minorHAnsi" w:cstheme="minorHAnsi"/>
          <w:sz w:val="24"/>
          <w:szCs w:val="24"/>
        </w:rPr>
        <w:tab/>
        <w:t xml:space="preserve">Kopsidas I, Vergnano S, Spyridis N, Zaoutis T, Patel S. A Survey on National Pediatric Antibiotic Stewardship Programs, Networks and Guidelines in 23 European Countries. </w:t>
      </w:r>
      <w:r w:rsidR="007320C8" w:rsidRPr="00223BA3">
        <w:rPr>
          <w:rFonts w:asciiTheme="minorHAnsi" w:hAnsiTheme="minorHAnsi" w:cstheme="minorHAnsi"/>
          <w:i/>
          <w:sz w:val="24"/>
          <w:szCs w:val="24"/>
        </w:rPr>
        <w:t>Pediatr Infect Dis J</w:t>
      </w:r>
      <w:r w:rsidR="007320C8" w:rsidRPr="00223BA3">
        <w:rPr>
          <w:rFonts w:asciiTheme="minorHAnsi" w:hAnsiTheme="minorHAnsi" w:cstheme="minorHAnsi"/>
          <w:sz w:val="24"/>
          <w:szCs w:val="24"/>
        </w:rPr>
        <w:t xml:space="preserve"> 2020; </w:t>
      </w:r>
      <w:r w:rsidR="007320C8" w:rsidRPr="00223BA3">
        <w:rPr>
          <w:rFonts w:asciiTheme="minorHAnsi" w:hAnsiTheme="minorHAnsi" w:cstheme="minorHAnsi"/>
          <w:b/>
          <w:sz w:val="24"/>
          <w:szCs w:val="24"/>
        </w:rPr>
        <w:t>39</w:t>
      </w:r>
      <w:r w:rsidR="007320C8" w:rsidRPr="00223BA3">
        <w:rPr>
          <w:rFonts w:asciiTheme="minorHAnsi" w:hAnsiTheme="minorHAnsi" w:cstheme="minorHAnsi"/>
          <w:sz w:val="24"/>
          <w:szCs w:val="24"/>
        </w:rPr>
        <w:t>(11): e359-e62.</w:t>
      </w:r>
      <w:bookmarkEnd w:id="9"/>
    </w:p>
    <w:p w14:paraId="34C0CC02" w14:textId="118438B5" w:rsidR="007320C8" w:rsidRPr="00223BA3" w:rsidRDefault="007320C8" w:rsidP="00011059">
      <w:pPr>
        <w:pStyle w:val="EndNoteBibliography"/>
        <w:spacing w:after="0" w:line="480" w:lineRule="auto"/>
        <w:rPr>
          <w:rFonts w:asciiTheme="minorHAnsi" w:hAnsiTheme="minorHAnsi" w:cstheme="minorHAnsi"/>
          <w:sz w:val="24"/>
          <w:szCs w:val="24"/>
        </w:rPr>
      </w:pPr>
      <w:r w:rsidRPr="00223BA3">
        <w:rPr>
          <w:rFonts w:asciiTheme="minorHAnsi" w:hAnsiTheme="minorHAnsi" w:cstheme="minorHAnsi"/>
          <w:sz w:val="24"/>
          <w:szCs w:val="24"/>
        </w:rPr>
        <w:br w:type="page"/>
      </w:r>
    </w:p>
    <w:p w14:paraId="635F2651" w14:textId="77777777" w:rsidR="007320C8" w:rsidRPr="00223BA3" w:rsidRDefault="007320C8" w:rsidP="00DE7836">
      <w:pPr>
        <w:pStyle w:val="EndNoteBibliography"/>
        <w:spacing w:after="0" w:line="480" w:lineRule="auto"/>
        <w:rPr>
          <w:rFonts w:asciiTheme="minorHAnsi" w:hAnsiTheme="minorHAnsi" w:cstheme="minorHAnsi"/>
          <w:b/>
          <w:bCs/>
          <w:sz w:val="24"/>
          <w:szCs w:val="24"/>
        </w:rPr>
      </w:pPr>
      <w:r w:rsidRPr="00223BA3">
        <w:rPr>
          <w:rFonts w:asciiTheme="minorHAnsi" w:hAnsiTheme="minorHAnsi" w:cstheme="minorHAnsi"/>
          <w:b/>
          <w:bCs/>
          <w:sz w:val="24"/>
          <w:szCs w:val="24"/>
        </w:rPr>
        <w:lastRenderedPageBreak/>
        <w:t>FIGURE LEGENDS:</w:t>
      </w:r>
    </w:p>
    <w:p w14:paraId="42648984" w14:textId="0544DAED" w:rsidR="007320C8" w:rsidRPr="00223BA3" w:rsidRDefault="007320C8" w:rsidP="00DE7836">
      <w:pPr>
        <w:pStyle w:val="EndNoteBibliography"/>
        <w:spacing w:after="0" w:line="480" w:lineRule="auto"/>
        <w:rPr>
          <w:rFonts w:asciiTheme="minorHAnsi" w:hAnsiTheme="minorHAnsi" w:cstheme="minorHAnsi"/>
          <w:sz w:val="24"/>
          <w:szCs w:val="24"/>
        </w:rPr>
      </w:pPr>
      <w:r w:rsidRPr="00223BA3">
        <w:rPr>
          <w:rFonts w:asciiTheme="minorHAnsi" w:hAnsiTheme="minorHAnsi" w:cstheme="minorHAnsi"/>
          <w:sz w:val="24"/>
          <w:szCs w:val="24"/>
        </w:rPr>
        <w:t xml:space="preserve">Figure </w:t>
      </w:r>
      <w:r w:rsidR="007D0CC5">
        <w:rPr>
          <w:rFonts w:asciiTheme="minorHAnsi" w:hAnsiTheme="minorHAnsi" w:cstheme="minorHAnsi"/>
          <w:sz w:val="24"/>
          <w:szCs w:val="24"/>
        </w:rPr>
        <w:t>1</w:t>
      </w:r>
      <w:r w:rsidRPr="00223BA3">
        <w:rPr>
          <w:rFonts w:asciiTheme="minorHAnsi" w:hAnsiTheme="minorHAnsi" w:cstheme="minorHAnsi"/>
          <w:sz w:val="24"/>
          <w:szCs w:val="24"/>
        </w:rPr>
        <w:t>: Consumption by site of specific antibiotics. Dots represent raw monthly DOT</w:t>
      </w:r>
      <w:r w:rsidR="00F6107E">
        <w:rPr>
          <w:rFonts w:asciiTheme="minorHAnsi" w:hAnsiTheme="minorHAnsi" w:cstheme="minorHAnsi"/>
          <w:sz w:val="24"/>
          <w:szCs w:val="24"/>
        </w:rPr>
        <w:t xml:space="preserve"> </w:t>
      </w:r>
      <w:r w:rsidRPr="00223BA3">
        <w:rPr>
          <w:rFonts w:asciiTheme="minorHAnsi" w:hAnsiTheme="minorHAnsi" w:cstheme="minorHAnsi"/>
          <w:sz w:val="24"/>
          <w:szCs w:val="24"/>
        </w:rPr>
        <w:t xml:space="preserve">per-100-PD. Solid lines represent fitted models for estimating trends over time, as described in methods, dashed lines represent LOESS fitted curves to demonstrate </w:t>
      </w:r>
      <w:r w:rsidRPr="00223BA3">
        <w:rPr>
          <w:rFonts w:asciiTheme="minorHAnsi" w:hAnsiTheme="minorHAnsi" w:cstheme="minorHAnsi"/>
          <w:sz w:val="24"/>
          <w:szCs w:val="24"/>
        </w:rPr>
        <w:t xml:space="preserve">locally averaged changes. </w:t>
      </w:r>
      <w:r w:rsidR="00321C29">
        <w:rPr>
          <w:rFonts w:asciiTheme="minorHAnsi" w:hAnsiTheme="minorHAnsi" w:cstheme="minorHAnsi"/>
          <w:sz w:val="24"/>
          <w:szCs w:val="24"/>
        </w:rPr>
        <w:t>A</w:t>
      </w:r>
      <w:r w:rsidR="00321C29" w:rsidRPr="00223BA3">
        <w:rPr>
          <w:rFonts w:asciiTheme="minorHAnsi" w:hAnsiTheme="minorHAnsi" w:cstheme="minorHAnsi"/>
          <w:sz w:val="24"/>
          <w:szCs w:val="24"/>
        </w:rPr>
        <w:t>) Piperacillin/Tazobactam</w:t>
      </w:r>
      <w:r w:rsidR="00321C29">
        <w:rPr>
          <w:rFonts w:asciiTheme="minorHAnsi" w:hAnsiTheme="minorHAnsi" w:cstheme="minorHAnsi"/>
          <w:sz w:val="24"/>
          <w:szCs w:val="24"/>
        </w:rPr>
        <w:t>, B</w:t>
      </w:r>
      <w:r w:rsidRPr="00223BA3">
        <w:rPr>
          <w:rFonts w:asciiTheme="minorHAnsi" w:hAnsiTheme="minorHAnsi" w:cstheme="minorHAnsi"/>
          <w:sz w:val="24"/>
          <w:szCs w:val="24"/>
        </w:rPr>
        <w:t xml:space="preserve">) Meropenem, </w:t>
      </w:r>
      <w:r w:rsidR="00321C29">
        <w:rPr>
          <w:rFonts w:asciiTheme="minorHAnsi" w:hAnsiTheme="minorHAnsi" w:cstheme="minorHAnsi"/>
          <w:sz w:val="24"/>
          <w:szCs w:val="24"/>
        </w:rPr>
        <w:t>C</w:t>
      </w:r>
      <w:r w:rsidRPr="00223BA3">
        <w:rPr>
          <w:rFonts w:asciiTheme="minorHAnsi" w:hAnsiTheme="minorHAnsi" w:cstheme="minorHAnsi"/>
          <w:sz w:val="24"/>
          <w:szCs w:val="24"/>
        </w:rPr>
        <w:t>) Ceftriaxone, D) Vancomycin</w:t>
      </w:r>
    </w:p>
    <w:p w14:paraId="26017D9A" w14:textId="5665A18E" w:rsidR="008E1489" w:rsidRDefault="008E1489">
      <w:pPr>
        <w:rPr>
          <w:rFonts w:cstheme="minorHAnsi"/>
          <w:sz w:val="24"/>
          <w:szCs w:val="24"/>
        </w:rPr>
      </w:pPr>
      <w:r>
        <w:rPr>
          <w:noProof/>
        </w:rPr>
        <w:drawing>
          <wp:anchor distT="0" distB="0" distL="114300" distR="114300" simplePos="0" relativeHeight="251658240" behindDoc="0" locked="0" layoutInCell="1" allowOverlap="1" wp14:anchorId="1FB263C3" wp14:editId="2AB4499E">
            <wp:simplePos x="0" y="0"/>
            <wp:positionH relativeFrom="margin">
              <wp:posOffset>25879</wp:posOffset>
            </wp:positionH>
            <wp:positionV relativeFrom="paragraph">
              <wp:posOffset>65909</wp:posOffset>
            </wp:positionV>
            <wp:extent cx="5253355" cy="4203065"/>
            <wp:effectExtent l="0" t="0" r="4445" b="6985"/>
            <wp:wrapSquare wrapText="bothSides"/>
            <wp:docPr id="923269341" name="Picture 1" descr="A graph of different types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69341" name="Picture 1" descr="A graph of different types of data&#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3355" cy="4203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6584C3" w14:textId="63812FDF" w:rsidR="008E1489" w:rsidRDefault="008E1489">
      <w:pPr>
        <w:rPr>
          <w:rFonts w:cstheme="minorHAnsi"/>
          <w:sz w:val="24"/>
          <w:szCs w:val="24"/>
        </w:rPr>
      </w:pPr>
    </w:p>
    <w:p w14:paraId="5C3297E6" w14:textId="259A3A5F" w:rsidR="008E1489" w:rsidRDefault="008E1489">
      <w:pPr>
        <w:rPr>
          <w:rFonts w:cstheme="minorHAnsi"/>
          <w:sz w:val="24"/>
          <w:szCs w:val="24"/>
        </w:rPr>
      </w:pPr>
    </w:p>
    <w:p w14:paraId="63D87148" w14:textId="03F6014A" w:rsidR="008E1489" w:rsidRDefault="008E1489">
      <w:pPr>
        <w:rPr>
          <w:rFonts w:cstheme="minorHAnsi"/>
          <w:sz w:val="24"/>
          <w:szCs w:val="24"/>
        </w:rPr>
      </w:pPr>
    </w:p>
    <w:p w14:paraId="695628AB" w14:textId="77777777" w:rsidR="008E1489" w:rsidRDefault="008E1489">
      <w:pPr>
        <w:rPr>
          <w:rFonts w:cstheme="minorHAnsi"/>
          <w:sz w:val="24"/>
          <w:szCs w:val="24"/>
        </w:rPr>
      </w:pPr>
    </w:p>
    <w:p w14:paraId="0FB34AB2" w14:textId="77777777" w:rsidR="008E1489" w:rsidRDefault="008E1489">
      <w:pPr>
        <w:rPr>
          <w:rFonts w:cstheme="minorHAnsi"/>
          <w:sz w:val="24"/>
          <w:szCs w:val="24"/>
        </w:rPr>
      </w:pPr>
    </w:p>
    <w:p w14:paraId="513BBBF3" w14:textId="34D25B92" w:rsidR="008E1489" w:rsidRDefault="008E1489">
      <w:pPr>
        <w:rPr>
          <w:rFonts w:cstheme="minorHAnsi"/>
          <w:sz w:val="24"/>
          <w:szCs w:val="24"/>
        </w:rPr>
      </w:pPr>
    </w:p>
    <w:p w14:paraId="3AFFB533" w14:textId="3BDADD39" w:rsidR="008E1489" w:rsidRDefault="008E1489">
      <w:pPr>
        <w:rPr>
          <w:rFonts w:cstheme="minorHAnsi"/>
          <w:sz w:val="24"/>
          <w:szCs w:val="24"/>
        </w:rPr>
      </w:pPr>
    </w:p>
    <w:p w14:paraId="64EB9363" w14:textId="77777777" w:rsidR="008E1489" w:rsidRDefault="008E1489">
      <w:pPr>
        <w:rPr>
          <w:rFonts w:cstheme="minorHAnsi"/>
          <w:sz w:val="24"/>
          <w:szCs w:val="24"/>
        </w:rPr>
      </w:pPr>
    </w:p>
    <w:p w14:paraId="5A49E3A7" w14:textId="77777777" w:rsidR="008E1489" w:rsidRDefault="008E1489">
      <w:pPr>
        <w:rPr>
          <w:rFonts w:cstheme="minorHAnsi"/>
          <w:sz w:val="24"/>
          <w:szCs w:val="24"/>
        </w:rPr>
      </w:pPr>
    </w:p>
    <w:p w14:paraId="0B35D00E" w14:textId="77777777" w:rsidR="008E1489" w:rsidRDefault="008E1489">
      <w:pPr>
        <w:rPr>
          <w:rFonts w:cstheme="minorHAnsi"/>
          <w:sz w:val="24"/>
          <w:szCs w:val="24"/>
        </w:rPr>
      </w:pPr>
    </w:p>
    <w:p w14:paraId="5BAEC5A7" w14:textId="77777777" w:rsidR="008E1489" w:rsidRDefault="008E1489">
      <w:pPr>
        <w:rPr>
          <w:rFonts w:cstheme="minorHAnsi"/>
          <w:sz w:val="24"/>
          <w:szCs w:val="24"/>
        </w:rPr>
      </w:pPr>
    </w:p>
    <w:p w14:paraId="301E02CE" w14:textId="77777777" w:rsidR="008E1489" w:rsidRDefault="008E1489">
      <w:pPr>
        <w:rPr>
          <w:rFonts w:cstheme="minorHAnsi"/>
          <w:sz w:val="24"/>
          <w:szCs w:val="24"/>
        </w:rPr>
      </w:pPr>
    </w:p>
    <w:p w14:paraId="2A7B3C9F" w14:textId="77777777" w:rsidR="008E1489" w:rsidRDefault="008E1489">
      <w:pPr>
        <w:rPr>
          <w:rFonts w:cstheme="minorHAnsi"/>
          <w:sz w:val="24"/>
          <w:szCs w:val="24"/>
        </w:rPr>
      </w:pPr>
    </w:p>
    <w:p w14:paraId="38566A16" w14:textId="77777777" w:rsidR="008E1489" w:rsidRDefault="008E1489">
      <w:pPr>
        <w:rPr>
          <w:rFonts w:cstheme="minorHAnsi"/>
          <w:sz w:val="24"/>
          <w:szCs w:val="24"/>
        </w:rPr>
      </w:pPr>
    </w:p>
    <w:p w14:paraId="3225BF7A" w14:textId="1B30D247" w:rsidR="007E0D3E" w:rsidRDefault="007E0D3E">
      <w:pPr>
        <w:rPr>
          <w:rFonts w:cstheme="minorHAnsi"/>
          <w:sz w:val="24"/>
          <w:szCs w:val="24"/>
        </w:rPr>
      </w:pPr>
      <w:r>
        <w:rPr>
          <w:rFonts w:cstheme="minorHAnsi"/>
          <w:sz w:val="24"/>
          <w:szCs w:val="24"/>
        </w:rPr>
        <w:br w:type="page"/>
      </w:r>
    </w:p>
    <w:p w14:paraId="7363A3A9" w14:textId="0B3A4FDE" w:rsidR="007E0D3E" w:rsidRDefault="007E0D3E" w:rsidP="007E0D3E">
      <w:pPr>
        <w:spacing w:line="360" w:lineRule="auto"/>
        <w:rPr>
          <w:rFonts w:cstheme="minorHAnsi"/>
          <w:b/>
          <w:bCs/>
          <w:sz w:val="24"/>
          <w:szCs w:val="24"/>
        </w:rPr>
      </w:pPr>
      <w:r>
        <w:rPr>
          <w:rFonts w:cstheme="minorHAnsi"/>
          <w:b/>
          <w:bCs/>
          <w:sz w:val="24"/>
          <w:szCs w:val="24"/>
        </w:rPr>
        <w:lastRenderedPageBreak/>
        <w:t>TABLES</w:t>
      </w:r>
      <w:r w:rsidRPr="00223BA3">
        <w:rPr>
          <w:rFonts w:cstheme="minorHAnsi"/>
          <w:b/>
          <w:bCs/>
          <w:sz w:val="24"/>
          <w:szCs w:val="24"/>
        </w:rPr>
        <w:t xml:space="preserve"> </w:t>
      </w:r>
    </w:p>
    <w:p w14:paraId="5939B3CC" w14:textId="76A0016D" w:rsidR="007E0D3E" w:rsidRPr="0025239E" w:rsidRDefault="007E0D3E" w:rsidP="007E0D3E">
      <w:pPr>
        <w:spacing w:line="360" w:lineRule="auto"/>
        <w:rPr>
          <w:rFonts w:cstheme="minorHAnsi"/>
          <w:sz w:val="24"/>
          <w:szCs w:val="24"/>
          <w:u w:val="single"/>
        </w:rPr>
      </w:pPr>
      <w:r w:rsidRPr="0025239E">
        <w:rPr>
          <w:rFonts w:cstheme="minorHAnsi"/>
          <w:sz w:val="24"/>
          <w:szCs w:val="24"/>
          <w:u w:val="single"/>
        </w:rPr>
        <w:t>Table 1</w:t>
      </w:r>
    </w:p>
    <w:tbl>
      <w:tblPr>
        <w:tblpPr w:leftFromText="180" w:rightFromText="180" w:vertAnchor="page" w:horzAnchor="margin" w:tblpY="2767"/>
        <w:tblW w:w="9356" w:type="dxa"/>
        <w:tblLook w:val="04A0" w:firstRow="1" w:lastRow="0" w:firstColumn="1" w:lastColumn="0" w:noHBand="0" w:noVBand="1"/>
      </w:tblPr>
      <w:tblGrid>
        <w:gridCol w:w="2527"/>
        <w:gridCol w:w="982"/>
        <w:gridCol w:w="1601"/>
        <w:gridCol w:w="982"/>
        <w:gridCol w:w="1497"/>
        <w:gridCol w:w="1767"/>
      </w:tblGrid>
      <w:tr w:rsidR="00C13131" w:rsidRPr="0025239E" w14:paraId="718736E1" w14:textId="00E09CBC" w:rsidTr="00F07D35">
        <w:trPr>
          <w:trHeight w:val="369"/>
        </w:trPr>
        <w:tc>
          <w:tcPr>
            <w:tcW w:w="2527" w:type="dxa"/>
            <w:tcBorders>
              <w:top w:val="nil"/>
              <w:left w:val="nil"/>
              <w:bottom w:val="nil"/>
              <w:right w:val="nil"/>
            </w:tcBorders>
            <w:shd w:val="clear" w:color="auto" w:fill="A6A6A6" w:themeFill="background1" w:themeFillShade="A6"/>
            <w:noWrap/>
            <w:vAlign w:val="bottom"/>
            <w:hideMark/>
          </w:tcPr>
          <w:p w14:paraId="15B38C47" w14:textId="77777777" w:rsidR="00C13131" w:rsidRPr="0025239E" w:rsidRDefault="00C13131" w:rsidP="00995132">
            <w:pPr>
              <w:spacing w:after="0" w:line="480" w:lineRule="auto"/>
              <w:rPr>
                <w:rFonts w:eastAsia="Times New Roman" w:cstheme="minorHAnsi"/>
                <w:b/>
                <w:bCs/>
                <w:sz w:val="24"/>
                <w:szCs w:val="24"/>
                <w:lang w:eastAsia="en-GB"/>
              </w:rPr>
            </w:pPr>
          </w:p>
        </w:tc>
        <w:tc>
          <w:tcPr>
            <w:tcW w:w="2583" w:type="dxa"/>
            <w:gridSpan w:val="2"/>
            <w:tcBorders>
              <w:top w:val="nil"/>
              <w:left w:val="single" w:sz="4" w:space="0" w:color="auto"/>
              <w:bottom w:val="nil"/>
            </w:tcBorders>
            <w:shd w:val="clear" w:color="auto" w:fill="A6A6A6" w:themeFill="background1" w:themeFillShade="A6"/>
            <w:noWrap/>
            <w:vAlign w:val="bottom"/>
            <w:hideMark/>
          </w:tcPr>
          <w:p w14:paraId="24193A3D" w14:textId="77777777" w:rsidR="00C13131" w:rsidRPr="0025239E" w:rsidRDefault="00C13131" w:rsidP="00995132">
            <w:pPr>
              <w:spacing w:after="0" w:line="480" w:lineRule="auto"/>
              <w:jc w:val="center"/>
              <w:rPr>
                <w:rFonts w:eastAsia="Times New Roman" w:cstheme="minorHAnsi"/>
                <w:b/>
                <w:bCs/>
                <w:color w:val="000000"/>
                <w:sz w:val="24"/>
                <w:szCs w:val="24"/>
                <w:lang w:eastAsia="en-GB"/>
              </w:rPr>
            </w:pPr>
            <w:r w:rsidRPr="0025239E">
              <w:rPr>
                <w:rFonts w:eastAsia="Times New Roman" w:cstheme="minorHAnsi"/>
                <w:b/>
                <w:bCs/>
                <w:color w:val="000000"/>
                <w:sz w:val="24"/>
                <w:szCs w:val="24"/>
                <w:lang w:eastAsia="en-GB"/>
              </w:rPr>
              <w:t>OUH</w:t>
            </w:r>
          </w:p>
        </w:tc>
        <w:tc>
          <w:tcPr>
            <w:tcW w:w="2479" w:type="dxa"/>
            <w:gridSpan w:val="2"/>
            <w:tcBorders>
              <w:top w:val="nil"/>
              <w:bottom w:val="nil"/>
              <w:right w:val="single" w:sz="4" w:space="0" w:color="auto"/>
            </w:tcBorders>
            <w:shd w:val="clear" w:color="auto" w:fill="A6A6A6" w:themeFill="background1" w:themeFillShade="A6"/>
            <w:noWrap/>
            <w:vAlign w:val="bottom"/>
            <w:hideMark/>
          </w:tcPr>
          <w:p w14:paraId="76DC03B5" w14:textId="77777777" w:rsidR="00C13131" w:rsidRPr="0025239E" w:rsidRDefault="00C13131" w:rsidP="00995132">
            <w:pPr>
              <w:spacing w:after="0" w:line="480" w:lineRule="auto"/>
              <w:jc w:val="center"/>
              <w:rPr>
                <w:rFonts w:eastAsia="Times New Roman" w:cstheme="minorHAnsi"/>
                <w:b/>
                <w:bCs/>
                <w:color w:val="000000"/>
                <w:sz w:val="24"/>
                <w:szCs w:val="24"/>
                <w:lang w:eastAsia="en-GB"/>
              </w:rPr>
            </w:pPr>
            <w:r w:rsidRPr="0025239E">
              <w:rPr>
                <w:rFonts w:eastAsia="Times New Roman" w:cstheme="minorHAnsi"/>
                <w:b/>
                <w:bCs/>
                <w:color w:val="000000"/>
                <w:sz w:val="24"/>
                <w:szCs w:val="24"/>
                <w:lang w:eastAsia="en-GB"/>
              </w:rPr>
              <w:t>UHS</w:t>
            </w:r>
          </w:p>
        </w:tc>
        <w:tc>
          <w:tcPr>
            <w:tcW w:w="1767" w:type="dxa"/>
            <w:vMerge w:val="restart"/>
            <w:tcBorders>
              <w:top w:val="nil"/>
              <w:left w:val="single" w:sz="4" w:space="0" w:color="auto"/>
            </w:tcBorders>
            <w:shd w:val="clear" w:color="auto" w:fill="A6A6A6" w:themeFill="background1" w:themeFillShade="A6"/>
          </w:tcPr>
          <w:p w14:paraId="698C80C4" w14:textId="5EB86E35" w:rsidR="00C13131" w:rsidRPr="0025239E" w:rsidRDefault="004E3699" w:rsidP="00995132">
            <w:pPr>
              <w:spacing w:after="0" w:line="48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WRS test</w:t>
            </w:r>
          </w:p>
          <w:p w14:paraId="43E9784B" w14:textId="4E34BE96" w:rsidR="00C13131" w:rsidRPr="0025239E" w:rsidRDefault="00C13131" w:rsidP="00F07D35">
            <w:pPr>
              <w:spacing w:after="0" w:line="48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p-value</w:t>
            </w:r>
          </w:p>
        </w:tc>
      </w:tr>
      <w:tr w:rsidR="00C13131" w:rsidRPr="0025239E" w14:paraId="079C637B" w14:textId="0E1A8C1C" w:rsidTr="00F07D35">
        <w:trPr>
          <w:trHeight w:val="369"/>
        </w:trPr>
        <w:tc>
          <w:tcPr>
            <w:tcW w:w="2527" w:type="dxa"/>
            <w:tcBorders>
              <w:top w:val="nil"/>
              <w:left w:val="nil"/>
              <w:bottom w:val="single" w:sz="4" w:space="0" w:color="auto"/>
              <w:right w:val="nil"/>
            </w:tcBorders>
            <w:shd w:val="clear" w:color="auto" w:fill="A6A6A6" w:themeFill="background1" w:themeFillShade="A6"/>
            <w:noWrap/>
            <w:vAlign w:val="bottom"/>
            <w:hideMark/>
          </w:tcPr>
          <w:p w14:paraId="6B5146F4" w14:textId="77777777" w:rsidR="00C13131" w:rsidRPr="0025239E" w:rsidRDefault="00C13131" w:rsidP="00995132">
            <w:pPr>
              <w:spacing w:after="0" w:line="480" w:lineRule="auto"/>
              <w:rPr>
                <w:rFonts w:eastAsia="Times New Roman" w:cstheme="minorHAnsi"/>
                <w:b/>
                <w:bCs/>
                <w:color w:val="000000"/>
                <w:sz w:val="24"/>
                <w:szCs w:val="24"/>
                <w:lang w:eastAsia="en-GB"/>
              </w:rPr>
            </w:pPr>
            <w:r w:rsidRPr="0025239E">
              <w:rPr>
                <w:rFonts w:eastAsia="Times New Roman" w:cstheme="minorHAnsi"/>
                <w:b/>
                <w:bCs/>
                <w:color w:val="000000"/>
                <w:sz w:val="24"/>
                <w:szCs w:val="24"/>
                <w:lang w:eastAsia="en-GB"/>
              </w:rPr>
              <w:t>Antimicrobial</w:t>
            </w:r>
          </w:p>
        </w:tc>
        <w:tc>
          <w:tcPr>
            <w:tcW w:w="982" w:type="dxa"/>
            <w:tcBorders>
              <w:top w:val="nil"/>
              <w:left w:val="single" w:sz="4" w:space="0" w:color="auto"/>
              <w:bottom w:val="single" w:sz="4" w:space="0" w:color="auto"/>
              <w:right w:val="nil"/>
            </w:tcBorders>
            <w:shd w:val="clear" w:color="auto" w:fill="A6A6A6" w:themeFill="background1" w:themeFillShade="A6"/>
            <w:noWrap/>
            <w:vAlign w:val="bottom"/>
            <w:hideMark/>
          </w:tcPr>
          <w:p w14:paraId="281BEA2A" w14:textId="77777777" w:rsidR="00C13131" w:rsidRPr="0025239E" w:rsidRDefault="00C13131" w:rsidP="00995132">
            <w:pPr>
              <w:spacing w:after="0" w:line="480" w:lineRule="auto"/>
              <w:jc w:val="center"/>
              <w:rPr>
                <w:rFonts w:eastAsia="Times New Roman" w:cstheme="minorHAnsi"/>
                <w:b/>
                <w:bCs/>
                <w:color w:val="000000"/>
                <w:sz w:val="24"/>
                <w:szCs w:val="24"/>
                <w:lang w:eastAsia="en-GB"/>
              </w:rPr>
            </w:pPr>
            <w:r w:rsidRPr="0025239E">
              <w:rPr>
                <w:rFonts w:eastAsia="Times New Roman" w:cstheme="minorHAnsi"/>
                <w:b/>
                <w:bCs/>
                <w:color w:val="000000"/>
                <w:sz w:val="24"/>
                <w:szCs w:val="24"/>
                <w:lang w:eastAsia="en-GB"/>
              </w:rPr>
              <w:t>Median</w:t>
            </w:r>
          </w:p>
        </w:tc>
        <w:tc>
          <w:tcPr>
            <w:tcW w:w="1601" w:type="dxa"/>
            <w:tcBorders>
              <w:top w:val="nil"/>
              <w:left w:val="nil"/>
              <w:bottom w:val="single" w:sz="4" w:space="0" w:color="auto"/>
              <w:right w:val="single" w:sz="4" w:space="0" w:color="auto"/>
            </w:tcBorders>
            <w:shd w:val="clear" w:color="auto" w:fill="A6A6A6" w:themeFill="background1" w:themeFillShade="A6"/>
            <w:noWrap/>
            <w:vAlign w:val="bottom"/>
            <w:hideMark/>
          </w:tcPr>
          <w:p w14:paraId="51F319E9" w14:textId="77777777" w:rsidR="00C13131" w:rsidRPr="0025239E" w:rsidRDefault="00C13131" w:rsidP="00995132">
            <w:pPr>
              <w:spacing w:after="0" w:line="480" w:lineRule="auto"/>
              <w:jc w:val="center"/>
              <w:rPr>
                <w:rFonts w:eastAsia="Times New Roman" w:cstheme="minorHAnsi"/>
                <w:b/>
                <w:bCs/>
                <w:color w:val="000000"/>
                <w:sz w:val="24"/>
                <w:szCs w:val="24"/>
                <w:lang w:eastAsia="en-GB"/>
              </w:rPr>
            </w:pPr>
            <w:r w:rsidRPr="0025239E">
              <w:rPr>
                <w:rFonts w:eastAsia="Times New Roman" w:cstheme="minorHAnsi"/>
                <w:b/>
                <w:bCs/>
                <w:color w:val="000000"/>
                <w:sz w:val="24"/>
                <w:szCs w:val="24"/>
                <w:lang w:eastAsia="en-GB"/>
              </w:rPr>
              <w:t>IQR</w:t>
            </w:r>
          </w:p>
        </w:tc>
        <w:tc>
          <w:tcPr>
            <w:tcW w:w="982" w:type="dxa"/>
            <w:tcBorders>
              <w:top w:val="nil"/>
              <w:left w:val="nil"/>
              <w:bottom w:val="single" w:sz="4" w:space="0" w:color="auto"/>
              <w:right w:val="nil"/>
            </w:tcBorders>
            <w:shd w:val="clear" w:color="auto" w:fill="A6A6A6" w:themeFill="background1" w:themeFillShade="A6"/>
            <w:noWrap/>
            <w:vAlign w:val="bottom"/>
            <w:hideMark/>
          </w:tcPr>
          <w:p w14:paraId="7635D283" w14:textId="77777777" w:rsidR="00C13131" w:rsidRPr="0025239E" w:rsidRDefault="00C13131" w:rsidP="00995132">
            <w:pPr>
              <w:spacing w:after="0" w:line="480" w:lineRule="auto"/>
              <w:jc w:val="center"/>
              <w:rPr>
                <w:rFonts w:eastAsia="Times New Roman" w:cstheme="minorHAnsi"/>
                <w:b/>
                <w:bCs/>
                <w:color w:val="000000"/>
                <w:sz w:val="24"/>
                <w:szCs w:val="24"/>
                <w:lang w:eastAsia="en-GB"/>
              </w:rPr>
            </w:pPr>
            <w:r w:rsidRPr="0025239E">
              <w:rPr>
                <w:rFonts w:eastAsia="Times New Roman" w:cstheme="minorHAnsi"/>
                <w:b/>
                <w:bCs/>
                <w:color w:val="000000"/>
                <w:sz w:val="24"/>
                <w:szCs w:val="24"/>
                <w:lang w:eastAsia="en-GB"/>
              </w:rPr>
              <w:t>Median</w:t>
            </w:r>
          </w:p>
        </w:tc>
        <w:tc>
          <w:tcPr>
            <w:tcW w:w="1497" w:type="dxa"/>
            <w:tcBorders>
              <w:top w:val="nil"/>
              <w:left w:val="nil"/>
              <w:bottom w:val="single" w:sz="4" w:space="0" w:color="auto"/>
              <w:right w:val="single" w:sz="4" w:space="0" w:color="auto"/>
            </w:tcBorders>
            <w:shd w:val="clear" w:color="auto" w:fill="A6A6A6" w:themeFill="background1" w:themeFillShade="A6"/>
            <w:noWrap/>
            <w:vAlign w:val="bottom"/>
            <w:hideMark/>
          </w:tcPr>
          <w:p w14:paraId="09D9E7C0" w14:textId="77777777" w:rsidR="00C13131" w:rsidRPr="0025239E" w:rsidRDefault="00C13131" w:rsidP="00995132">
            <w:pPr>
              <w:spacing w:after="0" w:line="480" w:lineRule="auto"/>
              <w:jc w:val="center"/>
              <w:rPr>
                <w:rFonts w:eastAsia="Times New Roman" w:cstheme="minorHAnsi"/>
                <w:b/>
                <w:bCs/>
                <w:color w:val="000000"/>
                <w:sz w:val="24"/>
                <w:szCs w:val="24"/>
                <w:lang w:eastAsia="en-GB"/>
              </w:rPr>
            </w:pPr>
            <w:r w:rsidRPr="0025239E">
              <w:rPr>
                <w:rFonts w:eastAsia="Times New Roman" w:cstheme="minorHAnsi"/>
                <w:b/>
                <w:bCs/>
                <w:color w:val="000000"/>
                <w:sz w:val="24"/>
                <w:szCs w:val="24"/>
                <w:lang w:eastAsia="en-GB"/>
              </w:rPr>
              <w:t>IQR</w:t>
            </w:r>
          </w:p>
        </w:tc>
        <w:tc>
          <w:tcPr>
            <w:tcW w:w="1767" w:type="dxa"/>
            <w:vMerge/>
            <w:tcBorders>
              <w:left w:val="single" w:sz="4" w:space="0" w:color="auto"/>
              <w:bottom w:val="single" w:sz="4" w:space="0" w:color="auto"/>
            </w:tcBorders>
            <w:shd w:val="clear" w:color="auto" w:fill="A6A6A6" w:themeFill="background1" w:themeFillShade="A6"/>
          </w:tcPr>
          <w:p w14:paraId="2B7DCBFD" w14:textId="7D9E3256" w:rsidR="00C13131" w:rsidRPr="0025239E" w:rsidRDefault="00C13131" w:rsidP="00995132">
            <w:pPr>
              <w:spacing w:after="0" w:line="480" w:lineRule="auto"/>
              <w:jc w:val="center"/>
              <w:rPr>
                <w:rFonts w:eastAsia="Times New Roman" w:cstheme="minorHAnsi"/>
                <w:b/>
                <w:bCs/>
                <w:color w:val="000000"/>
                <w:sz w:val="24"/>
                <w:szCs w:val="24"/>
                <w:lang w:eastAsia="en-GB"/>
              </w:rPr>
            </w:pPr>
          </w:p>
        </w:tc>
      </w:tr>
      <w:tr w:rsidR="004B646D" w:rsidRPr="0025239E" w14:paraId="76DA705D" w14:textId="19E0EFD4" w:rsidTr="00C13131">
        <w:trPr>
          <w:trHeight w:val="369"/>
        </w:trPr>
        <w:tc>
          <w:tcPr>
            <w:tcW w:w="2527" w:type="dxa"/>
            <w:tcBorders>
              <w:top w:val="single" w:sz="4" w:space="0" w:color="auto"/>
              <w:left w:val="nil"/>
              <w:bottom w:val="nil"/>
              <w:right w:val="nil"/>
            </w:tcBorders>
            <w:shd w:val="clear" w:color="auto" w:fill="auto"/>
            <w:noWrap/>
            <w:vAlign w:val="center"/>
            <w:hideMark/>
          </w:tcPr>
          <w:p w14:paraId="15A1180A" w14:textId="77777777" w:rsidR="004B646D" w:rsidRPr="0025239E" w:rsidRDefault="004B646D" w:rsidP="00995132">
            <w:pPr>
              <w:spacing w:after="0" w:line="480" w:lineRule="auto"/>
              <w:rPr>
                <w:rFonts w:eastAsia="Times New Roman" w:cstheme="minorHAnsi"/>
                <w:color w:val="000000"/>
                <w:sz w:val="24"/>
                <w:szCs w:val="24"/>
                <w:lang w:eastAsia="en-GB"/>
              </w:rPr>
            </w:pPr>
            <w:r w:rsidRPr="0025239E">
              <w:rPr>
                <w:rFonts w:eastAsia="Times New Roman" w:cstheme="minorHAnsi"/>
                <w:color w:val="000000"/>
                <w:sz w:val="24"/>
                <w:szCs w:val="24"/>
                <w:lang w:eastAsia="en-GB"/>
              </w:rPr>
              <w:t>All</w:t>
            </w:r>
          </w:p>
        </w:tc>
        <w:tc>
          <w:tcPr>
            <w:tcW w:w="982" w:type="dxa"/>
            <w:tcBorders>
              <w:top w:val="single" w:sz="4" w:space="0" w:color="auto"/>
              <w:left w:val="single" w:sz="4" w:space="0" w:color="auto"/>
              <w:bottom w:val="nil"/>
              <w:right w:val="nil"/>
            </w:tcBorders>
            <w:shd w:val="clear" w:color="auto" w:fill="auto"/>
            <w:noWrap/>
            <w:vAlign w:val="center"/>
            <w:hideMark/>
          </w:tcPr>
          <w:p w14:paraId="6023ED81"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25.87</w:t>
            </w:r>
          </w:p>
        </w:tc>
        <w:tc>
          <w:tcPr>
            <w:tcW w:w="1601" w:type="dxa"/>
            <w:tcBorders>
              <w:top w:val="single" w:sz="4" w:space="0" w:color="auto"/>
              <w:left w:val="nil"/>
              <w:bottom w:val="nil"/>
              <w:right w:val="single" w:sz="4" w:space="0" w:color="auto"/>
            </w:tcBorders>
            <w:shd w:val="clear" w:color="auto" w:fill="auto"/>
            <w:noWrap/>
            <w:vAlign w:val="center"/>
            <w:hideMark/>
          </w:tcPr>
          <w:p w14:paraId="5D5B5EB4"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22.09 - 33.94</w:t>
            </w:r>
          </w:p>
        </w:tc>
        <w:tc>
          <w:tcPr>
            <w:tcW w:w="982" w:type="dxa"/>
            <w:tcBorders>
              <w:top w:val="single" w:sz="4" w:space="0" w:color="auto"/>
              <w:left w:val="nil"/>
              <w:bottom w:val="nil"/>
              <w:right w:val="nil"/>
            </w:tcBorders>
            <w:shd w:val="clear" w:color="auto" w:fill="auto"/>
            <w:noWrap/>
            <w:vAlign w:val="center"/>
            <w:hideMark/>
          </w:tcPr>
          <w:p w14:paraId="154D0E5D"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29.37</w:t>
            </w:r>
          </w:p>
        </w:tc>
        <w:tc>
          <w:tcPr>
            <w:tcW w:w="1497" w:type="dxa"/>
            <w:tcBorders>
              <w:top w:val="single" w:sz="4" w:space="0" w:color="auto"/>
              <w:left w:val="nil"/>
              <w:bottom w:val="nil"/>
              <w:right w:val="single" w:sz="4" w:space="0" w:color="auto"/>
            </w:tcBorders>
            <w:shd w:val="clear" w:color="auto" w:fill="auto"/>
            <w:noWrap/>
            <w:vAlign w:val="center"/>
            <w:hideMark/>
          </w:tcPr>
          <w:p w14:paraId="482CB9A3"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24.20 - 34.91</w:t>
            </w:r>
          </w:p>
        </w:tc>
        <w:tc>
          <w:tcPr>
            <w:tcW w:w="1767" w:type="dxa"/>
            <w:tcBorders>
              <w:top w:val="single" w:sz="4" w:space="0" w:color="auto"/>
              <w:left w:val="single" w:sz="4" w:space="0" w:color="auto"/>
              <w:bottom w:val="nil"/>
            </w:tcBorders>
          </w:tcPr>
          <w:p w14:paraId="655D4A4A" w14:textId="5CDA0B7C" w:rsidR="004B646D" w:rsidRPr="0025239E" w:rsidRDefault="000A7EBB" w:rsidP="00995132">
            <w:pPr>
              <w:spacing w:after="0" w:line="48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0.19</w:t>
            </w:r>
          </w:p>
        </w:tc>
      </w:tr>
      <w:tr w:rsidR="004B646D" w:rsidRPr="0025239E" w14:paraId="73D71C41" w14:textId="200F21D2" w:rsidTr="00C13131">
        <w:trPr>
          <w:trHeight w:val="369"/>
        </w:trPr>
        <w:tc>
          <w:tcPr>
            <w:tcW w:w="2527" w:type="dxa"/>
            <w:tcBorders>
              <w:top w:val="nil"/>
              <w:left w:val="nil"/>
              <w:bottom w:val="nil"/>
              <w:right w:val="nil"/>
            </w:tcBorders>
            <w:shd w:val="clear" w:color="auto" w:fill="F2F2F2" w:themeFill="background1" w:themeFillShade="F2"/>
            <w:noWrap/>
            <w:vAlign w:val="center"/>
            <w:hideMark/>
          </w:tcPr>
          <w:p w14:paraId="35158AEF" w14:textId="77777777" w:rsidR="004B646D" w:rsidRPr="0025239E" w:rsidRDefault="004B646D" w:rsidP="00995132">
            <w:pPr>
              <w:spacing w:after="0" w:line="480" w:lineRule="auto"/>
              <w:rPr>
                <w:rFonts w:eastAsia="Times New Roman" w:cstheme="minorHAnsi"/>
                <w:color w:val="000000"/>
                <w:sz w:val="24"/>
                <w:szCs w:val="24"/>
                <w:lang w:eastAsia="en-GB"/>
              </w:rPr>
            </w:pPr>
            <w:r w:rsidRPr="0025239E">
              <w:rPr>
                <w:rFonts w:eastAsia="Times New Roman" w:cstheme="minorHAnsi"/>
                <w:color w:val="000000"/>
                <w:sz w:val="24"/>
                <w:szCs w:val="24"/>
                <w:lang w:eastAsia="en-GB"/>
              </w:rPr>
              <w:t>Amikacin</w:t>
            </w:r>
          </w:p>
        </w:tc>
        <w:tc>
          <w:tcPr>
            <w:tcW w:w="982" w:type="dxa"/>
            <w:tcBorders>
              <w:top w:val="nil"/>
              <w:left w:val="single" w:sz="4" w:space="0" w:color="auto"/>
              <w:bottom w:val="nil"/>
              <w:right w:val="nil"/>
            </w:tcBorders>
            <w:shd w:val="clear" w:color="auto" w:fill="F2F2F2" w:themeFill="background1" w:themeFillShade="F2"/>
            <w:noWrap/>
            <w:vAlign w:val="center"/>
            <w:hideMark/>
          </w:tcPr>
          <w:p w14:paraId="167FC313"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w:t>
            </w:r>
          </w:p>
        </w:tc>
        <w:tc>
          <w:tcPr>
            <w:tcW w:w="1601" w:type="dxa"/>
            <w:tcBorders>
              <w:top w:val="nil"/>
              <w:left w:val="nil"/>
              <w:bottom w:val="nil"/>
              <w:right w:val="single" w:sz="4" w:space="0" w:color="auto"/>
            </w:tcBorders>
            <w:shd w:val="clear" w:color="auto" w:fill="F2F2F2" w:themeFill="background1" w:themeFillShade="F2"/>
            <w:noWrap/>
            <w:vAlign w:val="center"/>
            <w:hideMark/>
          </w:tcPr>
          <w:p w14:paraId="3E6B77FC"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0.00 - 0.00</w:t>
            </w:r>
          </w:p>
        </w:tc>
        <w:tc>
          <w:tcPr>
            <w:tcW w:w="982" w:type="dxa"/>
            <w:tcBorders>
              <w:top w:val="nil"/>
              <w:left w:val="nil"/>
              <w:bottom w:val="nil"/>
              <w:right w:val="nil"/>
            </w:tcBorders>
            <w:shd w:val="clear" w:color="auto" w:fill="F2F2F2" w:themeFill="background1" w:themeFillShade="F2"/>
            <w:noWrap/>
            <w:vAlign w:val="center"/>
            <w:hideMark/>
          </w:tcPr>
          <w:p w14:paraId="3BE6CE59"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w:t>
            </w:r>
          </w:p>
        </w:tc>
        <w:tc>
          <w:tcPr>
            <w:tcW w:w="1497" w:type="dxa"/>
            <w:tcBorders>
              <w:top w:val="nil"/>
              <w:left w:val="nil"/>
              <w:bottom w:val="nil"/>
              <w:right w:val="single" w:sz="4" w:space="0" w:color="auto"/>
            </w:tcBorders>
            <w:shd w:val="clear" w:color="auto" w:fill="F2F2F2" w:themeFill="background1" w:themeFillShade="F2"/>
            <w:noWrap/>
            <w:vAlign w:val="center"/>
            <w:hideMark/>
          </w:tcPr>
          <w:p w14:paraId="2086F0F8"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0.00 - 0.00</w:t>
            </w:r>
          </w:p>
        </w:tc>
        <w:tc>
          <w:tcPr>
            <w:tcW w:w="1767" w:type="dxa"/>
            <w:tcBorders>
              <w:top w:val="nil"/>
              <w:left w:val="single" w:sz="4" w:space="0" w:color="auto"/>
              <w:bottom w:val="nil"/>
            </w:tcBorders>
            <w:shd w:val="clear" w:color="auto" w:fill="F2F2F2" w:themeFill="background1" w:themeFillShade="F2"/>
          </w:tcPr>
          <w:p w14:paraId="7F912CA8" w14:textId="64D72005" w:rsidR="004B646D" w:rsidRPr="0025239E" w:rsidRDefault="000A7EBB" w:rsidP="00995132">
            <w:pPr>
              <w:spacing w:after="0" w:line="48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0.33</w:t>
            </w:r>
          </w:p>
        </w:tc>
      </w:tr>
      <w:tr w:rsidR="004B646D" w:rsidRPr="0025239E" w14:paraId="41659C4C" w14:textId="30EE31CA" w:rsidTr="00C13131">
        <w:trPr>
          <w:trHeight w:val="369"/>
        </w:trPr>
        <w:tc>
          <w:tcPr>
            <w:tcW w:w="2527" w:type="dxa"/>
            <w:tcBorders>
              <w:top w:val="nil"/>
              <w:left w:val="nil"/>
              <w:bottom w:val="nil"/>
              <w:right w:val="nil"/>
            </w:tcBorders>
            <w:shd w:val="clear" w:color="auto" w:fill="auto"/>
            <w:noWrap/>
            <w:vAlign w:val="center"/>
            <w:hideMark/>
          </w:tcPr>
          <w:p w14:paraId="1E63D25E" w14:textId="77777777" w:rsidR="004B646D" w:rsidRPr="0025239E" w:rsidRDefault="004B646D" w:rsidP="00995132">
            <w:pPr>
              <w:spacing w:after="0" w:line="480" w:lineRule="auto"/>
              <w:rPr>
                <w:rFonts w:eastAsia="Times New Roman" w:cstheme="minorHAnsi"/>
                <w:color w:val="000000"/>
                <w:sz w:val="24"/>
                <w:szCs w:val="24"/>
                <w:lang w:eastAsia="en-GB"/>
              </w:rPr>
            </w:pPr>
            <w:r w:rsidRPr="0025239E">
              <w:rPr>
                <w:rFonts w:eastAsia="Times New Roman" w:cstheme="minorHAnsi"/>
                <w:color w:val="000000"/>
                <w:sz w:val="24"/>
                <w:szCs w:val="24"/>
                <w:lang w:eastAsia="en-GB"/>
              </w:rPr>
              <w:t>Gentamicin</w:t>
            </w:r>
          </w:p>
        </w:tc>
        <w:tc>
          <w:tcPr>
            <w:tcW w:w="982" w:type="dxa"/>
            <w:tcBorders>
              <w:top w:val="nil"/>
              <w:left w:val="single" w:sz="4" w:space="0" w:color="auto"/>
              <w:bottom w:val="nil"/>
              <w:right w:val="nil"/>
            </w:tcBorders>
            <w:shd w:val="clear" w:color="auto" w:fill="auto"/>
            <w:noWrap/>
            <w:vAlign w:val="center"/>
            <w:hideMark/>
          </w:tcPr>
          <w:p w14:paraId="768A1139"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0.55</w:t>
            </w:r>
          </w:p>
        </w:tc>
        <w:tc>
          <w:tcPr>
            <w:tcW w:w="1601" w:type="dxa"/>
            <w:tcBorders>
              <w:top w:val="nil"/>
              <w:left w:val="nil"/>
              <w:bottom w:val="nil"/>
              <w:right w:val="single" w:sz="4" w:space="0" w:color="auto"/>
            </w:tcBorders>
            <w:shd w:val="clear" w:color="auto" w:fill="auto"/>
            <w:noWrap/>
            <w:vAlign w:val="center"/>
            <w:hideMark/>
          </w:tcPr>
          <w:p w14:paraId="29C3B6F0"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0.26 - 1.28</w:t>
            </w:r>
          </w:p>
        </w:tc>
        <w:tc>
          <w:tcPr>
            <w:tcW w:w="982" w:type="dxa"/>
            <w:tcBorders>
              <w:top w:val="nil"/>
              <w:left w:val="nil"/>
              <w:bottom w:val="nil"/>
              <w:right w:val="nil"/>
            </w:tcBorders>
            <w:shd w:val="clear" w:color="auto" w:fill="auto"/>
            <w:noWrap/>
            <w:vAlign w:val="center"/>
            <w:hideMark/>
          </w:tcPr>
          <w:p w14:paraId="544DD926"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0.78</w:t>
            </w:r>
          </w:p>
        </w:tc>
        <w:tc>
          <w:tcPr>
            <w:tcW w:w="1497" w:type="dxa"/>
            <w:tcBorders>
              <w:top w:val="nil"/>
              <w:left w:val="nil"/>
              <w:bottom w:val="nil"/>
              <w:right w:val="single" w:sz="4" w:space="0" w:color="auto"/>
            </w:tcBorders>
            <w:shd w:val="clear" w:color="auto" w:fill="auto"/>
            <w:noWrap/>
            <w:vAlign w:val="center"/>
            <w:hideMark/>
          </w:tcPr>
          <w:p w14:paraId="499056FA"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0.16 - 1.84</w:t>
            </w:r>
          </w:p>
        </w:tc>
        <w:tc>
          <w:tcPr>
            <w:tcW w:w="1767" w:type="dxa"/>
            <w:tcBorders>
              <w:top w:val="nil"/>
              <w:left w:val="single" w:sz="4" w:space="0" w:color="auto"/>
              <w:bottom w:val="nil"/>
            </w:tcBorders>
          </w:tcPr>
          <w:p w14:paraId="3CF8E58E" w14:textId="19CC18ED" w:rsidR="000A7EBB" w:rsidRPr="0025239E" w:rsidRDefault="000A7EBB" w:rsidP="000A7EBB">
            <w:pPr>
              <w:spacing w:after="0" w:line="48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0.38</w:t>
            </w:r>
          </w:p>
        </w:tc>
      </w:tr>
      <w:tr w:rsidR="004B646D" w:rsidRPr="0025239E" w14:paraId="60813310" w14:textId="39097EAB" w:rsidTr="00C13131">
        <w:trPr>
          <w:trHeight w:val="369"/>
        </w:trPr>
        <w:tc>
          <w:tcPr>
            <w:tcW w:w="2527" w:type="dxa"/>
            <w:tcBorders>
              <w:top w:val="nil"/>
              <w:left w:val="nil"/>
              <w:bottom w:val="nil"/>
              <w:right w:val="nil"/>
            </w:tcBorders>
            <w:shd w:val="clear" w:color="auto" w:fill="F2F2F2" w:themeFill="background1" w:themeFillShade="F2"/>
            <w:noWrap/>
            <w:vAlign w:val="center"/>
            <w:hideMark/>
          </w:tcPr>
          <w:p w14:paraId="7229E387" w14:textId="77777777" w:rsidR="004B646D" w:rsidRPr="0025239E" w:rsidRDefault="004B646D" w:rsidP="00995132">
            <w:pPr>
              <w:spacing w:after="0" w:line="480" w:lineRule="auto"/>
              <w:rPr>
                <w:rFonts w:eastAsia="Times New Roman" w:cstheme="minorHAnsi"/>
                <w:color w:val="000000"/>
                <w:sz w:val="24"/>
                <w:szCs w:val="24"/>
                <w:lang w:eastAsia="en-GB"/>
              </w:rPr>
            </w:pPr>
            <w:r w:rsidRPr="0025239E">
              <w:rPr>
                <w:rFonts w:eastAsia="Times New Roman" w:cstheme="minorHAnsi"/>
                <w:color w:val="000000"/>
                <w:sz w:val="24"/>
                <w:szCs w:val="24"/>
                <w:lang w:eastAsia="en-GB"/>
              </w:rPr>
              <w:t>Ceftazidime</w:t>
            </w:r>
          </w:p>
        </w:tc>
        <w:tc>
          <w:tcPr>
            <w:tcW w:w="982" w:type="dxa"/>
            <w:tcBorders>
              <w:top w:val="nil"/>
              <w:left w:val="single" w:sz="4" w:space="0" w:color="auto"/>
              <w:bottom w:val="nil"/>
              <w:right w:val="nil"/>
            </w:tcBorders>
            <w:shd w:val="clear" w:color="auto" w:fill="F2F2F2" w:themeFill="background1" w:themeFillShade="F2"/>
            <w:noWrap/>
            <w:vAlign w:val="center"/>
            <w:hideMark/>
          </w:tcPr>
          <w:p w14:paraId="4C0A9CAA"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w:t>
            </w:r>
          </w:p>
        </w:tc>
        <w:tc>
          <w:tcPr>
            <w:tcW w:w="1601" w:type="dxa"/>
            <w:tcBorders>
              <w:top w:val="nil"/>
              <w:left w:val="nil"/>
              <w:bottom w:val="nil"/>
              <w:right w:val="single" w:sz="4" w:space="0" w:color="auto"/>
            </w:tcBorders>
            <w:shd w:val="clear" w:color="auto" w:fill="F2F2F2" w:themeFill="background1" w:themeFillShade="F2"/>
            <w:noWrap/>
            <w:vAlign w:val="center"/>
            <w:hideMark/>
          </w:tcPr>
          <w:p w14:paraId="4E2911E1"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0.00 - 0.00</w:t>
            </w:r>
          </w:p>
        </w:tc>
        <w:tc>
          <w:tcPr>
            <w:tcW w:w="982" w:type="dxa"/>
            <w:tcBorders>
              <w:top w:val="nil"/>
              <w:left w:val="nil"/>
              <w:bottom w:val="nil"/>
              <w:right w:val="nil"/>
            </w:tcBorders>
            <w:shd w:val="clear" w:color="auto" w:fill="F2F2F2" w:themeFill="background1" w:themeFillShade="F2"/>
            <w:noWrap/>
            <w:vAlign w:val="center"/>
            <w:hideMark/>
          </w:tcPr>
          <w:p w14:paraId="189FC2B3"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w:t>
            </w:r>
          </w:p>
        </w:tc>
        <w:tc>
          <w:tcPr>
            <w:tcW w:w="1497" w:type="dxa"/>
            <w:tcBorders>
              <w:top w:val="nil"/>
              <w:left w:val="nil"/>
              <w:bottom w:val="nil"/>
              <w:right w:val="single" w:sz="4" w:space="0" w:color="auto"/>
            </w:tcBorders>
            <w:shd w:val="clear" w:color="auto" w:fill="F2F2F2" w:themeFill="background1" w:themeFillShade="F2"/>
            <w:noWrap/>
            <w:vAlign w:val="center"/>
            <w:hideMark/>
          </w:tcPr>
          <w:p w14:paraId="43FD1E53"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0.00 - 0.05</w:t>
            </w:r>
          </w:p>
        </w:tc>
        <w:tc>
          <w:tcPr>
            <w:tcW w:w="1767" w:type="dxa"/>
            <w:tcBorders>
              <w:top w:val="nil"/>
              <w:left w:val="single" w:sz="4" w:space="0" w:color="auto"/>
              <w:bottom w:val="nil"/>
            </w:tcBorders>
            <w:shd w:val="clear" w:color="auto" w:fill="F2F2F2" w:themeFill="background1" w:themeFillShade="F2"/>
          </w:tcPr>
          <w:p w14:paraId="3C4D3865" w14:textId="1B12AC80" w:rsidR="004B646D" w:rsidRPr="0025239E" w:rsidRDefault="000A7EBB" w:rsidP="00995132">
            <w:pPr>
              <w:spacing w:after="0" w:line="48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0.92</w:t>
            </w:r>
          </w:p>
        </w:tc>
      </w:tr>
      <w:tr w:rsidR="004B646D" w:rsidRPr="0025239E" w14:paraId="1CB7DE63" w14:textId="38635046" w:rsidTr="00C13131">
        <w:trPr>
          <w:trHeight w:val="369"/>
        </w:trPr>
        <w:tc>
          <w:tcPr>
            <w:tcW w:w="2527" w:type="dxa"/>
            <w:tcBorders>
              <w:top w:val="nil"/>
              <w:left w:val="nil"/>
              <w:bottom w:val="nil"/>
              <w:right w:val="nil"/>
            </w:tcBorders>
            <w:shd w:val="clear" w:color="auto" w:fill="auto"/>
            <w:noWrap/>
            <w:vAlign w:val="center"/>
            <w:hideMark/>
          </w:tcPr>
          <w:p w14:paraId="5790CFA4" w14:textId="77777777" w:rsidR="004B646D" w:rsidRPr="0025239E" w:rsidRDefault="004B646D" w:rsidP="00995132">
            <w:pPr>
              <w:spacing w:after="0" w:line="480" w:lineRule="auto"/>
              <w:rPr>
                <w:rFonts w:eastAsia="Times New Roman" w:cstheme="minorHAnsi"/>
                <w:color w:val="000000"/>
                <w:sz w:val="24"/>
                <w:szCs w:val="24"/>
                <w:lang w:eastAsia="en-GB"/>
              </w:rPr>
            </w:pPr>
            <w:r w:rsidRPr="0025239E">
              <w:rPr>
                <w:rFonts w:eastAsia="Times New Roman" w:cstheme="minorHAnsi"/>
                <w:color w:val="000000"/>
                <w:sz w:val="24"/>
                <w:szCs w:val="24"/>
                <w:lang w:eastAsia="en-GB"/>
              </w:rPr>
              <w:t>Ceftriaxone</w:t>
            </w:r>
          </w:p>
        </w:tc>
        <w:tc>
          <w:tcPr>
            <w:tcW w:w="982" w:type="dxa"/>
            <w:tcBorders>
              <w:top w:val="nil"/>
              <w:left w:val="single" w:sz="4" w:space="0" w:color="auto"/>
              <w:bottom w:val="nil"/>
              <w:right w:val="nil"/>
            </w:tcBorders>
            <w:shd w:val="clear" w:color="auto" w:fill="auto"/>
            <w:noWrap/>
            <w:vAlign w:val="center"/>
            <w:hideMark/>
          </w:tcPr>
          <w:p w14:paraId="697AB6D2"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4.90</w:t>
            </w:r>
          </w:p>
        </w:tc>
        <w:tc>
          <w:tcPr>
            <w:tcW w:w="1601" w:type="dxa"/>
            <w:tcBorders>
              <w:top w:val="nil"/>
              <w:left w:val="nil"/>
              <w:bottom w:val="nil"/>
              <w:right w:val="single" w:sz="4" w:space="0" w:color="auto"/>
            </w:tcBorders>
            <w:shd w:val="clear" w:color="auto" w:fill="auto"/>
            <w:noWrap/>
            <w:vAlign w:val="center"/>
            <w:hideMark/>
          </w:tcPr>
          <w:p w14:paraId="23C473E0"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3.27 - 5.97</w:t>
            </w:r>
          </w:p>
        </w:tc>
        <w:tc>
          <w:tcPr>
            <w:tcW w:w="982" w:type="dxa"/>
            <w:tcBorders>
              <w:top w:val="nil"/>
              <w:left w:val="nil"/>
              <w:bottom w:val="nil"/>
              <w:right w:val="nil"/>
            </w:tcBorders>
            <w:shd w:val="clear" w:color="auto" w:fill="auto"/>
            <w:noWrap/>
            <w:vAlign w:val="center"/>
            <w:hideMark/>
          </w:tcPr>
          <w:p w14:paraId="429E2D32"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1.54</w:t>
            </w:r>
          </w:p>
        </w:tc>
        <w:tc>
          <w:tcPr>
            <w:tcW w:w="1497" w:type="dxa"/>
            <w:tcBorders>
              <w:top w:val="nil"/>
              <w:left w:val="nil"/>
              <w:bottom w:val="nil"/>
              <w:right w:val="single" w:sz="4" w:space="0" w:color="auto"/>
            </w:tcBorders>
            <w:shd w:val="clear" w:color="auto" w:fill="auto"/>
            <w:noWrap/>
            <w:vAlign w:val="center"/>
            <w:hideMark/>
          </w:tcPr>
          <w:p w14:paraId="4938A251"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0.79 - 2.67</w:t>
            </w:r>
          </w:p>
        </w:tc>
        <w:tc>
          <w:tcPr>
            <w:tcW w:w="1767" w:type="dxa"/>
            <w:tcBorders>
              <w:top w:val="nil"/>
              <w:left w:val="single" w:sz="4" w:space="0" w:color="auto"/>
              <w:bottom w:val="nil"/>
            </w:tcBorders>
          </w:tcPr>
          <w:p w14:paraId="550B5728" w14:textId="3B244A20" w:rsidR="004B646D" w:rsidRPr="0025239E" w:rsidRDefault="000A7EBB" w:rsidP="00995132">
            <w:pPr>
              <w:spacing w:after="0" w:line="48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&lt;0.0001</w:t>
            </w:r>
          </w:p>
        </w:tc>
      </w:tr>
      <w:tr w:rsidR="004B646D" w:rsidRPr="0025239E" w14:paraId="79FC0672" w14:textId="7CDBCC5A" w:rsidTr="00C13131">
        <w:trPr>
          <w:trHeight w:val="369"/>
        </w:trPr>
        <w:tc>
          <w:tcPr>
            <w:tcW w:w="2527" w:type="dxa"/>
            <w:tcBorders>
              <w:top w:val="nil"/>
              <w:left w:val="nil"/>
              <w:bottom w:val="nil"/>
              <w:right w:val="nil"/>
            </w:tcBorders>
            <w:shd w:val="clear" w:color="auto" w:fill="F2F2F2" w:themeFill="background1" w:themeFillShade="F2"/>
            <w:noWrap/>
            <w:vAlign w:val="center"/>
            <w:hideMark/>
          </w:tcPr>
          <w:p w14:paraId="54DB3117" w14:textId="77777777" w:rsidR="004B646D" w:rsidRPr="0025239E" w:rsidRDefault="004B646D" w:rsidP="00995132">
            <w:pPr>
              <w:spacing w:after="0" w:line="480" w:lineRule="auto"/>
              <w:rPr>
                <w:rFonts w:eastAsia="Times New Roman" w:cstheme="minorHAnsi"/>
                <w:color w:val="000000"/>
                <w:sz w:val="24"/>
                <w:szCs w:val="24"/>
                <w:lang w:eastAsia="en-GB"/>
              </w:rPr>
            </w:pPr>
            <w:r w:rsidRPr="0025239E">
              <w:rPr>
                <w:rFonts w:eastAsia="Times New Roman" w:cstheme="minorHAnsi"/>
                <w:color w:val="000000"/>
                <w:sz w:val="24"/>
                <w:szCs w:val="24"/>
                <w:lang w:eastAsia="en-GB"/>
              </w:rPr>
              <w:t>Ciprofloxacin</w:t>
            </w:r>
          </w:p>
        </w:tc>
        <w:tc>
          <w:tcPr>
            <w:tcW w:w="982" w:type="dxa"/>
            <w:tcBorders>
              <w:top w:val="nil"/>
              <w:left w:val="single" w:sz="4" w:space="0" w:color="auto"/>
              <w:bottom w:val="nil"/>
              <w:right w:val="nil"/>
            </w:tcBorders>
            <w:shd w:val="clear" w:color="auto" w:fill="F2F2F2" w:themeFill="background1" w:themeFillShade="F2"/>
            <w:noWrap/>
            <w:vAlign w:val="center"/>
            <w:hideMark/>
          </w:tcPr>
          <w:p w14:paraId="77F710E0"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w:t>
            </w:r>
          </w:p>
        </w:tc>
        <w:tc>
          <w:tcPr>
            <w:tcW w:w="1601" w:type="dxa"/>
            <w:tcBorders>
              <w:top w:val="nil"/>
              <w:left w:val="nil"/>
              <w:bottom w:val="nil"/>
              <w:right w:val="single" w:sz="4" w:space="0" w:color="auto"/>
            </w:tcBorders>
            <w:shd w:val="clear" w:color="auto" w:fill="F2F2F2" w:themeFill="background1" w:themeFillShade="F2"/>
            <w:noWrap/>
            <w:vAlign w:val="center"/>
            <w:hideMark/>
          </w:tcPr>
          <w:p w14:paraId="5C4F5331"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0.00 - 0.46</w:t>
            </w:r>
          </w:p>
        </w:tc>
        <w:tc>
          <w:tcPr>
            <w:tcW w:w="982" w:type="dxa"/>
            <w:tcBorders>
              <w:top w:val="nil"/>
              <w:left w:val="nil"/>
              <w:bottom w:val="nil"/>
              <w:right w:val="nil"/>
            </w:tcBorders>
            <w:shd w:val="clear" w:color="auto" w:fill="F2F2F2" w:themeFill="background1" w:themeFillShade="F2"/>
            <w:noWrap/>
            <w:vAlign w:val="center"/>
            <w:hideMark/>
          </w:tcPr>
          <w:p w14:paraId="6A375557"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w:t>
            </w:r>
          </w:p>
        </w:tc>
        <w:tc>
          <w:tcPr>
            <w:tcW w:w="1497" w:type="dxa"/>
            <w:tcBorders>
              <w:top w:val="nil"/>
              <w:left w:val="nil"/>
              <w:bottom w:val="nil"/>
              <w:right w:val="single" w:sz="4" w:space="0" w:color="auto"/>
            </w:tcBorders>
            <w:shd w:val="clear" w:color="auto" w:fill="F2F2F2" w:themeFill="background1" w:themeFillShade="F2"/>
            <w:noWrap/>
            <w:vAlign w:val="center"/>
            <w:hideMark/>
          </w:tcPr>
          <w:p w14:paraId="67D1E2F0"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0.00 - 1.39</w:t>
            </w:r>
          </w:p>
        </w:tc>
        <w:tc>
          <w:tcPr>
            <w:tcW w:w="1767" w:type="dxa"/>
            <w:tcBorders>
              <w:top w:val="nil"/>
              <w:left w:val="single" w:sz="4" w:space="0" w:color="auto"/>
              <w:bottom w:val="nil"/>
            </w:tcBorders>
            <w:shd w:val="clear" w:color="auto" w:fill="F2F2F2" w:themeFill="background1" w:themeFillShade="F2"/>
          </w:tcPr>
          <w:p w14:paraId="173B80B3" w14:textId="4624A8E3" w:rsidR="004B646D" w:rsidRPr="0025239E" w:rsidRDefault="000A7EBB" w:rsidP="00995132">
            <w:pPr>
              <w:spacing w:after="0" w:line="48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0.13</w:t>
            </w:r>
          </w:p>
        </w:tc>
      </w:tr>
      <w:tr w:rsidR="004B646D" w:rsidRPr="0025239E" w14:paraId="6AB06475" w14:textId="7E13B698" w:rsidTr="00C13131">
        <w:trPr>
          <w:trHeight w:val="369"/>
        </w:trPr>
        <w:tc>
          <w:tcPr>
            <w:tcW w:w="2527" w:type="dxa"/>
            <w:tcBorders>
              <w:top w:val="nil"/>
              <w:left w:val="nil"/>
              <w:bottom w:val="nil"/>
              <w:right w:val="nil"/>
            </w:tcBorders>
            <w:shd w:val="clear" w:color="auto" w:fill="auto"/>
            <w:noWrap/>
            <w:vAlign w:val="center"/>
            <w:hideMark/>
          </w:tcPr>
          <w:p w14:paraId="54904DE1" w14:textId="77777777" w:rsidR="004B646D" w:rsidRPr="0025239E" w:rsidRDefault="004B646D" w:rsidP="00995132">
            <w:pPr>
              <w:spacing w:after="0" w:line="480" w:lineRule="auto"/>
              <w:rPr>
                <w:rFonts w:eastAsia="Times New Roman" w:cstheme="minorHAnsi"/>
                <w:color w:val="000000"/>
                <w:sz w:val="24"/>
                <w:szCs w:val="24"/>
                <w:lang w:eastAsia="en-GB"/>
              </w:rPr>
            </w:pPr>
            <w:r w:rsidRPr="0025239E">
              <w:rPr>
                <w:rFonts w:eastAsia="Times New Roman" w:cstheme="minorHAnsi"/>
                <w:color w:val="000000"/>
                <w:sz w:val="24"/>
                <w:szCs w:val="24"/>
                <w:lang w:eastAsia="en-GB"/>
              </w:rPr>
              <w:t>Ertapenem</w:t>
            </w:r>
          </w:p>
        </w:tc>
        <w:tc>
          <w:tcPr>
            <w:tcW w:w="982" w:type="dxa"/>
            <w:tcBorders>
              <w:top w:val="nil"/>
              <w:left w:val="single" w:sz="4" w:space="0" w:color="auto"/>
              <w:bottom w:val="nil"/>
              <w:right w:val="nil"/>
            </w:tcBorders>
            <w:shd w:val="clear" w:color="auto" w:fill="auto"/>
            <w:noWrap/>
            <w:vAlign w:val="center"/>
            <w:hideMark/>
          </w:tcPr>
          <w:p w14:paraId="3F08A45A"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w:t>
            </w:r>
          </w:p>
        </w:tc>
        <w:tc>
          <w:tcPr>
            <w:tcW w:w="1601" w:type="dxa"/>
            <w:tcBorders>
              <w:top w:val="nil"/>
              <w:left w:val="nil"/>
              <w:bottom w:val="nil"/>
              <w:right w:val="single" w:sz="4" w:space="0" w:color="auto"/>
            </w:tcBorders>
            <w:shd w:val="clear" w:color="auto" w:fill="auto"/>
            <w:noWrap/>
            <w:vAlign w:val="center"/>
            <w:hideMark/>
          </w:tcPr>
          <w:p w14:paraId="4995F4F3"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0.00 - 0.00</w:t>
            </w:r>
          </w:p>
        </w:tc>
        <w:tc>
          <w:tcPr>
            <w:tcW w:w="982" w:type="dxa"/>
            <w:tcBorders>
              <w:top w:val="nil"/>
              <w:left w:val="nil"/>
              <w:bottom w:val="nil"/>
              <w:right w:val="nil"/>
            </w:tcBorders>
            <w:shd w:val="clear" w:color="auto" w:fill="auto"/>
            <w:noWrap/>
            <w:vAlign w:val="center"/>
            <w:hideMark/>
          </w:tcPr>
          <w:p w14:paraId="18E2E978"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w:t>
            </w:r>
          </w:p>
        </w:tc>
        <w:tc>
          <w:tcPr>
            <w:tcW w:w="1497" w:type="dxa"/>
            <w:tcBorders>
              <w:top w:val="nil"/>
              <w:left w:val="nil"/>
              <w:bottom w:val="nil"/>
              <w:right w:val="single" w:sz="4" w:space="0" w:color="auto"/>
            </w:tcBorders>
            <w:shd w:val="clear" w:color="auto" w:fill="auto"/>
            <w:noWrap/>
            <w:vAlign w:val="center"/>
            <w:hideMark/>
          </w:tcPr>
          <w:p w14:paraId="5423563E"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0.00 - 0.00</w:t>
            </w:r>
          </w:p>
        </w:tc>
        <w:tc>
          <w:tcPr>
            <w:tcW w:w="1767" w:type="dxa"/>
            <w:tcBorders>
              <w:top w:val="nil"/>
              <w:left w:val="single" w:sz="4" w:space="0" w:color="auto"/>
              <w:bottom w:val="nil"/>
            </w:tcBorders>
          </w:tcPr>
          <w:p w14:paraId="5550F049" w14:textId="38780A09" w:rsidR="004B646D" w:rsidRPr="0025239E" w:rsidRDefault="000A7EBB" w:rsidP="00995132">
            <w:pPr>
              <w:spacing w:after="0" w:line="48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0.09</w:t>
            </w:r>
            <w:r w:rsidR="00B45E55">
              <w:rPr>
                <w:rFonts w:eastAsia="Times New Roman" w:cstheme="minorHAnsi"/>
                <w:color w:val="000000"/>
                <w:sz w:val="24"/>
                <w:szCs w:val="24"/>
                <w:lang w:eastAsia="en-GB"/>
              </w:rPr>
              <w:t>0</w:t>
            </w:r>
          </w:p>
        </w:tc>
      </w:tr>
      <w:tr w:rsidR="00BF48F5" w:rsidRPr="0025239E" w14:paraId="4602C7CB" w14:textId="77777777" w:rsidTr="00C13131">
        <w:trPr>
          <w:trHeight w:val="369"/>
        </w:trPr>
        <w:tc>
          <w:tcPr>
            <w:tcW w:w="2527" w:type="dxa"/>
            <w:tcBorders>
              <w:top w:val="nil"/>
              <w:left w:val="nil"/>
              <w:bottom w:val="nil"/>
              <w:right w:val="nil"/>
            </w:tcBorders>
            <w:shd w:val="clear" w:color="auto" w:fill="F2F2F2" w:themeFill="background1" w:themeFillShade="F2"/>
            <w:noWrap/>
          </w:tcPr>
          <w:p w14:paraId="79A1AD72" w14:textId="4E058381" w:rsidR="00BF48F5" w:rsidRPr="00BF48F5" w:rsidRDefault="00BF48F5" w:rsidP="00BF48F5">
            <w:pPr>
              <w:spacing w:after="0" w:line="480" w:lineRule="auto"/>
              <w:rPr>
                <w:rFonts w:eastAsia="Times New Roman" w:cstheme="minorHAnsi"/>
                <w:color w:val="000000"/>
                <w:sz w:val="24"/>
                <w:szCs w:val="24"/>
                <w:lang w:eastAsia="en-GB"/>
              </w:rPr>
            </w:pPr>
            <w:r w:rsidRPr="00BF48F5">
              <w:rPr>
                <w:sz w:val="24"/>
                <w:szCs w:val="24"/>
              </w:rPr>
              <w:t>Flucloxacillin</w:t>
            </w:r>
          </w:p>
        </w:tc>
        <w:tc>
          <w:tcPr>
            <w:tcW w:w="982" w:type="dxa"/>
            <w:tcBorders>
              <w:top w:val="nil"/>
              <w:left w:val="single" w:sz="4" w:space="0" w:color="auto"/>
              <w:bottom w:val="nil"/>
              <w:right w:val="nil"/>
            </w:tcBorders>
            <w:shd w:val="clear" w:color="auto" w:fill="F2F2F2" w:themeFill="background1" w:themeFillShade="F2"/>
            <w:noWrap/>
          </w:tcPr>
          <w:p w14:paraId="4A87F4E9" w14:textId="4492D969" w:rsidR="00BF48F5" w:rsidRPr="00BF48F5" w:rsidRDefault="00BF48F5" w:rsidP="00BF48F5">
            <w:pPr>
              <w:spacing w:after="0" w:line="480" w:lineRule="auto"/>
              <w:jc w:val="center"/>
              <w:rPr>
                <w:rFonts w:eastAsia="Times New Roman" w:cstheme="minorHAnsi"/>
                <w:color w:val="000000"/>
                <w:sz w:val="24"/>
                <w:szCs w:val="24"/>
                <w:lang w:eastAsia="en-GB"/>
              </w:rPr>
            </w:pPr>
            <w:r w:rsidRPr="00BF48F5">
              <w:rPr>
                <w:sz w:val="24"/>
                <w:szCs w:val="24"/>
              </w:rPr>
              <w:t>0.00</w:t>
            </w:r>
          </w:p>
        </w:tc>
        <w:tc>
          <w:tcPr>
            <w:tcW w:w="1601" w:type="dxa"/>
            <w:tcBorders>
              <w:top w:val="nil"/>
              <w:left w:val="nil"/>
              <w:bottom w:val="nil"/>
              <w:right w:val="single" w:sz="4" w:space="0" w:color="auto"/>
            </w:tcBorders>
            <w:shd w:val="clear" w:color="auto" w:fill="F2F2F2" w:themeFill="background1" w:themeFillShade="F2"/>
            <w:noWrap/>
          </w:tcPr>
          <w:p w14:paraId="5CCB6A48" w14:textId="50AB5A0D" w:rsidR="00BF48F5" w:rsidRPr="00BF48F5" w:rsidRDefault="00BF48F5" w:rsidP="00BF48F5">
            <w:pPr>
              <w:spacing w:after="0" w:line="480" w:lineRule="auto"/>
              <w:jc w:val="center"/>
              <w:rPr>
                <w:rFonts w:eastAsia="Times New Roman" w:cstheme="minorHAnsi"/>
                <w:color w:val="000000"/>
                <w:sz w:val="24"/>
                <w:szCs w:val="24"/>
                <w:lang w:eastAsia="en-GB"/>
              </w:rPr>
            </w:pPr>
            <w:r w:rsidRPr="00BF48F5">
              <w:rPr>
                <w:sz w:val="24"/>
                <w:szCs w:val="24"/>
              </w:rPr>
              <w:t>0.00 - 0.45</w:t>
            </w:r>
          </w:p>
        </w:tc>
        <w:tc>
          <w:tcPr>
            <w:tcW w:w="982" w:type="dxa"/>
            <w:tcBorders>
              <w:top w:val="nil"/>
              <w:left w:val="nil"/>
              <w:bottom w:val="nil"/>
              <w:right w:val="nil"/>
            </w:tcBorders>
            <w:shd w:val="clear" w:color="auto" w:fill="F2F2F2" w:themeFill="background1" w:themeFillShade="F2"/>
            <w:noWrap/>
          </w:tcPr>
          <w:p w14:paraId="02B92B9E" w14:textId="58AA7472" w:rsidR="00BF48F5" w:rsidRPr="00BF48F5" w:rsidRDefault="00BF48F5" w:rsidP="00BF48F5">
            <w:pPr>
              <w:spacing w:after="0" w:line="480" w:lineRule="auto"/>
              <w:jc w:val="center"/>
              <w:rPr>
                <w:rFonts w:eastAsia="Times New Roman" w:cstheme="minorHAnsi"/>
                <w:color w:val="000000"/>
                <w:sz w:val="24"/>
                <w:szCs w:val="24"/>
                <w:lang w:eastAsia="en-GB"/>
              </w:rPr>
            </w:pPr>
            <w:r w:rsidRPr="00BF48F5">
              <w:rPr>
                <w:sz w:val="24"/>
                <w:szCs w:val="24"/>
              </w:rPr>
              <w:t>0.00</w:t>
            </w:r>
          </w:p>
        </w:tc>
        <w:tc>
          <w:tcPr>
            <w:tcW w:w="1497" w:type="dxa"/>
            <w:tcBorders>
              <w:top w:val="nil"/>
              <w:left w:val="nil"/>
              <w:bottom w:val="nil"/>
              <w:right w:val="single" w:sz="4" w:space="0" w:color="auto"/>
            </w:tcBorders>
            <w:shd w:val="clear" w:color="auto" w:fill="F2F2F2" w:themeFill="background1" w:themeFillShade="F2"/>
            <w:noWrap/>
          </w:tcPr>
          <w:p w14:paraId="14CB0F9D" w14:textId="1E421D72" w:rsidR="00BF48F5" w:rsidRPr="00BF48F5" w:rsidRDefault="00BF48F5" w:rsidP="00BF48F5">
            <w:pPr>
              <w:spacing w:after="0" w:line="480" w:lineRule="auto"/>
              <w:jc w:val="center"/>
              <w:rPr>
                <w:rFonts w:eastAsia="Times New Roman" w:cstheme="minorHAnsi"/>
                <w:color w:val="000000"/>
                <w:sz w:val="24"/>
                <w:szCs w:val="24"/>
                <w:lang w:eastAsia="en-GB"/>
              </w:rPr>
            </w:pPr>
            <w:r w:rsidRPr="00BF48F5">
              <w:rPr>
                <w:sz w:val="24"/>
                <w:szCs w:val="24"/>
              </w:rPr>
              <w:t>0.00 - 0.62</w:t>
            </w:r>
          </w:p>
        </w:tc>
        <w:tc>
          <w:tcPr>
            <w:tcW w:w="1767" w:type="dxa"/>
            <w:tcBorders>
              <w:top w:val="nil"/>
              <w:left w:val="single" w:sz="4" w:space="0" w:color="auto"/>
              <w:bottom w:val="nil"/>
            </w:tcBorders>
            <w:shd w:val="clear" w:color="auto" w:fill="F2F2F2" w:themeFill="background1" w:themeFillShade="F2"/>
          </w:tcPr>
          <w:p w14:paraId="4D22AAE4" w14:textId="697064B2" w:rsidR="00BF48F5" w:rsidRPr="00BF48F5" w:rsidRDefault="00BF48F5" w:rsidP="00BF48F5">
            <w:pPr>
              <w:spacing w:after="0" w:line="480" w:lineRule="auto"/>
              <w:jc w:val="center"/>
              <w:rPr>
                <w:rFonts w:eastAsia="Times New Roman" w:cstheme="minorHAnsi"/>
                <w:color w:val="000000"/>
                <w:sz w:val="24"/>
                <w:szCs w:val="24"/>
                <w:lang w:eastAsia="en-GB"/>
              </w:rPr>
            </w:pPr>
            <w:r w:rsidRPr="00BF48F5">
              <w:rPr>
                <w:sz w:val="24"/>
                <w:szCs w:val="24"/>
              </w:rPr>
              <w:t>0.54</w:t>
            </w:r>
          </w:p>
        </w:tc>
      </w:tr>
      <w:tr w:rsidR="004B646D" w:rsidRPr="0025239E" w14:paraId="138E37A8" w14:textId="66F2EA6F" w:rsidTr="00C13131">
        <w:trPr>
          <w:trHeight w:val="369"/>
        </w:trPr>
        <w:tc>
          <w:tcPr>
            <w:tcW w:w="2527" w:type="dxa"/>
            <w:tcBorders>
              <w:top w:val="nil"/>
              <w:left w:val="nil"/>
              <w:bottom w:val="nil"/>
              <w:right w:val="nil"/>
            </w:tcBorders>
            <w:shd w:val="clear" w:color="auto" w:fill="FFFFFF" w:themeFill="background1"/>
            <w:noWrap/>
            <w:vAlign w:val="center"/>
            <w:hideMark/>
          </w:tcPr>
          <w:p w14:paraId="0C0AD7D7" w14:textId="77777777" w:rsidR="004B646D" w:rsidRPr="0025239E" w:rsidRDefault="004B646D" w:rsidP="00995132">
            <w:pPr>
              <w:spacing w:after="0" w:line="480" w:lineRule="auto"/>
              <w:rPr>
                <w:rFonts w:eastAsia="Times New Roman" w:cstheme="minorHAnsi"/>
                <w:color w:val="000000"/>
                <w:sz w:val="24"/>
                <w:szCs w:val="24"/>
                <w:lang w:eastAsia="en-GB"/>
              </w:rPr>
            </w:pPr>
            <w:r w:rsidRPr="0025239E">
              <w:rPr>
                <w:rFonts w:eastAsia="Times New Roman" w:cstheme="minorHAnsi"/>
                <w:color w:val="000000"/>
                <w:sz w:val="24"/>
                <w:szCs w:val="24"/>
                <w:lang w:eastAsia="en-GB"/>
              </w:rPr>
              <w:t>Meropenem</w:t>
            </w:r>
          </w:p>
        </w:tc>
        <w:tc>
          <w:tcPr>
            <w:tcW w:w="982" w:type="dxa"/>
            <w:tcBorders>
              <w:top w:val="nil"/>
              <w:left w:val="single" w:sz="4" w:space="0" w:color="auto"/>
              <w:bottom w:val="nil"/>
              <w:right w:val="nil"/>
            </w:tcBorders>
            <w:shd w:val="clear" w:color="auto" w:fill="FFFFFF" w:themeFill="background1"/>
            <w:noWrap/>
            <w:vAlign w:val="center"/>
            <w:hideMark/>
          </w:tcPr>
          <w:p w14:paraId="170705D6"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2.82</w:t>
            </w:r>
          </w:p>
        </w:tc>
        <w:tc>
          <w:tcPr>
            <w:tcW w:w="1601" w:type="dxa"/>
            <w:tcBorders>
              <w:top w:val="nil"/>
              <w:left w:val="nil"/>
              <w:bottom w:val="nil"/>
              <w:right w:val="single" w:sz="4" w:space="0" w:color="auto"/>
            </w:tcBorders>
            <w:shd w:val="clear" w:color="auto" w:fill="FFFFFF" w:themeFill="background1"/>
            <w:noWrap/>
            <w:vAlign w:val="center"/>
            <w:hideMark/>
          </w:tcPr>
          <w:p w14:paraId="03779519"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1.13 - 4.93</w:t>
            </w:r>
          </w:p>
        </w:tc>
        <w:tc>
          <w:tcPr>
            <w:tcW w:w="982" w:type="dxa"/>
            <w:tcBorders>
              <w:top w:val="nil"/>
              <w:left w:val="nil"/>
              <w:bottom w:val="nil"/>
              <w:right w:val="nil"/>
            </w:tcBorders>
            <w:shd w:val="clear" w:color="auto" w:fill="FFFFFF" w:themeFill="background1"/>
            <w:noWrap/>
            <w:vAlign w:val="center"/>
            <w:hideMark/>
          </w:tcPr>
          <w:p w14:paraId="1D9F95F5"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3.65</w:t>
            </w:r>
          </w:p>
        </w:tc>
        <w:tc>
          <w:tcPr>
            <w:tcW w:w="1497" w:type="dxa"/>
            <w:tcBorders>
              <w:top w:val="nil"/>
              <w:left w:val="nil"/>
              <w:bottom w:val="nil"/>
              <w:right w:val="single" w:sz="4" w:space="0" w:color="auto"/>
            </w:tcBorders>
            <w:shd w:val="clear" w:color="auto" w:fill="FFFFFF" w:themeFill="background1"/>
            <w:noWrap/>
            <w:vAlign w:val="center"/>
            <w:hideMark/>
          </w:tcPr>
          <w:p w14:paraId="0E48A27C"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2.03 - 6.77</w:t>
            </w:r>
          </w:p>
        </w:tc>
        <w:tc>
          <w:tcPr>
            <w:tcW w:w="1767" w:type="dxa"/>
            <w:tcBorders>
              <w:top w:val="nil"/>
              <w:left w:val="single" w:sz="4" w:space="0" w:color="auto"/>
              <w:bottom w:val="nil"/>
            </w:tcBorders>
            <w:shd w:val="clear" w:color="auto" w:fill="FFFFFF" w:themeFill="background1"/>
          </w:tcPr>
          <w:p w14:paraId="10188AD4" w14:textId="5282A519" w:rsidR="004B646D" w:rsidRPr="0025239E" w:rsidRDefault="00BF48F5" w:rsidP="00995132">
            <w:pPr>
              <w:spacing w:after="0" w:line="48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0.027</w:t>
            </w:r>
          </w:p>
        </w:tc>
      </w:tr>
      <w:tr w:rsidR="004B646D" w:rsidRPr="0025239E" w14:paraId="39C7C6AC" w14:textId="6B3774B0" w:rsidTr="00C13131">
        <w:trPr>
          <w:trHeight w:val="369"/>
        </w:trPr>
        <w:tc>
          <w:tcPr>
            <w:tcW w:w="2527" w:type="dxa"/>
            <w:tcBorders>
              <w:top w:val="nil"/>
              <w:left w:val="nil"/>
              <w:bottom w:val="nil"/>
              <w:right w:val="nil"/>
            </w:tcBorders>
            <w:shd w:val="clear" w:color="auto" w:fill="F2F2F2" w:themeFill="background1" w:themeFillShade="F2"/>
            <w:noWrap/>
            <w:vAlign w:val="center"/>
            <w:hideMark/>
          </w:tcPr>
          <w:p w14:paraId="51F9DBE2" w14:textId="77777777" w:rsidR="004B646D" w:rsidRPr="0025239E" w:rsidRDefault="004B646D" w:rsidP="00995132">
            <w:pPr>
              <w:spacing w:after="0" w:line="480" w:lineRule="auto"/>
              <w:rPr>
                <w:rFonts w:eastAsia="Times New Roman" w:cstheme="minorHAnsi"/>
                <w:color w:val="000000"/>
                <w:sz w:val="24"/>
                <w:szCs w:val="24"/>
                <w:lang w:eastAsia="en-GB"/>
              </w:rPr>
            </w:pPr>
            <w:r w:rsidRPr="0025239E">
              <w:rPr>
                <w:rFonts w:eastAsia="Times New Roman" w:cstheme="minorHAnsi"/>
                <w:color w:val="000000"/>
                <w:sz w:val="24"/>
                <w:szCs w:val="24"/>
                <w:lang w:eastAsia="en-GB"/>
              </w:rPr>
              <w:t>Piperacillin/tazobactam</w:t>
            </w:r>
          </w:p>
        </w:tc>
        <w:tc>
          <w:tcPr>
            <w:tcW w:w="982" w:type="dxa"/>
            <w:tcBorders>
              <w:top w:val="nil"/>
              <w:left w:val="single" w:sz="4" w:space="0" w:color="auto"/>
              <w:bottom w:val="nil"/>
              <w:right w:val="nil"/>
            </w:tcBorders>
            <w:shd w:val="clear" w:color="auto" w:fill="F2F2F2" w:themeFill="background1" w:themeFillShade="F2"/>
            <w:noWrap/>
            <w:vAlign w:val="center"/>
            <w:hideMark/>
          </w:tcPr>
          <w:p w14:paraId="79753B40"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13.82</w:t>
            </w:r>
          </w:p>
        </w:tc>
        <w:tc>
          <w:tcPr>
            <w:tcW w:w="1601" w:type="dxa"/>
            <w:tcBorders>
              <w:top w:val="nil"/>
              <w:left w:val="nil"/>
              <w:bottom w:val="nil"/>
              <w:right w:val="single" w:sz="4" w:space="0" w:color="auto"/>
            </w:tcBorders>
            <w:shd w:val="clear" w:color="auto" w:fill="F2F2F2" w:themeFill="background1" w:themeFillShade="F2"/>
            <w:noWrap/>
            <w:vAlign w:val="center"/>
            <w:hideMark/>
          </w:tcPr>
          <w:p w14:paraId="216EF166"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9.76 - 17.90</w:t>
            </w:r>
          </w:p>
        </w:tc>
        <w:tc>
          <w:tcPr>
            <w:tcW w:w="982" w:type="dxa"/>
            <w:tcBorders>
              <w:top w:val="nil"/>
              <w:left w:val="nil"/>
              <w:bottom w:val="nil"/>
              <w:right w:val="nil"/>
            </w:tcBorders>
            <w:shd w:val="clear" w:color="auto" w:fill="F2F2F2" w:themeFill="background1" w:themeFillShade="F2"/>
            <w:noWrap/>
            <w:vAlign w:val="center"/>
            <w:hideMark/>
          </w:tcPr>
          <w:p w14:paraId="382FA64E"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15.77</w:t>
            </w:r>
          </w:p>
        </w:tc>
        <w:tc>
          <w:tcPr>
            <w:tcW w:w="1497" w:type="dxa"/>
            <w:tcBorders>
              <w:top w:val="nil"/>
              <w:left w:val="nil"/>
              <w:bottom w:val="nil"/>
              <w:right w:val="single" w:sz="4" w:space="0" w:color="auto"/>
            </w:tcBorders>
            <w:shd w:val="clear" w:color="auto" w:fill="F2F2F2" w:themeFill="background1" w:themeFillShade="F2"/>
            <w:noWrap/>
            <w:vAlign w:val="center"/>
            <w:hideMark/>
          </w:tcPr>
          <w:p w14:paraId="170BC66B"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13.16 - 19.43</w:t>
            </w:r>
          </w:p>
        </w:tc>
        <w:tc>
          <w:tcPr>
            <w:tcW w:w="1767" w:type="dxa"/>
            <w:tcBorders>
              <w:top w:val="nil"/>
              <w:left w:val="single" w:sz="4" w:space="0" w:color="auto"/>
              <w:bottom w:val="nil"/>
            </w:tcBorders>
            <w:shd w:val="clear" w:color="auto" w:fill="F2F2F2" w:themeFill="background1" w:themeFillShade="F2"/>
          </w:tcPr>
          <w:p w14:paraId="49846259" w14:textId="61B55AFF" w:rsidR="004B646D" w:rsidRPr="0025239E" w:rsidRDefault="00BF48F5" w:rsidP="00995132">
            <w:pPr>
              <w:spacing w:after="0" w:line="48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0.0057</w:t>
            </w:r>
          </w:p>
        </w:tc>
      </w:tr>
      <w:tr w:rsidR="004B646D" w:rsidRPr="0025239E" w14:paraId="339BB553" w14:textId="173AA502" w:rsidTr="00042643">
        <w:trPr>
          <w:trHeight w:val="369"/>
        </w:trPr>
        <w:tc>
          <w:tcPr>
            <w:tcW w:w="2527" w:type="dxa"/>
            <w:tcBorders>
              <w:top w:val="nil"/>
              <w:left w:val="nil"/>
              <w:right w:val="nil"/>
            </w:tcBorders>
            <w:shd w:val="clear" w:color="auto" w:fill="FFFFFF" w:themeFill="background1"/>
            <w:noWrap/>
            <w:vAlign w:val="center"/>
            <w:hideMark/>
          </w:tcPr>
          <w:p w14:paraId="401D791E" w14:textId="77777777" w:rsidR="004B646D" w:rsidRPr="0025239E" w:rsidRDefault="004B646D" w:rsidP="00995132">
            <w:pPr>
              <w:spacing w:after="0" w:line="480" w:lineRule="auto"/>
              <w:rPr>
                <w:rFonts w:eastAsia="Times New Roman" w:cstheme="minorHAnsi"/>
                <w:color w:val="000000"/>
                <w:sz w:val="24"/>
                <w:szCs w:val="24"/>
                <w:lang w:eastAsia="en-GB"/>
              </w:rPr>
            </w:pPr>
            <w:r w:rsidRPr="0025239E">
              <w:rPr>
                <w:rFonts w:eastAsia="Times New Roman" w:cstheme="minorHAnsi"/>
                <w:color w:val="000000"/>
                <w:sz w:val="24"/>
                <w:szCs w:val="24"/>
                <w:lang w:eastAsia="en-GB"/>
              </w:rPr>
              <w:t>Teicoplanin</w:t>
            </w:r>
          </w:p>
        </w:tc>
        <w:tc>
          <w:tcPr>
            <w:tcW w:w="982" w:type="dxa"/>
            <w:tcBorders>
              <w:top w:val="nil"/>
              <w:left w:val="single" w:sz="4" w:space="0" w:color="auto"/>
              <w:right w:val="nil"/>
            </w:tcBorders>
            <w:shd w:val="clear" w:color="auto" w:fill="FFFFFF" w:themeFill="background1"/>
            <w:noWrap/>
            <w:vAlign w:val="center"/>
            <w:hideMark/>
          </w:tcPr>
          <w:p w14:paraId="45BC5C6C"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0.53</w:t>
            </w:r>
          </w:p>
        </w:tc>
        <w:tc>
          <w:tcPr>
            <w:tcW w:w="1601" w:type="dxa"/>
            <w:tcBorders>
              <w:top w:val="nil"/>
              <w:left w:val="nil"/>
              <w:right w:val="single" w:sz="4" w:space="0" w:color="auto"/>
            </w:tcBorders>
            <w:shd w:val="clear" w:color="auto" w:fill="FFFFFF" w:themeFill="background1"/>
            <w:noWrap/>
            <w:vAlign w:val="center"/>
            <w:hideMark/>
          </w:tcPr>
          <w:p w14:paraId="663283FB"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0.00 - 2.44</w:t>
            </w:r>
          </w:p>
        </w:tc>
        <w:tc>
          <w:tcPr>
            <w:tcW w:w="982" w:type="dxa"/>
            <w:tcBorders>
              <w:top w:val="nil"/>
              <w:left w:val="nil"/>
              <w:right w:val="nil"/>
            </w:tcBorders>
            <w:shd w:val="clear" w:color="auto" w:fill="FFFFFF" w:themeFill="background1"/>
            <w:noWrap/>
            <w:vAlign w:val="center"/>
            <w:hideMark/>
          </w:tcPr>
          <w:p w14:paraId="3AFE31D7"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1.69</w:t>
            </w:r>
          </w:p>
        </w:tc>
        <w:tc>
          <w:tcPr>
            <w:tcW w:w="1497" w:type="dxa"/>
            <w:tcBorders>
              <w:top w:val="nil"/>
              <w:left w:val="nil"/>
              <w:right w:val="single" w:sz="4" w:space="0" w:color="auto"/>
            </w:tcBorders>
            <w:shd w:val="clear" w:color="auto" w:fill="FFFFFF" w:themeFill="background1"/>
            <w:noWrap/>
            <w:vAlign w:val="center"/>
            <w:hideMark/>
          </w:tcPr>
          <w:p w14:paraId="44CAD009"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0.48 - 2.66</w:t>
            </w:r>
          </w:p>
        </w:tc>
        <w:tc>
          <w:tcPr>
            <w:tcW w:w="1767" w:type="dxa"/>
            <w:tcBorders>
              <w:top w:val="nil"/>
              <w:left w:val="single" w:sz="4" w:space="0" w:color="auto"/>
            </w:tcBorders>
            <w:shd w:val="clear" w:color="auto" w:fill="FFFFFF" w:themeFill="background1"/>
          </w:tcPr>
          <w:p w14:paraId="3FD9006A" w14:textId="1316D126" w:rsidR="004B646D" w:rsidRPr="0025239E" w:rsidRDefault="00BF48F5" w:rsidP="00995132">
            <w:pPr>
              <w:spacing w:after="0" w:line="48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0.0083</w:t>
            </w:r>
          </w:p>
        </w:tc>
      </w:tr>
      <w:tr w:rsidR="004B646D" w:rsidRPr="0025239E" w14:paraId="7E7E09C2" w14:textId="6D3A2AC7" w:rsidTr="00042643">
        <w:trPr>
          <w:trHeight w:val="369"/>
        </w:trPr>
        <w:tc>
          <w:tcPr>
            <w:tcW w:w="2527" w:type="dxa"/>
            <w:tcBorders>
              <w:top w:val="nil"/>
              <w:left w:val="nil"/>
              <w:bottom w:val="single" w:sz="4" w:space="0" w:color="auto"/>
              <w:right w:val="nil"/>
            </w:tcBorders>
            <w:shd w:val="clear" w:color="auto" w:fill="F2F2F2" w:themeFill="background1" w:themeFillShade="F2"/>
            <w:noWrap/>
            <w:vAlign w:val="center"/>
            <w:hideMark/>
          </w:tcPr>
          <w:p w14:paraId="7787F2A3" w14:textId="77777777" w:rsidR="004B646D" w:rsidRPr="0025239E" w:rsidRDefault="004B646D" w:rsidP="00995132">
            <w:pPr>
              <w:spacing w:after="0" w:line="480" w:lineRule="auto"/>
              <w:rPr>
                <w:rFonts w:eastAsia="Times New Roman" w:cstheme="minorHAnsi"/>
                <w:color w:val="000000"/>
                <w:sz w:val="24"/>
                <w:szCs w:val="24"/>
                <w:lang w:eastAsia="en-GB"/>
              </w:rPr>
            </w:pPr>
            <w:r w:rsidRPr="0025239E">
              <w:rPr>
                <w:rFonts w:eastAsia="Times New Roman" w:cstheme="minorHAnsi"/>
                <w:color w:val="000000"/>
                <w:sz w:val="24"/>
                <w:szCs w:val="24"/>
                <w:lang w:eastAsia="en-GB"/>
              </w:rPr>
              <w:t>Vancomycin</w:t>
            </w:r>
          </w:p>
        </w:tc>
        <w:tc>
          <w:tcPr>
            <w:tcW w:w="982" w:type="dxa"/>
            <w:tcBorders>
              <w:top w:val="nil"/>
              <w:left w:val="single" w:sz="4" w:space="0" w:color="auto"/>
              <w:bottom w:val="single" w:sz="4" w:space="0" w:color="auto"/>
              <w:right w:val="nil"/>
            </w:tcBorders>
            <w:shd w:val="clear" w:color="auto" w:fill="F2F2F2" w:themeFill="background1" w:themeFillShade="F2"/>
            <w:noWrap/>
            <w:vAlign w:val="center"/>
            <w:hideMark/>
          </w:tcPr>
          <w:p w14:paraId="35744DFA"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1.65</w:t>
            </w:r>
          </w:p>
        </w:tc>
        <w:tc>
          <w:tcPr>
            <w:tcW w:w="1601" w:type="dxa"/>
            <w:tcBorders>
              <w:top w:val="nil"/>
              <w:left w:val="nil"/>
              <w:bottom w:val="single" w:sz="4" w:space="0" w:color="auto"/>
              <w:right w:val="single" w:sz="4" w:space="0" w:color="auto"/>
            </w:tcBorders>
            <w:shd w:val="clear" w:color="auto" w:fill="F2F2F2" w:themeFill="background1" w:themeFillShade="F2"/>
            <w:noWrap/>
            <w:vAlign w:val="center"/>
            <w:hideMark/>
          </w:tcPr>
          <w:p w14:paraId="49E045EA"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0.63 - 3.28</w:t>
            </w:r>
          </w:p>
        </w:tc>
        <w:tc>
          <w:tcPr>
            <w:tcW w:w="982" w:type="dxa"/>
            <w:tcBorders>
              <w:top w:val="nil"/>
              <w:left w:val="nil"/>
              <w:bottom w:val="single" w:sz="4" w:space="0" w:color="auto"/>
              <w:right w:val="nil"/>
            </w:tcBorders>
            <w:shd w:val="clear" w:color="auto" w:fill="F2F2F2" w:themeFill="background1" w:themeFillShade="F2"/>
            <w:noWrap/>
            <w:vAlign w:val="center"/>
            <w:hideMark/>
          </w:tcPr>
          <w:p w14:paraId="3BE6F089"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1.49</w:t>
            </w:r>
          </w:p>
        </w:tc>
        <w:tc>
          <w:tcPr>
            <w:tcW w:w="1497" w:type="dxa"/>
            <w:tcBorders>
              <w:top w:val="nil"/>
              <w:left w:val="nil"/>
              <w:bottom w:val="single" w:sz="4" w:space="0" w:color="auto"/>
              <w:right w:val="single" w:sz="4" w:space="0" w:color="auto"/>
            </w:tcBorders>
            <w:shd w:val="clear" w:color="auto" w:fill="F2F2F2" w:themeFill="background1" w:themeFillShade="F2"/>
            <w:noWrap/>
            <w:vAlign w:val="center"/>
            <w:hideMark/>
          </w:tcPr>
          <w:p w14:paraId="25A67909" w14:textId="77777777" w:rsidR="004B646D" w:rsidRPr="0025239E" w:rsidRDefault="004B646D" w:rsidP="00995132">
            <w:pPr>
              <w:spacing w:after="0" w:line="480" w:lineRule="auto"/>
              <w:jc w:val="center"/>
              <w:rPr>
                <w:rFonts w:eastAsia="Times New Roman" w:cstheme="minorHAnsi"/>
                <w:color w:val="000000"/>
                <w:sz w:val="24"/>
                <w:szCs w:val="24"/>
                <w:lang w:eastAsia="en-GB"/>
              </w:rPr>
            </w:pPr>
            <w:r w:rsidRPr="0025239E">
              <w:rPr>
                <w:rFonts w:eastAsia="Times New Roman" w:cstheme="minorHAnsi"/>
                <w:color w:val="000000"/>
                <w:sz w:val="24"/>
                <w:szCs w:val="24"/>
                <w:lang w:eastAsia="en-GB"/>
              </w:rPr>
              <w:t>0.59 - 2.28</w:t>
            </w:r>
          </w:p>
        </w:tc>
        <w:tc>
          <w:tcPr>
            <w:tcW w:w="1767" w:type="dxa"/>
            <w:tcBorders>
              <w:top w:val="nil"/>
              <w:left w:val="single" w:sz="4" w:space="0" w:color="auto"/>
              <w:bottom w:val="single" w:sz="4" w:space="0" w:color="auto"/>
            </w:tcBorders>
            <w:shd w:val="clear" w:color="auto" w:fill="F2F2F2" w:themeFill="background1" w:themeFillShade="F2"/>
          </w:tcPr>
          <w:p w14:paraId="6B88050C" w14:textId="45C8DB2C" w:rsidR="004B646D" w:rsidRPr="0025239E" w:rsidRDefault="00BF48F5" w:rsidP="00995132">
            <w:pPr>
              <w:spacing w:after="0" w:line="48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0.38</w:t>
            </w:r>
          </w:p>
        </w:tc>
      </w:tr>
    </w:tbl>
    <w:p w14:paraId="02F46AA5" w14:textId="77777777" w:rsidR="007E0D3E" w:rsidRPr="0025239E" w:rsidRDefault="007E0D3E" w:rsidP="007E0D3E">
      <w:pPr>
        <w:spacing w:line="480" w:lineRule="auto"/>
        <w:rPr>
          <w:rFonts w:cstheme="minorHAnsi"/>
          <w:i/>
          <w:iCs/>
          <w:sz w:val="24"/>
          <w:szCs w:val="24"/>
        </w:rPr>
      </w:pPr>
    </w:p>
    <w:p w14:paraId="70DC290E" w14:textId="65AA9E45" w:rsidR="007E0D3E" w:rsidRDefault="007E0D3E" w:rsidP="00A07A6F">
      <w:pPr>
        <w:spacing w:line="480" w:lineRule="auto"/>
        <w:rPr>
          <w:rFonts w:cstheme="minorHAnsi"/>
          <w:sz w:val="24"/>
          <w:szCs w:val="24"/>
        </w:rPr>
      </w:pPr>
      <w:r w:rsidRPr="0050672E">
        <w:rPr>
          <w:rFonts w:cstheme="minorHAnsi"/>
          <w:sz w:val="24"/>
          <w:szCs w:val="24"/>
        </w:rPr>
        <w:t>Table 1: Intravenous consumption by antibiotic across the entire study period, displayed as median and interquartile range for monthly DOT</w:t>
      </w:r>
      <w:r w:rsidR="00F6107E">
        <w:rPr>
          <w:rFonts w:cstheme="minorHAnsi"/>
          <w:sz w:val="24"/>
          <w:szCs w:val="24"/>
        </w:rPr>
        <w:t xml:space="preserve"> </w:t>
      </w:r>
      <w:r w:rsidRPr="0050672E">
        <w:rPr>
          <w:rFonts w:cstheme="minorHAnsi"/>
          <w:sz w:val="24"/>
          <w:szCs w:val="24"/>
        </w:rPr>
        <w:t xml:space="preserve">per-100-PD. </w:t>
      </w:r>
      <w:r w:rsidR="002C2FD2">
        <w:rPr>
          <w:rFonts w:cstheme="minorHAnsi"/>
          <w:sz w:val="24"/>
          <w:szCs w:val="24"/>
        </w:rPr>
        <w:t xml:space="preserve">p-values are calculated using the Wilcoxon rank-sum test to compare </w:t>
      </w:r>
      <w:r w:rsidR="003376C8">
        <w:rPr>
          <w:rFonts w:cstheme="minorHAnsi"/>
          <w:sz w:val="24"/>
          <w:szCs w:val="24"/>
        </w:rPr>
        <w:t xml:space="preserve">median consumption over the entire study period. </w:t>
      </w:r>
      <w:r w:rsidRPr="0050672E">
        <w:rPr>
          <w:rFonts w:cstheme="minorHAnsi"/>
          <w:sz w:val="24"/>
          <w:szCs w:val="24"/>
        </w:rPr>
        <w:t>OUH: Oxford University Hospitals; UHS: University Hospital Southampton; IQR: Interquartile Range</w:t>
      </w:r>
      <w:r w:rsidR="004E3699">
        <w:rPr>
          <w:rFonts w:cstheme="minorHAnsi"/>
          <w:sz w:val="24"/>
          <w:szCs w:val="24"/>
        </w:rPr>
        <w:t xml:space="preserve">; WRS: </w:t>
      </w:r>
      <w:r w:rsidR="004E3699" w:rsidRPr="005C5C6C">
        <w:rPr>
          <w:rFonts w:cstheme="minorHAnsi"/>
          <w:sz w:val="24"/>
          <w:szCs w:val="24"/>
        </w:rPr>
        <w:t>Wilcoxon rank-sum</w:t>
      </w:r>
      <w:r w:rsidRPr="0050672E">
        <w:rPr>
          <w:rFonts w:cstheme="minorHAnsi"/>
          <w:sz w:val="24"/>
          <w:szCs w:val="24"/>
        </w:rPr>
        <w:t>.</w:t>
      </w:r>
    </w:p>
    <w:sectPr w:rsidR="007E0D3E" w:rsidSect="0001105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7334" w14:textId="77777777" w:rsidR="003C7202" w:rsidRDefault="003C7202" w:rsidP="00A040E1">
      <w:pPr>
        <w:spacing w:after="0" w:line="240" w:lineRule="auto"/>
      </w:pPr>
      <w:r>
        <w:separator/>
      </w:r>
    </w:p>
  </w:endnote>
  <w:endnote w:type="continuationSeparator" w:id="0">
    <w:p w14:paraId="491CCF7E" w14:textId="77777777" w:rsidR="003C7202" w:rsidRDefault="003C7202" w:rsidP="00A0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76AD0" w14:textId="77777777" w:rsidR="003C7202" w:rsidRDefault="003C7202" w:rsidP="00A040E1">
      <w:pPr>
        <w:spacing w:after="0" w:line="240" w:lineRule="auto"/>
      </w:pPr>
      <w:r>
        <w:separator/>
      </w:r>
    </w:p>
  </w:footnote>
  <w:footnote w:type="continuationSeparator" w:id="0">
    <w:p w14:paraId="55F458B1" w14:textId="77777777" w:rsidR="003C7202" w:rsidRDefault="003C7202" w:rsidP="00A040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636BD"/>
    <w:multiLevelType w:val="hybridMultilevel"/>
    <w:tmpl w:val="94088A72"/>
    <w:lvl w:ilvl="0" w:tplc="7BCA89B6">
      <w:start w:val="1"/>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 w15:restartNumberingAfterBreak="0">
    <w:nsid w:val="2B71534D"/>
    <w:multiLevelType w:val="hybridMultilevel"/>
    <w:tmpl w:val="04B61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52720"/>
    <w:multiLevelType w:val="hybridMultilevel"/>
    <w:tmpl w:val="4DA41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693C71"/>
    <w:multiLevelType w:val="hybridMultilevel"/>
    <w:tmpl w:val="01D0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C1AC8"/>
    <w:multiLevelType w:val="hybridMultilevel"/>
    <w:tmpl w:val="3E88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446B5D"/>
    <w:multiLevelType w:val="hybridMultilevel"/>
    <w:tmpl w:val="E50C9C1E"/>
    <w:lvl w:ilvl="0" w:tplc="83C808EE">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1124083587">
    <w:abstractNumId w:val="1"/>
  </w:num>
  <w:num w:numId="2" w16cid:durableId="1256671942">
    <w:abstractNumId w:val="2"/>
  </w:num>
  <w:num w:numId="3" w16cid:durableId="733820358">
    <w:abstractNumId w:val="0"/>
  </w:num>
  <w:num w:numId="4" w16cid:durableId="682391386">
    <w:abstractNumId w:val="5"/>
  </w:num>
  <w:num w:numId="5" w16cid:durableId="1601452964">
    <w:abstractNumId w:val="4"/>
  </w:num>
  <w:num w:numId="6" w16cid:durableId="2059890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1&lt;/FontSize&gt;&lt;ReflistTitle&gt;References&lt;/ReflistTitle&gt;&lt;StartingRefnum&gt;1&lt;/StartingRefnum&gt;&lt;FirstLineIndent&gt;0&lt;/FirstLineIndent&gt;&lt;HangingIndent&gt;282&lt;/HangingIndent&gt;&lt;LineSpacing&gt;0&lt;/LineSpacing&gt;&lt;SpaceAfter&gt;1&lt;/SpaceAfter&gt;&lt;HyperlinksEnabled&gt;1&lt;/HyperlinksEnabled&gt;&lt;HyperlinksVisible&gt;1&lt;/HyperlinksVisible&gt;&lt;EnableBibliographyCategories&gt;0&lt;/EnableBibliographyCategories&gt;&lt;/ENLayout&gt;"/>
    <w:docVar w:name="EN.Libraries" w:val="&lt;Libraries&gt;&lt;item db-id=&quot;fe5asvpf79ppteedxe5pae2fpvsfrx9z29sr&quot;&gt;benchmarking_refs&lt;record-ids&gt;&lt;item&gt;1&lt;/item&gt;&lt;item&gt;4&lt;/item&gt;&lt;item&gt;49&lt;/item&gt;&lt;item&gt;52&lt;/item&gt;&lt;item&gt;53&lt;/item&gt;&lt;item&gt;54&lt;/item&gt;&lt;item&gt;56&lt;/item&gt;&lt;item&gt;60&lt;/item&gt;&lt;item&gt;64&lt;/item&gt;&lt;item&gt;68&lt;/item&gt;&lt;item&gt;69&lt;/item&gt;&lt;item&gt;71&lt;/item&gt;&lt;item&gt;74&lt;/item&gt;&lt;item&gt;75&lt;/item&gt;&lt;item&gt;76&lt;/item&gt;&lt;item&gt;78&lt;/item&gt;&lt;item&gt;79&lt;/item&gt;&lt;item&gt;83&lt;/item&gt;&lt;item&gt;86&lt;/item&gt;&lt;item&gt;88&lt;/item&gt;&lt;/record-ids&gt;&lt;/item&gt;&lt;/Libraries&gt;"/>
  </w:docVars>
  <w:rsids>
    <w:rsidRoot w:val="00A040E1"/>
    <w:rsid w:val="00000309"/>
    <w:rsid w:val="00000CF4"/>
    <w:rsid w:val="00003884"/>
    <w:rsid w:val="000039B5"/>
    <w:rsid w:val="00011059"/>
    <w:rsid w:val="00011457"/>
    <w:rsid w:val="00011555"/>
    <w:rsid w:val="00011760"/>
    <w:rsid w:val="0001223A"/>
    <w:rsid w:val="00012813"/>
    <w:rsid w:val="0001352E"/>
    <w:rsid w:val="000154D6"/>
    <w:rsid w:val="000165C1"/>
    <w:rsid w:val="0001743F"/>
    <w:rsid w:val="00021A01"/>
    <w:rsid w:val="00024067"/>
    <w:rsid w:val="00024856"/>
    <w:rsid w:val="00025B2D"/>
    <w:rsid w:val="00026FF0"/>
    <w:rsid w:val="000326F3"/>
    <w:rsid w:val="00032AFD"/>
    <w:rsid w:val="000339BA"/>
    <w:rsid w:val="000372FE"/>
    <w:rsid w:val="00042643"/>
    <w:rsid w:val="00043C8F"/>
    <w:rsid w:val="0004473D"/>
    <w:rsid w:val="00046AB4"/>
    <w:rsid w:val="00046B86"/>
    <w:rsid w:val="00047680"/>
    <w:rsid w:val="00047CD6"/>
    <w:rsid w:val="00047F3D"/>
    <w:rsid w:val="00050297"/>
    <w:rsid w:val="0005150A"/>
    <w:rsid w:val="00051CF4"/>
    <w:rsid w:val="00052F2F"/>
    <w:rsid w:val="00053318"/>
    <w:rsid w:val="00053404"/>
    <w:rsid w:val="0005545F"/>
    <w:rsid w:val="00056CFD"/>
    <w:rsid w:val="00061851"/>
    <w:rsid w:val="00062BF6"/>
    <w:rsid w:val="000633E6"/>
    <w:rsid w:val="0006435F"/>
    <w:rsid w:val="00065232"/>
    <w:rsid w:val="000653D4"/>
    <w:rsid w:val="00066CA5"/>
    <w:rsid w:val="000746AE"/>
    <w:rsid w:val="00076110"/>
    <w:rsid w:val="00076449"/>
    <w:rsid w:val="00076A97"/>
    <w:rsid w:val="00080E79"/>
    <w:rsid w:val="000833D6"/>
    <w:rsid w:val="00084267"/>
    <w:rsid w:val="00085F2D"/>
    <w:rsid w:val="000860F2"/>
    <w:rsid w:val="00087265"/>
    <w:rsid w:val="0008769D"/>
    <w:rsid w:val="000A0040"/>
    <w:rsid w:val="000A2B55"/>
    <w:rsid w:val="000A7EBB"/>
    <w:rsid w:val="000B0D1A"/>
    <w:rsid w:val="000B1ED5"/>
    <w:rsid w:val="000B1F53"/>
    <w:rsid w:val="000B5A9E"/>
    <w:rsid w:val="000B72E0"/>
    <w:rsid w:val="000C0082"/>
    <w:rsid w:val="000D40BB"/>
    <w:rsid w:val="000D47A8"/>
    <w:rsid w:val="000D5170"/>
    <w:rsid w:val="000D56BA"/>
    <w:rsid w:val="000E5189"/>
    <w:rsid w:val="000E6511"/>
    <w:rsid w:val="000E77DC"/>
    <w:rsid w:val="000E7912"/>
    <w:rsid w:val="000F0DC9"/>
    <w:rsid w:val="000F5E19"/>
    <w:rsid w:val="00102793"/>
    <w:rsid w:val="00102F5C"/>
    <w:rsid w:val="001036E8"/>
    <w:rsid w:val="00107E02"/>
    <w:rsid w:val="001100E3"/>
    <w:rsid w:val="00111AA9"/>
    <w:rsid w:val="00112478"/>
    <w:rsid w:val="00112AE3"/>
    <w:rsid w:val="0012065F"/>
    <w:rsid w:val="001207A2"/>
    <w:rsid w:val="0012456A"/>
    <w:rsid w:val="001255AD"/>
    <w:rsid w:val="00125E71"/>
    <w:rsid w:val="0012772B"/>
    <w:rsid w:val="00127F04"/>
    <w:rsid w:val="00130D53"/>
    <w:rsid w:val="00134EA3"/>
    <w:rsid w:val="001419A9"/>
    <w:rsid w:val="00142978"/>
    <w:rsid w:val="00143972"/>
    <w:rsid w:val="00143E29"/>
    <w:rsid w:val="00145264"/>
    <w:rsid w:val="001452B9"/>
    <w:rsid w:val="001471E2"/>
    <w:rsid w:val="00152064"/>
    <w:rsid w:val="001545CB"/>
    <w:rsid w:val="0015498B"/>
    <w:rsid w:val="00157EF5"/>
    <w:rsid w:val="001608CA"/>
    <w:rsid w:val="00162901"/>
    <w:rsid w:val="001643D0"/>
    <w:rsid w:val="00165DC7"/>
    <w:rsid w:val="00173E15"/>
    <w:rsid w:val="0017412F"/>
    <w:rsid w:val="001747F1"/>
    <w:rsid w:val="001747F2"/>
    <w:rsid w:val="0017579C"/>
    <w:rsid w:val="001769E1"/>
    <w:rsid w:val="00180C0B"/>
    <w:rsid w:val="00182D02"/>
    <w:rsid w:val="001852A4"/>
    <w:rsid w:val="001901BB"/>
    <w:rsid w:val="00193CF2"/>
    <w:rsid w:val="00194A2E"/>
    <w:rsid w:val="00197CF3"/>
    <w:rsid w:val="001A085C"/>
    <w:rsid w:val="001A1F2C"/>
    <w:rsid w:val="001A26CA"/>
    <w:rsid w:val="001A567E"/>
    <w:rsid w:val="001A5A26"/>
    <w:rsid w:val="001A62C3"/>
    <w:rsid w:val="001A6521"/>
    <w:rsid w:val="001A6567"/>
    <w:rsid w:val="001B01AB"/>
    <w:rsid w:val="001B10C5"/>
    <w:rsid w:val="001C043C"/>
    <w:rsid w:val="001C4C64"/>
    <w:rsid w:val="001C4F19"/>
    <w:rsid w:val="001C70C9"/>
    <w:rsid w:val="001D03F7"/>
    <w:rsid w:val="001D1579"/>
    <w:rsid w:val="001D2E7C"/>
    <w:rsid w:val="001D3115"/>
    <w:rsid w:val="001D6649"/>
    <w:rsid w:val="001D7B62"/>
    <w:rsid w:val="001E09FF"/>
    <w:rsid w:val="001F1F90"/>
    <w:rsid w:val="001F6A7C"/>
    <w:rsid w:val="0020094F"/>
    <w:rsid w:val="0020555B"/>
    <w:rsid w:val="002104A4"/>
    <w:rsid w:val="0021428B"/>
    <w:rsid w:val="00215311"/>
    <w:rsid w:val="002158CF"/>
    <w:rsid w:val="00216811"/>
    <w:rsid w:val="00216E16"/>
    <w:rsid w:val="00223BA3"/>
    <w:rsid w:val="00225EE6"/>
    <w:rsid w:val="00241F7B"/>
    <w:rsid w:val="00242645"/>
    <w:rsid w:val="0024446E"/>
    <w:rsid w:val="00251583"/>
    <w:rsid w:val="00252CB7"/>
    <w:rsid w:val="00263B51"/>
    <w:rsid w:val="002651BA"/>
    <w:rsid w:val="0027018B"/>
    <w:rsid w:val="0027080D"/>
    <w:rsid w:val="00271105"/>
    <w:rsid w:val="002746A7"/>
    <w:rsid w:val="00275A02"/>
    <w:rsid w:val="00275D6C"/>
    <w:rsid w:val="00285445"/>
    <w:rsid w:val="002859E2"/>
    <w:rsid w:val="00291809"/>
    <w:rsid w:val="00296D0D"/>
    <w:rsid w:val="002A071F"/>
    <w:rsid w:val="002A1BEA"/>
    <w:rsid w:val="002A208E"/>
    <w:rsid w:val="002A309F"/>
    <w:rsid w:val="002A7446"/>
    <w:rsid w:val="002A77A3"/>
    <w:rsid w:val="002A79B1"/>
    <w:rsid w:val="002B097B"/>
    <w:rsid w:val="002B09B5"/>
    <w:rsid w:val="002B2857"/>
    <w:rsid w:val="002B2C65"/>
    <w:rsid w:val="002B4C2E"/>
    <w:rsid w:val="002B54E8"/>
    <w:rsid w:val="002C239F"/>
    <w:rsid w:val="002C2FD2"/>
    <w:rsid w:val="002C3AB5"/>
    <w:rsid w:val="002D3639"/>
    <w:rsid w:val="002D4305"/>
    <w:rsid w:val="002D448F"/>
    <w:rsid w:val="002E0727"/>
    <w:rsid w:val="002E2580"/>
    <w:rsid w:val="002E2798"/>
    <w:rsid w:val="002E2CBA"/>
    <w:rsid w:val="002E2FB2"/>
    <w:rsid w:val="002E7E53"/>
    <w:rsid w:val="002F01A3"/>
    <w:rsid w:val="002F233F"/>
    <w:rsid w:val="002F30B1"/>
    <w:rsid w:val="002F3813"/>
    <w:rsid w:val="002F3BA6"/>
    <w:rsid w:val="003002F5"/>
    <w:rsid w:val="00303E50"/>
    <w:rsid w:val="00307F5C"/>
    <w:rsid w:val="0031051B"/>
    <w:rsid w:val="00310896"/>
    <w:rsid w:val="00314467"/>
    <w:rsid w:val="00321C29"/>
    <w:rsid w:val="00323EF7"/>
    <w:rsid w:val="00324704"/>
    <w:rsid w:val="003257A6"/>
    <w:rsid w:val="00326C8C"/>
    <w:rsid w:val="00327D71"/>
    <w:rsid w:val="00331789"/>
    <w:rsid w:val="00332071"/>
    <w:rsid w:val="00332547"/>
    <w:rsid w:val="00333A64"/>
    <w:rsid w:val="003341D7"/>
    <w:rsid w:val="00336435"/>
    <w:rsid w:val="0033644A"/>
    <w:rsid w:val="0033648F"/>
    <w:rsid w:val="00337497"/>
    <w:rsid w:val="003376C8"/>
    <w:rsid w:val="00341FE6"/>
    <w:rsid w:val="003422B5"/>
    <w:rsid w:val="00342DE1"/>
    <w:rsid w:val="0034305B"/>
    <w:rsid w:val="00343264"/>
    <w:rsid w:val="00343320"/>
    <w:rsid w:val="003456AD"/>
    <w:rsid w:val="003465CD"/>
    <w:rsid w:val="00346863"/>
    <w:rsid w:val="003548C3"/>
    <w:rsid w:val="00354E51"/>
    <w:rsid w:val="00354FDC"/>
    <w:rsid w:val="00355A5B"/>
    <w:rsid w:val="00362014"/>
    <w:rsid w:val="00364549"/>
    <w:rsid w:val="00365C21"/>
    <w:rsid w:val="0036785E"/>
    <w:rsid w:val="00374031"/>
    <w:rsid w:val="00377E4B"/>
    <w:rsid w:val="00380B5C"/>
    <w:rsid w:val="00380BF0"/>
    <w:rsid w:val="00381008"/>
    <w:rsid w:val="00383946"/>
    <w:rsid w:val="00387509"/>
    <w:rsid w:val="0039041A"/>
    <w:rsid w:val="003927C3"/>
    <w:rsid w:val="00393050"/>
    <w:rsid w:val="0039461F"/>
    <w:rsid w:val="00394F00"/>
    <w:rsid w:val="00396E09"/>
    <w:rsid w:val="003A290F"/>
    <w:rsid w:val="003A3C19"/>
    <w:rsid w:val="003A52D0"/>
    <w:rsid w:val="003A6E36"/>
    <w:rsid w:val="003A7AA7"/>
    <w:rsid w:val="003B23E0"/>
    <w:rsid w:val="003C11DF"/>
    <w:rsid w:val="003C7202"/>
    <w:rsid w:val="003C743A"/>
    <w:rsid w:val="003D218D"/>
    <w:rsid w:val="003D2C68"/>
    <w:rsid w:val="003D6E6E"/>
    <w:rsid w:val="003E05D0"/>
    <w:rsid w:val="003E2EFA"/>
    <w:rsid w:val="003E6001"/>
    <w:rsid w:val="003E6446"/>
    <w:rsid w:val="003E6AF6"/>
    <w:rsid w:val="003F01FE"/>
    <w:rsid w:val="003F13AE"/>
    <w:rsid w:val="003F1BC0"/>
    <w:rsid w:val="003F6466"/>
    <w:rsid w:val="003F7BC2"/>
    <w:rsid w:val="00401073"/>
    <w:rsid w:val="00401414"/>
    <w:rsid w:val="00402BB5"/>
    <w:rsid w:val="004057D6"/>
    <w:rsid w:val="004063E2"/>
    <w:rsid w:val="00407358"/>
    <w:rsid w:val="004120F4"/>
    <w:rsid w:val="0041754A"/>
    <w:rsid w:val="00426773"/>
    <w:rsid w:val="0043085B"/>
    <w:rsid w:val="00432295"/>
    <w:rsid w:val="0043487B"/>
    <w:rsid w:val="004352CD"/>
    <w:rsid w:val="0043557E"/>
    <w:rsid w:val="00437688"/>
    <w:rsid w:val="0044003A"/>
    <w:rsid w:val="00441495"/>
    <w:rsid w:val="00442A48"/>
    <w:rsid w:val="00443256"/>
    <w:rsid w:val="00443CA0"/>
    <w:rsid w:val="004472AA"/>
    <w:rsid w:val="00451518"/>
    <w:rsid w:val="00452592"/>
    <w:rsid w:val="00455982"/>
    <w:rsid w:val="00466E35"/>
    <w:rsid w:val="00472F05"/>
    <w:rsid w:val="0048150F"/>
    <w:rsid w:val="00483A95"/>
    <w:rsid w:val="004871C7"/>
    <w:rsid w:val="00490E9F"/>
    <w:rsid w:val="0049238E"/>
    <w:rsid w:val="00493109"/>
    <w:rsid w:val="0049359D"/>
    <w:rsid w:val="00495890"/>
    <w:rsid w:val="004968E0"/>
    <w:rsid w:val="004A164E"/>
    <w:rsid w:val="004A3378"/>
    <w:rsid w:val="004A3933"/>
    <w:rsid w:val="004A4375"/>
    <w:rsid w:val="004A6CAA"/>
    <w:rsid w:val="004B1862"/>
    <w:rsid w:val="004B2B84"/>
    <w:rsid w:val="004B3A03"/>
    <w:rsid w:val="004B3AA3"/>
    <w:rsid w:val="004B3CFF"/>
    <w:rsid w:val="004B646D"/>
    <w:rsid w:val="004C0CF3"/>
    <w:rsid w:val="004C1B2D"/>
    <w:rsid w:val="004C4DA8"/>
    <w:rsid w:val="004D08A7"/>
    <w:rsid w:val="004D26BB"/>
    <w:rsid w:val="004D40FD"/>
    <w:rsid w:val="004D41F2"/>
    <w:rsid w:val="004D43A6"/>
    <w:rsid w:val="004D565F"/>
    <w:rsid w:val="004D6CCD"/>
    <w:rsid w:val="004E2BC5"/>
    <w:rsid w:val="004E3699"/>
    <w:rsid w:val="004F45B3"/>
    <w:rsid w:val="004F495C"/>
    <w:rsid w:val="00500371"/>
    <w:rsid w:val="0050120D"/>
    <w:rsid w:val="005040B9"/>
    <w:rsid w:val="0051028C"/>
    <w:rsid w:val="005133A7"/>
    <w:rsid w:val="00515D88"/>
    <w:rsid w:val="00521033"/>
    <w:rsid w:val="005221DD"/>
    <w:rsid w:val="00524920"/>
    <w:rsid w:val="005250AF"/>
    <w:rsid w:val="0053544D"/>
    <w:rsid w:val="0054193D"/>
    <w:rsid w:val="005445A3"/>
    <w:rsid w:val="00546494"/>
    <w:rsid w:val="00551EE5"/>
    <w:rsid w:val="00555D75"/>
    <w:rsid w:val="005569CA"/>
    <w:rsid w:val="00557D9F"/>
    <w:rsid w:val="0056210C"/>
    <w:rsid w:val="00563275"/>
    <w:rsid w:val="00563E8C"/>
    <w:rsid w:val="005657DF"/>
    <w:rsid w:val="00575B7E"/>
    <w:rsid w:val="0058066D"/>
    <w:rsid w:val="00582627"/>
    <w:rsid w:val="00584B82"/>
    <w:rsid w:val="00591C08"/>
    <w:rsid w:val="00592F77"/>
    <w:rsid w:val="00594482"/>
    <w:rsid w:val="00594CC5"/>
    <w:rsid w:val="00597723"/>
    <w:rsid w:val="005A1845"/>
    <w:rsid w:val="005A4804"/>
    <w:rsid w:val="005A79BE"/>
    <w:rsid w:val="005B3E48"/>
    <w:rsid w:val="005B68B9"/>
    <w:rsid w:val="005B745D"/>
    <w:rsid w:val="005C10CA"/>
    <w:rsid w:val="005C68FF"/>
    <w:rsid w:val="005D1019"/>
    <w:rsid w:val="005D2F3C"/>
    <w:rsid w:val="005D4ADB"/>
    <w:rsid w:val="005D4C65"/>
    <w:rsid w:val="005D4C67"/>
    <w:rsid w:val="005D5266"/>
    <w:rsid w:val="005D6850"/>
    <w:rsid w:val="005E0194"/>
    <w:rsid w:val="005E3BD3"/>
    <w:rsid w:val="005E6709"/>
    <w:rsid w:val="005E7DC2"/>
    <w:rsid w:val="005F12E6"/>
    <w:rsid w:val="005F1999"/>
    <w:rsid w:val="005F3716"/>
    <w:rsid w:val="005F42B8"/>
    <w:rsid w:val="005F44FB"/>
    <w:rsid w:val="005F4BD0"/>
    <w:rsid w:val="005F6D8E"/>
    <w:rsid w:val="00601FE4"/>
    <w:rsid w:val="00602FF3"/>
    <w:rsid w:val="0060321A"/>
    <w:rsid w:val="0060477B"/>
    <w:rsid w:val="00605186"/>
    <w:rsid w:val="0060613C"/>
    <w:rsid w:val="00612029"/>
    <w:rsid w:val="00612951"/>
    <w:rsid w:val="006151D4"/>
    <w:rsid w:val="00615A20"/>
    <w:rsid w:val="00615B7C"/>
    <w:rsid w:val="00620A65"/>
    <w:rsid w:val="0062789E"/>
    <w:rsid w:val="006300F2"/>
    <w:rsid w:val="00631A3A"/>
    <w:rsid w:val="00633871"/>
    <w:rsid w:val="00636030"/>
    <w:rsid w:val="00640C2F"/>
    <w:rsid w:val="00641BAD"/>
    <w:rsid w:val="006447A3"/>
    <w:rsid w:val="00647804"/>
    <w:rsid w:val="00650264"/>
    <w:rsid w:val="00651204"/>
    <w:rsid w:val="00651E32"/>
    <w:rsid w:val="00652DA3"/>
    <w:rsid w:val="006547A4"/>
    <w:rsid w:val="0066186D"/>
    <w:rsid w:val="0066301D"/>
    <w:rsid w:val="00664725"/>
    <w:rsid w:val="0066478B"/>
    <w:rsid w:val="006662BD"/>
    <w:rsid w:val="006701E8"/>
    <w:rsid w:val="006735DF"/>
    <w:rsid w:val="0067399A"/>
    <w:rsid w:val="006747A9"/>
    <w:rsid w:val="00676EBD"/>
    <w:rsid w:val="00681D37"/>
    <w:rsid w:val="00683C82"/>
    <w:rsid w:val="00684354"/>
    <w:rsid w:val="0068458F"/>
    <w:rsid w:val="00684A2A"/>
    <w:rsid w:val="00684FB3"/>
    <w:rsid w:val="00686BEB"/>
    <w:rsid w:val="00690003"/>
    <w:rsid w:val="0069247B"/>
    <w:rsid w:val="006928E8"/>
    <w:rsid w:val="00693B14"/>
    <w:rsid w:val="00693CD8"/>
    <w:rsid w:val="00696D45"/>
    <w:rsid w:val="006A28D1"/>
    <w:rsid w:val="006A4D38"/>
    <w:rsid w:val="006A6A2B"/>
    <w:rsid w:val="006A73C2"/>
    <w:rsid w:val="006B0A13"/>
    <w:rsid w:val="006B0B46"/>
    <w:rsid w:val="006B173B"/>
    <w:rsid w:val="006B1CC7"/>
    <w:rsid w:val="006B1CE6"/>
    <w:rsid w:val="006B39AB"/>
    <w:rsid w:val="006B3AB8"/>
    <w:rsid w:val="006B66E7"/>
    <w:rsid w:val="006C4549"/>
    <w:rsid w:val="006D2846"/>
    <w:rsid w:val="006D2F26"/>
    <w:rsid w:val="006D30D2"/>
    <w:rsid w:val="006D32A8"/>
    <w:rsid w:val="006D3373"/>
    <w:rsid w:val="006E1CA7"/>
    <w:rsid w:val="006E1D69"/>
    <w:rsid w:val="006E1D92"/>
    <w:rsid w:val="006E5DD4"/>
    <w:rsid w:val="006E6C2C"/>
    <w:rsid w:val="006F21FC"/>
    <w:rsid w:val="006F3D8A"/>
    <w:rsid w:val="006F4348"/>
    <w:rsid w:val="00716055"/>
    <w:rsid w:val="00720057"/>
    <w:rsid w:val="007200CA"/>
    <w:rsid w:val="00723586"/>
    <w:rsid w:val="007256C3"/>
    <w:rsid w:val="00731C2E"/>
    <w:rsid w:val="007320C8"/>
    <w:rsid w:val="00733BA5"/>
    <w:rsid w:val="00744626"/>
    <w:rsid w:val="00747C95"/>
    <w:rsid w:val="0075289F"/>
    <w:rsid w:val="0075325B"/>
    <w:rsid w:val="00753A10"/>
    <w:rsid w:val="00754FAC"/>
    <w:rsid w:val="007606B3"/>
    <w:rsid w:val="00762411"/>
    <w:rsid w:val="007674AF"/>
    <w:rsid w:val="00771271"/>
    <w:rsid w:val="00771F9C"/>
    <w:rsid w:val="00772DCC"/>
    <w:rsid w:val="00773562"/>
    <w:rsid w:val="00780359"/>
    <w:rsid w:val="00780697"/>
    <w:rsid w:val="00780C7E"/>
    <w:rsid w:val="00780F97"/>
    <w:rsid w:val="0078168F"/>
    <w:rsid w:val="00785454"/>
    <w:rsid w:val="0078631B"/>
    <w:rsid w:val="0079073A"/>
    <w:rsid w:val="0079358C"/>
    <w:rsid w:val="007947D8"/>
    <w:rsid w:val="007976FB"/>
    <w:rsid w:val="007A0F83"/>
    <w:rsid w:val="007A1434"/>
    <w:rsid w:val="007A210D"/>
    <w:rsid w:val="007A2DEB"/>
    <w:rsid w:val="007A3BC7"/>
    <w:rsid w:val="007A4D8E"/>
    <w:rsid w:val="007A583B"/>
    <w:rsid w:val="007A7D6E"/>
    <w:rsid w:val="007B0548"/>
    <w:rsid w:val="007B0EF4"/>
    <w:rsid w:val="007B284A"/>
    <w:rsid w:val="007B5D8D"/>
    <w:rsid w:val="007C058C"/>
    <w:rsid w:val="007C183F"/>
    <w:rsid w:val="007C244D"/>
    <w:rsid w:val="007C2A35"/>
    <w:rsid w:val="007C45CD"/>
    <w:rsid w:val="007C67B3"/>
    <w:rsid w:val="007D0CC5"/>
    <w:rsid w:val="007D1D9B"/>
    <w:rsid w:val="007D4919"/>
    <w:rsid w:val="007D78DC"/>
    <w:rsid w:val="007E0D3E"/>
    <w:rsid w:val="007E1DB7"/>
    <w:rsid w:val="007E27F4"/>
    <w:rsid w:val="007E5DD5"/>
    <w:rsid w:val="007E6FB9"/>
    <w:rsid w:val="007F0155"/>
    <w:rsid w:val="007F0333"/>
    <w:rsid w:val="007F0344"/>
    <w:rsid w:val="007F49A4"/>
    <w:rsid w:val="007F563C"/>
    <w:rsid w:val="00802FE8"/>
    <w:rsid w:val="0080393C"/>
    <w:rsid w:val="0080521E"/>
    <w:rsid w:val="00812117"/>
    <w:rsid w:val="0081552E"/>
    <w:rsid w:val="00821235"/>
    <w:rsid w:val="00823E12"/>
    <w:rsid w:val="00825BB6"/>
    <w:rsid w:val="00827166"/>
    <w:rsid w:val="0082735E"/>
    <w:rsid w:val="0083186F"/>
    <w:rsid w:val="008323D0"/>
    <w:rsid w:val="008359C2"/>
    <w:rsid w:val="008370EA"/>
    <w:rsid w:val="00837CA2"/>
    <w:rsid w:val="00841863"/>
    <w:rsid w:val="008423D0"/>
    <w:rsid w:val="008514EA"/>
    <w:rsid w:val="008519E7"/>
    <w:rsid w:val="00851EF3"/>
    <w:rsid w:val="008541DB"/>
    <w:rsid w:val="00857385"/>
    <w:rsid w:val="00857AE6"/>
    <w:rsid w:val="008608A0"/>
    <w:rsid w:val="00860B49"/>
    <w:rsid w:val="00861735"/>
    <w:rsid w:val="00861736"/>
    <w:rsid w:val="008628A5"/>
    <w:rsid w:val="00864AFC"/>
    <w:rsid w:val="00870C12"/>
    <w:rsid w:val="008730CE"/>
    <w:rsid w:val="00874F4A"/>
    <w:rsid w:val="00877946"/>
    <w:rsid w:val="00880D0D"/>
    <w:rsid w:val="00884C08"/>
    <w:rsid w:val="00885011"/>
    <w:rsid w:val="00885317"/>
    <w:rsid w:val="00891035"/>
    <w:rsid w:val="008969CE"/>
    <w:rsid w:val="008A0FB8"/>
    <w:rsid w:val="008A2C37"/>
    <w:rsid w:val="008A2E75"/>
    <w:rsid w:val="008A3CA8"/>
    <w:rsid w:val="008A4E51"/>
    <w:rsid w:val="008A51CC"/>
    <w:rsid w:val="008A5DA1"/>
    <w:rsid w:val="008A6290"/>
    <w:rsid w:val="008A65FD"/>
    <w:rsid w:val="008A7EBE"/>
    <w:rsid w:val="008B20E9"/>
    <w:rsid w:val="008B3632"/>
    <w:rsid w:val="008B5221"/>
    <w:rsid w:val="008B53B3"/>
    <w:rsid w:val="008C17DE"/>
    <w:rsid w:val="008C1CA4"/>
    <w:rsid w:val="008C7849"/>
    <w:rsid w:val="008D0D57"/>
    <w:rsid w:val="008D2580"/>
    <w:rsid w:val="008D456D"/>
    <w:rsid w:val="008D4EE6"/>
    <w:rsid w:val="008D556A"/>
    <w:rsid w:val="008D5CA4"/>
    <w:rsid w:val="008D5FC4"/>
    <w:rsid w:val="008E0F8E"/>
    <w:rsid w:val="008E1489"/>
    <w:rsid w:val="008F1690"/>
    <w:rsid w:val="008F3E31"/>
    <w:rsid w:val="008F6077"/>
    <w:rsid w:val="008F6F97"/>
    <w:rsid w:val="008F73A5"/>
    <w:rsid w:val="008F7544"/>
    <w:rsid w:val="00900BA8"/>
    <w:rsid w:val="00903846"/>
    <w:rsid w:val="009046B9"/>
    <w:rsid w:val="00904972"/>
    <w:rsid w:val="00906BF0"/>
    <w:rsid w:val="00907D28"/>
    <w:rsid w:val="00912AB0"/>
    <w:rsid w:val="00912B63"/>
    <w:rsid w:val="00913289"/>
    <w:rsid w:val="00915D70"/>
    <w:rsid w:val="009230C3"/>
    <w:rsid w:val="00923B84"/>
    <w:rsid w:val="00925145"/>
    <w:rsid w:val="00930F0B"/>
    <w:rsid w:val="00932D5F"/>
    <w:rsid w:val="0093331A"/>
    <w:rsid w:val="00933FCB"/>
    <w:rsid w:val="00935649"/>
    <w:rsid w:val="0093758E"/>
    <w:rsid w:val="009417BA"/>
    <w:rsid w:val="00942918"/>
    <w:rsid w:val="009447FC"/>
    <w:rsid w:val="009459BA"/>
    <w:rsid w:val="009474E2"/>
    <w:rsid w:val="0095109F"/>
    <w:rsid w:val="00951964"/>
    <w:rsid w:val="0095207E"/>
    <w:rsid w:val="00953100"/>
    <w:rsid w:val="009574BB"/>
    <w:rsid w:val="00962BA3"/>
    <w:rsid w:val="00963BBE"/>
    <w:rsid w:val="00970015"/>
    <w:rsid w:val="00973D75"/>
    <w:rsid w:val="009741C2"/>
    <w:rsid w:val="009753AF"/>
    <w:rsid w:val="0097694B"/>
    <w:rsid w:val="00976CE4"/>
    <w:rsid w:val="0097711B"/>
    <w:rsid w:val="00980F94"/>
    <w:rsid w:val="00981D4F"/>
    <w:rsid w:val="00985178"/>
    <w:rsid w:val="00986543"/>
    <w:rsid w:val="009870D7"/>
    <w:rsid w:val="00994727"/>
    <w:rsid w:val="00995654"/>
    <w:rsid w:val="00995869"/>
    <w:rsid w:val="009967D0"/>
    <w:rsid w:val="009A1FA4"/>
    <w:rsid w:val="009A56F6"/>
    <w:rsid w:val="009B02B7"/>
    <w:rsid w:val="009B54F1"/>
    <w:rsid w:val="009C2121"/>
    <w:rsid w:val="009C21E0"/>
    <w:rsid w:val="009C357D"/>
    <w:rsid w:val="009C3D36"/>
    <w:rsid w:val="009C411B"/>
    <w:rsid w:val="009C5BD8"/>
    <w:rsid w:val="009C6486"/>
    <w:rsid w:val="009C73B3"/>
    <w:rsid w:val="009D18FA"/>
    <w:rsid w:val="009D5615"/>
    <w:rsid w:val="009D6B88"/>
    <w:rsid w:val="009D73BF"/>
    <w:rsid w:val="009D7B24"/>
    <w:rsid w:val="009E18E3"/>
    <w:rsid w:val="009E2A1F"/>
    <w:rsid w:val="009E6221"/>
    <w:rsid w:val="009F4C58"/>
    <w:rsid w:val="00A003E1"/>
    <w:rsid w:val="00A00769"/>
    <w:rsid w:val="00A01E85"/>
    <w:rsid w:val="00A03EEF"/>
    <w:rsid w:val="00A040E1"/>
    <w:rsid w:val="00A07A6F"/>
    <w:rsid w:val="00A07A89"/>
    <w:rsid w:val="00A1237A"/>
    <w:rsid w:val="00A126E1"/>
    <w:rsid w:val="00A16256"/>
    <w:rsid w:val="00A166E3"/>
    <w:rsid w:val="00A16C6F"/>
    <w:rsid w:val="00A16E04"/>
    <w:rsid w:val="00A17DEB"/>
    <w:rsid w:val="00A25058"/>
    <w:rsid w:val="00A30836"/>
    <w:rsid w:val="00A35C47"/>
    <w:rsid w:val="00A37328"/>
    <w:rsid w:val="00A37E25"/>
    <w:rsid w:val="00A46D77"/>
    <w:rsid w:val="00A47561"/>
    <w:rsid w:val="00A512B2"/>
    <w:rsid w:val="00A52C47"/>
    <w:rsid w:val="00A52F5F"/>
    <w:rsid w:val="00A53ADE"/>
    <w:rsid w:val="00A55D36"/>
    <w:rsid w:val="00A6153B"/>
    <w:rsid w:val="00A62172"/>
    <w:rsid w:val="00A62A1B"/>
    <w:rsid w:val="00A7045A"/>
    <w:rsid w:val="00A72920"/>
    <w:rsid w:val="00A75A2C"/>
    <w:rsid w:val="00A770FF"/>
    <w:rsid w:val="00A771FE"/>
    <w:rsid w:val="00A7763D"/>
    <w:rsid w:val="00A90704"/>
    <w:rsid w:val="00A92C05"/>
    <w:rsid w:val="00A93E1C"/>
    <w:rsid w:val="00A94099"/>
    <w:rsid w:val="00A959A0"/>
    <w:rsid w:val="00A95D09"/>
    <w:rsid w:val="00A97A5F"/>
    <w:rsid w:val="00A97DD2"/>
    <w:rsid w:val="00AA0C9E"/>
    <w:rsid w:val="00AA1430"/>
    <w:rsid w:val="00AA1E73"/>
    <w:rsid w:val="00AA471F"/>
    <w:rsid w:val="00AA50E3"/>
    <w:rsid w:val="00AA5A7C"/>
    <w:rsid w:val="00AB0EDA"/>
    <w:rsid w:val="00AB251B"/>
    <w:rsid w:val="00AB7100"/>
    <w:rsid w:val="00AC0534"/>
    <w:rsid w:val="00AC1C0F"/>
    <w:rsid w:val="00AC271F"/>
    <w:rsid w:val="00AC4943"/>
    <w:rsid w:val="00AC56C8"/>
    <w:rsid w:val="00AD16D1"/>
    <w:rsid w:val="00AD353E"/>
    <w:rsid w:val="00AD3FF5"/>
    <w:rsid w:val="00AD605F"/>
    <w:rsid w:val="00AD70CB"/>
    <w:rsid w:val="00AD7F57"/>
    <w:rsid w:val="00AE0076"/>
    <w:rsid w:val="00AE0921"/>
    <w:rsid w:val="00AE263B"/>
    <w:rsid w:val="00AE26B1"/>
    <w:rsid w:val="00AE365A"/>
    <w:rsid w:val="00AE48CD"/>
    <w:rsid w:val="00AF1733"/>
    <w:rsid w:val="00AF2325"/>
    <w:rsid w:val="00AF5F11"/>
    <w:rsid w:val="00AF7273"/>
    <w:rsid w:val="00B00F50"/>
    <w:rsid w:val="00B00FD9"/>
    <w:rsid w:val="00B01AD5"/>
    <w:rsid w:val="00B02EDD"/>
    <w:rsid w:val="00B0733B"/>
    <w:rsid w:val="00B13FE9"/>
    <w:rsid w:val="00B20AFE"/>
    <w:rsid w:val="00B2181E"/>
    <w:rsid w:val="00B31BA0"/>
    <w:rsid w:val="00B341E0"/>
    <w:rsid w:val="00B34E57"/>
    <w:rsid w:val="00B366F7"/>
    <w:rsid w:val="00B4542A"/>
    <w:rsid w:val="00B45E55"/>
    <w:rsid w:val="00B52C7A"/>
    <w:rsid w:val="00B53559"/>
    <w:rsid w:val="00B557F7"/>
    <w:rsid w:val="00B618DD"/>
    <w:rsid w:val="00B61A7F"/>
    <w:rsid w:val="00B65EB6"/>
    <w:rsid w:val="00B67896"/>
    <w:rsid w:val="00B67933"/>
    <w:rsid w:val="00B718BF"/>
    <w:rsid w:val="00B739F1"/>
    <w:rsid w:val="00B7549F"/>
    <w:rsid w:val="00B77174"/>
    <w:rsid w:val="00B80527"/>
    <w:rsid w:val="00B80700"/>
    <w:rsid w:val="00B82E35"/>
    <w:rsid w:val="00B90985"/>
    <w:rsid w:val="00B91C32"/>
    <w:rsid w:val="00B9277C"/>
    <w:rsid w:val="00B95CB9"/>
    <w:rsid w:val="00BA1C84"/>
    <w:rsid w:val="00BA39E0"/>
    <w:rsid w:val="00BA434A"/>
    <w:rsid w:val="00BA6875"/>
    <w:rsid w:val="00BA6959"/>
    <w:rsid w:val="00BB050D"/>
    <w:rsid w:val="00BB0ED9"/>
    <w:rsid w:val="00BB264B"/>
    <w:rsid w:val="00BB2AFB"/>
    <w:rsid w:val="00BB3F1C"/>
    <w:rsid w:val="00BB5136"/>
    <w:rsid w:val="00BB5C60"/>
    <w:rsid w:val="00BB61A6"/>
    <w:rsid w:val="00BB6B6F"/>
    <w:rsid w:val="00BC1154"/>
    <w:rsid w:val="00BC258A"/>
    <w:rsid w:val="00BC3CFB"/>
    <w:rsid w:val="00BC49F5"/>
    <w:rsid w:val="00BC670A"/>
    <w:rsid w:val="00BC6A71"/>
    <w:rsid w:val="00BC7D4F"/>
    <w:rsid w:val="00BD5FC7"/>
    <w:rsid w:val="00BD7D2D"/>
    <w:rsid w:val="00BE0FF1"/>
    <w:rsid w:val="00BE4E64"/>
    <w:rsid w:val="00BE55A7"/>
    <w:rsid w:val="00BE5C7A"/>
    <w:rsid w:val="00BE694F"/>
    <w:rsid w:val="00BE6C12"/>
    <w:rsid w:val="00BF09D5"/>
    <w:rsid w:val="00BF40D8"/>
    <w:rsid w:val="00BF4320"/>
    <w:rsid w:val="00BF48F5"/>
    <w:rsid w:val="00BF5D3A"/>
    <w:rsid w:val="00BF5F05"/>
    <w:rsid w:val="00BF667A"/>
    <w:rsid w:val="00C0090F"/>
    <w:rsid w:val="00C01906"/>
    <w:rsid w:val="00C02BF3"/>
    <w:rsid w:val="00C0412F"/>
    <w:rsid w:val="00C05BEA"/>
    <w:rsid w:val="00C066CC"/>
    <w:rsid w:val="00C118B2"/>
    <w:rsid w:val="00C13131"/>
    <w:rsid w:val="00C14993"/>
    <w:rsid w:val="00C168D1"/>
    <w:rsid w:val="00C16EF5"/>
    <w:rsid w:val="00C218FC"/>
    <w:rsid w:val="00C237BE"/>
    <w:rsid w:val="00C23912"/>
    <w:rsid w:val="00C23E51"/>
    <w:rsid w:val="00C242C8"/>
    <w:rsid w:val="00C24852"/>
    <w:rsid w:val="00C257E6"/>
    <w:rsid w:val="00C267D7"/>
    <w:rsid w:val="00C33D21"/>
    <w:rsid w:val="00C34241"/>
    <w:rsid w:val="00C342DA"/>
    <w:rsid w:val="00C34622"/>
    <w:rsid w:val="00C3489E"/>
    <w:rsid w:val="00C35AAD"/>
    <w:rsid w:val="00C4203E"/>
    <w:rsid w:val="00C47024"/>
    <w:rsid w:val="00C50735"/>
    <w:rsid w:val="00C50BC1"/>
    <w:rsid w:val="00C55761"/>
    <w:rsid w:val="00C60E96"/>
    <w:rsid w:val="00C65AE4"/>
    <w:rsid w:val="00C67B37"/>
    <w:rsid w:val="00C706EF"/>
    <w:rsid w:val="00C708B6"/>
    <w:rsid w:val="00C73A42"/>
    <w:rsid w:val="00C77309"/>
    <w:rsid w:val="00C802E3"/>
    <w:rsid w:val="00C821F7"/>
    <w:rsid w:val="00C85D29"/>
    <w:rsid w:val="00C85E5E"/>
    <w:rsid w:val="00C9141D"/>
    <w:rsid w:val="00C92336"/>
    <w:rsid w:val="00C941F0"/>
    <w:rsid w:val="00C95AC6"/>
    <w:rsid w:val="00C979A6"/>
    <w:rsid w:val="00CA77F8"/>
    <w:rsid w:val="00CB08C1"/>
    <w:rsid w:val="00CB0A28"/>
    <w:rsid w:val="00CB351C"/>
    <w:rsid w:val="00CB6605"/>
    <w:rsid w:val="00CB72B7"/>
    <w:rsid w:val="00CB7746"/>
    <w:rsid w:val="00CC0843"/>
    <w:rsid w:val="00CC2C64"/>
    <w:rsid w:val="00CC445F"/>
    <w:rsid w:val="00CC7C48"/>
    <w:rsid w:val="00CD0DF3"/>
    <w:rsid w:val="00CD4A76"/>
    <w:rsid w:val="00CD4C5E"/>
    <w:rsid w:val="00CD71E8"/>
    <w:rsid w:val="00CE0C81"/>
    <w:rsid w:val="00CE3C76"/>
    <w:rsid w:val="00CE3E89"/>
    <w:rsid w:val="00CE580E"/>
    <w:rsid w:val="00CE6632"/>
    <w:rsid w:val="00CE70CC"/>
    <w:rsid w:val="00CE72F0"/>
    <w:rsid w:val="00CF3F45"/>
    <w:rsid w:val="00CF7167"/>
    <w:rsid w:val="00D00BDD"/>
    <w:rsid w:val="00D02990"/>
    <w:rsid w:val="00D0347A"/>
    <w:rsid w:val="00D046C6"/>
    <w:rsid w:val="00D06526"/>
    <w:rsid w:val="00D0780D"/>
    <w:rsid w:val="00D127A9"/>
    <w:rsid w:val="00D13590"/>
    <w:rsid w:val="00D26850"/>
    <w:rsid w:val="00D26E6A"/>
    <w:rsid w:val="00D30737"/>
    <w:rsid w:val="00D32064"/>
    <w:rsid w:val="00D331BF"/>
    <w:rsid w:val="00D360AA"/>
    <w:rsid w:val="00D36132"/>
    <w:rsid w:val="00D36428"/>
    <w:rsid w:val="00D36B9C"/>
    <w:rsid w:val="00D42E6A"/>
    <w:rsid w:val="00D51C45"/>
    <w:rsid w:val="00D51F79"/>
    <w:rsid w:val="00D56A54"/>
    <w:rsid w:val="00D57EE3"/>
    <w:rsid w:val="00D60D0B"/>
    <w:rsid w:val="00D635BE"/>
    <w:rsid w:val="00D708A5"/>
    <w:rsid w:val="00D73D47"/>
    <w:rsid w:val="00D76800"/>
    <w:rsid w:val="00D8045F"/>
    <w:rsid w:val="00D8126B"/>
    <w:rsid w:val="00D819A6"/>
    <w:rsid w:val="00D828B3"/>
    <w:rsid w:val="00D83331"/>
    <w:rsid w:val="00D8354E"/>
    <w:rsid w:val="00D872A2"/>
    <w:rsid w:val="00D911F3"/>
    <w:rsid w:val="00D91598"/>
    <w:rsid w:val="00D91852"/>
    <w:rsid w:val="00D92A68"/>
    <w:rsid w:val="00DA377D"/>
    <w:rsid w:val="00DA5118"/>
    <w:rsid w:val="00DA6375"/>
    <w:rsid w:val="00DB04B7"/>
    <w:rsid w:val="00DB1275"/>
    <w:rsid w:val="00DB2BC4"/>
    <w:rsid w:val="00DB358D"/>
    <w:rsid w:val="00DB36B5"/>
    <w:rsid w:val="00DB3DC8"/>
    <w:rsid w:val="00DB3FBE"/>
    <w:rsid w:val="00DB75A0"/>
    <w:rsid w:val="00DC32C1"/>
    <w:rsid w:val="00DC35E2"/>
    <w:rsid w:val="00DC36A3"/>
    <w:rsid w:val="00DC67BD"/>
    <w:rsid w:val="00DC747A"/>
    <w:rsid w:val="00DD0D6A"/>
    <w:rsid w:val="00DD17DF"/>
    <w:rsid w:val="00DD27D3"/>
    <w:rsid w:val="00DD2ED1"/>
    <w:rsid w:val="00DD5321"/>
    <w:rsid w:val="00DE0BD7"/>
    <w:rsid w:val="00DE2C5C"/>
    <w:rsid w:val="00DE38BE"/>
    <w:rsid w:val="00DE3FDC"/>
    <w:rsid w:val="00DE51AB"/>
    <w:rsid w:val="00DE5FB2"/>
    <w:rsid w:val="00DE7836"/>
    <w:rsid w:val="00DF121F"/>
    <w:rsid w:val="00DF2100"/>
    <w:rsid w:val="00DF21F1"/>
    <w:rsid w:val="00DF2EED"/>
    <w:rsid w:val="00DF6169"/>
    <w:rsid w:val="00DF6FD2"/>
    <w:rsid w:val="00DF71B8"/>
    <w:rsid w:val="00E0638E"/>
    <w:rsid w:val="00E06520"/>
    <w:rsid w:val="00E10989"/>
    <w:rsid w:val="00E10DA5"/>
    <w:rsid w:val="00E10FB6"/>
    <w:rsid w:val="00E1192E"/>
    <w:rsid w:val="00E148E5"/>
    <w:rsid w:val="00E263D2"/>
    <w:rsid w:val="00E30921"/>
    <w:rsid w:val="00E345C9"/>
    <w:rsid w:val="00E4153C"/>
    <w:rsid w:val="00E4196C"/>
    <w:rsid w:val="00E446A9"/>
    <w:rsid w:val="00E44C5A"/>
    <w:rsid w:val="00E45BCC"/>
    <w:rsid w:val="00E50957"/>
    <w:rsid w:val="00E51486"/>
    <w:rsid w:val="00E53A1B"/>
    <w:rsid w:val="00E53CF8"/>
    <w:rsid w:val="00E53D66"/>
    <w:rsid w:val="00E53E85"/>
    <w:rsid w:val="00E56229"/>
    <w:rsid w:val="00E578BD"/>
    <w:rsid w:val="00E61BD3"/>
    <w:rsid w:val="00E61FCF"/>
    <w:rsid w:val="00E73A9A"/>
    <w:rsid w:val="00E73F0F"/>
    <w:rsid w:val="00E751BB"/>
    <w:rsid w:val="00E7612C"/>
    <w:rsid w:val="00E76FF0"/>
    <w:rsid w:val="00E80D55"/>
    <w:rsid w:val="00E83FB6"/>
    <w:rsid w:val="00E85592"/>
    <w:rsid w:val="00E92B11"/>
    <w:rsid w:val="00E96904"/>
    <w:rsid w:val="00E97EB5"/>
    <w:rsid w:val="00EA4978"/>
    <w:rsid w:val="00EB35C5"/>
    <w:rsid w:val="00EB5F89"/>
    <w:rsid w:val="00EB6D34"/>
    <w:rsid w:val="00EB7CDB"/>
    <w:rsid w:val="00EC2B54"/>
    <w:rsid w:val="00EC3739"/>
    <w:rsid w:val="00EC46A8"/>
    <w:rsid w:val="00EC4B16"/>
    <w:rsid w:val="00EC5D61"/>
    <w:rsid w:val="00ED0EB8"/>
    <w:rsid w:val="00ED35E3"/>
    <w:rsid w:val="00ED3C79"/>
    <w:rsid w:val="00ED5C20"/>
    <w:rsid w:val="00ED5EA0"/>
    <w:rsid w:val="00ED635D"/>
    <w:rsid w:val="00EE359E"/>
    <w:rsid w:val="00EE45FF"/>
    <w:rsid w:val="00EE7CED"/>
    <w:rsid w:val="00EE7E56"/>
    <w:rsid w:val="00EF40F3"/>
    <w:rsid w:val="00EF4951"/>
    <w:rsid w:val="00EF7C29"/>
    <w:rsid w:val="00EF7D08"/>
    <w:rsid w:val="00F02E8B"/>
    <w:rsid w:val="00F04C01"/>
    <w:rsid w:val="00F04F64"/>
    <w:rsid w:val="00F109CD"/>
    <w:rsid w:val="00F10BE9"/>
    <w:rsid w:val="00F110D1"/>
    <w:rsid w:val="00F11DED"/>
    <w:rsid w:val="00F132C8"/>
    <w:rsid w:val="00F14BF3"/>
    <w:rsid w:val="00F17504"/>
    <w:rsid w:val="00F22F1A"/>
    <w:rsid w:val="00F23D51"/>
    <w:rsid w:val="00F26BDB"/>
    <w:rsid w:val="00F31DA4"/>
    <w:rsid w:val="00F369AF"/>
    <w:rsid w:val="00F41602"/>
    <w:rsid w:val="00F4395C"/>
    <w:rsid w:val="00F51EC2"/>
    <w:rsid w:val="00F5294A"/>
    <w:rsid w:val="00F5349F"/>
    <w:rsid w:val="00F53A61"/>
    <w:rsid w:val="00F54FE4"/>
    <w:rsid w:val="00F559DB"/>
    <w:rsid w:val="00F570FC"/>
    <w:rsid w:val="00F6107E"/>
    <w:rsid w:val="00F6151F"/>
    <w:rsid w:val="00F622F0"/>
    <w:rsid w:val="00F6311B"/>
    <w:rsid w:val="00F65366"/>
    <w:rsid w:val="00F67F5A"/>
    <w:rsid w:val="00F7101D"/>
    <w:rsid w:val="00F80E1B"/>
    <w:rsid w:val="00F8368A"/>
    <w:rsid w:val="00F84F5A"/>
    <w:rsid w:val="00F87881"/>
    <w:rsid w:val="00F95C54"/>
    <w:rsid w:val="00F97570"/>
    <w:rsid w:val="00FA24AE"/>
    <w:rsid w:val="00FA5608"/>
    <w:rsid w:val="00FB07D1"/>
    <w:rsid w:val="00FB3391"/>
    <w:rsid w:val="00FB5152"/>
    <w:rsid w:val="00FB6794"/>
    <w:rsid w:val="00FB6892"/>
    <w:rsid w:val="00FC02DA"/>
    <w:rsid w:val="00FC13B6"/>
    <w:rsid w:val="00FC26EB"/>
    <w:rsid w:val="00FC3755"/>
    <w:rsid w:val="00FC3978"/>
    <w:rsid w:val="00FC6700"/>
    <w:rsid w:val="00FC719C"/>
    <w:rsid w:val="00FC72F6"/>
    <w:rsid w:val="00FD006A"/>
    <w:rsid w:val="00FD04AD"/>
    <w:rsid w:val="00FD08C4"/>
    <w:rsid w:val="00FD3101"/>
    <w:rsid w:val="00FD3CCD"/>
    <w:rsid w:val="00FD71B8"/>
    <w:rsid w:val="00FE43AA"/>
    <w:rsid w:val="00FF43FD"/>
    <w:rsid w:val="00FF57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26F7"/>
  <w15:docId w15:val="{1D6BD07F-C52D-4ED0-819E-EB15F235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0E1"/>
  </w:style>
  <w:style w:type="paragraph" w:styleId="Footer">
    <w:name w:val="footer"/>
    <w:basedOn w:val="Normal"/>
    <w:link w:val="FooterChar"/>
    <w:uiPriority w:val="99"/>
    <w:unhideWhenUsed/>
    <w:rsid w:val="00A04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0E1"/>
  </w:style>
  <w:style w:type="paragraph" w:styleId="ListParagraph">
    <w:name w:val="List Paragraph"/>
    <w:basedOn w:val="Normal"/>
    <w:uiPriority w:val="34"/>
    <w:qFormat/>
    <w:rsid w:val="00A040E1"/>
    <w:pPr>
      <w:ind w:left="720"/>
      <w:contextualSpacing/>
    </w:pPr>
  </w:style>
  <w:style w:type="character" w:styleId="CommentReference">
    <w:name w:val="annotation reference"/>
    <w:basedOn w:val="DefaultParagraphFont"/>
    <w:uiPriority w:val="99"/>
    <w:semiHidden/>
    <w:unhideWhenUsed/>
    <w:rsid w:val="00A040E1"/>
    <w:rPr>
      <w:sz w:val="16"/>
      <w:szCs w:val="16"/>
    </w:rPr>
  </w:style>
  <w:style w:type="paragraph" w:styleId="CommentText">
    <w:name w:val="annotation text"/>
    <w:basedOn w:val="Normal"/>
    <w:link w:val="CommentTextChar"/>
    <w:uiPriority w:val="99"/>
    <w:unhideWhenUsed/>
    <w:rsid w:val="00A040E1"/>
    <w:pPr>
      <w:spacing w:line="240" w:lineRule="auto"/>
    </w:pPr>
    <w:rPr>
      <w:sz w:val="20"/>
      <w:szCs w:val="20"/>
    </w:rPr>
  </w:style>
  <w:style w:type="character" w:customStyle="1" w:styleId="CommentTextChar">
    <w:name w:val="Comment Text Char"/>
    <w:basedOn w:val="DefaultParagraphFont"/>
    <w:link w:val="CommentText"/>
    <w:uiPriority w:val="99"/>
    <w:rsid w:val="00A040E1"/>
    <w:rPr>
      <w:sz w:val="20"/>
      <w:szCs w:val="20"/>
    </w:rPr>
  </w:style>
  <w:style w:type="paragraph" w:styleId="CommentSubject">
    <w:name w:val="annotation subject"/>
    <w:basedOn w:val="CommentText"/>
    <w:next w:val="CommentText"/>
    <w:link w:val="CommentSubjectChar"/>
    <w:uiPriority w:val="99"/>
    <w:semiHidden/>
    <w:unhideWhenUsed/>
    <w:rsid w:val="00A040E1"/>
    <w:rPr>
      <w:b/>
      <w:bCs/>
    </w:rPr>
  </w:style>
  <w:style w:type="character" w:customStyle="1" w:styleId="CommentSubjectChar">
    <w:name w:val="Comment Subject Char"/>
    <w:basedOn w:val="CommentTextChar"/>
    <w:link w:val="CommentSubject"/>
    <w:uiPriority w:val="99"/>
    <w:semiHidden/>
    <w:rsid w:val="00A040E1"/>
    <w:rPr>
      <w:b/>
      <w:bCs/>
      <w:sz w:val="20"/>
      <w:szCs w:val="20"/>
    </w:rPr>
  </w:style>
  <w:style w:type="character" w:styleId="Hyperlink">
    <w:name w:val="Hyperlink"/>
    <w:basedOn w:val="DefaultParagraphFont"/>
    <w:uiPriority w:val="99"/>
    <w:unhideWhenUsed/>
    <w:rsid w:val="00F369AF"/>
    <w:rPr>
      <w:color w:val="0563C1" w:themeColor="hyperlink"/>
      <w:u w:val="single"/>
    </w:rPr>
  </w:style>
  <w:style w:type="character" w:styleId="UnresolvedMention">
    <w:name w:val="Unresolved Mention"/>
    <w:basedOn w:val="DefaultParagraphFont"/>
    <w:uiPriority w:val="99"/>
    <w:semiHidden/>
    <w:unhideWhenUsed/>
    <w:rsid w:val="00F369AF"/>
    <w:rPr>
      <w:color w:val="605E5C"/>
      <w:shd w:val="clear" w:color="auto" w:fill="E1DFDD"/>
    </w:rPr>
  </w:style>
  <w:style w:type="paragraph" w:styleId="Caption">
    <w:name w:val="caption"/>
    <w:basedOn w:val="Normal"/>
    <w:next w:val="Normal"/>
    <w:uiPriority w:val="35"/>
    <w:unhideWhenUsed/>
    <w:qFormat/>
    <w:rsid w:val="009870D7"/>
    <w:pPr>
      <w:spacing w:after="200" w:line="240" w:lineRule="auto"/>
    </w:pPr>
    <w:rPr>
      <w:i/>
      <w:iCs/>
      <w:color w:val="44546A" w:themeColor="text2"/>
      <w:sz w:val="18"/>
      <w:szCs w:val="18"/>
    </w:rPr>
  </w:style>
  <w:style w:type="paragraph" w:styleId="Revision">
    <w:name w:val="Revision"/>
    <w:hidden/>
    <w:uiPriority w:val="99"/>
    <w:semiHidden/>
    <w:rsid w:val="00D51F79"/>
    <w:pPr>
      <w:spacing w:after="0" w:line="240" w:lineRule="auto"/>
    </w:pPr>
  </w:style>
  <w:style w:type="character" w:styleId="FollowedHyperlink">
    <w:name w:val="FollowedHyperlink"/>
    <w:basedOn w:val="DefaultParagraphFont"/>
    <w:uiPriority w:val="99"/>
    <w:semiHidden/>
    <w:unhideWhenUsed/>
    <w:rsid w:val="00C67B37"/>
    <w:rPr>
      <w:color w:val="954F72" w:themeColor="followedHyperlink"/>
      <w:u w:val="single"/>
    </w:rPr>
  </w:style>
  <w:style w:type="paragraph" w:customStyle="1" w:styleId="EndNoteBibliographyTitle">
    <w:name w:val="EndNote Bibliography Title"/>
    <w:basedOn w:val="Normal"/>
    <w:link w:val="EndNoteBibliographyTitleChar"/>
    <w:rsid w:val="00640C2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40C2F"/>
    <w:rPr>
      <w:rFonts w:ascii="Calibri" w:hAnsi="Calibri" w:cs="Calibri"/>
      <w:noProof/>
      <w:lang w:val="en-US"/>
    </w:rPr>
  </w:style>
  <w:style w:type="paragraph" w:customStyle="1" w:styleId="EndNoteBibliography">
    <w:name w:val="EndNote Bibliography"/>
    <w:basedOn w:val="Normal"/>
    <w:link w:val="EndNoteBibliographyChar"/>
    <w:rsid w:val="00640C2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40C2F"/>
    <w:rPr>
      <w:rFonts w:ascii="Calibri" w:hAnsi="Calibri" w:cs="Calibri"/>
      <w:noProof/>
      <w:lang w:val="en-US"/>
    </w:rPr>
  </w:style>
  <w:style w:type="character" w:styleId="LineNumber">
    <w:name w:val="line number"/>
    <w:basedOn w:val="DefaultParagraphFont"/>
    <w:uiPriority w:val="99"/>
    <w:semiHidden/>
    <w:unhideWhenUsed/>
    <w:rsid w:val="0001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3481">
      <w:bodyDiv w:val="1"/>
      <w:marLeft w:val="0"/>
      <w:marRight w:val="0"/>
      <w:marTop w:val="0"/>
      <w:marBottom w:val="0"/>
      <w:divBdr>
        <w:top w:val="none" w:sz="0" w:space="0" w:color="auto"/>
        <w:left w:val="none" w:sz="0" w:space="0" w:color="auto"/>
        <w:bottom w:val="none" w:sz="0" w:space="0" w:color="auto"/>
        <w:right w:val="none" w:sz="0" w:space="0" w:color="auto"/>
      </w:divBdr>
    </w:div>
    <w:div w:id="267664137">
      <w:bodyDiv w:val="1"/>
      <w:marLeft w:val="0"/>
      <w:marRight w:val="0"/>
      <w:marTop w:val="0"/>
      <w:marBottom w:val="0"/>
      <w:divBdr>
        <w:top w:val="none" w:sz="0" w:space="0" w:color="auto"/>
        <w:left w:val="none" w:sz="0" w:space="0" w:color="auto"/>
        <w:bottom w:val="none" w:sz="0" w:space="0" w:color="auto"/>
        <w:right w:val="none" w:sz="0" w:space="0" w:color="auto"/>
      </w:divBdr>
    </w:div>
    <w:div w:id="405615812">
      <w:bodyDiv w:val="1"/>
      <w:marLeft w:val="0"/>
      <w:marRight w:val="0"/>
      <w:marTop w:val="0"/>
      <w:marBottom w:val="0"/>
      <w:divBdr>
        <w:top w:val="none" w:sz="0" w:space="0" w:color="auto"/>
        <w:left w:val="none" w:sz="0" w:space="0" w:color="auto"/>
        <w:bottom w:val="none" w:sz="0" w:space="0" w:color="auto"/>
        <w:right w:val="none" w:sz="0" w:space="0" w:color="auto"/>
      </w:divBdr>
    </w:div>
    <w:div w:id="479007717">
      <w:bodyDiv w:val="1"/>
      <w:marLeft w:val="0"/>
      <w:marRight w:val="0"/>
      <w:marTop w:val="0"/>
      <w:marBottom w:val="0"/>
      <w:divBdr>
        <w:top w:val="none" w:sz="0" w:space="0" w:color="auto"/>
        <w:left w:val="none" w:sz="0" w:space="0" w:color="auto"/>
        <w:bottom w:val="none" w:sz="0" w:space="0" w:color="auto"/>
        <w:right w:val="none" w:sz="0" w:space="0" w:color="auto"/>
      </w:divBdr>
    </w:div>
    <w:div w:id="1201361566">
      <w:bodyDiv w:val="1"/>
      <w:marLeft w:val="0"/>
      <w:marRight w:val="0"/>
      <w:marTop w:val="0"/>
      <w:marBottom w:val="0"/>
      <w:divBdr>
        <w:top w:val="none" w:sz="0" w:space="0" w:color="auto"/>
        <w:left w:val="none" w:sz="0" w:space="0" w:color="auto"/>
        <w:bottom w:val="none" w:sz="0" w:space="0" w:color="auto"/>
        <w:right w:val="none" w:sz="0" w:space="0" w:color="auto"/>
      </w:divBdr>
    </w:div>
    <w:div w:id="1360619821">
      <w:bodyDiv w:val="1"/>
      <w:marLeft w:val="0"/>
      <w:marRight w:val="0"/>
      <w:marTop w:val="0"/>
      <w:marBottom w:val="0"/>
      <w:divBdr>
        <w:top w:val="none" w:sz="0" w:space="0" w:color="auto"/>
        <w:left w:val="none" w:sz="0" w:space="0" w:color="auto"/>
        <w:bottom w:val="none" w:sz="0" w:space="0" w:color="auto"/>
        <w:right w:val="none" w:sz="0" w:space="0" w:color="auto"/>
      </w:divBdr>
    </w:div>
    <w:div w:id="1474255520">
      <w:bodyDiv w:val="1"/>
      <w:marLeft w:val="0"/>
      <w:marRight w:val="0"/>
      <w:marTop w:val="0"/>
      <w:marBottom w:val="0"/>
      <w:divBdr>
        <w:top w:val="none" w:sz="0" w:space="0" w:color="auto"/>
        <w:left w:val="none" w:sz="0" w:space="0" w:color="auto"/>
        <w:bottom w:val="none" w:sz="0" w:space="0" w:color="auto"/>
        <w:right w:val="none" w:sz="0" w:space="0" w:color="auto"/>
      </w:divBdr>
    </w:div>
    <w:div w:id="1485703493">
      <w:bodyDiv w:val="1"/>
      <w:marLeft w:val="0"/>
      <w:marRight w:val="0"/>
      <w:marTop w:val="0"/>
      <w:marBottom w:val="0"/>
      <w:divBdr>
        <w:top w:val="none" w:sz="0" w:space="0" w:color="auto"/>
        <w:left w:val="none" w:sz="0" w:space="0" w:color="auto"/>
        <w:bottom w:val="none" w:sz="0" w:space="0" w:color="auto"/>
        <w:right w:val="none" w:sz="0" w:space="0" w:color="auto"/>
      </w:divBdr>
    </w:div>
    <w:div w:id="1711953303">
      <w:bodyDiv w:val="1"/>
      <w:marLeft w:val="0"/>
      <w:marRight w:val="0"/>
      <w:marTop w:val="0"/>
      <w:marBottom w:val="0"/>
      <w:divBdr>
        <w:top w:val="none" w:sz="0" w:space="0" w:color="auto"/>
        <w:left w:val="none" w:sz="0" w:space="0" w:color="auto"/>
        <w:bottom w:val="none" w:sz="0" w:space="0" w:color="auto"/>
        <w:right w:val="none" w:sz="0" w:space="0" w:color="auto"/>
      </w:divBdr>
    </w:div>
    <w:div w:id="1761174334">
      <w:bodyDiv w:val="1"/>
      <w:marLeft w:val="0"/>
      <w:marRight w:val="0"/>
      <w:marTop w:val="0"/>
      <w:marBottom w:val="0"/>
      <w:divBdr>
        <w:top w:val="none" w:sz="0" w:space="0" w:color="auto"/>
        <w:left w:val="none" w:sz="0" w:space="0" w:color="auto"/>
        <w:bottom w:val="none" w:sz="0" w:space="0" w:color="auto"/>
        <w:right w:val="none" w:sz="0" w:space="0" w:color="auto"/>
      </w:divBdr>
    </w:div>
    <w:div w:id="1943028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A8256-83E9-4826-AC47-1BFE2D66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Channon</dc:creator>
  <cp:keywords/>
  <dc:description/>
  <cp:lastModifiedBy>Samuel Channon-Wells</cp:lastModifiedBy>
  <cp:revision>41</cp:revision>
  <cp:lastPrinted>2023-10-10T19:50:00Z</cp:lastPrinted>
  <dcterms:created xsi:type="dcterms:W3CDTF">2023-10-10T20:57:00Z</dcterms:created>
  <dcterms:modified xsi:type="dcterms:W3CDTF">2023-10-10T21:21:00Z</dcterms:modified>
</cp:coreProperties>
</file>