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53AE2" w14:textId="77777777" w:rsidR="00C34963" w:rsidRPr="00C34963" w:rsidRDefault="00C34963" w:rsidP="00C34963">
      <w:pPr>
        <w:pStyle w:val="MDPI11articletype"/>
        <w:rPr>
          <w:shd w:val="clear" w:color="auto" w:fill="FEFEFE"/>
        </w:rPr>
      </w:pPr>
      <w:r w:rsidRPr="00C34963">
        <w:rPr>
          <w:shd w:val="clear" w:color="auto" w:fill="FEFEFE"/>
        </w:rPr>
        <w:t>Article</w:t>
      </w:r>
    </w:p>
    <w:p w14:paraId="22E2DFDF" w14:textId="735FF48A" w:rsidR="00C369B2" w:rsidRPr="00C34963" w:rsidRDefault="00C369B2" w:rsidP="00C34963">
      <w:pPr>
        <w:pStyle w:val="MDPI12title"/>
      </w:pPr>
      <w:r w:rsidRPr="00C34963">
        <w:t>A panel-agnostic strategy ‘HiPPo’ improves diagnostic efficiency in the UK Genomic Medicine Service</w:t>
      </w:r>
    </w:p>
    <w:tbl>
      <w:tblPr>
        <w:tblpPr w:leftFromText="198" w:rightFromText="198" w:vertAnchor="page" w:horzAnchor="margin" w:tblpY="9427"/>
        <w:tblW w:w="2410" w:type="dxa"/>
        <w:tblLayout w:type="fixed"/>
        <w:tblCellMar>
          <w:left w:w="0" w:type="dxa"/>
          <w:right w:w="0" w:type="dxa"/>
        </w:tblCellMar>
        <w:tblLook w:val="04A0" w:firstRow="1" w:lastRow="0" w:firstColumn="1" w:lastColumn="0" w:noHBand="0" w:noVBand="1"/>
      </w:tblPr>
      <w:tblGrid>
        <w:gridCol w:w="2410"/>
      </w:tblGrid>
      <w:tr w:rsidR="00116033" w:rsidRPr="003C3BD5" w14:paraId="20D835C9" w14:textId="77777777" w:rsidTr="00116033">
        <w:tc>
          <w:tcPr>
            <w:tcW w:w="2410" w:type="dxa"/>
            <w:shd w:val="clear" w:color="auto" w:fill="auto"/>
          </w:tcPr>
          <w:p w14:paraId="1C5B921E" w14:textId="77777777" w:rsidR="00116033" w:rsidRPr="00947B9B" w:rsidRDefault="00116033" w:rsidP="00116033">
            <w:pPr>
              <w:pStyle w:val="MDPI61Citation"/>
              <w:spacing w:after="120" w:line="240" w:lineRule="exact"/>
            </w:pPr>
            <w:r w:rsidRPr="00947B9B">
              <w:rPr>
                <w:b/>
              </w:rPr>
              <w:t>Citation:</w:t>
            </w:r>
            <w:r w:rsidRPr="003C3BD5">
              <w:t xml:space="preserve"> </w:t>
            </w:r>
            <w:r>
              <w:t xml:space="preserve">Lastname, F.; Lastname, F.; Lastname, F. Title. </w:t>
            </w:r>
            <w:r>
              <w:rPr>
                <w:i/>
              </w:rPr>
              <w:t xml:space="preserve">Healthcare </w:t>
            </w:r>
            <w:r>
              <w:rPr>
                <w:b/>
              </w:rPr>
              <w:t>2022</w:t>
            </w:r>
            <w:r>
              <w:t>,</w:t>
            </w:r>
            <w:r>
              <w:rPr>
                <w:i/>
              </w:rPr>
              <w:t xml:space="preserve"> 10</w:t>
            </w:r>
            <w:r>
              <w:t>, x. https://doi.org/10.3390/xxxxx</w:t>
            </w:r>
          </w:p>
          <w:p w14:paraId="00014EA9" w14:textId="77777777" w:rsidR="00116033" w:rsidRDefault="00116033" w:rsidP="00116033">
            <w:pPr>
              <w:pStyle w:val="MDPI15academiceditor"/>
              <w:spacing w:after="120"/>
            </w:pPr>
            <w:r>
              <w:t xml:space="preserve">Academic Editor: </w:t>
            </w:r>
            <w:proofErr w:type="spellStart"/>
            <w:r>
              <w:t>Firstname</w:t>
            </w:r>
            <w:proofErr w:type="spellEnd"/>
            <w:r>
              <w:t xml:space="preserve"> </w:t>
            </w:r>
            <w:proofErr w:type="spellStart"/>
            <w:r>
              <w:t>Lastname</w:t>
            </w:r>
            <w:proofErr w:type="spellEnd"/>
          </w:p>
          <w:p w14:paraId="4D3360FE" w14:textId="77777777" w:rsidR="00116033" w:rsidRPr="00E7040D" w:rsidRDefault="00116033" w:rsidP="00116033">
            <w:pPr>
              <w:pStyle w:val="MDPI14history"/>
              <w:spacing w:before="120"/>
            </w:pPr>
            <w:r w:rsidRPr="00E7040D">
              <w:t>Received: date</w:t>
            </w:r>
          </w:p>
          <w:p w14:paraId="471CC192" w14:textId="77777777" w:rsidR="00116033" w:rsidRPr="00E7040D" w:rsidRDefault="00116033" w:rsidP="00116033">
            <w:pPr>
              <w:pStyle w:val="MDPI14history"/>
            </w:pPr>
            <w:r w:rsidRPr="00E7040D">
              <w:t>Accepted: date</w:t>
            </w:r>
          </w:p>
          <w:p w14:paraId="353AE8D0" w14:textId="77777777" w:rsidR="00116033" w:rsidRPr="00E7040D" w:rsidRDefault="00116033" w:rsidP="00116033">
            <w:pPr>
              <w:pStyle w:val="MDPI14history"/>
              <w:spacing w:after="120"/>
            </w:pPr>
            <w:r w:rsidRPr="00E7040D">
              <w:t>Published: date</w:t>
            </w:r>
          </w:p>
          <w:p w14:paraId="3002472F" w14:textId="77777777" w:rsidR="00116033" w:rsidRPr="003C3BD5" w:rsidRDefault="00116033" w:rsidP="00116033">
            <w:pPr>
              <w:pStyle w:val="MDPI63Notes"/>
            </w:pPr>
            <w:r w:rsidRPr="003C3BD5">
              <w:rPr>
                <w:b/>
              </w:rPr>
              <w:t>Publisher’s Note:</w:t>
            </w:r>
            <w:r w:rsidRPr="003C3BD5">
              <w:t xml:space="preserve"> MDPI stays neutral </w:t>
            </w:r>
            <w:proofErr w:type="gramStart"/>
            <w:r w:rsidRPr="003C3BD5">
              <w:t>with regard to</w:t>
            </w:r>
            <w:proofErr w:type="gramEnd"/>
            <w:r w:rsidRPr="003C3BD5">
              <w:t xml:space="preserve"> jurisdictional claims in published maps and institutional affiliations.</w:t>
            </w:r>
          </w:p>
          <w:p w14:paraId="6271A4D2" w14:textId="77777777" w:rsidR="00116033" w:rsidRPr="003C3BD5" w:rsidRDefault="00116033" w:rsidP="00116033">
            <w:pPr>
              <w:adjustRightInd w:val="0"/>
              <w:snapToGrid w:val="0"/>
              <w:spacing w:before="120" w:line="240" w:lineRule="atLeast"/>
              <w:ind w:right="113"/>
              <w:jc w:val="left"/>
              <w:rPr>
                <w:rFonts w:eastAsia="DengXian"/>
                <w:bCs/>
                <w:sz w:val="14"/>
                <w:szCs w:val="14"/>
                <w:lang w:bidi="en-US"/>
              </w:rPr>
            </w:pPr>
            <w:r w:rsidRPr="003C3BD5">
              <w:rPr>
                <w:rFonts w:eastAsia="DengXian"/>
              </w:rPr>
              <w:drawing>
                <wp:inline distT="0" distB="0" distL="0" distR="0" wp14:anchorId="21941D2A" wp14:editId="4A2F9020">
                  <wp:extent cx="692785" cy="249555"/>
                  <wp:effectExtent l="0" t="0" r="0" b="0"/>
                  <wp:docPr id="3" name="Picture 4" descr="卡通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卡通画&#10;&#10;中度可信度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3CCD08D2" w14:textId="77777777" w:rsidR="00116033" w:rsidRPr="003C3BD5" w:rsidRDefault="00116033" w:rsidP="00116033">
            <w:pPr>
              <w:adjustRightInd w:val="0"/>
              <w:snapToGrid w:val="0"/>
              <w:spacing w:before="60" w:line="240" w:lineRule="atLeast"/>
              <w:ind w:right="113"/>
              <w:rPr>
                <w:rFonts w:eastAsia="DengXian"/>
                <w:bCs/>
                <w:sz w:val="14"/>
                <w:szCs w:val="14"/>
                <w:lang w:bidi="en-US"/>
              </w:rPr>
            </w:pPr>
            <w:r w:rsidRPr="003C3BD5">
              <w:rPr>
                <w:rFonts w:eastAsia="DengXian"/>
                <w:b/>
                <w:bCs/>
                <w:sz w:val="14"/>
                <w:szCs w:val="14"/>
                <w:lang w:bidi="en-US"/>
              </w:rPr>
              <w:t>Copyright:</w:t>
            </w:r>
            <w:r w:rsidRPr="003C3BD5">
              <w:rPr>
                <w:rFonts w:eastAsia="DengXian"/>
                <w:bCs/>
                <w:sz w:val="14"/>
                <w:szCs w:val="14"/>
                <w:lang w:bidi="en-US"/>
              </w:rPr>
              <w:t xml:space="preserve"> </w:t>
            </w:r>
            <w:r>
              <w:rPr>
                <w:rFonts w:eastAsia="DengXian"/>
                <w:bCs/>
                <w:sz w:val="14"/>
                <w:szCs w:val="14"/>
                <w:lang w:bidi="en-US"/>
              </w:rPr>
              <w:t>© 2021</w:t>
            </w:r>
            <w:r w:rsidRPr="003C3BD5">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3C3BD5">
              <w:rPr>
                <w:rFonts w:eastAsia="DengXian"/>
                <w:bCs/>
                <w:sz w:val="14"/>
                <w:szCs w:val="14"/>
                <w:lang w:bidi="en-US"/>
              </w:rPr>
              <w:t>Attribution (CC BY) license (</w:t>
            </w:r>
            <w:r>
              <w:rPr>
                <w:rFonts w:eastAsia="DengXian"/>
                <w:bCs/>
                <w:sz w:val="14"/>
                <w:szCs w:val="14"/>
                <w:lang w:bidi="en-US"/>
              </w:rPr>
              <w:t>https://</w:t>
            </w:r>
            <w:r w:rsidRPr="003C3BD5">
              <w:rPr>
                <w:rFonts w:eastAsia="DengXian"/>
                <w:bCs/>
                <w:sz w:val="14"/>
                <w:szCs w:val="14"/>
                <w:lang w:bidi="en-US"/>
              </w:rPr>
              <w:t>creativecommons.org/licenses/by/4.0/).</w:t>
            </w:r>
          </w:p>
        </w:tc>
      </w:tr>
    </w:tbl>
    <w:p w14:paraId="74B33F75" w14:textId="595A9407" w:rsidR="00C369B2" w:rsidRPr="00C34963" w:rsidRDefault="00C369B2" w:rsidP="00C34963">
      <w:pPr>
        <w:pStyle w:val="MDPI13authornames"/>
      </w:pPr>
      <w:r w:rsidRPr="00C34963">
        <w:t>Eleanor G. Seaby</w:t>
      </w:r>
      <w:r w:rsidR="00C34963" w:rsidRPr="00C34963">
        <w:t xml:space="preserve"> </w:t>
      </w:r>
      <w:r w:rsidRPr="00C34963">
        <w:rPr>
          <w:vertAlign w:val="superscript"/>
        </w:rPr>
        <w:t>1,2,3,4*</w:t>
      </w:r>
      <w:r w:rsidRPr="00C34963">
        <w:t>, N. Simon Thomas</w:t>
      </w:r>
      <w:r w:rsidR="00C34963" w:rsidRPr="00C34963">
        <w:t xml:space="preserve"> </w:t>
      </w:r>
      <w:r w:rsidRPr="00C34963">
        <w:rPr>
          <w:vertAlign w:val="superscript"/>
        </w:rPr>
        <w:t>5</w:t>
      </w:r>
      <w:r w:rsidRPr="00C34963">
        <w:t>, David Hunt</w:t>
      </w:r>
      <w:r w:rsidR="00C34963" w:rsidRPr="00C34963">
        <w:t xml:space="preserve"> </w:t>
      </w:r>
      <w:r w:rsidRPr="00C34963">
        <w:rPr>
          <w:vertAlign w:val="superscript"/>
        </w:rPr>
        <w:t>1</w:t>
      </w:r>
      <w:r w:rsidRPr="00C34963">
        <w:t xml:space="preserve">, Diana </w:t>
      </w:r>
      <w:proofErr w:type="spellStart"/>
      <w:r w:rsidRPr="00C34963">
        <w:t>Baralle</w:t>
      </w:r>
      <w:proofErr w:type="spellEnd"/>
      <w:r w:rsidR="00C34963" w:rsidRPr="00C34963">
        <w:t xml:space="preserve"> </w:t>
      </w:r>
      <w:r w:rsidRPr="00C34963">
        <w:rPr>
          <w:vertAlign w:val="superscript"/>
        </w:rPr>
        <w:t>1</w:t>
      </w:r>
      <w:r w:rsidRPr="00C34963">
        <w:t>, Heidi L. Rehm</w:t>
      </w:r>
      <w:r w:rsidR="00C34963" w:rsidRPr="00C34963">
        <w:t xml:space="preserve"> </w:t>
      </w:r>
      <w:r w:rsidRPr="00C34963">
        <w:rPr>
          <w:vertAlign w:val="superscript"/>
        </w:rPr>
        <w:t>2,6</w:t>
      </w:r>
      <w:r w:rsidRPr="00C34963">
        <w:t>, Anne O’Donnell-Luria</w:t>
      </w:r>
      <w:r w:rsidR="00C34963" w:rsidRPr="00C34963">
        <w:t xml:space="preserve"> </w:t>
      </w:r>
      <w:r w:rsidRPr="00C34963">
        <w:rPr>
          <w:vertAlign w:val="superscript"/>
        </w:rPr>
        <w:t>2,3,6¶</w:t>
      </w:r>
      <w:r w:rsidR="00C34963" w:rsidRPr="00C34963">
        <w:t xml:space="preserve"> and </w:t>
      </w:r>
      <w:r w:rsidRPr="00C34963">
        <w:t>Sarah Ennis</w:t>
      </w:r>
      <w:r w:rsidR="00C34963" w:rsidRPr="00C34963">
        <w:t xml:space="preserve"> </w:t>
      </w:r>
      <w:r w:rsidRPr="00C34963">
        <w:rPr>
          <w:vertAlign w:val="superscript"/>
        </w:rPr>
        <w:t>1¶</w:t>
      </w:r>
    </w:p>
    <w:p w14:paraId="1B96565B" w14:textId="77777777" w:rsidR="00C369B2" w:rsidRPr="00C34963" w:rsidRDefault="00C369B2" w:rsidP="00C34963">
      <w:pPr>
        <w:pStyle w:val="MDPI16affiliation"/>
        <w:numPr>
          <w:ilvl w:val="0"/>
          <w:numId w:val="7"/>
        </w:numPr>
        <w:ind w:left="2608" w:firstLine="0"/>
      </w:pPr>
      <w:r w:rsidRPr="00C34963">
        <w:t>Human Development and Health, Faculty of Medicine, University Hospital Southampton, Southampton, Hampshire, SO16 6YD, UK</w:t>
      </w:r>
    </w:p>
    <w:p w14:paraId="717B956E" w14:textId="77777777" w:rsidR="00C369B2" w:rsidRPr="00C34963" w:rsidRDefault="00C369B2" w:rsidP="00C34963">
      <w:pPr>
        <w:pStyle w:val="MDPI16affiliation"/>
        <w:numPr>
          <w:ilvl w:val="0"/>
          <w:numId w:val="7"/>
        </w:numPr>
        <w:ind w:left="2608" w:firstLine="0"/>
      </w:pPr>
      <w:r w:rsidRPr="00C34963">
        <w:t>Program in Medical and Population Genetics, Broad Institute of MIT and Harvard, Cambridge, MA 02142, USA</w:t>
      </w:r>
    </w:p>
    <w:p w14:paraId="2D209BE4" w14:textId="77777777" w:rsidR="00C369B2" w:rsidRPr="00C34963" w:rsidRDefault="00C369B2" w:rsidP="00C34963">
      <w:pPr>
        <w:pStyle w:val="MDPI16affiliation"/>
        <w:numPr>
          <w:ilvl w:val="0"/>
          <w:numId w:val="7"/>
        </w:numPr>
        <w:ind w:left="2608" w:firstLine="0"/>
      </w:pPr>
      <w:r w:rsidRPr="00C34963">
        <w:t>Division of Genetics and Genomics, Boston Children’s Hospital, Boston, MA 02115, USA</w:t>
      </w:r>
    </w:p>
    <w:p w14:paraId="57094847" w14:textId="77777777" w:rsidR="00C369B2" w:rsidRPr="00C34963" w:rsidRDefault="00C369B2" w:rsidP="00C34963">
      <w:pPr>
        <w:pStyle w:val="MDPI16affiliation"/>
        <w:numPr>
          <w:ilvl w:val="0"/>
          <w:numId w:val="7"/>
        </w:numPr>
        <w:ind w:left="2608" w:firstLine="0"/>
      </w:pPr>
      <w:proofErr w:type="spellStart"/>
      <w:r w:rsidRPr="00C34963">
        <w:t>Paediatric</w:t>
      </w:r>
      <w:proofErr w:type="spellEnd"/>
      <w:r w:rsidRPr="00C34963">
        <w:t xml:space="preserve"> Infectious Diseases, Imperial College London, London, W2 1NY, UK</w:t>
      </w:r>
    </w:p>
    <w:p w14:paraId="1A26AC74" w14:textId="77777777" w:rsidR="00C369B2" w:rsidRPr="00C34963" w:rsidRDefault="00C369B2" w:rsidP="00C34963">
      <w:pPr>
        <w:pStyle w:val="MDPI16affiliation"/>
        <w:numPr>
          <w:ilvl w:val="0"/>
          <w:numId w:val="7"/>
        </w:numPr>
        <w:ind w:left="2608" w:firstLine="0"/>
      </w:pPr>
      <w:r w:rsidRPr="00C34963">
        <w:t>Wessex Regional Genomics Laboratory, Salisbury NHS Foundation Trust, Salisbury, SP2 8BJ, UK</w:t>
      </w:r>
    </w:p>
    <w:p w14:paraId="574C50C1" w14:textId="77777777" w:rsidR="00C34963" w:rsidRPr="00C34963" w:rsidRDefault="00C369B2" w:rsidP="00C34963">
      <w:pPr>
        <w:pStyle w:val="MDPI16affiliation"/>
        <w:numPr>
          <w:ilvl w:val="0"/>
          <w:numId w:val="7"/>
        </w:numPr>
        <w:ind w:left="2608" w:firstLine="0"/>
      </w:pPr>
      <w:r w:rsidRPr="00C34963">
        <w:t>Center for Genomic Medicine, Massachusetts General Hospital, Boston, MA 02114, USA</w:t>
      </w:r>
    </w:p>
    <w:p w14:paraId="575AD71E" w14:textId="0AD638C3" w:rsidR="00C369B2" w:rsidRPr="00C34963" w:rsidRDefault="00C369B2" w:rsidP="00C34963">
      <w:pPr>
        <w:pStyle w:val="MDPI16affiliation"/>
        <w:ind w:left="2608" w:firstLine="0"/>
      </w:pPr>
      <w:r w:rsidRPr="00C34963">
        <w:rPr>
          <w:rFonts w:ascii="Calibri" w:hAnsi="Calibri" w:cs="Calibri"/>
          <w:color w:val="333333"/>
          <w:szCs w:val="16"/>
          <w:shd w:val="clear" w:color="auto" w:fill="FFFFFF"/>
        </w:rPr>
        <w:t xml:space="preserve">These authors contributed equally to this </w:t>
      </w:r>
      <w:proofErr w:type="gramStart"/>
      <w:r w:rsidRPr="00C34963">
        <w:rPr>
          <w:rFonts w:ascii="Calibri" w:hAnsi="Calibri" w:cs="Calibri"/>
          <w:color w:val="333333"/>
          <w:szCs w:val="16"/>
          <w:shd w:val="clear" w:color="auto" w:fill="FFFFFF"/>
        </w:rPr>
        <w:t>works</w:t>
      </w:r>
      <w:proofErr w:type="gramEnd"/>
    </w:p>
    <w:p w14:paraId="52FB8A37" w14:textId="68DC7D75" w:rsidR="00C369B2" w:rsidRPr="00C34963" w:rsidRDefault="00C34963" w:rsidP="00C34963">
      <w:pPr>
        <w:pStyle w:val="MDPI16affiliation"/>
        <w:rPr>
          <w:rStyle w:val="Hyperlink"/>
          <w:sz w:val="20"/>
          <w:szCs w:val="20"/>
        </w:rPr>
      </w:pPr>
      <w:r w:rsidRPr="00C34963">
        <w:rPr>
          <w:b/>
        </w:rPr>
        <w:t>*</w:t>
      </w:r>
      <w:r w:rsidRPr="00C34963">
        <w:tab/>
        <w:t>Correspondence: E.Seaby@soton.ac.uk</w:t>
      </w:r>
    </w:p>
    <w:p w14:paraId="12E42699" w14:textId="287AF262" w:rsidR="00C369B2" w:rsidRPr="00C34963" w:rsidRDefault="00C369B2" w:rsidP="00C34963">
      <w:pPr>
        <w:pStyle w:val="MDPI17abstract"/>
        <w:rPr>
          <w:rFonts w:asciiTheme="majorHAnsi" w:hAnsiTheme="majorHAnsi" w:cstheme="majorBidi"/>
          <w:sz w:val="28"/>
          <w:szCs w:val="26"/>
        </w:rPr>
      </w:pPr>
      <w:r w:rsidRPr="00C34963">
        <w:rPr>
          <w:b/>
        </w:rPr>
        <w:t>Abstract</w:t>
      </w:r>
      <w:r w:rsidR="00C34963" w:rsidRPr="00C34963">
        <w:rPr>
          <w:b/>
        </w:rPr>
        <w:t xml:space="preserve">: </w:t>
      </w:r>
      <w:r w:rsidRPr="00C34963">
        <w:t xml:space="preserve">Genome sequencing is available as a clinical test in the UK through the Genomic Medicine Service (GMS). The GMS analytical strategy predominantly filters genome data on pre-selected gene panels. Whilst this reduces variants requiring assessment by reporting laboratories, pathogenic variants outside applied panels may be missed, and variants in genes </w:t>
      </w:r>
      <w:r w:rsidR="004916F1">
        <w:t xml:space="preserve">without established disease-gene relationships </w:t>
      </w:r>
      <w:r w:rsidRPr="00C34963">
        <w:t>are largely ignored.</w:t>
      </w:r>
      <w:r w:rsidR="00C34963" w:rsidRPr="00C34963">
        <w:t xml:space="preserve"> </w:t>
      </w:r>
      <w:r w:rsidRPr="00C34963">
        <w:t xml:space="preserve">This study compares analysis of a research exome to a GMS clinical genome for the same patients. For the research exome, we applied a panel-agnostic approach filtering for variants with </w:t>
      </w:r>
      <w:r w:rsidRPr="00C34963">
        <w:rPr>
          <w:b/>
          <w:bCs/>
          <w:u w:val="single"/>
        </w:rPr>
        <w:t>Hi</w:t>
      </w:r>
      <w:r w:rsidRPr="00C34963">
        <w:t xml:space="preserve">gh </w:t>
      </w:r>
      <w:r w:rsidRPr="00C34963">
        <w:rPr>
          <w:b/>
          <w:bCs/>
          <w:u w:val="single"/>
        </w:rPr>
        <w:t>P</w:t>
      </w:r>
      <w:r w:rsidRPr="00C34963">
        <w:t xml:space="preserve">athogenic </w:t>
      </w:r>
      <w:r w:rsidRPr="00C34963">
        <w:rPr>
          <w:b/>
          <w:bCs/>
          <w:u w:val="single"/>
        </w:rPr>
        <w:t>Po</w:t>
      </w:r>
      <w:r w:rsidRPr="00C34963">
        <w:t xml:space="preserve">tential (HiPPo) using ClinVar, allele frequency, and </w:t>
      </w:r>
      <w:r w:rsidRPr="00C34963">
        <w:rPr>
          <w:i/>
          <w:iCs/>
        </w:rPr>
        <w:t>in silico</w:t>
      </w:r>
      <w:r w:rsidRPr="00C34963">
        <w:t xml:space="preserve"> prediction tools. We then restricted HiPPo variants to Gene Curation Coalition (GenCC) disease genes. These results were compared with the GMS genome panel-based approach.</w:t>
      </w:r>
      <w:r w:rsidR="00C34963" w:rsidRPr="00C34963">
        <w:t xml:space="preserve"> </w:t>
      </w:r>
      <w:r w:rsidRPr="00C34963">
        <w:t xml:space="preserve">24 participants from 8 families underwent parallel research exome and GMS genome sequencing. Exome HiPPo analysis identified a similar number of variants as the GMS panel-based approach. GMS genome analysis returned 2 pathogenic variants and 1 </w:t>
      </w:r>
      <w:r w:rsidRPr="00C34963">
        <w:rPr>
          <w:i/>
          <w:iCs/>
        </w:rPr>
        <w:t>de novo</w:t>
      </w:r>
      <w:r w:rsidRPr="00C34963">
        <w:t xml:space="preserve"> variant. Exome HiP</w:t>
      </w:r>
      <w:r w:rsidR="00E82CF9">
        <w:t>P</w:t>
      </w:r>
      <w:r w:rsidRPr="00C34963">
        <w:t xml:space="preserve">o analysis returned the same variants plus an additional pathogenic variant and 3 further </w:t>
      </w:r>
      <w:r w:rsidRPr="00C34963">
        <w:rPr>
          <w:i/>
          <w:iCs/>
        </w:rPr>
        <w:t>de novo</w:t>
      </w:r>
      <w:r w:rsidRPr="00C34963">
        <w:t xml:space="preserve"> variants in novel genes, where case series are underway. When HiPPo was restricted to GenCC disease genes, statistically fewer variants required assessment to identify more pathogenic variants than reported by the GMS, giving a diagnostic rate per variant assessed of 20% for HiPPo versus 3% for the GMS. With UK plans to sequence 5 million genomes, strategies are needed to optimise genome analysis beyond gene panels whilst minimising the burden of variants requiring clinical assessment.</w:t>
      </w:r>
    </w:p>
    <w:p w14:paraId="1184DBD2" w14:textId="2BCC8D0A" w:rsidR="00C34963" w:rsidRPr="00C34963" w:rsidRDefault="00C34963" w:rsidP="00C34963">
      <w:pPr>
        <w:pStyle w:val="MDPI18keywords"/>
        <w:rPr>
          <w:b/>
          <w:bCs/>
        </w:rPr>
      </w:pPr>
      <w:r w:rsidRPr="00C34963">
        <w:rPr>
          <w:b/>
          <w:bCs/>
        </w:rPr>
        <w:t xml:space="preserve">Keywords: </w:t>
      </w:r>
      <w:r w:rsidRPr="00C34963">
        <w:t>Rare disease; genetics; rare disease analysis; genomics; gene-agnostic</w:t>
      </w:r>
    </w:p>
    <w:p w14:paraId="55A98888" w14:textId="77777777" w:rsidR="00C369B2" w:rsidRPr="00C34963" w:rsidRDefault="00C369B2" w:rsidP="00C34963">
      <w:pPr>
        <w:pStyle w:val="MDPI19line"/>
        <w:pBdr>
          <w:bottom w:val="single" w:sz="4" w:space="1" w:color="000000"/>
        </w:pBdr>
      </w:pPr>
    </w:p>
    <w:p w14:paraId="63E7B826" w14:textId="4A3E53EF" w:rsidR="00C369B2" w:rsidRPr="00C34963" w:rsidRDefault="00C34963" w:rsidP="00C34963">
      <w:pPr>
        <w:pStyle w:val="MDPI21heading1"/>
      </w:pPr>
      <w:r w:rsidRPr="00C34963">
        <w:t xml:space="preserve">1. </w:t>
      </w:r>
      <w:r w:rsidR="00C369B2" w:rsidRPr="00C34963">
        <w:t>Introduction</w:t>
      </w:r>
    </w:p>
    <w:p w14:paraId="4B90757A" w14:textId="77777777" w:rsidR="00C369B2" w:rsidRPr="00C34963" w:rsidRDefault="00C369B2" w:rsidP="00C34963">
      <w:pPr>
        <w:pStyle w:val="MDPI31text"/>
      </w:pPr>
      <w:r w:rsidRPr="00C34963">
        <w:t>Genome sequencing is now available as a diagnostic test on the National Health Service (NHS) in the UK, offered through their Genomic Medicine Service (GMS). With the cost of genome sequencing becoming ever competitive, genome sequencing is beginning to supersede exome sequencing in some institutes, including in the NHS.</w:t>
      </w:r>
      <w:r w:rsidRPr="00C34963">
        <w:fldChar w:fldCharType="begin"/>
      </w:r>
      <w:r w:rsidRPr="00C34963">
        <w:instrText xml:space="preserve"> ADDIN EN.CITE &lt;EndNote&gt;&lt;Cite&gt;&lt;Author&gt;100&lt;/Author&gt;&lt;Year&gt;2021&lt;/Year&gt;&lt;RecNum&gt;1133&lt;/RecNum&gt;&lt;DisplayText&gt;(1)&lt;/DisplayText&gt;&lt;record&gt;&lt;rec-number&gt;1133&lt;/rec-number&gt;&lt;foreign-keys&gt;&lt;key app="EN" db-id="d0vstffei2ze5sew5fwxp0dq9zxs5pvvsxpv" timestamp="1637753022"&gt;1133&lt;/key&gt;&lt;/foreign-keys&gt;&lt;ref-type name="Journal Article"&gt;17&lt;/ref-type&gt;&lt;contributors&gt;&lt;authors&gt;&lt;author&gt;100,000 Genomes Project Pilot Investigators&lt;/author&gt;&lt;/authors&gt;&lt;/contributors&gt;&lt;titles&gt;&lt;title&gt;100,000 Genomes Pilot on Rare-Disease Diagnosis in Health Care—Preliminary Report&lt;/title&gt;&lt;secondary-title&gt;New England Journal of Medicine&lt;/secondary-title&gt;&lt;/titles&gt;&lt;periodical&gt;&lt;full-title&gt;New England Journal of Medicine&lt;/full-title&gt;&lt;/periodical&gt;&lt;pages&gt;1868-1880&lt;/pages&gt;&lt;volume&gt;385&lt;/volume&gt;&lt;number&gt;20&lt;/number&gt;&lt;dates&gt;&lt;year&gt;2021&lt;/year&gt;&lt;/dates&gt;&lt;isbn&gt;0028-4793&lt;/isbn&gt;&lt;urls&gt;&lt;/urls&gt;&lt;/record&gt;&lt;/Cite&gt;&lt;/EndNote&gt;</w:instrText>
      </w:r>
      <w:r w:rsidRPr="00C34963">
        <w:fldChar w:fldCharType="separate"/>
      </w:r>
      <w:r w:rsidRPr="00C34963">
        <w:rPr>
          <w:noProof/>
        </w:rPr>
        <w:t>(1)</w:t>
      </w:r>
      <w:r w:rsidRPr="00C34963">
        <w:fldChar w:fldCharType="end"/>
      </w:r>
      <w:r w:rsidRPr="00C34963">
        <w:t xml:space="preserve"> However, one of the challenges in diagnosing patients with rare disease is the expanded scope of analysis and need to correlate results with phenotype.</w:t>
      </w:r>
      <w:r w:rsidRPr="00C34963">
        <w:fldChar w:fldCharType="begin"/>
      </w:r>
      <w:r w:rsidRPr="00C34963">
        <w:instrText xml:space="preserve"> ADDIN EN.CITE &lt;EndNote&gt;&lt;Cite&gt;&lt;Author&gt;Seaby&lt;/Author&gt;&lt;Year&gt;2020&lt;/Year&gt;&lt;RecNum&gt;155&lt;/RecNum&gt;&lt;DisplayText&gt;(2)&lt;/DisplayText&gt;&lt;record&gt;&lt;rec-number&gt;155&lt;/rec-number&gt;&lt;foreign-keys&gt;&lt;key app="EN" db-id="d0vstffei2ze5sew5fwxp0dq9zxs5pvvsxpv" timestamp="1591331576"&gt;155&lt;/key&gt;&lt;/foreign-keys&gt;&lt;ref-type name="Journal Article"&gt;17&lt;/ref-type&gt;&lt;contributors&gt;&lt;authors&gt;&lt;author&gt;Seaby, Eleanor G&lt;/author&gt;&lt;author&gt;Ennis, Sarah&lt;/author&gt;&lt;/authors&gt;&lt;/contributors&gt;&lt;titles&gt;&lt;title&gt;Challenges in the diagnosis and discovery of rare genetic disorders using contemporary sequencing technologies&lt;/title&gt;&lt;secondary-title&gt;Briefings in Functional Genomics&lt;/secondary-title&gt;&lt;/titles&gt;&lt;periodical&gt;&lt;full-title&gt;Briefings in Functional Genomics&lt;/full-title&gt;&lt;/periodical&gt;&lt;dates&gt;&lt;year&gt;2020&lt;/year&gt;&lt;/dates&gt;&lt;isbn&gt;2041-2657&lt;/isbn&gt;&lt;urls&gt;&lt;related-urls&gt;&lt;url&gt;https://doi.org/10.1093/bfgp/elaa009&lt;/url&gt;&lt;/related-urls&gt;&lt;/urls&gt;&lt;custom1&gt;elaa009&lt;/custom1&gt;&lt;electronic-resource-num&gt;10.1093/bfgp/elaa009&lt;/electronic-resource-num&gt;&lt;access-date&gt;6/5/2020&lt;/access-date&gt;&lt;/record&gt;&lt;/Cite&gt;&lt;/EndNote&gt;</w:instrText>
      </w:r>
      <w:r w:rsidRPr="00C34963">
        <w:fldChar w:fldCharType="separate"/>
      </w:r>
      <w:r w:rsidRPr="00C34963">
        <w:rPr>
          <w:noProof/>
        </w:rPr>
        <w:t>(2)</w:t>
      </w:r>
      <w:r w:rsidRPr="00C34963">
        <w:fldChar w:fldCharType="end"/>
      </w:r>
      <w:r w:rsidRPr="00C34963">
        <w:t xml:space="preserve"> Genome sequencing produces 3-4 million variants per individual; therefore, strategies to reduce noise and focus on the most salient regions of DNA have been adopted, including use of virtual gene panels.</w:t>
      </w:r>
      <w:r w:rsidRPr="00C34963">
        <w:fldChar w:fldCharType="begin">
          <w:fldData xml:space="preserve">PEVuZE5vdGU+PENpdGU+PEF1dGhvcj5TZWFieTwvQXV0aG9yPjxSZWNOdW0+MTE4OTwvUmVjTnVt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</w:fldData>
        </w:fldChar>
      </w:r>
      <w:r w:rsidRPr="00C34963">
        <w:instrText xml:space="preserve"> ADDIN EN.CITE </w:instrText>
      </w:r>
      <w:r w:rsidRPr="00C34963">
        <w:fldChar w:fldCharType="begin">
          <w:fldData xml:space="preserve">PEVuZE5vdGU+PENpdGU+PEF1dGhvcj5TZWFieTwvQXV0aG9yPjxSZWNOdW0+MTE4OTwvUmVjTnVt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</w:fldData>
        </w:fldChar>
      </w:r>
      <w:r w:rsidRPr="00C34963">
        <w:instrText xml:space="preserve"> ADDIN EN.CITE.DATA </w:instrText>
      </w:r>
      <w:r w:rsidRPr="00C34963">
        <w:fldChar w:fldCharType="end"/>
      </w:r>
      <w:r w:rsidRPr="00C34963">
        <w:fldChar w:fldCharType="separate"/>
      </w:r>
      <w:r w:rsidRPr="00C34963">
        <w:rPr>
          <w:noProof/>
        </w:rPr>
        <w:t>(3, 4)</w:t>
      </w:r>
      <w:r w:rsidRPr="00C34963">
        <w:fldChar w:fldCharType="end"/>
      </w:r>
      <w:r w:rsidRPr="00C34963">
        <w:t xml:space="preserve"> For the NHS, this is their primary analytical strategy, meaning that despite sequencing and </w:t>
      </w:r>
      <w:r w:rsidRPr="00C34963">
        <w:lastRenderedPageBreak/>
        <w:t xml:space="preserve">storing an entire genome, only a fraction of the genome is actually analysed. Consequently, </w:t>
      </w:r>
      <w:proofErr w:type="gramStart"/>
      <w:r w:rsidRPr="00C34963">
        <w:t>this risks</w:t>
      </w:r>
      <w:proofErr w:type="gramEnd"/>
      <w:r w:rsidRPr="00C34963">
        <w:t xml:space="preserve"> missing pathogenic variants that would have been identified if more regions of the genome had been assessed.</w:t>
      </w:r>
    </w:p>
    <w:p w14:paraId="7FF7A3D5" w14:textId="77777777" w:rsidR="00C369B2" w:rsidRPr="00C34963" w:rsidRDefault="00C369B2" w:rsidP="00C34963">
      <w:pPr>
        <w:pStyle w:val="MDPI31text"/>
      </w:pPr>
      <w:r w:rsidRPr="00C34963">
        <w:t>All that said, there remains a trade-off between utilising the breadth of sequencing data available (such as for a genome) and the number of variants that require assessment by clinical laboratories. Filtering is necessary to reduce the number of variants identified to a manageable number that NHS laboratories can analyse, classify with respect to pathogenicity, and interpret with respect to causality of the patient’s symptoms in a reasonable and acceptable timeframe.</w:t>
      </w:r>
    </w:p>
    <w:p w14:paraId="5A550C67" w14:textId="77777777" w:rsidR="00C369B2" w:rsidRDefault="00C369B2" w:rsidP="00C34963">
      <w:pPr>
        <w:pStyle w:val="MDPI31text"/>
      </w:pPr>
      <w:r w:rsidRPr="00C34963">
        <w:t>The GMS, which primarily sequences trios, adopts a workflow similar to that used in the 100,000 Genomes Project, which predated the GMS.</w:t>
      </w:r>
      <w:r w:rsidRPr="00C34963">
        <w:fldChar w:fldCharType="begin"/>
      </w:r>
      <w:r w:rsidRPr="00C34963">
        <w:instrText xml:space="preserve"> ADDIN EN.CITE &lt;EndNote&gt;&lt;Cite&gt;&lt;Author&gt;100&lt;/Author&gt;&lt;Year&gt;2021&lt;/Year&gt;&lt;RecNum&gt;1133&lt;/RecNum&gt;&lt;DisplayText&gt;(1, 5)&lt;/DisplayText&gt;&lt;record&gt;&lt;rec-number&gt;1133&lt;/rec-number&gt;&lt;foreign-keys&gt;&lt;key app="EN" db-id="d0vstffei2ze5sew5fwxp0dq9zxs5pvvsxpv" timestamp="1637753022"&gt;1133&lt;/key&gt;&lt;/foreign-keys&gt;&lt;ref-type name="Journal Article"&gt;17&lt;/ref-type&gt;&lt;contributors&gt;&lt;authors&gt;&lt;author&gt;100,000 Genomes Project Pilot Investigators&lt;/author&gt;&lt;/authors&gt;&lt;/contributors&gt;&lt;titles&gt;&lt;title&gt;100,000 Genomes Pilot on Rare-Disease Diagnosis in Health Care—Preliminary Report&lt;/title&gt;&lt;secondary-title&gt;New England Journal of Medicine&lt;/secondary-title&gt;&lt;/titles&gt;&lt;periodical&gt;&lt;full-title&gt;New England Journal of Medicine&lt;/full-title&gt;&lt;/periodical&gt;&lt;pages&gt;1868-1880&lt;/pages&gt;&lt;volume&gt;385&lt;/volume&gt;&lt;number&gt;20&lt;/number&gt;&lt;dates&gt;&lt;year&gt;2021&lt;/year&gt;&lt;/dates&gt;&lt;isbn&gt;0028-4793&lt;/isbn&gt;&lt;urls&gt;&lt;/urls&gt;&lt;/record&gt;&lt;/Cite&gt;&lt;Cite&gt;&lt;Author&gt;Turnbull&lt;/Author&gt;&lt;Year&gt;2018&lt;/Year&gt;&lt;RecNum&gt;53&lt;/RecNum&gt;&lt;record&gt;&lt;rec-number&gt;53&lt;/rec-number&gt;&lt;foreign-keys&gt;&lt;key app="EN" db-id="d0vstffei2ze5sew5fwxp0dq9zxs5pvvsxpv" timestamp="1579936535"&gt;53&lt;/key&gt;&lt;/foreign-keys&gt;&lt;ref-type name="Journal Article"&gt;17&lt;/ref-type&gt;&lt;contributors&gt;&lt;authors&gt;&lt;author&gt;Turnbull, Clare&lt;/author&gt;&lt;author&gt;Scott, Richard H&lt;/author&gt;&lt;author&gt;Thomas, Ellen&lt;/author&gt;&lt;author&gt;Jones, Louise&lt;/author&gt;&lt;author&gt;Murugaesu, Nirupa&lt;/author&gt;&lt;author&gt;Pretty, Freya Boardman&lt;/author&gt;&lt;author&gt;Halai, Dina&lt;/author&gt;&lt;author&gt;Baple, Emma&lt;/author&gt;&lt;author&gt;Craig, Clare&lt;/author&gt;&lt;author&gt;Hamblin, Angela&lt;/author&gt;&lt;/authors&gt;&lt;/contributors&gt;&lt;titles&gt;&lt;title&gt;The 100 000 Genomes Project: bringing whole genome sequencing to the NHS&lt;/title&gt;&lt;secondary-title&gt;Bmj&lt;/secondary-title&gt;&lt;/titles&gt;&lt;periodical&gt;&lt;full-title&gt;Bmj&lt;/full-title&gt;&lt;/periodical&gt;&lt;pages&gt;k1687&lt;/pages&gt;&lt;volume&gt;361&lt;/volume&gt;&lt;dates&gt;&lt;year&gt;2018&lt;/year&gt;&lt;/dates&gt;&lt;isbn&gt;0959-8138&lt;/isbn&gt;&lt;urls&gt;&lt;/urls&gt;&lt;/record&gt;&lt;/Cite&gt;&lt;/EndNote&gt;</w:instrText>
      </w:r>
      <w:r w:rsidRPr="00C34963">
        <w:fldChar w:fldCharType="separate"/>
      </w:r>
      <w:r w:rsidRPr="00C34963">
        <w:rPr>
          <w:noProof/>
        </w:rPr>
        <w:t>(1, 5)</w:t>
      </w:r>
      <w:r w:rsidRPr="00C34963">
        <w:fldChar w:fldCharType="end"/>
      </w:r>
      <w:r w:rsidRPr="00C34963">
        <w:t xml:space="preserve"> First the data are filtered by inheritance pattern(s), data quality, and allele frequency. Following this, the remaining variants are filtered by a gene panel(s) selected by the clinician when the test is ordered, meaning that only coding regions are considered. Short variants and copy number variants (CNVs) overlapping the gene panel are returned for analysis (“Tiered variants”). The only variants mandated to be assessed outside of the gene panel(s) are ‘gene agnostic variants’ comprising </w:t>
      </w:r>
      <w:r w:rsidRPr="00C34963">
        <w:rPr>
          <w:i/>
          <w:iCs/>
        </w:rPr>
        <w:t>de novo</w:t>
      </w:r>
      <w:r w:rsidRPr="00C34963">
        <w:t xml:space="preserve"> coding variants and Exomiser</w:t>
      </w:r>
      <w:r w:rsidRPr="00C34963">
        <w:fldChar w:fldCharType="begin"/>
      </w:r>
      <w:r w:rsidRPr="00C34963">
        <w:instrText xml:space="preserve"> ADDIN EN.CITE &lt;EndNote&gt;&lt;Cite&gt;&lt;Author&gt;Smedley&lt;/Author&gt;&lt;Year&gt;2015&lt;/Year&gt;&lt;RecNum&gt;178&lt;/RecNum&gt;&lt;DisplayText&gt;(6)&lt;/DisplayText&gt;&lt;record&gt;&lt;rec-number&gt;178&lt;/rec-number&gt;&lt;foreign-keys&gt;&lt;key app="EN" db-id="d0vstffei2ze5sew5fwxp0dq9zxs5pvvsxpv" timestamp="1598243424"&gt;178&lt;/key&gt;&lt;/foreign-keys&gt;&lt;ref-type name="Journal Article"&gt;17&lt;/ref-type&gt;&lt;contributors&gt;&lt;authors&gt;&lt;author&gt;Smedley, Damian&lt;/author&gt;&lt;author&gt;Jacobsen, Julius OB&lt;/author&gt;&lt;author&gt;Jäger, Marten&lt;/author&gt;&lt;author&gt;Köhler, Sebastian&lt;/author&gt;&lt;author&gt;Holtgrewe, Manuel&lt;/author&gt;&lt;author&gt;Schubach, Max&lt;/author&gt;&lt;author&gt;Siragusa, Enrico&lt;/author&gt;&lt;author&gt;Zemojtel, Tomasz&lt;/author&gt;&lt;author&gt;Buske, Orion J&lt;/author&gt;&lt;author&gt;Washington, Nicole L&lt;/author&gt;&lt;/authors&gt;&lt;/contributors&gt;&lt;titles&gt;&lt;title&gt;Next-generation diagnostics and disease-gene discovery with the Exomiser&lt;/title&gt;&lt;secondary-title&gt;Nature protocols&lt;/secondary-title&gt;&lt;/titles&gt;&lt;periodical&gt;&lt;full-title&gt;Nature protocols&lt;/full-title&gt;&lt;/periodical&gt;&lt;pages&gt;2004-2015&lt;/pages&gt;&lt;volume&gt;10&lt;/volume&gt;&lt;number&gt;12&lt;/number&gt;&lt;dates&gt;&lt;year&gt;2015&lt;/year&gt;&lt;/dates&gt;&lt;isbn&gt;1750-2799&lt;/isbn&gt;&lt;urls&gt;&lt;/urls&gt;&lt;/record&gt;&lt;/Cite&gt;&lt;/EndNote&gt;</w:instrText>
      </w:r>
      <w:r w:rsidRPr="00C34963">
        <w:fldChar w:fldCharType="separate"/>
      </w:r>
      <w:r w:rsidRPr="00C34963">
        <w:rPr>
          <w:noProof/>
        </w:rPr>
        <w:t>(6)</w:t>
      </w:r>
      <w:r w:rsidRPr="00C34963">
        <w:fldChar w:fldCharType="end"/>
      </w:r>
      <w:r w:rsidRPr="00C34963">
        <w:t xml:space="preserve"> top 3 ranked variants which are not filtered on quality (</w:t>
      </w:r>
      <w:r w:rsidRPr="00C34963">
        <w:rPr>
          <w:b/>
          <w:bCs/>
        </w:rPr>
        <w:t>Figure 1</w:t>
      </w:r>
      <w:r w:rsidRPr="00C34963">
        <w:t xml:space="preserve">). </w:t>
      </w:r>
    </w:p>
    <w:p w14:paraId="1C0001BD" w14:textId="77777777" w:rsidR="00C34963" w:rsidRPr="00C34963" w:rsidRDefault="00C34963" w:rsidP="00C34963">
      <w:pPr>
        <w:pStyle w:val="MDPI31text"/>
        <w:rPr>
          <w:rFonts w:eastAsia="SimSun"/>
        </w:rPr>
      </w:pPr>
      <w:r w:rsidRPr="00C34963">
        <w:t>In contrast to genome sequencing, exome sequencing targets only coding regions of DNA. However, most variants filtered in the GMS strategy (Tier 1, Tier 2, and gene agnostic variants) would be captured by an exome. Given the method limitations of exome sequencing, genomes offer better coverage (even for coding regions) than exomes do and are far superior for identifying CNVs and other structural variants.</w:t>
      </w:r>
      <w:r w:rsidRPr="00C34963">
        <w:fldChar w:fldCharType="begin"/>
      </w:r>
      <w:r w:rsidRPr="00C34963">
        <w:instrText xml:space="preserve"> ADDIN EN.CITE &lt;EndNote&gt;&lt;Cite&gt;&lt;Author&gt;Lelieveld&lt;/Author&gt;&lt;Year&gt;2015&lt;/Year&gt;&lt;RecNum&gt;1202&lt;/RecNum&gt;&lt;DisplayText&gt;(7)&lt;/DisplayText&gt;&lt;record&gt;&lt;rec-number&gt;1202&lt;/rec-number&gt;&lt;foreign-keys&gt;&lt;key app="EN" db-id="d0vstffei2ze5sew5fwxp0dq9zxs5pvvsxpv" timestamp="1673660292"&gt;1202&lt;/key&gt;&lt;/foreign-keys&gt;&lt;ref-type name="Journal Article"&gt;17&lt;/ref-type&gt;&lt;contributors&gt;&lt;authors&gt;&lt;author&gt;Lelieveld, Stefan H&lt;/author&gt;&lt;author&gt;Spielmann, Malte&lt;/author&gt;&lt;author&gt;Mundlos, Stefan&lt;/author&gt;&lt;author&gt;Veltman, Joris A&lt;/author&gt;&lt;author&gt;Gilissen, Christian&lt;/author&gt;&lt;/authors&gt;&lt;/contributors&gt;&lt;titles&gt;&lt;title&gt;Comparison of exome and genome sequencing technologies for the complete capture of protein‐coding regions&lt;/title&gt;&lt;secondary-title&gt;Human mutation&lt;/secondary-title&gt;&lt;/titles&gt;&lt;periodical&gt;&lt;full-title&gt;Human mutation&lt;/full-title&gt;&lt;/periodical&gt;&lt;pages&gt;815-822&lt;/pages&gt;&lt;volume&gt;36&lt;/volume&gt;&lt;number&gt;8&lt;/number&gt;&lt;dates&gt;&lt;year&gt;2015&lt;/year&gt;&lt;/dates&gt;&lt;isbn&gt;1059-7794&lt;/isbn&gt;&lt;urls&gt;&lt;/urls&gt;&lt;/record&gt;&lt;/Cite&gt;&lt;/EndNote&gt;</w:instrText>
      </w:r>
      <w:r w:rsidRPr="00C34963">
        <w:fldChar w:fldCharType="separate"/>
      </w:r>
      <w:r w:rsidRPr="00C34963">
        <w:rPr>
          <w:noProof/>
        </w:rPr>
        <w:t>(7)</w:t>
      </w:r>
      <w:r w:rsidRPr="00C34963">
        <w:fldChar w:fldCharType="end"/>
      </w:r>
      <w:r w:rsidRPr="00C34963">
        <w:t xml:space="preserve"> All that said, genome data are costly to store and process computationally and this should be considered alongside the benefits to having access to non-coding data, particularly if those data are mostly ignored.</w:t>
      </w:r>
    </w:p>
    <w:p w14:paraId="5EA87A1F" w14:textId="77777777" w:rsidR="00C34963" w:rsidRPr="00C34963" w:rsidRDefault="00C34963" w:rsidP="00C34963">
      <w:pPr>
        <w:pStyle w:val="MDPI31text"/>
      </w:pPr>
      <w:r w:rsidRPr="00C34963">
        <w:t>Panel based approaches that restrict analyses to clinically relevant genes clearly have merit, yet 26% of diagnoses made through the 100,000 Genomes Project were not on the original gene panel applied.</w:t>
      </w:r>
      <w:r w:rsidRPr="00C34963">
        <w:fldChar w:fldCharType="begin"/>
      </w:r>
      <w:r w:rsidRPr="00C34963">
        <w:instrText xml:space="preserve"> ADDIN EN.CITE &lt;EndNote&gt;&lt;Cite&gt;&lt;Author&gt;Rehm&lt;/Author&gt;&lt;Year&gt;2022&lt;/Year&gt;&lt;RecNum&gt;1181&lt;/RecNum&gt;&lt;DisplayText&gt;(8)&lt;/DisplayText&gt;&lt;record&gt;&lt;rec-number&gt;1181&lt;/rec-number&gt;&lt;foreign-keys&gt;&lt;key app="EN" db-id="d0vstffei2ze5sew5fwxp0dq9zxs5pvvsxpv" timestamp="1647980638"&gt;1181&lt;/key&gt;&lt;/foreign-keys&gt;&lt;ref-type name="Journal Article"&gt;17&lt;/ref-type&gt;&lt;contributors&gt;&lt;authors&gt;&lt;author&gt;Rehm, Heidi L.&lt;/author&gt;&lt;/authors&gt;&lt;/contributors&gt;&lt;titles&gt;&lt;title&gt;Time to make rare disease diagnosis accessible to all&lt;/title&gt;&lt;secondary-title&gt;Nature Medicine&lt;/secondary-title&gt;&lt;/titles&gt;&lt;periodical&gt;&lt;full-title&gt;Nature Medicine&lt;/full-title&gt;&lt;/periodical&gt;&lt;pages&gt;241-242&lt;/pages&gt;&lt;volume&gt;28&lt;/volume&gt;&lt;number&gt;2&lt;/number&gt;&lt;dates&gt;&lt;year&gt;2022&lt;/year&gt;&lt;pub-dates&gt;&lt;date&gt;2022/02/01&lt;/date&gt;&lt;/pub-dates&gt;&lt;/dates&gt;&lt;isbn&gt;1546-170X&lt;/isbn&gt;&lt;urls&gt;&lt;related-urls&gt;&lt;url&gt;https://doi.org/10.1038/s41591-021-01657-3&lt;/url&gt;&lt;/related-urls&gt;&lt;/urls&gt;&lt;electronic-resource-num&gt;10.1038/s41591-021-01657-3&lt;/electronic-resource-num&gt;&lt;/record&gt;&lt;/Cite&gt;&lt;/EndNote&gt;</w:instrText>
      </w:r>
      <w:r w:rsidRPr="00C34963">
        <w:fldChar w:fldCharType="separate"/>
      </w:r>
      <w:r w:rsidRPr="00C34963">
        <w:rPr>
          <w:noProof/>
        </w:rPr>
        <w:t>(8)</w:t>
      </w:r>
      <w:r w:rsidRPr="00C34963">
        <w:fldChar w:fldCharType="end"/>
      </w:r>
      <w:r w:rsidRPr="00C34963">
        <w:t xml:space="preserve"> Therefore, complementary approaches that look beyond gene panels are warranted. However, this must be balanced with the potential of increasing the number of variants that require assessment by reporting laboratories. Currently the GMS assess every variant that is in a ‘green’ gene in the PanelApp</w:t>
      </w:r>
      <w:r w:rsidRPr="00C34963">
        <w:fldChar w:fldCharType="begin"/>
      </w:r>
      <w:r w:rsidRPr="00C34963">
        <w:instrText xml:space="preserve"> ADDIN EN.CITE &lt;EndNote&gt;&lt;Cite&gt;&lt;Author&gt;Martin&lt;/Author&gt;&lt;Year&gt;2019&lt;/Year&gt;&lt;RecNum&gt;1070&lt;/RecNum&gt;&lt;DisplayText&gt;(4)&lt;/DisplayText&gt;&lt;record&gt;&lt;rec-number&gt;1070&lt;/rec-number&gt;&lt;foreign-keys&gt;&lt;key app="EN" db-id="d0vstffei2ze5sew5fwxp0dq9zxs5pvvsxpv" timestamp="1618530630"&gt;1070&lt;/key&gt;&lt;/foreign-keys&gt;&lt;ref-type name="Journal Article"&gt;17&lt;/ref-type&gt;&lt;contributors&gt;&lt;authors&gt;&lt;author&gt;Martin, Antonio Rueda&lt;/author&gt;&lt;author&gt;Williams, Eleanor&lt;/author&gt;&lt;author&gt;Foulger, Rebecca E&lt;/author&gt;&lt;author&gt;Leigh, Sarah&lt;/author&gt;&lt;author&gt;Daugherty, Louise C&lt;/author&gt;&lt;author&gt;Niblock, Olivia&lt;/author&gt;&lt;author&gt;Leong, Ivone US&lt;/author&gt;&lt;author&gt;Smith, Katherine R&lt;/author&gt;&lt;author&gt;Gerasimenko, Oleg&lt;/author&gt;&lt;author&gt;Haraldsdottir, Eik&lt;/author&gt;&lt;/authors&gt;&lt;/contributors&gt;&lt;titles&gt;&lt;title&gt;PanelApp crowdsources expert knowledge to establish consensus diagnostic gene panels&lt;/title&gt;&lt;secondary-title&gt;Nature genetics&lt;/secondary-title&gt;&lt;/titles&gt;&lt;periodical&gt;&lt;full-title&gt;Nature genetics&lt;/full-title&gt;&lt;/periodical&gt;&lt;pages&gt;1560-1565&lt;/pages&gt;&lt;volume&gt;51&lt;/volume&gt;&lt;number&gt;11&lt;/number&gt;&lt;dates&gt;&lt;year&gt;2019&lt;/year&gt;&lt;/dates&gt;&lt;isbn&gt;1546-1718&lt;/isbn&gt;&lt;urls&gt;&lt;/urls&gt;&lt;/record&gt;&lt;/Cite&gt;&lt;/EndNote&gt;</w:instrText>
      </w:r>
      <w:r w:rsidRPr="00C34963">
        <w:fldChar w:fldCharType="separate"/>
      </w:r>
      <w:r w:rsidRPr="00C34963">
        <w:rPr>
          <w:noProof/>
        </w:rPr>
        <w:t>(4)</w:t>
      </w:r>
      <w:r w:rsidRPr="00C34963">
        <w:fldChar w:fldCharType="end"/>
      </w:r>
      <w:r w:rsidRPr="00C34963">
        <w:t xml:space="preserve"> gene panel applied, regardless of </w:t>
      </w:r>
      <w:r w:rsidRPr="00C34963">
        <w:rPr>
          <w:i/>
          <w:iCs/>
        </w:rPr>
        <w:t>in silico</w:t>
      </w:r>
      <w:r w:rsidRPr="00C34963">
        <w:t xml:space="preserve"> predictions. Metrics such as CADD</w:t>
      </w:r>
      <w:r w:rsidRPr="00C34963">
        <w:fldChar w:fldCharType="begin"/>
      </w:r>
      <w:r w:rsidRPr="00C34963">
        <w:instrText xml:space="preserve"> ADDIN EN.CITE &lt;EndNote&gt;&lt;Cite&gt;&lt;Author&gt;Kircher&lt;/Author&gt;&lt;Year&gt;2014&lt;/Year&gt;&lt;RecNum&gt;932&lt;/RecNum&gt;&lt;DisplayText&gt;(9)&lt;/DisplayText&gt;&lt;record&gt;&lt;rec-number&gt;932&lt;/rec-number&gt;&lt;foreign-keys&gt;&lt;key app="EN" db-id="d0vstffei2ze5sew5fwxp0dq9zxs5pvvsxpv" timestamp="1612799907"&gt;932&lt;/key&gt;&lt;/foreign-keys&gt;&lt;ref-type name="Journal Article"&gt;17&lt;/ref-type&gt;&lt;contributors&gt;&lt;authors&gt;&lt;author&gt;Kircher, Martin&lt;/author&gt;&lt;author&gt;Witten, Daniela M&lt;/author&gt;&lt;author&gt;Jain, Preti&lt;/author&gt;&lt;author&gt;O&amp;apos;Roak, Brian J&lt;/author&gt;&lt;author&gt;Cooper, Gregory M&lt;/author&gt;&lt;author&gt;Shendure, Jay&lt;/author&gt;&lt;/authors&gt;&lt;/contributors&gt;&lt;titles&gt;&lt;title&gt;A general framework for estimating the relative pathogenicity of human genetic variants&lt;/title&gt;&lt;secondary-title&gt;Nat Genet&lt;/secondary-title&gt;&lt;/titles&gt;&lt;periodical&gt;&lt;full-title&gt;Nat Genet&lt;/full-title&gt;&lt;/periodical&gt;&lt;pages&gt;310-5&lt;/pages&gt;&lt;volume&gt;46&lt;/volume&gt;&lt;number&gt;3&lt;/number&gt;&lt;keywords&gt;&lt;keyword&gt;Genetic Variation&lt;/keyword&gt;&lt;keyword&gt;Genome, Human&lt;/keyword&gt;&lt;keyword&gt;Genome-Wide Association Study&lt;/keyword&gt;&lt;keyword&gt;Humans&lt;/keyword&gt;&lt;keyword&gt;INDEL Mutation&lt;/keyword&gt;&lt;keyword&gt;Models, Genetic&lt;/keyword&gt;&lt;keyword&gt;Molecular Sequence Annotation&lt;/keyword&gt;&lt;keyword&gt;Polymorphism, Single Nucleotide&lt;/keyword&gt;&lt;keyword&gt;Selection, Genetic&lt;/keyword&gt;&lt;keyword&gt;Support Vector Machine&lt;/keyword&gt;&lt;/keywords&gt;&lt;dates&gt;&lt;year&gt;2014&lt;/year&gt;&lt;pub-dates&gt;&lt;date&gt;2014 Mar&lt;/date&gt;&lt;/pub-dates&gt;&lt;/dates&gt;&lt;urls&gt;&lt;/urls&gt;&lt;custom1&gt;https://www.ncbi.nlm.nih.gov/pubmed/24487276?dopt=Abstract&lt;/custom1&gt;&lt;electronic-resource-num&gt;10.1038/ng.2892&lt;/electronic-resource-num&gt;&lt;language&gt;eng&lt;/language&gt;&lt;/record&gt;&lt;/Cite&gt;&lt;/EndNote&gt;</w:instrText>
      </w:r>
      <w:r w:rsidRPr="00C34963">
        <w:fldChar w:fldCharType="separate"/>
      </w:r>
      <w:r w:rsidRPr="00C34963">
        <w:rPr>
          <w:noProof/>
        </w:rPr>
        <w:t>(9)</w:t>
      </w:r>
      <w:r w:rsidRPr="00C34963">
        <w:fldChar w:fldCharType="end"/>
      </w:r>
      <w:r w:rsidRPr="00C34963">
        <w:t>, REVEL</w:t>
      </w:r>
      <w:r w:rsidRPr="00C34963">
        <w:fldChar w:fldCharType="begin"/>
      </w:r>
      <w:r w:rsidRPr="00C34963">
        <w:instrText xml:space="preserve"> ADDIN EN.CITE &lt;EndNote&gt;&lt;Cite&gt;&lt;Author&gt;Ioannidis&lt;/Author&gt;&lt;Year&gt;2016&lt;/Year&gt;&lt;RecNum&gt;117&lt;/RecNum&gt;&lt;DisplayText&gt;(10)&lt;/DisplayText&gt;&lt;record&gt;&lt;rec-number&gt;117&lt;/rec-number&gt;&lt;foreign-keys&gt;&lt;key app="EN" db-id="d0vstffei2ze5sew5fwxp0dq9zxs5pvvsxpv" timestamp="1583785464"&gt;117&lt;/key&gt;&lt;/foreign-keys&gt;&lt;ref-type name="Journal Article"&gt;17&lt;/ref-type&gt;&lt;contributors&gt;&lt;authors&gt;&lt;author&gt;Ioannidis, Nilah M&lt;/author&gt;&lt;author&gt;Rothstein, Joseph H&lt;/author&gt;&lt;author&gt;Pejaver, Vikas&lt;/author&gt;&lt;author&gt;Middha, Sumit&lt;/author&gt;&lt;author&gt;McDonnell, Shannon K&lt;/author&gt;&lt;author&gt;Baheti, Saurabh&lt;/author&gt;&lt;author&gt;Musolf, Anthony&lt;/author&gt;&lt;author&gt;Li, Qing&lt;/author&gt;&lt;author&gt;Holzinger, Emily&lt;/author&gt;&lt;author&gt;Karyadi, Danielle&lt;/author&gt;&lt;/authors&gt;&lt;/contributors&gt;&lt;titles&gt;&lt;title&gt;REVEL: an ensemble method for predicting the pathogenicity of rare missense variants&lt;/title&gt;&lt;secondary-title&gt;The American Journal of Human Genetics&lt;/secondary-title&gt;&lt;/titles&gt;&lt;periodical&gt;&lt;full-title&gt;The American Journal of Human Genetics&lt;/full-title&gt;&lt;/periodical&gt;&lt;pages&gt;877-885&lt;/pages&gt;&lt;volume&gt;99&lt;/volume&gt;&lt;number&gt;4&lt;/number&gt;&lt;dates&gt;&lt;year&gt;2016&lt;/year&gt;&lt;/dates&gt;&lt;isbn&gt;0002-9297&lt;/isbn&gt;&lt;urls&gt;&lt;/urls&gt;&lt;/record&gt;&lt;/Cite&gt;&lt;/EndNote&gt;</w:instrText>
      </w:r>
      <w:r w:rsidRPr="00C34963">
        <w:fldChar w:fldCharType="separate"/>
      </w:r>
      <w:r w:rsidRPr="00C34963">
        <w:rPr>
          <w:noProof/>
        </w:rPr>
        <w:t>(10)</w:t>
      </w:r>
      <w:r w:rsidRPr="00C34963">
        <w:fldChar w:fldCharType="end"/>
      </w:r>
      <w:r w:rsidRPr="00C34963">
        <w:t>, and SpliceAI</w:t>
      </w:r>
      <w:r w:rsidRPr="00C34963">
        <w:fldChar w:fldCharType="begin"/>
      </w:r>
      <w:r w:rsidRPr="00C34963">
        <w:instrText xml:space="preserve"> ADDIN EN.CITE &lt;EndNote&gt;&lt;Cite&gt;&lt;Author&gt;Jaganathan&lt;/Author&gt;&lt;Year&gt;2019&lt;/Year&gt;&lt;RecNum&gt;52&lt;/RecNum&gt;&lt;DisplayText&gt;(11)&lt;/DisplayText&gt;&lt;record&gt;&lt;rec-number&gt;52&lt;/rec-number&gt;&lt;foreign-keys&gt;&lt;key app="EN" db-id="d0vstffei2ze5sew5fwxp0dq9zxs5pvvsxpv" timestamp="1579918359"&gt;52&lt;/key&gt;&lt;/foreign-keys&gt;&lt;ref-type name="Journal Article"&gt;17&lt;/ref-type&gt;&lt;contributors&gt;&lt;authors&gt;&lt;author&gt;Jaganathan, Kishore&lt;/author&gt;&lt;author&gt;Panagiotopoulou, Sofia Kyriazopoulou&lt;/author&gt;&lt;author&gt;McRae, Jeremy F&lt;/author&gt;&lt;author&gt;Darbandi, Siavash Fazel&lt;/author&gt;&lt;author&gt;Knowles, David&lt;/author&gt;&lt;author&gt;Li, Yang I&lt;/author&gt;&lt;author&gt;Kosmicki, Jack A&lt;/author&gt;&lt;author&gt;Arbelaez, Juan&lt;/author&gt;&lt;author&gt;Cui, Wenwu&lt;/author&gt;&lt;author&gt;Schwartz, Grace B&lt;/author&gt;&lt;/authors&gt;&lt;/contributors&gt;&lt;titles&gt;&lt;title&gt;Predicting splicing from primary sequence with deep learning&lt;/title&gt;&lt;secondary-title&gt;Cell&lt;/secondary-title&gt;&lt;/titles&gt;&lt;periodical&gt;&lt;full-title&gt;Cell&lt;/full-title&gt;&lt;/periodical&gt;&lt;pages&gt;535-548. e24&lt;/pages&gt;&lt;volume&gt;176&lt;/volume&gt;&lt;number&gt;3&lt;/number&gt;&lt;dates&gt;&lt;year&gt;2019&lt;/year&gt;&lt;/dates&gt;&lt;isbn&gt;0092-8674&lt;/isbn&gt;&lt;urls&gt;&lt;/urls&gt;&lt;/record&gt;&lt;/Cite&gt;&lt;/EndNote&gt;</w:instrText>
      </w:r>
      <w:r w:rsidRPr="00C34963">
        <w:fldChar w:fldCharType="separate"/>
      </w:r>
      <w:r w:rsidRPr="00C34963">
        <w:rPr>
          <w:noProof/>
        </w:rPr>
        <w:t>(11)</w:t>
      </w:r>
      <w:r w:rsidRPr="00C34963">
        <w:fldChar w:fldCharType="end"/>
      </w:r>
      <w:r w:rsidRPr="00C34963">
        <w:t xml:space="preserve"> can help reduce noise, facilitating the assessment of variants across a wider spectrum of genes without too additional burden. We sought to exploit this principle by adopting a panel agnostic approach that filters variants of </w:t>
      </w:r>
      <w:r w:rsidRPr="00C34963">
        <w:rPr>
          <w:b/>
          <w:bCs/>
          <w:u w:val="single"/>
        </w:rPr>
        <w:t>Hi</w:t>
      </w:r>
      <w:r w:rsidRPr="00C34963">
        <w:t xml:space="preserve">gh </w:t>
      </w:r>
      <w:r w:rsidRPr="00C34963">
        <w:rPr>
          <w:b/>
          <w:bCs/>
          <w:u w:val="single"/>
        </w:rPr>
        <w:t>P</w:t>
      </w:r>
      <w:r w:rsidRPr="00C34963">
        <w:t xml:space="preserve">athogenic </w:t>
      </w:r>
      <w:r w:rsidRPr="00C34963">
        <w:rPr>
          <w:b/>
          <w:bCs/>
          <w:u w:val="single"/>
        </w:rPr>
        <w:t>Po</w:t>
      </w:r>
      <w:r w:rsidRPr="00C34963">
        <w:t xml:space="preserve">tential (HiPPo) across the exome by </w:t>
      </w:r>
      <w:proofErr w:type="spellStart"/>
      <w:r w:rsidRPr="00C34963">
        <w:t>utilising</w:t>
      </w:r>
      <w:proofErr w:type="spellEnd"/>
      <w:r w:rsidRPr="00C34963">
        <w:t xml:space="preserve"> </w:t>
      </w:r>
      <w:r w:rsidRPr="00C34963">
        <w:rPr>
          <w:i/>
          <w:iCs/>
        </w:rPr>
        <w:t xml:space="preserve">in silico </w:t>
      </w:r>
      <w:r w:rsidRPr="00C34963">
        <w:t>prediction scores, allele frequency, and ClinVar</w:t>
      </w:r>
      <w:r w:rsidRPr="00C34963">
        <w:fldChar w:fldCharType="begin"/>
      </w:r>
      <w:r w:rsidRPr="00C34963">
        <w:instrText xml:space="preserve"> ADDIN EN.CITE &lt;EndNote&gt;&lt;Cite&gt;&lt;Author&gt;Landrum&lt;/Author&gt;&lt;Year&gt;2014&lt;/Year&gt;&lt;RecNum&gt;66&lt;/RecNum&gt;&lt;DisplayText&gt;(12)&lt;/DisplayText&gt;&lt;record&gt;&lt;rec-number&gt;66&lt;/rec-number&gt;&lt;foreign-keys&gt;&lt;key app="EN" db-id="d0vstffei2ze5sew5fwxp0dq9zxs5pvvsxpv" timestamp="1580021225"&gt;66&lt;/key&gt;&lt;/foreign-keys&gt;&lt;ref-type name="Journal Article"&gt;17&lt;/ref-type&gt;&lt;contributors&gt;&lt;authors&gt;&lt;author&gt;Landrum, Melissa J&lt;/author&gt;&lt;author&gt;Lee, Jennifer M&lt;/author&gt;&lt;author&gt;Riley, George R&lt;/author&gt;&lt;author&gt;Jang, Wonhee&lt;/author&gt;&lt;author&gt;Rubinstein, Wendy S&lt;/author&gt;&lt;author&gt;Church, Deanna M&lt;/author&gt;&lt;author&gt;Maglott, Donna R&lt;/author&gt;&lt;/authors&gt;&lt;/contributors&gt;&lt;titles&gt;&lt;title&gt;ClinVar: public archive of relationships among sequence variation and human phenotype&lt;/title&gt;&lt;secondary-title&gt;Nucleic acids research&lt;/secondary-title&gt;&lt;/titles&gt;&lt;periodical&gt;&lt;full-title&gt;Nucleic acids research&lt;/full-title&gt;&lt;/periodical&gt;&lt;pages&gt;D980-D985&lt;/pages&gt;&lt;volume&gt;42&lt;/volume&gt;&lt;number&gt;D1&lt;/number&gt;&lt;dates&gt;&lt;year&gt;2014&lt;/year&gt;&lt;/dates&gt;&lt;isbn&gt;1362-4962&lt;/isbn&gt;&lt;urls&gt;&lt;/urls&gt;&lt;/record&gt;&lt;/Cite&gt;&lt;/EndNote&gt;</w:instrText>
      </w:r>
      <w:r w:rsidRPr="00C34963">
        <w:fldChar w:fldCharType="separate"/>
      </w:r>
      <w:r w:rsidRPr="00C34963">
        <w:rPr>
          <w:noProof/>
        </w:rPr>
        <w:t>(12)</w:t>
      </w:r>
      <w:r w:rsidRPr="00C34963">
        <w:fldChar w:fldCharType="end"/>
      </w:r>
      <w:r w:rsidRPr="00C34963">
        <w:t xml:space="preserve"> (</w:t>
      </w:r>
      <w:r w:rsidRPr="00C34963">
        <w:rPr>
          <w:b/>
          <w:bCs/>
        </w:rPr>
        <w:t>Figure 2</w:t>
      </w:r>
      <w:r w:rsidRPr="00C34963">
        <w:t>).</w:t>
      </w:r>
    </w:p>
    <w:p w14:paraId="08AF5834" w14:textId="77777777" w:rsidR="00C34963" w:rsidRPr="00C34963" w:rsidRDefault="00C34963" w:rsidP="00C34963">
      <w:pPr>
        <w:pStyle w:val="MDPI31text"/>
      </w:pPr>
      <w:r w:rsidRPr="00C34963">
        <w:t xml:space="preserve">This study compares two different filtering approaches; one applied to exome sequencing data performed in </w:t>
      </w:r>
      <w:proofErr w:type="gramStart"/>
      <w:r w:rsidRPr="00C34963">
        <w:t>a research</w:t>
      </w:r>
      <w:proofErr w:type="gramEnd"/>
      <w:r w:rsidRPr="00C34963">
        <w:t xml:space="preserve"> setting and another to genome sequencing performed on the same patients through the GMS in a clinical setting. To exome data, we apply a gene-agnostic approach, HiPPo, and compare the diagnostic yield of this approach with the strategy applied by the GMS. We aim to improve upon both the efficiency and diagnostic rates of current GMS standards, whilst trying to </w:t>
      </w:r>
      <w:proofErr w:type="spellStart"/>
      <w:r w:rsidRPr="00C34963">
        <w:t>minimise</w:t>
      </w:r>
      <w:proofErr w:type="spellEnd"/>
      <w:r w:rsidRPr="00C34963">
        <w:t xml:space="preserve"> the number of variants requiring assessment by clinical laboratories.</w:t>
      </w:r>
    </w:p>
    <w:p w14:paraId="3C15663D" w14:textId="77777777" w:rsidR="00C34963" w:rsidRPr="00C34963" w:rsidRDefault="00C34963" w:rsidP="00C34963">
      <w:pPr>
        <w:pStyle w:val="MDPI31text"/>
      </w:pPr>
    </w:p>
    <w:p w14:paraId="51F82519" w14:textId="77777777" w:rsidR="00C369B2" w:rsidRPr="00C34963" w:rsidRDefault="00C369B2" w:rsidP="00C34963">
      <w:pPr>
        <w:pStyle w:val="MDPI52figure"/>
      </w:pPr>
      <w:r w:rsidRPr="00C34963">
        <w:rPr>
          <w:noProof/>
        </w:rPr>
        <w:lastRenderedPageBreak/>
        <w:t xml:space="preserve"> </w:t>
      </w:r>
      <w:r w:rsidRPr="00C34963">
        <w:rPr>
          <w:noProof/>
        </w:rPr>
        <w:drawing>
          <wp:inline distT="0" distB="0" distL="0" distR="0" wp14:anchorId="53B633CB" wp14:editId="6A8D8420">
            <wp:extent cx="5454650" cy="6303151"/>
            <wp:effectExtent l="0" t="0" r="0" b="2540"/>
            <wp:docPr id="1515824415" name="Picture 1" descr="A diagram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24415" name="Picture 1" descr="A diagram of a medical procedu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6845" cy="6305687"/>
                    </a:xfrm>
                    <a:prstGeom prst="rect">
                      <a:avLst/>
                    </a:prstGeom>
                  </pic:spPr>
                </pic:pic>
              </a:graphicData>
            </a:graphic>
          </wp:inline>
        </w:drawing>
      </w:r>
    </w:p>
    <w:p w14:paraId="384BCF8A" w14:textId="71C58BEE" w:rsidR="00C34963" w:rsidRPr="00C34963" w:rsidRDefault="00C34963" w:rsidP="00C34963">
      <w:pPr>
        <w:pStyle w:val="MDPI51figurecaption"/>
        <w:jc w:val="both"/>
      </w:pPr>
      <w:r w:rsidRPr="00C34963">
        <w:rPr>
          <w:b/>
          <w:bCs/>
        </w:rPr>
        <w:t xml:space="preserve">Figure 1. </w:t>
      </w:r>
      <w:r w:rsidRPr="00C34963">
        <w:t xml:space="preserve">| </w:t>
      </w:r>
      <w:r w:rsidRPr="00D372FF">
        <w:rPr>
          <w:rFonts w:ascii="Palatino" w:hAnsi="Palatino"/>
        </w:rPr>
        <w:t xml:space="preserve">Genomic Medicine Service workflow for genome sequencing on the NHS. </w:t>
      </w:r>
      <w:r w:rsidR="00C369B2" w:rsidRPr="00D372FF">
        <w:rPr>
          <w:rFonts w:ascii="Palatino" w:hAnsi="Palatino"/>
        </w:rPr>
        <w:t xml:space="preserve">Tier 1 variants are defined as predicted loss-of-function variants or de novo variants in a green gene on the PanelApp gene panel(s) applied. Tier 2 variants are defined as coding variants +/- 8bp (excluding synonymous) on any transcript in the panel applied. Synonymous variants affecting splicing are ignored. The gene agnostic filter includes </w:t>
      </w:r>
      <w:r w:rsidR="00C369B2" w:rsidRPr="00D372FF">
        <w:rPr>
          <w:rFonts w:ascii="Palatino" w:hAnsi="Palatino" w:cs="Calibri"/>
        </w:rPr>
        <w:t>top 3 Exomiser rank variant with score of ≥0.95 and any de novo (coding) variant. Tier A is defined by a CNV (&gt;10KB) overlapping a ClinGen curated pathogenic region relevant to a panel applied or a CNV overlapping with a green gene in the panel applied. Anonymised sequencing data are available for some patients in the Genomics England (GEL) Research Environment. *Gene panels are selected using GEL PanelApp by the referring clinician.</w:t>
      </w:r>
    </w:p>
    <w:p w14:paraId="610CCD8B" w14:textId="77777777" w:rsidR="00C369B2" w:rsidRPr="00C34963" w:rsidRDefault="00C369B2" w:rsidP="00C369B2">
      <w:pPr>
        <w:spacing w:line="480" w:lineRule="auto"/>
      </w:pPr>
    </w:p>
    <w:p w14:paraId="433634E6" w14:textId="77777777" w:rsidR="00C369B2" w:rsidRPr="00C34963" w:rsidRDefault="00C369B2" w:rsidP="00C369B2">
      <w:pPr>
        <w:spacing w:line="480" w:lineRule="auto"/>
      </w:pPr>
    </w:p>
    <w:p w14:paraId="5E364008" w14:textId="77777777" w:rsidR="00C34963" w:rsidRDefault="00C369B2" w:rsidP="00C34963">
      <w:pPr>
        <w:pStyle w:val="MDPI52figure"/>
        <w:rPr>
          <w:bCs/>
        </w:rPr>
      </w:pPr>
      <w:r w:rsidRPr="00C34963">
        <w:rPr>
          <w:noProof/>
        </w:rPr>
        <w:lastRenderedPageBreak/>
        <w:drawing>
          <wp:inline distT="0" distB="0" distL="0" distR="0" wp14:anchorId="2F41BA03" wp14:editId="0789D7BD">
            <wp:extent cx="5943600" cy="4055110"/>
            <wp:effectExtent l="0" t="0" r="0" b="0"/>
            <wp:docPr id="129249873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98738" name="Picture 2"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055110"/>
                    </a:xfrm>
                    <a:prstGeom prst="rect">
                      <a:avLst/>
                    </a:prstGeom>
                  </pic:spPr>
                </pic:pic>
              </a:graphicData>
            </a:graphic>
          </wp:inline>
        </w:drawing>
      </w:r>
      <w:r w:rsidRPr="00C34963">
        <w:br/>
      </w:r>
    </w:p>
    <w:p w14:paraId="1556CB9C" w14:textId="0FB155EC" w:rsidR="00C369B2" w:rsidRPr="00C34963" w:rsidRDefault="00C34963" w:rsidP="00C34963">
      <w:pPr>
        <w:pStyle w:val="MDPI51figurecaption"/>
        <w:jc w:val="both"/>
      </w:pPr>
      <w:r w:rsidRPr="00C34963">
        <w:rPr>
          <w:b/>
          <w:bCs/>
        </w:rPr>
        <w:t xml:space="preserve">Figure 2. </w:t>
      </w:r>
      <w:r w:rsidRPr="00C34963">
        <w:rPr>
          <w:bCs/>
        </w:rPr>
        <w:t>| A proposed method for improving diagnostic yield and efficiency.</w:t>
      </w:r>
      <w:r w:rsidR="00A76F86">
        <w:rPr>
          <w:bCs/>
        </w:rPr>
        <w:t xml:space="preserve"> </w:t>
      </w:r>
      <w:r w:rsidR="00C369B2" w:rsidRPr="00C34963">
        <w:rPr>
          <w:bCs/>
        </w:rPr>
        <w:t>Comparison of the current NHS approach versus our proposed method HiPPo for an example case (FAM</w:t>
      </w:r>
      <w:r w:rsidR="00C369B2" w:rsidRPr="00C34963">
        <w:t xml:space="preserve"> 6). Variants are identified by comparing a patient’s DNA against a human genome reference. In this example, there is a pathogenic variant (</w:t>
      </w:r>
      <w:r w:rsidR="00F94A88">
        <w:t>dashed</w:t>
      </w:r>
      <w:r w:rsidR="00C369B2" w:rsidRPr="00C34963">
        <w:t xml:space="preserve"> circle) within the identified list of variants. To minimise the number of variants assessed, the NHS has adopted a method (</w:t>
      </w:r>
      <w:r w:rsidR="00C369B2" w:rsidRPr="00C34963">
        <w:rPr>
          <w:b/>
        </w:rPr>
        <w:t>A</w:t>
      </w:r>
      <w:r w:rsidR="00C369B2" w:rsidRPr="00C34963">
        <w:t>) that looks in small regions of the DNA (a panel of genes) and assesses the variants within that region. If the causal variant is in a region of the DNA not assessed, then the diagnosis is missed. Our revised approach captures a larger region of DNA (including all genes), but only looks at variants predicted to be damaging or submitted as P/LP to ClinVar (black circle). As a result, a larger area of DNA is assessed, whilst assessing fewer variants overall. This aims to result in a higher diagnostic rate per number of variants assessed, despite analysing a larger region of the genome than typically applied in a gene panel.</w:t>
      </w:r>
    </w:p>
    <w:p w14:paraId="1E22D5B1" w14:textId="039CF1AF" w:rsidR="00C369B2" w:rsidRPr="00C34963" w:rsidRDefault="00C34963" w:rsidP="00C34963">
      <w:pPr>
        <w:pStyle w:val="MDPI21heading1"/>
      </w:pPr>
      <w:r>
        <w:t xml:space="preserve">2. </w:t>
      </w:r>
      <w:r w:rsidR="00C369B2" w:rsidRPr="00C34963">
        <w:t>Methods</w:t>
      </w:r>
    </w:p>
    <w:p w14:paraId="396C9B9A" w14:textId="77777777" w:rsidR="00C369B2" w:rsidRPr="00C34963" w:rsidRDefault="00C369B2" w:rsidP="00C34963">
      <w:pPr>
        <w:pStyle w:val="MDPI22heading2"/>
      </w:pPr>
      <w:r w:rsidRPr="00C34963">
        <w:t>Recruitment and patient demographics</w:t>
      </w:r>
    </w:p>
    <w:p w14:paraId="169A348C" w14:textId="77777777" w:rsidR="00C369B2" w:rsidRPr="00D372FF" w:rsidRDefault="00C369B2" w:rsidP="00D372FF">
      <w:pPr>
        <w:pStyle w:val="MDPI31text"/>
        <w:spacing w:line="276" w:lineRule="auto"/>
        <w:rPr>
          <w:rFonts w:ascii="Palatino" w:hAnsi="Palatino"/>
        </w:rPr>
      </w:pPr>
      <w:r w:rsidRPr="00D372FF">
        <w:rPr>
          <w:rFonts w:ascii="Palatino" w:hAnsi="Palatino"/>
        </w:rPr>
        <w:t>Clinical Geneticists at University Hospital Southampton were invited to recruit patients and families with suspected monogenic disease to a research study ‘</w:t>
      </w:r>
      <w:r w:rsidRPr="00D372FF">
        <w:rPr>
          <w:rFonts w:ascii="Palatino" w:hAnsi="Palatino" w:cs="Calibri"/>
          <w:i/>
          <w:iCs/>
        </w:rPr>
        <w:t>Use of NGS technologies for resolving clinical phenotypes</w:t>
      </w:r>
      <w:r w:rsidRPr="00D372FF">
        <w:rPr>
          <w:rFonts w:ascii="Palatino" w:hAnsi="Palatino" w:cs="Calibri"/>
        </w:rPr>
        <w:t>’ (IRAS: 212945; REC: 17/YH/0069). Recruited individuals were eligible for a research exome through the Center for Mendelian Genomics</w:t>
      </w:r>
      <w:r w:rsidRPr="00D372FF">
        <w:rPr>
          <w:rFonts w:ascii="Palatino" w:hAnsi="Palatino" w:cs="Calibri"/>
        </w:rPr>
        <w:fldChar w:fldCharType="begin"/>
      </w:r>
      <w:r w:rsidRPr="00D372FF">
        <w:rPr>
          <w:rFonts w:ascii="Palatino" w:hAnsi="Palatino" w:cs="Calibri"/>
        </w:rPr>
        <w:instrText xml:space="preserve"> ADDIN EN.CITE &lt;EndNote&gt;&lt;Cite&gt;&lt;Author&gt;Bamshad&lt;/Author&gt;&lt;Year&gt;2012&lt;/Year&gt;&lt;RecNum&gt;257&lt;/RecNum&gt;&lt;DisplayText&gt;(13)&lt;/DisplayText&gt;&lt;record&gt;&lt;rec-number&gt;257&lt;/rec-number&gt;&lt;foreign-keys&gt;&lt;key app="EN" db-id="d0vstffei2ze5sew5fwxp0dq9zxs5pvvsxpv" timestamp="1612768971"&gt;257&lt;/key&gt;&lt;/foreign-keys&gt;&lt;ref-type name="Journal Article"&gt;17&lt;/ref-type&gt;&lt;contributors&gt;&lt;authors&gt;&lt;author&gt;Bamshad, Michael J.&lt;/author&gt;&lt;author&gt;Shendure, Jay A.&lt;/author&gt;&lt;author&gt;Valle, David&lt;/author&gt;&lt;author&gt;Hamosh, Ada&lt;/author&gt;&lt;author&gt;Lupski, James R.&lt;/author&gt;&lt;author&gt;Gibbs, Richard A.&lt;/author&gt;&lt;author&gt;Boerwinkle, Eric&lt;/author&gt;&lt;author&gt;Lifton, Richard P.&lt;/author&gt;&lt;author&gt;Gerstein, Mark&lt;/author&gt;&lt;author&gt;Gunel, Murat&lt;/author&gt;&lt;author&gt;Mane, Shrikant&lt;/author&gt;&lt;author&gt;Nickerson, Deborah A.&lt;/author&gt;&lt;author&gt;on behalf of the Centers for Mendelian Genomics&lt;/author&gt;&lt;/authors&gt;&lt;/contributors&gt;&lt;titles&gt;&lt;title&gt;The Centers for Mendelian Genomics: A new large-scale initiative to identify the genes underlying rare Mendelian conditions&lt;/title&gt;&lt;secondary-title&gt;American Journal of Medical Genetics Part A&lt;/secondary-title&gt;&lt;/titles&gt;&lt;periodical&gt;&lt;full-title&gt;American Journal of Medical Genetics Part A&lt;/full-title&gt;&lt;/periodical&gt;&lt;pages&gt;1523-1525&lt;/pages&gt;&lt;volume&gt;158A&lt;/volume&gt;&lt;number&gt;7&lt;/number&gt;&lt;dates&gt;&lt;year&gt;2012&lt;/year&gt;&lt;/dates&gt;&lt;isbn&gt;1552-4825&lt;/isbn&gt;&lt;urls&gt;&lt;related-urls&gt;&lt;url&gt;https://onlinelibrary.wiley.com/doi/abs/10.1002/ajmg.a.35470&lt;/url&gt;&lt;/related-urls&gt;&lt;/urls&gt;&lt;electronic-resource-num&gt;https://doi.org/10.1002/ajmg.a.35470&lt;/electronic-resource-num&gt;&lt;/record&gt;&lt;/Cite&gt;&lt;/EndNote&gt;</w:instrText>
      </w:r>
      <w:r w:rsidRPr="00D372FF">
        <w:rPr>
          <w:rFonts w:ascii="Palatino" w:hAnsi="Palatino" w:cs="Calibri"/>
        </w:rPr>
        <w:fldChar w:fldCharType="separate"/>
      </w:r>
      <w:r w:rsidRPr="00D372FF">
        <w:rPr>
          <w:rFonts w:ascii="Palatino" w:hAnsi="Palatino" w:cs="Calibri"/>
          <w:noProof/>
        </w:rPr>
        <w:t>(13)</w:t>
      </w:r>
      <w:r w:rsidRPr="00D372FF">
        <w:rPr>
          <w:rFonts w:ascii="Palatino" w:hAnsi="Palatino" w:cs="Calibri"/>
        </w:rPr>
        <w:fldChar w:fldCharType="end"/>
      </w:r>
      <w:r w:rsidRPr="00D372FF">
        <w:rPr>
          <w:rFonts w:ascii="Palatino" w:hAnsi="Palatino" w:cs="Calibri"/>
        </w:rPr>
        <w:t xml:space="preserve"> at the Broad Institute.</w:t>
      </w:r>
    </w:p>
    <w:p w14:paraId="34DE8AEB" w14:textId="77777777" w:rsidR="00C369B2" w:rsidRPr="00C34963" w:rsidRDefault="00C369B2" w:rsidP="00C34963">
      <w:pPr>
        <w:pStyle w:val="MDPI31text"/>
      </w:pPr>
      <w:r w:rsidRPr="00C34963">
        <w:t>Twenty-five individuals from eight families recruited and consented to the research exome study were also recruited for genome sequencing on the NHS through the GMS, facilitating a parallel comparison study (</w:t>
      </w:r>
      <w:r w:rsidRPr="00C34963">
        <w:rPr>
          <w:b/>
          <w:bCs/>
        </w:rPr>
        <w:t>Figure 3</w:t>
      </w:r>
      <w:r w:rsidRPr="00C34963">
        <w:t>), providing an opportunity to evaluate these two sequencing and analysis strategies. All participants consented for their data to be shared.</w:t>
      </w:r>
    </w:p>
    <w:p w14:paraId="618DFD38" w14:textId="77777777" w:rsidR="00C369B2" w:rsidRPr="00C34963" w:rsidRDefault="00C369B2" w:rsidP="00C34963">
      <w:pPr>
        <w:pStyle w:val="MDPI52figure"/>
        <w:ind w:left="2608"/>
        <w:jc w:val="left"/>
      </w:pPr>
      <w:r w:rsidRPr="00C34963">
        <w:rPr>
          <w:noProof/>
        </w:rPr>
        <w:lastRenderedPageBreak/>
        <w:drawing>
          <wp:inline distT="0" distB="0" distL="0" distR="0" wp14:anchorId="4E262E8C" wp14:editId="29D4963D">
            <wp:extent cx="3105339" cy="3805563"/>
            <wp:effectExtent l="0" t="0" r="6350" b="4445"/>
            <wp:docPr id="585020428" name="Picture 1" descr="A diagram of a research proc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20428" name="Picture 1" descr="A diagram of a research process&#10;&#10;Description automatically generated with low confidence"/>
                    <pic:cNvPicPr/>
                  </pic:nvPicPr>
                  <pic:blipFill>
                    <a:blip r:embed="rId10"/>
                    <a:stretch>
                      <a:fillRect/>
                    </a:stretch>
                  </pic:blipFill>
                  <pic:spPr>
                    <a:xfrm>
                      <a:off x="0" y="0"/>
                      <a:ext cx="3111988" cy="3813712"/>
                    </a:xfrm>
                    <a:prstGeom prst="rect">
                      <a:avLst/>
                    </a:prstGeom>
                  </pic:spPr>
                </pic:pic>
              </a:graphicData>
            </a:graphic>
          </wp:inline>
        </w:drawing>
      </w:r>
    </w:p>
    <w:p w14:paraId="1F384335" w14:textId="76F158A5" w:rsidR="00C369B2" w:rsidRPr="00C34963" w:rsidRDefault="00C34963" w:rsidP="00C34963">
      <w:pPr>
        <w:pStyle w:val="MDPI51figurecaption"/>
        <w:jc w:val="both"/>
        <w:rPr>
          <w:sz w:val="20"/>
        </w:rPr>
      </w:pPr>
      <w:r w:rsidRPr="00C34963">
        <w:rPr>
          <w:b/>
          <w:bCs/>
        </w:rPr>
        <w:t xml:space="preserve">Figure 3. </w:t>
      </w:r>
      <w:r w:rsidRPr="00C34963">
        <w:rPr>
          <w:sz w:val="20"/>
        </w:rPr>
        <w:t xml:space="preserve">| </w:t>
      </w:r>
      <w:r w:rsidRPr="00D372FF">
        <w:rPr>
          <w:szCs w:val="18"/>
        </w:rPr>
        <w:t>Overview of patient recruitment and analysis</w:t>
      </w:r>
      <w:r w:rsidRPr="00A76F86">
        <w:rPr>
          <w:szCs w:val="18"/>
        </w:rPr>
        <w:t xml:space="preserve">. </w:t>
      </w:r>
      <w:r w:rsidR="00C369B2" w:rsidRPr="00A76F86">
        <w:rPr>
          <w:szCs w:val="18"/>
        </w:rPr>
        <w:t>8 families were recruited for parallel GMS clinical genome sequencing and research exome sequencing. Different data analysis strategies were applied to the exome (HiPPo) vs genome sequencing data (adopting a panel-based strategy as outlined by the GMS). Variants reported were compared between analysis strategies including the Human Phenotype Ontology (HPO) terms used, number of variants assessed, and results reported.</w:t>
      </w:r>
    </w:p>
    <w:p w14:paraId="4C771761" w14:textId="77777777" w:rsidR="00C369B2" w:rsidRPr="00C34963" w:rsidRDefault="00C369B2" w:rsidP="00C34963">
      <w:pPr>
        <w:pStyle w:val="MDPI31text"/>
      </w:pPr>
      <w:r w:rsidRPr="00C34963">
        <w:t xml:space="preserve">For the research exome study, patient phenotypes were extracted by a single researcher from the clinical notes and recorded as Human Phenotype Ontology (HPO) terms in a manually encrypted database. The patient’s clinician also separately recorded HPO terms when requesting the GMS genome sequencing test. Both clinician and researcher were blinded to each other’s curated HPO terms. The family structures of the 8 families (7 trios and a quad), individual IDs, and phenotypes are described in </w:t>
      </w:r>
      <w:r w:rsidRPr="00C34963">
        <w:rPr>
          <w:b/>
          <w:bCs/>
        </w:rPr>
        <w:t>Table 1.</w:t>
      </w:r>
    </w:p>
    <w:p w14:paraId="0FC8B6E3" w14:textId="77777777" w:rsidR="00C369B2" w:rsidRPr="00D372FF" w:rsidRDefault="00C369B2" w:rsidP="00C34963">
      <w:pPr>
        <w:pStyle w:val="MDPI23heading3"/>
        <w:spacing w:before="240"/>
        <w:rPr>
          <w:i/>
          <w:iCs/>
        </w:rPr>
      </w:pPr>
      <w:r w:rsidRPr="00D372FF">
        <w:rPr>
          <w:i/>
          <w:iCs/>
        </w:rPr>
        <w:t>Research exome sequencing and pipeline</w:t>
      </w:r>
    </w:p>
    <w:p w14:paraId="221CE35B" w14:textId="77777777" w:rsidR="00C369B2" w:rsidRPr="00C34963" w:rsidRDefault="00C369B2" w:rsidP="00C34963">
      <w:pPr>
        <w:pStyle w:val="MDPI31text"/>
      </w:pPr>
      <w:r w:rsidRPr="00C34963">
        <w:t>Following quality control of the DNA from the 25 samples, the mother (</w:t>
      </w:r>
      <w:r w:rsidRPr="00C34963">
        <w:rPr>
          <w:rFonts w:ascii="Calibri" w:hAnsi="Calibri" w:cs="Calibri"/>
        </w:rPr>
        <w:t xml:space="preserve">FAM_4_12) </w:t>
      </w:r>
      <w:r w:rsidRPr="00C34963">
        <w:t xml:space="preserve">in the family comprising a quad of parents and monozygotic twins (FAM_4) </w:t>
      </w:r>
      <w:r w:rsidRPr="00C34963">
        <w:rPr>
          <w:rFonts w:ascii="Calibri" w:hAnsi="Calibri" w:cs="Calibri"/>
        </w:rPr>
        <w:t xml:space="preserve">had insufficient DNA quality, and </w:t>
      </w:r>
      <w:r w:rsidRPr="00C34963">
        <w:t xml:space="preserve">we were unable to obtain a repeat sample in time for inclusion in the research exome portion of this study. However, </w:t>
      </w:r>
      <w:r w:rsidRPr="00C34963">
        <w:rPr>
          <w:rFonts w:ascii="Calibri" w:hAnsi="Calibri" w:cs="Calibri"/>
        </w:rPr>
        <w:t xml:space="preserve">this participant </w:t>
      </w:r>
      <w:r w:rsidRPr="00C34963">
        <w:t>had genome sequencing through the GMS. In the GMS, quads are sequenced as two separate trios, therefore family FAM_4 was exome sequenced without maternal data (father, twin A, twin B) for the research portion of the study, but was genome sequenced through the GMS as two separate trios (mother, father, twin A) and (mother, father, twin B).</w:t>
      </w:r>
    </w:p>
    <w:p w14:paraId="494AD913" w14:textId="2139FAAE" w:rsidR="00C369B2" w:rsidRPr="00C34963" w:rsidRDefault="00C369B2" w:rsidP="00C34963">
      <w:pPr>
        <w:pStyle w:val="MDPI31text"/>
      </w:pPr>
      <w:r w:rsidRPr="00C34963">
        <w:t>A total of 24 samples from 8 families met quality standards necessary for research exome sequencing at the Broad Institute (</w:t>
      </w:r>
      <w:r w:rsidRPr="00C34963">
        <w:rPr>
          <w:b/>
          <w:bCs/>
        </w:rPr>
        <w:t>Supplementary Table 1</w:t>
      </w:r>
      <w:r w:rsidRPr="00C34963">
        <w:t>). Libraries from DNA samples were created with an Illumina exome capture (37 Mb target) and sequenced on a NovaSeq 6000 machine using the NovaSeq XP workflow to cover &gt;85% of targets at &gt;20x, comparable to ~55x mean coverage. The samples underwent QC as previously described and were processed through the GATK best practices pipeline.</w:t>
      </w:r>
      <w:r w:rsidRPr="00C34963">
        <w:fldChar w:fldCharType="begin"/>
      </w:r>
      <w:r w:rsidRPr="00C34963">
        <w:instrText xml:space="preserve"> ADDIN EN.CITE &lt;EndNote&gt;&lt;Cite&gt;&lt;Author&gt;McKenna&lt;/Author&gt;&lt;Year&gt;2010&lt;/Year&gt;&lt;RecNum&gt;1067&lt;/RecNum&gt;&lt;DisplayText&gt;(14)&lt;/DisplayText&gt;&lt;record&gt;&lt;rec-number&gt;1067&lt;/rec-number&gt;&lt;foreign-keys&gt;&lt;key app="EN" db-id="d0vstffei2ze5sew5fwxp0dq9zxs5pvvsxpv" timestamp="1618529905"&gt;1067&lt;/key&gt;&lt;/foreign-keys&gt;&lt;ref-type name="Journal Article"&gt;17&lt;/ref-type&gt;&lt;contributors&gt;&lt;authors&gt;&lt;author&gt;McKenna, Aaron&lt;/author&gt;&lt;author&gt;Hanna, Matthew&lt;/author&gt;&lt;author&gt;Banks, Eric&lt;/author&gt;&lt;author&gt;Sivachenko, Andrey&lt;/author&gt;&lt;author&gt;Cibulskis, Kristian&lt;/author&gt;&lt;author&gt;Kernytsky, Andrew&lt;/author&gt;&lt;author&gt;Garimella, Kiran&lt;/author&gt;&lt;author&gt;Altshuler, David&lt;/author&gt;&lt;author&gt;Gabriel, Stacey&lt;/author&gt;&lt;author&gt;Daly, Mark&lt;/author&gt;&lt;/authors&gt;&lt;/contributors&gt;&lt;titles&gt;&lt;title&gt;The Genome Analysis Toolkit: a MapReduce framework for analyzing next-generation DNA sequencing data&lt;/title&gt;&lt;secondary-title&gt;Genome research&lt;/secondary-title&gt;&lt;/titles&gt;&lt;periodical&gt;&lt;full-title&gt;Genome research&lt;/full-title&gt;&lt;/periodical&gt;&lt;pages&gt;1297-1303&lt;/pages&gt;&lt;volume&gt;20&lt;/volume&gt;&lt;number&gt;9&lt;/number&gt;&lt;dates&gt;&lt;year&gt;2010&lt;/year&gt;&lt;/dates&gt;&lt;isbn&gt;1088-9051&lt;/isbn&gt;&lt;urls&gt;&lt;/urls&gt;&lt;/record&gt;&lt;/Cite&gt;&lt;/EndNote&gt;</w:instrText>
      </w:r>
      <w:r w:rsidRPr="00C34963">
        <w:fldChar w:fldCharType="separate"/>
      </w:r>
      <w:r w:rsidRPr="00C34963">
        <w:rPr>
          <w:noProof/>
        </w:rPr>
        <w:t>(14)</w:t>
      </w:r>
      <w:r w:rsidRPr="00C34963">
        <w:fldChar w:fldCharType="end"/>
      </w:r>
      <w:r w:rsidRPr="00C34963">
        <w:t xml:space="preserve"> The samples were joint called with &gt;15,000 other samples and added to seqr</w:t>
      </w:r>
      <w:r w:rsidRPr="00C34963">
        <w:fldChar w:fldCharType="begin"/>
      </w:r>
      <w:r w:rsidRPr="00C34963">
        <w:instrText xml:space="preserve"> ADDIN EN.CITE &lt;EndNote&gt;&lt;Cite&gt;&lt;Author&gt;Pais&lt;/Author&gt;&lt;Year&gt;2022&lt;/Year&gt;&lt;RecNum&gt;1195&lt;/RecNum&gt;&lt;DisplayText&gt;(15)&lt;/DisplayText&gt;&lt;record&gt;&lt;rec-number&gt;1195&lt;/rec-number&gt;&lt;foreign-keys&gt;&lt;key app="EN" db-id="d0vstffei2ze5sew5fwxp0dq9zxs5pvvsxpv" timestamp="1659694088"&gt;1195&lt;/key&gt;&lt;/foreign-keys&gt;&lt;ref-type name="Journal Article"&gt;17&lt;/ref-type&gt;&lt;contributors&gt;&lt;authors&gt;&lt;author&gt;Pais, Lynn S&lt;/author&gt;&lt;author&gt;Snow, Hana&lt;/author&gt;&lt;author&gt;Weisburd, Ben&lt;/author&gt;&lt;author&gt;Zhang, Shifa&lt;/author&gt;&lt;author&gt;Baxter, Samantha M&lt;/author&gt;&lt;author&gt;DiTroia, Stephanie&lt;/author&gt;&lt;author&gt;O&amp;apos;Heir, Emily&lt;/author&gt;&lt;author&gt;England, Eleina&lt;/author&gt;&lt;author&gt;Chao, Katherine R&lt;/author&gt;&lt;author&gt;Lemire, Gabrielle&lt;/author&gt;&lt;/authors&gt;&lt;/contributors&gt;&lt;titles&gt;&lt;title&gt;seqr: A web‐based analysis and collaboration tool for rare disease genomics&lt;/title&gt;&lt;secondary-title&gt;Human Mutation&lt;/secondary-title&gt;&lt;/titles&gt;&lt;periodical&gt;&lt;full-title&gt;Human mutation&lt;/full-title&gt;&lt;/periodical&gt;&lt;dates&gt;&lt;year&gt;2022&lt;/year&gt;&lt;/dates&gt;&lt;isbn&gt;1059-7794&lt;/isbn&gt;&lt;urls&gt;&lt;/urls&gt;&lt;/record&gt;&lt;/Cite&gt;&lt;/EndNote&gt;</w:instrText>
      </w:r>
      <w:r w:rsidRPr="00C34963">
        <w:fldChar w:fldCharType="separate"/>
      </w:r>
      <w:r w:rsidRPr="00C34963">
        <w:rPr>
          <w:noProof/>
        </w:rPr>
        <w:t>(15)</w:t>
      </w:r>
      <w:r w:rsidRPr="00C34963">
        <w:fldChar w:fldCharType="end"/>
      </w:r>
      <w:r w:rsidRPr="00C34963">
        <w:t xml:space="preserve"> (</w:t>
      </w:r>
      <w:hyperlink r:id="rId11" w:history="1">
        <w:r w:rsidRPr="00C34963">
          <w:rPr>
            <w:rStyle w:val="Hyperlink"/>
            <w:szCs w:val="20"/>
          </w:rPr>
          <w:t>https://seqr.broadinstitute.org</w:t>
        </w:r>
      </w:hyperlink>
      <w:r w:rsidRPr="00C34963">
        <w:t xml:space="preserve">), </w:t>
      </w:r>
      <w:r w:rsidRPr="00C34963">
        <w:lastRenderedPageBreak/>
        <w:t>an exome/genome analysis software hosted on the cloud platform Terra (</w:t>
      </w:r>
      <w:hyperlink r:id="rId12" w:history="1">
        <w:r w:rsidRPr="00C34963">
          <w:rPr>
            <w:rStyle w:val="Hyperlink"/>
            <w:szCs w:val="20"/>
          </w:rPr>
          <w:t>https://app.terra.bio</w:t>
        </w:r>
      </w:hyperlink>
      <w:r w:rsidRPr="00C34963">
        <w:t xml:space="preserve">). </w:t>
      </w:r>
    </w:p>
    <w:p w14:paraId="57767E86" w14:textId="2053E5A2" w:rsidR="00C369B2" w:rsidRPr="00C34963" w:rsidRDefault="00C34963" w:rsidP="00C34963">
      <w:pPr>
        <w:pStyle w:val="MDPI41tablecaption"/>
        <w:jc w:val="both"/>
      </w:pPr>
      <w:r w:rsidRPr="00C34963">
        <w:rPr>
          <w:b/>
          <w:bCs/>
        </w:rPr>
        <w:t xml:space="preserve">Table 1. </w:t>
      </w:r>
      <w:r w:rsidR="00C369B2" w:rsidRPr="00C34963">
        <w:t>| Samples and phenotypes of patients recruited for a parallel research exome and NHS genome</w:t>
      </w:r>
      <w:r>
        <w:t>.</w:t>
      </w:r>
    </w:p>
    <w:tbl>
      <w:tblPr>
        <w:tblW w:w="10465" w:type="dxa"/>
        <w:jc w:val="center"/>
        <w:tblLayout w:type="fixed"/>
        <w:tblCellMar>
          <w:left w:w="0" w:type="dxa"/>
          <w:right w:w="0" w:type="dxa"/>
        </w:tblCellMar>
        <w:tblLook w:val="04A0" w:firstRow="1" w:lastRow="0" w:firstColumn="1" w:lastColumn="0" w:noHBand="0" w:noVBand="1"/>
      </w:tblPr>
      <w:tblGrid>
        <w:gridCol w:w="562"/>
        <w:gridCol w:w="511"/>
        <w:gridCol w:w="503"/>
        <w:gridCol w:w="553"/>
        <w:gridCol w:w="484"/>
        <w:gridCol w:w="437"/>
        <w:gridCol w:w="302"/>
        <w:gridCol w:w="2705"/>
        <w:gridCol w:w="2511"/>
        <w:gridCol w:w="1897"/>
      </w:tblGrid>
      <w:tr w:rsidR="00C34963" w:rsidRPr="00C34963" w14:paraId="3034D82C" w14:textId="77777777" w:rsidTr="00C34963">
        <w:trPr>
          <w:jc w:val="center"/>
        </w:trPr>
        <w:tc>
          <w:tcPr>
            <w:tcW w:w="2610" w:type="dxa"/>
            <w:gridSpan w:val="5"/>
            <w:tcBorders>
              <w:top w:val="single" w:sz="8" w:space="0" w:color="auto"/>
              <w:bottom w:val="nil"/>
            </w:tcBorders>
            <w:shd w:val="clear" w:color="000000" w:fill="A9D08E"/>
            <w:noWrap/>
            <w:vAlign w:val="center"/>
            <w:hideMark/>
          </w:tcPr>
          <w:p w14:paraId="77E0C59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Samples</w:t>
            </w:r>
          </w:p>
        </w:tc>
        <w:tc>
          <w:tcPr>
            <w:tcW w:w="5951" w:type="dxa"/>
            <w:gridSpan w:val="4"/>
            <w:tcBorders>
              <w:top w:val="single" w:sz="8" w:space="0" w:color="auto"/>
              <w:bottom w:val="single" w:sz="8" w:space="0" w:color="auto"/>
            </w:tcBorders>
            <w:shd w:val="clear" w:color="000000" w:fill="9BC2E6"/>
            <w:noWrap/>
            <w:vAlign w:val="center"/>
            <w:hideMark/>
          </w:tcPr>
          <w:p w14:paraId="0509868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Clinical data</w:t>
            </w:r>
          </w:p>
        </w:tc>
        <w:tc>
          <w:tcPr>
            <w:tcW w:w="1895" w:type="dxa"/>
            <w:tcBorders>
              <w:top w:val="single" w:sz="8" w:space="0" w:color="auto"/>
              <w:bottom w:val="single" w:sz="8" w:space="0" w:color="auto"/>
            </w:tcBorders>
            <w:shd w:val="clear" w:color="000000" w:fill="9BC2E6"/>
            <w:vAlign w:val="center"/>
          </w:tcPr>
          <w:p w14:paraId="5979C98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7B52D277" w14:textId="77777777" w:rsidTr="00C34963">
        <w:trPr>
          <w:jc w:val="center"/>
        </w:trPr>
        <w:tc>
          <w:tcPr>
            <w:tcW w:w="561" w:type="dxa"/>
            <w:tcBorders>
              <w:top w:val="single" w:sz="8" w:space="0" w:color="auto"/>
              <w:bottom w:val="single" w:sz="8" w:space="0" w:color="auto"/>
            </w:tcBorders>
            <w:shd w:val="clear" w:color="auto" w:fill="auto"/>
            <w:noWrap/>
            <w:vAlign w:val="center"/>
            <w:hideMark/>
          </w:tcPr>
          <w:p w14:paraId="7655D63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 w:val="18"/>
                <w:szCs w:val="18"/>
              </w:rPr>
            </w:pPr>
            <w:r w:rsidRPr="00D372FF">
              <w:rPr>
                <w:rFonts w:ascii="Palatino" w:eastAsia="Times New Roman" w:hAnsi="Palatino" w:cs="Calibri"/>
                <w:b/>
                <w:bCs/>
                <w:sz w:val="18"/>
                <w:szCs w:val="18"/>
              </w:rPr>
              <w:t>Fam_ID</w:t>
            </w:r>
          </w:p>
        </w:tc>
        <w:tc>
          <w:tcPr>
            <w:tcW w:w="510" w:type="dxa"/>
            <w:tcBorders>
              <w:top w:val="single" w:sz="8" w:space="0" w:color="auto"/>
              <w:bottom w:val="single" w:sz="8" w:space="0" w:color="auto"/>
            </w:tcBorders>
            <w:shd w:val="clear" w:color="auto" w:fill="auto"/>
            <w:noWrap/>
            <w:vAlign w:val="center"/>
            <w:hideMark/>
          </w:tcPr>
          <w:p w14:paraId="5606F73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 w:val="18"/>
                <w:szCs w:val="18"/>
              </w:rPr>
            </w:pPr>
            <w:r w:rsidRPr="00D372FF">
              <w:rPr>
                <w:rFonts w:ascii="Palatino" w:eastAsia="Times New Roman" w:hAnsi="Palatino" w:cs="Calibri"/>
                <w:b/>
                <w:bCs/>
                <w:sz w:val="18"/>
                <w:szCs w:val="18"/>
              </w:rPr>
              <w:t>Pro_ID</w:t>
            </w:r>
          </w:p>
        </w:tc>
        <w:tc>
          <w:tcPr>
            <w:tcW w:w="502" w:type="dxa"/>
            <w:tcBorders>
              <w:top w:val="single" w:sz="8" w:space="0" w:color="auto"/>
              <w:bottom w:val="single" w:sz="8" w:space="0" w:color="auto"/>
            </w:tcBorders>
            <w:shd w:val="clear" w:color="auto" w:fill="auto"/>
            <w:noWrap/>
            <w:vAlign w:val="center"/>
            <w:hideMark/>
          </w:tcPr>
          <w:p w14:paraId="64468B3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 w:val="18"/>
                <w:szCs w:val="18"/>
              </w:rPr>
            </w:pPr>
            <w:r w:rsidRPr="00D372FF">
              <w:rPr>
                <w:rFonts w:ascii="Palatino" w:eastAsia="Times New Roman" w:hAnsi="Palatino" w:cs="Calibri"/>
                <w:b/>
                <w:bCs/>
                <w:sz w:val="18"/>
                <w:szCs w:val="18"/>
              </w:rPr>
              <w:t>Pat_ID</w:t>
            </w:r>
          </w:p>
        </w:tc>
        <w:tc>
          <w:tcPr>
            <w:tcW w:w="553" w:type="dxa"/>
            <w:tcBorders>
              <w:top w:val="single" w:sz="8" w:space="0" w:color="auto"/>
              <w:bottom w:val="single" w:sz="8" w:space="0" w:color="auto"/>
            </w:tcBorders>
            <w:shd w:val="clear" w:color="auto" w:fill="auto"/>
            <w:noWrap/>
            <w:vAlign w:val="center"/>
            <w:hideMark/>
          </w:tcPr>
          <w:p w14:paraId="01568F9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 w:val="18"/>
                <w:szCs w:val="18"/>
              </w:rPr>
            </w:pPr>
            <w:r w:rsidRPr="00D372FF">
              <w:rPr>
                <w:rFonts w:ascii="Palatino" w:eastAsia="Times New Roman" w:hAnsi="Palatino" w:cs="Calibri"/>
                <w:b/>
                <w:bCs/>
                <w:sz w:val="18"/>
                <w:szCs w:val="18"/>
              </w:rPr>
              <w:t>Mat_ID</w:t>
            </w:r>
          </w:p>
        </w:tc>
        <w:tc>
          <w:tcPr>
            <w:tcW w:w="484" w:type="dxa"/>
            <w:tcBorders>
              <w:top w:val="single" w:sz="8" w:space="0" w:color="auto"/>
              <w:bottom w:val="single" w:sz="8" w:space="0" w:color="auto"/>
            </w:tcBorders>
            <w:shd w:val="clear" w:color="auto" w:fill="auto"/>
            <w:noWrap/>
            <w:vAlign w:val="center"/>
            <w:hideMark/>
          </w:tcPr>
          <w:p w14:paraId="70CFAE4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 w:val="18"/>
                <w:szCs w:val="18"/>
              </w:rPr>
            </w:pPr>
            <w:r w:rsidRPr="00D372FF">
              <w:rPr>
                <w:rFonts w:ascii="Palatino" w:eastAsia="Times New Roman" w:hAnsi="Palatino" w:cs="Calibri"/>
                <w:b/>
                <w:bCs/>
                <w:sz w:val="18"/>
                <w:szCs w:val="18"/>
              </w:rPr>
              <w:t>Sib_ID</w:t>
            </w:r>
          </w:p>
        </w:tc>
        <w:tc>
          <w:tcPr>
            <w:tcW w:w="437" w:type="dxa"/>
            <w:tcBorders>
              <w:top w:val="nil"/>
              <w:bottom w:val="single" w:sz="8" w:space="0" w:color="auto"/>
            </w:tcBorders>
            <w:shd w:val="clear" w:color="auto" w:fill="auto"/>
            <w:noWrap/>
            <w:vAlign w:val="center"/>
            <w:hideMark/>
          </w:tcPr>
          <w:p w14:paraId="6A5DE7D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 w:val="18"/>
                <w:szCs w:val="18"/>
              </w:rPr>
            </w:pPr>
            <w:r w:rsidRPr="00D372FF">
              <w:rPr>
                <w:rFonts w:ascii="Palatino" w:eastAsia="Times New Roman" w:hAnsi="Palatino" w:cs="Calibri"/>
                <w:b/>
                <w:bCs/>
                <w:sz w:val="18"/>
                <w:szCs w:val="18"/>
              </w:rPr>
              <w:t>Age</w:t>
            </w:r>
          </w:p>
        </w:tc>
        <w:tc>
          <w:tcPr>
            <w:tcW w:w="302" w:type="dxa"/>
            <w:tcBorders>
              <w:top w:val="nil"/>
              <w:bottom w:val="single" w:sz="8" w:space="0" w:color="auto"/>
            </w:tcBorders>
            <w:shd w:val="clear" w:color="auto" w:fill="auto"/>
            <w:noWrap/>
            <w:vAlign w:val="center"/>
            <w:hideMark/>
          </w:tcPr>
          <w:p w14:paraId="2F94B0E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 w:val="18"/>
                <w:szCs w:val="18"/>
              </w:rPr>
            </w:pPr>
            <w:r w:rsidRPr="00D372FF">
              <w:rPr>
                <w:rFonts w:ascii="Palatino" w:eastAsia="Times New Roman" w:hAnsi="Palatino" w:cs="Calibri"/>
                <w:b/>
                <w:bCs/>
                <w:sz w:val="18"/>
                <w:szCs w:val="18"/>
              </w:rPr>
              <w:t>Sex</w:t>
            </w:r>
          </w:p>
        </w:tc>
        <w:tc>
          <w:tcPr>
            <w:tcW w:w="2703" w:type="dxa"/>
            <w:tcBorders>
              <w:top w:val="nil"/>
              <w:bottom w:val="single" w:sz="8" w:space="0" w:color="auto"/>
            </w:tcBorders>
            <w:shd w:val="clear" w:color="auto" w:fill="auto"/>
            <w:vAlign w:val="center"/>
            <w:hideMark/>
          </w:tcPr>
          <w:p w14:paraId="76542AF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 w:val="18"/>
                <w:szCs w:val="18"/>
              </w:rPr>
            </w:pPr>
            <w:r w:rsidRPr="00D372FF">
              <w:rPr>
                <w:rFonts w:ascii="Palatino" w:eastAsia="Times New Roman" w:hAnsi="Palatino" w:cs="Calibri"/>
                <w:b/>
                <w:bCs/>
                <w:sz w:val="18"/>
                <w:szCs w:val="18"/>
              </w:rPr>
              <w:t>WES phenotype - HPO terms identified from clinical notes</w:t>
            </w:r>
          </w:p>
        </w:tc>
        <w:tc>
          <w:tcPr>
            <w:tcW w:w="2509" w:type="dxa"/>
            <w:tcBorders>
              <w:top w:val="nil"/>
              <w:bottom w:val="single" w:sz="8" w:space="0" w:color="auto"/>
            </w:tcBorders>
            <w:shd w:val="clear" w:color="auto" w:fill="auto"/>
            <w:vAlign w:val="center"/>
            <w:hideMark/>
          </w:tcPr>
          <w:p w14:paraId="16005E4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 w:val="18"/>
                <w:szCs w:val="18"/>
              </w:rPr>
            </w:pPr>
            <w:r w:rsidRPr="00D372FF">
              <w:rPr>
                <w:rFonts w:ascii="Palatino" w:eastAsia="Times New Roman" w:hAnsi="Palatino" w:cs="Calibri"/>
                <w:b/>
                <w:bCs/>
                <w:sz w:val="18"/>
                <w:szCs w:val="18"/>
              </w:rPr>
              <w:t>WGS phenotype - HPO terms identified by clinician</w:t>
            </w:r>
          </w:p>
        </w:tc>
        <w:tc>
          <w:tcPr>
            <w:tcW w:w="1895" w:type="dxa"/>
            <w:tcBorders>
              <w:top w:val="nil"/>
              <w:bottom w:val="single" w:sz="8" w:space="0" w:color="auto"/>
            </w:tcBorders>
            <w:vAlign w:val="center"/>
          </w:tcPr>
          <w:p w14:paraId="272CC37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 w:val="18"/>
                <w:szCs w:val="18"/>
              </w:rPr>
            </w:pPr>
            <w:r w:rsidRPr="00D372FF">
              <w:rPr>
                <w:rFonts w:ascii="Palatino" w:eastAsia="Times New Roman" w:hAnsi="Palatino" w:cs="Calibri"/>
                <w:b/>
                <w:bCs/>
                <w:sz w:val="18"/>
                <w:szCs w:val="18"/>
              </w:rPr>
              <w:t>WGS - Gene Panel applied</w:t>
            </w:r>
          </w:p>
        </w:tc>
      </w:tr>
      <w:tr w:rsidR="00C34963" w:rsidRPr="00C34963" w14:paraId="49FA5117" w14:textId="77777777" w:rsidTr="00C34963">
        <w:trPr>
          <w:jc w:val="center"/>
        </w:trPr>
        <w:tc>
          <w:tcPr>
            <w:tcW w:w="561" w:type="dxa"/>
            <w:tcBorders>
              <w:top w:val="nil"/>
              <w:bottom w:val="single" w:sz="4" w:space="0" w:color="auto"/>
            </w:tcBorders>
            <w:shd w:val="clear" w:color="000000" w:fill="E2EFDA"/>
            <w:noWrap/>
            <w:vAlign w:val="center"/>
            <w:hideMark/>
          </w:tcPr>
          <w:p w14:paraId="3361083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FAM_1</w:t>
            </w:r>
          </w:p>
        </w:tc>
        <w:tc>
          <w:tcPr>
            <w:tcW w:w="510" w:type="dxa"/>
            <w:tcBorders>
              <w:top w:val="nil"/>
              <w:bottom w:val="single" w:sz="4" w:space="0" w:color="auto"/>
            </w:tcBorders>
            <w:shd w:val="clear" w:color="000000" w:fill="E2EFDA"/>
            <w:noWrap/>
            <w:vAlign w:val="center"/>
            <w:hideMark/>
          </w:tcPr>
          <w:p w14:paraId="2C849F2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w:t>
            </w:r>
          </w:p>
        </w:tc>
        <w:tc>
          <w:tcPr>
            <w:tcW w:w="502" w:type="dxa"/>
            <w:tcBorders>
              <w:top w:val="nil"/>
              <w:bottom w:val="single" w:sz="4" w:space="0" w:color="auto"/>
            </w:tcBorders>
            <w:shd w:val="clear" w:color="000000" w:fill="E2EFDA"/>
            <w:noWrap/>
            <w:vAlign w:val="center"/>
            <w:hideMark/>
          </w:tcPr>
          <w:p w14:paraId="76DAD3C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2</w:t>
            </w:r>
          </w:p>
        </w:tc>
        <w:tc>
          <w:tcPr>
            <w:tcW w:w="553" w:type="dxa"/>
            <w:tcBorders>
              <w:top w:val="nil"/>
              <w:bottom w:val="single" w:sz="4" w:space="0" w:color="auto"/>
            </w:tcBorders>
            <w:shd w:val="clear" w:color="000000" w:fill="E2EFDA"/>
            <w:noWrap/>
            <w:vAlign w:val="center"/>
            <w:hideMark/>
          </w:tcPr>
          <w:p w14:paraId="43FBDBC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3</w:t>
            </w:r>
          </w:p>
        </w:tc>
        <w:tc>
          <w:tcPr>
            <w:tcW w:w="484" w:type="dxa"/>
            <w:tcBorders>
              <w:top w:val="nil"/>
              <w:bottom w:val="single" w:sz="4" w:space="0" w:color="auto"/>
            </w:tcBorders>
            <w:shd w:val="clear" w:color="000000" w:fill="E2EFDA"/>
            <w:noWrap/>
            <w:vAlign w:val="center"/>
            <w:hideMark/>
          </w:tcPr>
          <w:p w14:paraId="302C253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289C450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0-5</w:t>
            </w:r>
          </w:p>
        </w:tc>
        <w:tc>
          <w:tcPr>
            <w:tcW w:w="302" w:type="dxa"/>
            <w:tcBorders>
              <w:top w:val="nil"/>
              <w:bottom w:val="single" w:sz="4" w:space="0" w:color="auto"/>
            </w:tcBorders>
            <w:shd w:val="clear" w:color="000000" w:fill="DDEBF7"/>
            <w:noWrap/>
            <w:vAlign w:val="center"/>
            <w:hideMark/>
          </w:tcPr>
          <w:p w14:paraId="0E10470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M</w:t>
            </w:r>
          </w:p>
        </w:tc>
        <w:tc>
          <w:tcPr>
            <w:tcW w:w="2703" w:type="dxa"/>
            <w:tcBorders>
              <w:top w:val="nil"/>
              <w:bottom w:val="single" w:sz="4" w:space="0" w:color="auto"/>
            </w:tcBorders>
            <w:shd w:val="clear" w:color="000000" w:fill="DDEBF7"/>
            <w:vAlign w:val="center"/>
            <w:hideMark/>
          </w:tcPr>
          <w:p w14:paraId="2180ACB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xml:space="preserve">Gastroesophageal reflux, </w:t>
            </w:r>
            <w:r w:rsidRPr="00D372FF">
              <w:rPr>
                <w:rFonts w:ascii="Palatino" w:eastAsia="Times New Roman" w:hAnsi="Palatino" w:cs="Calibri"/>
                <w:b/>
                <w:bCs/>
                <w:sz w:val="18"/>
                <w:szCs w:val="18"/>
                <w:u w:val="single"/>
              </w:rPr>
              <w:t>Myopia</w:t>
            </w:r>
            <w:r w:rsidRPr="00D372FF">
              <w:rPr>
                <w:rFonts w:ascii="Palatino" w:eastAsia="Times New Roman" w:hAnsi="Palatino" w:cs="Calibri"/>
                <w:sz w:val="18"/>
                <w:szCs w:val="18"/>
              </w:rPr>
              <w:t xml:space="preserve">, Delayed eruption of primary teeth, Triangular face, Prominent forehead, </w:t>
            </w:r>
            <w:r w:rsidRPr="00D372FF">
              <w:rPr>
                <w:rFonts w:ascii="Palatino" w:eastAsia="Times New Roman" w:hAnsi="Palatino" w:cs="Calibri"/>
                <w:b/>
                <w:bCs/>
                <w:sz w:val="18"/>
                <w:szCs w:val="18"/>
                <w:u w:val="single"/>
              </w:rPr>
              <w:t>Cow milk allergy</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Egg allergy</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Nut food product allergy</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Sacral dimple</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Clinodactyly of the 5th finger</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Short 5th toe</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2-3 toe syndactyly</w:t>
            </w:r>
            <w:r w:rsidRPr="00D372FF">
              <w:rPr>
                <w:rFonts w:ascii="Palatino" w:eastAsia="Times New Roman" w:hAnsi="Palatino" w:cs="Calibri"/>
                <w:sz w:val="18"/>
                <w:szCs w:val="18"/>
              </w:rPr>
              <w:t>, Mild global developmental delay, Delayed speech and language development, Oligohydramnios</w:t>
            </w:r>
          </w:p>
        </w:tc>
        <w:tc>
          <w:tcPr>
            <w:tcW w:w="2509" w:type="dxa"/>
            <w:tcBorders>
              <w:top w:val="nil"/>
              <w:bottom w:val="single" w:sz="4" w:space="0" w:color="auto"/>
            </w:tcBorders>
            <w:shd w:val="clear" w:color="000000" w:fill="DDEBF7"/>
            <w:vAlign w:val="center"/>
            <w:hideMark/>
          </w:tcPr>
          <w:p w14:paraId="606E703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Global developmental delay; Delayed speech and language development; Triangular face; Prominent forehead; Feeding difficulties; Delayed gross motor development; Oligohydramnios; Delayed eruption of primary teeth.</w:t>
            </w:r>
          </w:p>
        </w:tc>
        <w:tc>
          <w:tcPr>
            <w:tcW w:w="1895" w:type="dxa"/>
            <w:tcBorders>
              <w:top w:val="nil"/>
              <w:bottom w:val="single" w:sz="4" w:space="0" w:color="auto"/>
            </w:tcBorders>
            <w:shd w:val="clear" w:color="000000" w:fill="DDEBF7"/>
            <w:vAlign w:val="center"/>
          </w:tcPr>
          <w:p w14:paraId="07D3233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Intellectual disability (</w:t>
            </w:r>
            <w:r w:rsidRPr="00D372FF">
              <w:rPr>
                <w:rFonts w:ascii="Palatino" w:eastAsia="Times New Roman" w:hAnsi="Palatino" w:cs="Calibri"/>
                <w:b/>
                <w:bCs/>
                <w:sz w:val="18"/>
                <w:szCs w:val="18"/>
              </w:rPr>
              <w:t>R.29.4</w:t>
            </w:r>
            <w:r w:rsidRPr="00D372FF">
              <w:rPr>
                <w:rFonts w:ascii="Palatino" w:eastAsia="Times New Roman" w:hAnsi="Palatino" w:cs="Calibri"/>
                <w:sz w:val="18"/>
                <w:szCs w:val="18"/>
              </w:rPr>
              <w:t>), Congenital malformation and dysmorphism syndromes (</w:t>
            </w:r>
            <w:r w:rsidRPr="00D372FF">
              <w:rPr>
                <w:rFonts w:ascii="Palatino" w:eastAsia="Times New Roman" w:hAnsi="Palatino" w:cs="Calibri"/>
                <w:b/>
                <w:bCs/>
                <w:sz w:val="18"/>
                <w:szCs w:val="18"/>
              </w:rPr>
              <w:t>R27.3</w:t>
            </w:r>
            <w:r w:rsidRPr="00D372FF">
              <w:rPr>
                <w:rFonts w:ascii="Palatino" w:eastAsia="Times New Roman" w:hAnsi="Palatino" w:cs="Calibri"/>
                <w:sz w:val="18"/>
                <w:szCs w:val="18"/>
              </w:rPr>
              <w:t>), Skeletal dysplasia (</w:t>
            </w:r>
            <w:r w:rsidRPr="00D372FF">
              <w:rPr>
                <w:rFonts w:ascii="Palatino" w:eastAsia="Times New Roman" w:hAnsi="Palatino" w:cs="Calibri"/>
                <w:b/>
                <w:bCs/>
                <w:sz w:val="18"/>
                <w:szCs w:val="18"/>
              </w:rPr>
              <w:t>R104.3</w:t>
            </w:r>
            <w:r w:rsidRPr="00D372FF">
              <w:rPr>
                <w:rFonts w:ascii="Palatino" w:eastAsia="Times New Roman" w:hAnsi="Palatino" w:cs="Calibri"/>
                <w:sz w:val="18"/>
                <w:szCs w:val="18"/>
              </w:rPr>
              <w:t>), Likely inborn error of metabolism (</w:t>
            </w:r>
            <w:r w:rsidRPr="00D372FF">
              <w:rPr>
                <w:rFonts w:ascii="Palatino" w:eastAsia="Times New Roman" w:hAnsi="Palatino" w:cs="Calibri"/>
                <w:b/>
                <w:bCs/>
                <w:sz w:val="18"/>
                <w:szCs w:val="18"/>
              </w:rPr>
              <w:t>R98.2</w:t>
            </w:r>
            <w:r w:rsidRPr="00D372FF">
              <w:rPr>
                <w:rFonts w:ascii="Palatino" w:eastAsia="Times New Roman" w:hAnsi="Palatino" w:cs="Calibri"/>
                <w:sz w:val="18"/>
                <w:szCs w:val="18"/>
              </w:rPr>
              <w:t>)</w:t>
            </w:r>
          </w:p>
        </w:tc>
      </w:tr>
      <w:tr w:rsidR="00C34963" w:rsidRPr="00C34963" w14:paraId="66DCAB66" w14:textId="77777777" w:rsidTr="00C34963">
        <w:trPr>
          <w:jc w:val="center"/>
        </w:trPr>
        <w:tc>
          <w:tcPr>
            <w:tcW w:w="561" w:type="dxa"/>
            <w:tcBorders>
              <w:top w:val="nil"/>
              <w:bottom w:val="single" w:sz="4" w:space="0" w:color="auto"/>
            </w:tcBorders>
            <w:shd w:val="clear" w:color="000000" w:fill="E2EFDA"/>
            <w:noWrap/>
            <w:vAlign w:val="center"/>
            <w:hideMark/>
          </w:tcPr>
          <w:p w14:paraId="2305B8F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FAM_1</w:t>
            </w:r>
          </w:p>
        </w:tc>
        <w:tc>
          <w:tcPr>
            <w:tcW w:w="510" w:type="dxa"/>
            <w:tcBorders>
              <w:top w:val="nil"/>
              <w:bottom w:val="single" w:sz="4" w:space="0" w:color="auto"/>
            </w:tcBorders>
            <w:shd w:val="clear" w:color="000000" w:fill="E2EFDA"/>
            <w:noWrap/>
            <w:vAlign w:val="center"/>
            <w:hideMark/>
          </w:tcPr>
          <w:p w14:paraId="2D95E53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2</w:t>
            </w:r>
          </w:p>
        </w:tc>
        <w:tc>
          <w:tcPr>
            <w:tcW w:w="502" w:type="dxa"/>
            <w:tcBorders>
              <w:top w:val="nil"/>
              <w:bottom w:val="single" w:sz="4" w:space="0" w:color="auto"/>
            </w:tcBorders>
            <w:shd w:val="clear" w:color="000000" w:fill="E2EFDA"/>
            <w:noWrap/>
            <w:vAlign w:val="center"/>
            <w:hideMark/>
          </w:tcPr>
          <w:p w14:paraId="6A87A17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4" w:space="0" w:color="auto"/>
            </w:tcBorders>
            <w:shd w:val="clear" w:color="000000" w:fill="E2EFDA"/>
            <w:noWrap/>
            <w:vAlign w:val="center"/>
            <w:hideMark/>
          </w:tcPr>
          <w:p w14:paraId="7049F8F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4" w:space="0" w:color="auto"/>
            </w:tcBorders>
            <w:shd w:val="clear" w:color="000000" w:fill="E2EFDA"/>
            <w:noWrap/>
            <w:vAlign w:val="center"/>
            <w:hideMark/>
          </w:tcPr>
          <w:p w14:paraId="60E1186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3672579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41-45</w:t>
            </w:r>
          </w:p>
        </w:tc>
        <w:tc>
          <w:tcPr>
            <w:tcW w:w="302" w:type="dxa"/>
            <w:tcBorders>
              <w:top w:val="nil"/>
              <w:bottom w:val="single" w:sz="4" w:space="0" w:color="auto"/>
            </w:tcBorders>
            <w:shd w:val="clear" w:color="000000" w:fill="DDEBF7"/>
            <w:noWrap/>
            <w:vAlign w:val="center"/>
            <w:hideMark/>
          </w:tcPr>
          <w:p w14:paraId="5B967DA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M</w:t>
            </w:r>
          </w:p>
        </w:tc>
        <w:tc>
          <w:tcPr>
            <w:tcW w:w="2703" w:type="dxa"/>
            <w:tcBorders>
              <w:top w:val="nil"/>
              <w:bottom w:val="single" w:sz="4" w:space="0" w:color="auto"/>
            </w:tcBorders>
            <w:shd w:val="clear" w:color="000000" w:fill="DDEBF7"/>
            <w:vAlign w:val="center"/>
            <w:hideMark/>
          </w:tcPr>
          <w:p w14:paraId="375FC5B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nil"/>
              <w:bottom w:val="single" w:sz="4" w:space="0" w:color="auto"/>
            </w:tcBorders>
            <w:shd w:val="clear" w:color="000000" w:fill="DDEBF7"/>
            <w:vAlign w:val="center"/>
            <w:hideMark/>
          </w:tcPr>
          <w:p w14:paraId="7031BB7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1895" w:type="dxa"/>
            <w:tcBorders>
              <w:top w:val="nil"/>
              <w:bottom w:val="single" w:sz="4" w:space="0" w:color="auto"/>
            </w:tcBorders>
            <w:shd w:val="clear" w:color="000000" w:fill="DDEBF7"/>
            <w:vAlign w:val="center"/>
          </w:tcPr>
          <w:p w14:paraId="3EF20CA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2C6DF601" w14:textId="77777777" w:rsidTr="00C34963">
        <w:trPr>
          <w:jc w:val="center"/>
        </w:trPr>
        <w:tc>
          <w:tcPr>
            <w:tcW w:w="561" w:type="dxa"/>
            <w:tcBorders>
              <w:top w:val="nil"/>
              <w:bottom w:val="single" w:sz="8" w:space="0" w:color="auto"/>
            </w:tcBorders>
            <w:shd w:val="clear" w:color="000000" w:fill="E2EFDA"/>
            <w:noWrap/>
            <w:vAlign w:val="center"/>
            <w:hideMark/>
          </w:tcPr>
          <w:p w14:paraId="3AA8597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FAM_1</w:t>
            </w:r>
          </w:p>
        </w:tc>
        <w:tc>
          <w:tcPr>
            <w:tcW w:w="510" w:type="dxa"/>
            <w:tcBorders>
              <w:top w:val="nil"/>
              <w:bottom w:val="single" w:sz="8" w:space="0" w:color="auto"/>
            </w:tcBorders>
            <w:shd w:val="clear" w:color="000000" w:fill="E2EFDA"/>
            <w:noWrap/>
            <w:vAlign w:val="center"/>
            <w:hideMark/>
          </w:tcPr>
          <w:p w14:paraId="677E372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3</w:t>
            </w:r>
          </w:p>
        </w:tc>
        <w:tc>
          <w:tcPr>
            <w:tcW w:w="502" w:type="dxa"/>
            <w:tcBorders>
              <w:top w:val="nil"/>
              <w:bottom w:val="single" w:sz="8" w:space="0" w:color="auto"/>
            </w:tcBorders>
            <w:shd w:val="clear" w:color="000000" w:fill="E2EFDA"/>
            <w:noWrap/>
            <w:vAlign w:val="center"/>
            <w:hideMark/>
          </w:tcPr>
          <w:p w14:paraId="7015A63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8" w:space="0" w:color="auto"/>
            </w:tcBorders>
            <w:shd w:val="clear" w:color="000000" w:fill="E2EFDA"/>
            <w:noWrap/>
            <w:vAlign w:val="center"/>
            <w:hideMark/>
          </w:tcPr>
          <w:p w14:paraId="09971CF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8" w:space="0" w:color="auto"/>
            </w:tcBorders>
            <w:shd w:val="clear" w:color="000000" w:fill="E2EFDA"/>
            <w:noWrap/>
            <w:vAlign w:val="center"/>
            <w:hideMark/>
          </w:tcPr>
          <w:p w14:paraId="053E3EF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8" w:space="0" w:color="auto"/>
            </w:tcBorders>
            <w:shd w:val="clear" w:color="000000" w:fill="DDEBF7"/>
            <w:noWrap/>
            <w:vAlign w:val="center"/>
            <w:hideMark/>
          </w:tcPr>
          <w:p w14:paraId="4002556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41-45</w:t>
            </w:r>
          </w:p>
        </w:tc>
        <w:tc>
          <w:tcPr>
            <w:tcW w:w="302" w:type="dxa"/>
            <w:tcBorders>
              <w:top w:val="nil"/>
              <w:bottom w:val="single" w:sz="8" w:space="0" w:color="auto"/>
            </w:tcBorders>
            <w:shd w:val="clear" w:color="000000" w:fill="DDEBF7"/>
            <w:noWrap/>
            <w:vAlign w:val="center"/>
            <w:hideMark/>
          </w:tcPr>
          <w:p w14:paraId="3493622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w:t>
            </w:r>
          </w:p>
        </w:tc>
        <w:tc>
          <w:tcPr>
            <w:tcW w:w="2703" w:type="dxa"/>
            <w:tcBorders>
              <w:top w:val="nil"/>
              <w:bottom w:val="single" w:sz="8" w:space="0" w:color="auto"/>
            </w:tcBorders>
            <w:shd w:val="clear" w:color="000000" w:fill="DDEBF7"/>
            <w:vAlign w:val="center"/>
            <w:hideMark/>
          </w:tcPr>
          <w:p w14:paraId="1529572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nil"/>
              <w:bottom w:val="single" w:sz="8" w:space="0" w:color="auto"/>
            </w:tcBorders>
            <w:shd w:val="clear" w:color="000000" w:fill="DDEBF7"/>
            <w:vAlign w:val="center"/>
            <w:hideMark/>
          </w:tcPr>
          <w:p w14:paraId="6E02072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1895" w:type="dxa"/>
            <w:tcBorders>
              <w:top w:val="nil"/>
              <w:bottom w:val="single" w:sz="8" w:space="0" w:color="auto"/>
            </w:tcBorders>
            <w:shd w:val="clear" w:color="000000" w:fill="DDEBF7"/>
            <w:vAlign w:val="center"/>
          </w:tcPr>
          <w:p w14:paraId="5ED8562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6E73AA42" w14:textId="77777777" w:rsidTr="00C34963">
        <w:trPr>
          <w:jc w:val="center"/>
        </w:trPr>
        <w:tc>
          <w:tcPr>
            <w:tcW w:w="561" w:type="dxa"/>
            <w:tcBorders>
              <w:top w:val="nil"/>
              <w:bottom w:val="single" w:sz="4" w:space="0" w:color="auto"/>
            </w:tcBorders>
            <w:shd w:val="clear" w:color="000000" w:fill="E2EFDA"/>
            <w:noWrap/>
            <w:vAlign w:val="center"/>
            <w:hideMark/>
          </w:tcPr>
          <w:p w14:paraId="1183440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FAM_2</w:t>
            </w:r>
          </w:p>
        </w:tc>
        <w:tc>
          <w:tcPr>
            <w:tcW w:w="510" w:type="dxa"/>
            <w:tcBorders>
              <w:top w:val="nil"/>
              <w:bottom w:val="single" w:sz="4" w:space="0" w:color="auto"/>
            </w:tcBorders>
            <w:shd w:val="clear" w:color="000000" w:fill="E2EFDA"/>
            <w:noWrap/>
            <w:vAlign w:val="center"/>
            <w:hideMark/>
          </w:tcPr>
          <w:p w14:paraId="73D68FB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4</w:t>
            </w:r>
          </w:p>
        </w:tc>
        <w:tc>
          <w:tcPr>
            <w:tcW w:w="502" w:type="dxa"/>
            <w:tcBorders>
              <w:top w:val="nil"/>
              <w:bottom w:val="single" w:sz="4" w:space="0" w:color="auto"/>
            </w:tcBorders>
            <w:shd w:val="clear" w:color="000000" w:fill="E2EFDA"/>
            <w:noWrap/>
            <w:vAlign w:val="center"/>
            <w:hideMark/>
          </w:tcPr>
          <w:p w14:paraId="09538BD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5</w:t>
            </w:r>
          </w:p>
        </w:tc>
        <w:tc>
          <w:tcPr>
            <w:tcW w:w="553" w:type="dxa"/>
            <w:tcBorders>
              <w:top w:val="nil"/>
              <w:bottom w:val="single" w:sz="4" w:space="0" w:color="auto"/>
            </w:tcBorders>
            <w:shd w:val="clear" w:color="000000" w:fill="E2EFDA"/>
            <w:noWrap/>
            <w:vAlign w:val="center"/>
            <w:hideMark/>
          </w:tcPr>
          <w:p w14:paraId="65295BD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6</w:t>
            </w:r>
          </w:p>
        </w:tc>
        <w:tc>
          <w:tcPr>
            <w:tcW w:w="484" w:type="dxa"/>
            <w:tcBorders>
              <w:top w:val="nil"/>
              <w:bottom w:val="single" w:sz="4" w:space="0" w:color="auto"/>
            </w:tcBorders>
            <w:shd w:val="clear" w:color="000000" w:fill="E2EFDA"/>
            <w:noWrap/>
            <w:vAlign w:val="center"/>
            <w:hideMark/>
          </w:tcPr>
          <w:p w14:paraId="7EB5875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151724C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6-10</w:t>
            </w:r>
          </w:p>
        </w:tc>
        <w:tc>
          <w:tcPr>
            <w:tcW w:w="302" w:type="dxa"/>
            <w:tcBorders>
              <w:top w:val="nil"/>
              <w:bottom w:val="single" w:sz="4" w:space="0" w:color="auto"/>
            </w:tcBorders>
            <w:shd w:val="clear" w:color="000000" w:fill="DDEBF7"/>
            <w:noWrap/>
            <w:vAlign w:val="center"/>
            <w:hideMark/>
          </w:tcPr>
          <w:p w14:paraId="33EB857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M</w:t>
            </w:r>
          </w:p>
        </w:tc>
        <w:tc>
          <w:tcPr>
            <w:tcW w:w="2703" w:type="dxa"/>
            <w:tcBorders>
              <w:top w:val="nil"/>
              <w:bottom w:val="single" w:sz="4" w:space="0" w:color="auto"/>
            </w:tcBorders>
            <w:shd w:val="clear" w:color="000000" w:fill="DDEBF7"/>
            <w:vAlign w:val="center"/>
            <w:hideMark/>
          </w:tcPr>
          <w:p w14:paraId="6D6D156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b/>
                <w:bCs/>
                <w:sz w:val="18"/>
                <w:szCs w:val="18"/>
                <w:u w:val="single"/>
              </w:rPr>
              <w:t>Simple ear</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Astigmatism</w:t>
            </w:r>
            <w:r w:rsidRPr="00D372FF">
              <w:rPr>
                <w:rFonts w:ascii="Palatino" w:eastAsia="Times New Roman" w:hAnsi="Palatino" w:cs="Calibri"/>
                <w:sz w:val="18"/>
                <w:szCs w:val="18"/>
              </w:rPr>
              <w:t xml:space="preserve">, Obesity, </w:t>
            </w:r>
            <w:r w:rsidRPr="00D372FF">
              <w:rPr>
                <w:rFonts w:ascii="Palatino" w:eastAsia="Times New Roman" w:hAnsi="Palatino" w:cs="Calibri"/>
                <w:b/>
                <w:bCs/>
                <w:sz w:val="18"/>
                <w:szCs w:val="18"/>
                <w:u w:val="single"/>
              </w:rPr>
              <w:t>Patchy hypo- and hyperpigmentation</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2-3 toe syndactyly</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Short finger</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Specific learning disability</w:t>
            </w:r>
            <w:r w:rsidRPr="00D372FF">
              <w:rPr>
                <w:rFonts w:ascii="Palatino" w:eastAsia="Times New Roman" w:hAnsi="Palatino" w:cs="Calibri"/>
                <w:sz w:val="18"/>
                <w:szCs w:val="18"/>
              </w:rPr>
              <w:t xml:space="preserve">, Global developmental delay, Intellectual disability, </w:t>
            </w:r>
            <w:r w:rsidRPr="00D372FF">
              <w:rPr>
                <w:rFonts w:ascii="Palatino" w:eastAsia="Times New Roman" w:hAnsi="Palatino" w:cs="Calibri"/>
                <w:b/>
                <w:bCs/>
                <w:sz w:val="18"/>
                <w:szCs w:val="18"/>
                <w:u w:val="single"/>
              </w:rPr>
              <w:t>Delayed speech and language development</w:t>
            </w:r>
          </w:p>
        </w:tc>
        <w:tc>
          <w:tcPr>
            <w:tcW w:w="2509" w:type="dxa"/>
            <w:tcBorders>
              <w:top w:val="nil"/>
              <w:bottom w:val="nil"/>
            </w:tcBorders>
            <w:shd w:val="clear" w:color="000000" w:fill="DDEBF7"/>
            <w:vAlign w:val="center"/>
            <w:hideMark/>
          </w:tcPr>
          <w:p w14:paraId="0CDA059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Chronic otitis media, Obesity, Severe intellectual disability, Autistic behaviour, Global developmental delay</w:t>
            </w:r>
          </w:p>
        </w:tc>
        <w:tc>
          <w:tcPr>
            <w:tcW w:w="1895" w:type="dxa"/>
            <w:tcBorders>
              <w:top w:val="nil"/>
              <w:bottom w:val="nil"/>
            </w:tcBorders>
            <w:shd w:val="clear" w:color="000000" w:fill="DDEBF7"/>
            <w:vAlign w:val="center"/>
          </w:tcPr>
          <w:p w14:paraId="2314C26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Intellectual disability (</w:t>
            </w:r>
            <w:r w:rsidRPr="00D372FF">
              <w:rPr>
                <w:rFonts w:ascii="Palatino" w:eastAsia="Times New Roman" w:hAnsi="Palatino" w:cs="Calibri"/>
                <w:b/>
                <w:bCs/>
                <w:sz w:val="18"/>
                <w:szCs w:val="18"/>
              </w:rPr>
              <w:t>R.29.4</w:t>
            </w:r>
            <w:r w:rsidRPr="00D372FF">
              <w:rPr>
                <w:rFonts w:ascii="Palatino" w:eastAsia="Times New Roman" w:hAnsi="Palatino" w:cs="Calibri"/>
                <w:sz w:val="18"/>
                <w:szCs w:val="18"/>
              </w:rPr>
              <w:t>), severe early onset obesity (</w:t>
            </w:r>
            <w:r w:rsidRPr="00D372FF">
              <w:rPr>
                <w:rFonts w:ascii="Palatino" w:eastAsia="Times New Roman" w:hAnsi="Palatino" w:cs="Calibri"/>
                <w:b/>
                <w:bCs/>
                <w:sz w:val="18"/>
                <w:szCs w:val="18"/>
              </w:rPr>
              <w:t>R149.1</w:t>
            </w:r>
            <w:r w:rsidRPr="00D372FF">
              <w:rPr>
                <w:rFonts w:ascii="Palatino" w:eastAsia="Times New Roman" w:hAnsi="Palatino" w:cs="Calibri"/>
                <w:sz w:val="18"/>
                <w:szCs w:val="18"/>
              </w:rPr>
              <w:t>)</w:t>
            </w:r>
          </w:p>
        </w:tc>
      </w:tr>
      <w:tr w:rsidR="00C34963" w:rsidRPr="00C34963" w14:paraId="733C3163" w14:textId="77777777" w:rsidTr="00C34963">
        <w:trPr>
          <w:jc w:val="center"/>
        </w:trPr>
        <w:tc>
          <w:tcPr>
            <w:tcW w:w="561" w:type="dxa"/>
            <w:tcBorders>
              <w:top w:val="nil"/>
              <w:bottom w:val="single" w:sz="4" w:space="0" w:color="auto"/>
            </w:tcBorders>
            <w:shd w:val="clear" w:color="000000" w:fill="E2EFDA"/>
            <w:noWrap/>
            <w:vAlign w:val="center"/>
            <w:hideMark/>
          </w:tcPr>
          <w:p w14:paraId="66579DE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FAM_2</w:t>
            </w:r>
          </w:p>
        </w:tc>
        <w:tc>
          <w:tcPr>
            <w:tcW w:w="510" w:type="dxa"/>
            <w:tcBorders>
              <w:top w:val="nil"/>
              <w:bottom w:val="single" w:sz="4" w:space="0" w:color="auto"/>
            </w:tcBorders>
            <w:shd w:val="clear" w:color="000000" w:fill="E2EFDA"/>
            <w:noWrap/>
            <w:vAlign w:val="center"/>
            <w:hideMark/>
          </w:tcPr>
          <w:p w14:paraId="4A52D2A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5</w:t>
            </w:r>
          </w:p>
        </w:tc>
        <w:tc>
          <w:tcPr>
            <w:tcW w:w="502" w:type="dxa"/>
            <w:tcBorders>
              <w:top w:val="nil"/>
              <w:bottom w:val="single" w:sz="4" w:space="0" w:color="auto"/>
            </w:tcBorders>
            <w:shd w:val="clear" w:color="000000" w:fill="E2EFDA"/>
            <w:noWrap/>
            <w:vAlign w:val="center"/>
            <w:hideMark/>
          </w:tcPr>
          <w:p w14:paraId="66695CE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4" w:space="0" w:color="auto"/>
            </w:tcBorders>
            <w:shd w:val="clear" w:color="000000" w:fill="E2EFDA"/>
            <w:noWrap/>
            <w:vAlign w:val="center"/>
            <w:hideMark/>
          </w:tcPr>
          <w:p w14:paraId="731D5E1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4" w:space="0" w:color="auto"/>
            </w:tcBorders>
            <w:shd w:val="clear" w:color="000000" w:fill="E2EFDA"/>
            <w:noWrap/>
            <w:vAlign w:val="center"/>
            <w:hideMark/>
          </w:tcPr>
          <w:p w14:paraId="48AF41D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067EAD6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31-35</w:t>
            </w:r>
          </w:p>
        </w:tc>
        <w:tc>
          <w:tcPr>
            <w:tcW w:w="302" w:type="dxa"/>
            <w:tcBorders>
              <w:top w:val="nil"/>
              <w:bottom w:val="single" w:sz="4" w:space="0" w:color="auto"/>
            </w:tcBorders>
            <w:shd w:val="clear" w:color="000000" w:fill="DDEBF7"/>
            <w:noWrap/>
            <w:vAlign w:val="center"/>
            <w:hideMark/>
          </w:tcPr>
          <w:p w14:paraId="44CF146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M</w:t>
            </w:r>
          </w:p>
        </w:tc>
        <w:tc>
          <w:tcPr>
            <w:tcW w:w="2703" w:type="dxa"/>
            <w:tcBorders>
              <w:top w:val="nil"/>
              <w:bottom w:val="single" w:sz="4" w:space="0" w:color="auto"/>
            </w:tcBorders>
            <w:shd w:val="clear" w:color="000000" w:fill="DDEBF7"/>
            <w:vAlign w:val="center"/>
            <w:hideMark/>
          </w:tcPr>
          <w:p w14:paraId="574E479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single" w:sz="4" w:space="0" w:color="auto"/>
              <w:bottom w:val="single" w:sz="4" w:space="0" w:color="auto"/>
            </w:tcBorders>
            <w:shd w:val="clear" w:color="000000" w:fill="DDEBF7"/>
            <w:vAlign w:val="center"/>
            <w:hideMark/>
          </w:tcPr>
          <w:p w14:paraId="711CA6E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1895" w:type="dxa"/>
            <w:tcBorders>
              <w:top w:val="single" w:sz="4" w:space="0" w:color="auto"/>
              <w:bottom w:val="single" w:sz="4" w:space="0" w:color="auto"/>
            </w:tcBorders>
            <w:shd w:val="clear" w:color="000000" w:fill="DDEBF7"/>
            <w:vAlign w:val="center"/>
          </w:tcPr>
          <w:p w14:paraId="733C816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018A9F6F" w14:textId="77777777" w:rsidTr="00C34963">
        <w:trPr>
          <w:jc w:val="center"/>
        </w:trPr>
        <w:tc>
          <w:tcPr>
            <w:tcW w:w="561" w:type="dxa"/>
            <w:tcBorders>
              <w:top w:val="nil"/>
              <w:bottom w:val="single" w:sz="8" w:space="0" w:color="auto"/>
            </w:tcBorders>
            <w:shd w:val="clear" w:color="000000" w:fill="E2EFDA"/>
            <w:noWrap/>
            <w:vAlign w:val="center"/>
            <w:hideMark/>
          </w:tcPr>
          <w:p w14:paraId="673FAA5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FAM_2</w:t>
            </w:r>
          </w:p>
        </w:tc>
        <w:tc>
          <w:tcPr>
            <w:tcW w:w="510" w:type="dxa"/>
            <w:tcBorders>
              <w:top w:val="nil"/>
              <w:bottom w:val="single" w:sz="8" w:space="0" w:color="auto"/>
            </w:tcBorders>
            <w:shd w:val="clear" w:color="000000" w:fill="E2EFDA"/>
            <w:noWrap/>
            <w:vAlign w:val="center"/>
            <w:hideMark/>
          </w:tcPr>
          <w:p w14:paraId="10776DF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6</w:t>
            </w:r>
          </w:p>
        </w:tc>
        <w:tc>
          <w:tcPr>
            <w:tcW w:w="502" w:type="dxa"/>
            <w:tcBorders>
              <w:top w:val="nil"/>
              <w:bottom w:val="single" w:sz="8" w:space="0" w:color="auto"/>
            </w:tcBorders>
            <w:shd w:val="clear" w:color="000000" w:fill="E2EFDA"/>
            <w:noWrap/>
            <w:vAlign w:val="center"/>
            <w:hideMark/>
          </w:tcPr>
          <w:p w14:paraId="50C1FE0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8" w:space="0" w:color="auto"/>
            </w:tcBorders>
            <w:shd w:val="clear" w:color="000000" w:fill="E2EFDA"/>
            <w:noWrap/>
            <w:vAlign w:val="center"/>
            <w:hideMark/>
          </w:tcPr>
          <w:p w14:paraId="3D3A80C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8" w:space="0" w:color="auto"/>
            </w:tcBorders>
            <w:shd w:val="clear" w:color="000000" w:fill="E2EFDA"/>
            <w:noWrap/>
            <w:vAlign w:val="center"/>
            <w:hideMark/>
          </w:tcPr>
          <w:p w14:paraId="086BE56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8" w:space="0" w:color="auto"/>
            </w:tcBorders>
            <w:shd w:val="clear" w:color="000000" w:fill="DDEBF7"/>
            <w:noWrap/>
            <w:vAlign w:val="center"/>
            <w:hideMark/>
          </w:tcPr>
          <w:p w14:paraId="2E4D863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31-35</w:t>
            </w:r>
          </w:p>
        </w:tc>
        <w:tc>
          <w:tcPr>
            <w:tcW w:w="302" w:type="dxa"/>
            <w:tcBorders>
              <w:top w:val="nil"/>
              <w:bottom w:val="single" w:sz="8" w:space="0" w:color="auto"/>
            </w:tcBorders>
            <w:shd w:val="clear" w:color="000000" w:fill="DDEBF7"/>
            <w:noWrap/>
            <w:vAlign w:val="center"/>
            <w:hideMark/>
          </w:tcPr>
          <w:p w14:paraId="6F22392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w:t>
            </w:r>
          </w:p>
        </w:tc>
        <w:tc>
          <w:tcPr>
            <w:tcW w:w="2703" w:type="dxa"/>
            <w:tcBorders>
              <w:top w:val="nil"/>
              <w:bottom w:val="single" w:sz="8" w:space="0" w:color="auto"/>
            </w:tcBorders>
            <w:shd w:val="clear" w:color="000000" w:fill="DDEBF7"/>
            <w:vAlign w:val="center"/>
            <w:hideMark/>
          </w:tcPr>
          <w:p w14:paraId="0EF86DB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nil"/>
              <w:bottom w:val="single" w:sz="8" w:space="0" w:color="auto"/>
            </w:tcBorders>
            <w:shd w:val="clear" w:color="000000" w:fill="DDEBF7"/>
            <w:vAlign w:val="center"/>
            <w:hideMark/>
          </w:tcPr>
          <w:p w14:paraId="6B95840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1895" w:type="dxa"/>
            <w:tcBorders>
              <w:top w:val="nil"/>
              <w:bottom w:val="single" w:sz="8" w:space="0" w:color="auto"/>
            </w:tcBorders>
            <w:shd w:val="clear" w:color="000000" w:fill="DDEBF7"/>
            <w:vAlign w:val="center"/>
          </w:tcPr>
          <w:p w14:paraId="61F7FBF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21AECBA9" w14:textId="77777777" w:rsidTr="00C34963">
        <w:trPr>
          <w:jc w:val="center"/>
        </w:trPr>
        <w:tc>
          <w:tcPr>
            <w:tcW w:w="561" w:type="dxa"/>
            <w:tcBorders>
              <w:top w:val="nil"/>
              <w:bottom w:val="single" w:sz="4" w:space="0" w:color="auto"/>
            </w:tcBorders>
            <w:shd w:val="clear" w:color="000000" w:fill="E2EFDA"/>
            <w:noWrap/>
            <w:vAlign w:val="center"/>
            <w:hideMark/>
          </w:tcPr>
          <w:p w14:paraId="3E13113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FAM_3</w:t>
            </w:r>
          </w:p>
        </w:tc>
        <w:tc>
          <w:tcPr>
            <w:tcW w:w="510" w:type="dxa"/>
            <w:tcBorders>
              <w:top w:val="nil"/>
              <w:bottom w:val="single" w:sz="4" w:space="0" w:color="auto"/>
            </w:tcBorders>
            <w:shd w:val="clear" w:color="000000" w:fill="E2EFDA"/>
            <w:noWrap/>
            <w:vAlign w:val="center"/>
            <w:hideMark/>
          </w:tcPr>
          <w:p w14:paraId="7C88EF3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7</w:t>
            </w:r>
          </w:p>
        </w:tc>
        <w:tc>
          <w:tcPr>
            <w:tcW w:w="502" w:type="dxa"/>
            <w:tcBorders>
              <w:top w:val="nil"/>
              <w:bottom w:val="single" w:sz="4" w:space="0" w:color="auto"/>
            </w:tcBorders>
            <w:shd w:val="clear" w:color="000000" w:fill="E2EFDA"/>
            <w:noWrap/>
            <w:vAlign w:val="center"/>
            <w:hideMark/>
          </w:tcPr>
          <w:p w14:paraId="2C4DA35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8</w:t>
            </w:r>
          </w:p>
        </w:tc>
        <w:tc>
          <w:tcPr>
            <w:tcW w:w="553" w:type="dxa"/>
            <w:tcBorders>
              <w:top w:val="nil"/>
              <w:bottom w:val="single" w:sz="4" w:space="0" w:color="auto"/>
            </w:tcBorders>
            <w:shd w:val="clear" w:color="000000" w:fill="E2EFDA"/>
            <w:noWrap/>
            <w:vAlign w:val="center"/>
            <w:hideMark/>
          </w:tcPr>
          <w:p w14:paraId="3980076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9</w:t>
            </w:r>
          </w:p>
        </w:tc>
        <w:tc>
          <w:tcPr>
            <w:tcW w:w="484" w:type="dxa"/>
            <w:tcBorders>
              <w:top w:val="nil"/>
              <w:bottom w:val="single" w:sz="4" w:space="0" w:color="auto"/>
            </w:tcBorders>
            <w:shd w:val="clear" w:color="000000" w:fill="E2EFDA"/>
            <w:noWrap/>
            <w:vAlign w:val="center"/>
            <w:hideMark/>
          </w:tcPr>
          <w:p w14:paraId="7FA939E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1A206A2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6-10</w:t>
            </w:r>
          </w:p>
        </w:tc>
        <w:tc>
          <w:tcPr>
            <w:tcW w:w="302" w:type="dxa"/>
            <w:tcBorders>
              <w:top w:val="nil"/>
              <w:bottom w:val="single" w:sz="4" w:space="0" w:color="auto"/>
            </w:tcBorders>
            <w:shd w:val="clear" w:color="000000" w:fill="DDEBF7"/>
            <w:noWrap/>
            <w:vAlign w:val="center"/>
            <w:hideMark/>
          </w:tcPr>
          <w:p w14:paraId="68953C6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w:t>
            </w:r>
          </w:p>
        </w:tc>
        <w:tc>
          <w:tcPr>
            <w:tcW w:w="2703" w:type="dxa"/>
            <w:tcBorders>
              <w:top w:val="nil"/>
              <w:bottom w:val="single" w:sz="4" w:space="0" w:color="auto"/>
            </w:tcBorders>
            <w:shd w:val="clear" w:color="000000" w:fill="DDEBF7"/>
            <w:vAlign w:val="center"/>
            <w:hideMark/>
          </w:tcPr>
          <w:p w14:paraId="403AF3E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b/>
                <w:bCs/>
                <w:sz w:val="18"/>
                <w:szCs w:val="18"/>
                <w:u w:val="single"/>
              </w:rPr>
              <w:t>Low-set ears</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Hypermetropia</w:t>
            </w:r>
            <w:r w:rsidRPr="00D372FF">
              <w:rPr>
                <w:rFonts w:ascii="Palatino" w:eastAsia="Times New Roman" w:hAnsi="Palatino" w:cs="Calibri"/>
                <w:sz w:val="18"/>
                <w:szCs w:val="18"/>
              </w:rPr>
              <w:t xml:space="preserve">, Abnormality of the palmar creases, </w:t>
            </w:r>
            <w:r w:rsidRPr="00D372FF">
              <w:rPr>
                <w:rFonts w:ascii="Palatino" w:eastAsia="Times New Roman" w:hAnsi="Palatino" w:cs="Calibri"/>
                <w:b/>
                <w:bCs/>
                <w:sz w:val="18"/>
                <w:szCs w:val="18"/>
                <w:u w:val="single"/>
              </w:rPr>
              <w:t>Broad distal phalanges of all fingers</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Shallow orbits</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Cranial asymmetry</w:t>
            </w:r>
            <w:r w:rsidRPr="00D372FF">
              <w:rPr>
                <w:rFonts w:ascii="Palatino" w:eastAsia="Times New Roman" w:hAnsi="Palatino" w:cs="Calibri"/>
                <w:sz w:val="18"/>
                <w:szCs w:val="18"/>
              </w:rPr>
              <w:t xml:space="preserve">, Plagiocephaly, </w:t>
            </w:r>
            <w:r w:rsidRPr="00D372FF">
              <w:rPr>
                <w:rFonts w:ascii="Palatino" w:eastAsia="Times New Roman" w:hAnsi="Palatino" w:cs="Calibri"/>
                <w:b/>
                <w:bCs/>
                <w:sz w:val="18"/>
                <w:szCs w:val="18"/>
                <w:u w:val="single"/>
              </w:rPr>
              <w:t>Mild global developmental delay</w:t>
            </w:r>
            <w:r w:rsidRPr="00D372FF">
              <w:rPr>
                <w:rFonts w:ascii="Palatino" w:eastAsia="Times New Roman" w:hAnsi="Palatino" w:cs="Calibri"/>
                <w:sz w:val="18"/>
                <w:szCs w:val="18"/>
              </w:rPr>
              <w:t>, Intellectual disability</w:t>
            </w:r>
          </w:p>
        </w:tc>
        <w:tc>
          <w:tcPr>
            <w:tcW w:w="2509" w:type="dxa"/>
            <w:tcBorders>
              <w:top w:val="nil"/>
              <w:bottom w:val="nil"/>
            </w:tcBorders>
            <w:shd w:val="clear" w:color="000000" w:fill="DDEBF7"/>
            <w:vAlign w:val="center"/>
            <w:hideMark/>
          </w:tcPr>
          <w:p w14:paraId="30AC303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xml:space="preserve">Thin upper lip vermillion, </w:t>
            </w:r>
            <w:r w:rsidRPr="00D372FF">
              <w:rPr>
                <w:rFonts w:ascii="Palatino" w:eastAsia="Times New Roman" w:hAnsi="Palatino" w:cs="Calibri"/>
                <w:b/>
                <w:bCs/>
                <w:sz w:val="18"/>
                <w:szCs w:val="18"/>
                <w:u w:val="single"/>
              </w:rPr>
              <w:t>Long philtrum</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Downslanted palpebral fissures</w:t>
            </w:r>
            <w:r w:rsidRPr="00D372FF">
              <w:rPr>
                <w:rFonts w:ascii="Palatino" w:eastAsia="Times New Roman" w:hAnsi="Palatino" w:cs="Calibri"/>
                <w:sz w:val="18"/>
                <w:szCs w:val="18"/>
              </w:rPr>
              <w:t>, Deep palmar crease, Intellectual disability, Plagiocephaly</w:t>
            </w:r>
          </w:p>
        </w:tc>
        <w:tc>
          <w:tcPr>
            <w:tcW w:w="1895" w:type="dxa"/>
            <w:tcBorders>
              <w:top w:val="nil"/>
              <w:bottom w:val="nil"/>
            </w:tcBorders>
            <w:shd w:val="clear" w:color="000000" w:fill="DDEBF7"/>
            <w:vAlign w:val="center"/>
          </w:tcPr>
          <w:p w14:paraId="58C1E65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Intellectual disability (</w:t>
            </w:r>
            <w:r w:rsidRPr="00D372FF">
              <w:rPr>
                <w:rFonts w:ascii="Palatino" w:eastAsia="Times New Roman" w:hAnsi="Palatino" w:cs="Calibri"/>
                <w:b/>
                <w:bCs/>
                <w:sz w:val="18"/>
                <w:szCs w:val="18"/>
              </w:rPr>
              <w:t>R29.4</w:t>
            </w:r>
            <w:r w:rsidRPr="00D372FF">
              <w:rPr>
                <w:rFonts w:ascii="Palatino" w:eastAsia="Times New Roman" w:hAnsi="Palatino" w:cs="Calibri"/>
                <w:sz w:val="18"/>
                <w:szCs w:val="18"/>
              </w:rPr>
              <w:t>)</w:t>
            </w:r>
          </w:p>
        </w:tc>
      </w:tr>
      <w:tr w:rsidR="00C34963" w:rsidRPr="00C34963" w14:paraId="669F6AB5" w14:textId="77777777" w:rsidTr="00C34963">
        <w:trPr>
          <w:jc w:val="center"/>
        </w:trPr>
        <w:tc>
          <w:tcPr>
            <w:tcW w:w="561" w:type="dxa"/>
            <w:tcBorders>
              <w:top w:val="nil"/>
              <w:bottom w:val="single" w:sz="4" w:space="0" w:color="auto"/>
            </w:tcBorders>
            <w:shd w:val="clear" w:color="000000" w:fill="E2EFDA"/>
            <w:noWrap/>
            <w:vAlign w:val="center"/>
            <w:hideMark/>
          </w:tcPr>
          <w:p w14:paraId="49C7D86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FAM_3</w:t>
            </w:r>
          </w:p>
        </w:tc>
        <w:tc>
          <w:tcPr>
            <w:tcW w:w="510" w:type="dxa"/>
            <w:tcBorders>
              <w:top w:val="nil"/>
              <w:bottom w:val="single" w:sz="4" w:space="0" w:color="auto"/>
            </w:tcBorders>
            <w:shd w:val="clear" w:color="000000" w:fill="E2EFDA"/>
            <w:noWrap/>
            <w:vAlign w:val="center"/>
            <w:hideMark/>
          </w:tcPr>
          <w:p w14:paraId="12C4CDB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8</w:t>
            </w:r>
          </w:p>
        </w:tc>
        <w:tc>
          <w:tcPr>
            <w:tcW w:w="502" w:type="dxa"/>
            <w:tcBorders>
              <w:top w:val="nil"/>
              <w:bottom w:val="single" w:sz="4" w:space="0" w:color="auto"/>
            </w:tcBorders>
            <w:shd w:val="clear" w:color="000000" w:fill="E2EFDA"/>
            <w:noWrap/>
            <w:vAlign w:val="center"/>
            <w:hideMark/>
          </w:tcPr>
          <w:p w14:paraId="2315B6F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4" w:space="0" w:color="auto"/>
            </w:tcBorders>
            <w:shd w:val="clear" w:color="000000" w:fill="E2EFDA"/>
            <w:noWrap/>
            <w:vAlign w:val="center"/>
            <w:hideMark/>
          </w:tcPr>
          <w:p w14:paraId="1318B30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4" w:space="0" w:color="auto"/>
            </w:tcBorders>
            <w:shd w:val="clear" w:color="000000" w:fill="E2EFDA"/>
            <w:noWrap/>
            <w:vAlign w:val="center"/>
            <w:hideMark/>
          </w:tcPr>
          <w:p w14:paraId="35995EE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57DA765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61-65</w:t>
            </w:r>
          </w:p>
        </w:tc>
        <w:tc>
          <w:tcPr>
            <w:tcW w:w="302" w:type="dxa"/>
            <w:tcBorders>
              <w:top w:val="nil"/>
              <w:bottom w:val="single" w:sz="4" w:space="0" w:color="auto"/>
            </w:tcBorders>
            <w:shd w:val="clear" w:color="000000" w:fill="DDEBF7"/>
            <w:noWrap/>
            <w:vAlign w:val="center"/>
            <w:hideMark/>
          </w:tcPr>
          <w:p w14:paraId="72FAF12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M</w:t>
            </w:r>
          </w:p>
        </w:tc>
        <w:tc>
          <w:tcPr>
            <w:tcW w:w="2703" w:type="dxa"/>
            <w:tcBorders>
              <w:top w:val="nil"/>
              <w:bottom w:val="single" w:sz="4" w:space="0" w:color="auto"/>
            </w:tcBorders>
            <w:shd w:val="clear" w:color="000000" w:fill="DDEBF7"/>
            <w:vAlign w:val="center"/>
            <w:hideMark/>
          </w:tcPr>
          <w:p w14:paraId="200311B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single" w:sz="4" w:space="0" w:color="auto"/>
              <w:bottom w:val="single" w:sz="4" w:space="0" w:color="auto"/>
            </w:tcBorders>
            <w:shd w:val="clear" w:color="000000" w:fill="DDEBF7"/>
            <w:vAlign w:val="center"/>
            <w:hideMark/>
          </w:tcPr>
          <w:p w14:paraId="30CB15C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unaffected</w:t>
            </w:r>
          </w:p>
        </w:tc>
        <w:tc>
          <w:tcPr>
            <w:tcW w:w="1895" w:type="dxa"/>
            <w:tcBorders>
              <w:top w:val="single" w:sz="4" w:space="0" w:color="auto"/>
              <w:bottom w:val="single" w:sz="4" w:space="0" w:color="auto"/>
            </w:tcBorders>
            <w:shd w:val="clear" w:color="000000" w:fill="DDEBF7"/>
            <w:vAlign w:val="center"/>
          </w:tcPr>
          <w:p w14:paraId="7A1083D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1A6F9EB3" w14:textId="77777777" w:rsidTr="00C34963">
        <w:trPr>
          <w:jc w:val="center"/>
        </w:trPr>
        <w:tc>
          <w:tcPr>
            <w:tcW w:w="561" w:type="dxa"/>
            <w:tcBorders>
              <w:top w:val="nil"/>
              <w:bottom w:val="single" w:sz="8" w:space="0" w:color="auto"/>
            </w:tcBorders>
            <w:shd w:val="clear" w:color="000000" w:fill="E2EFDA"/>
            <w:noWrap/>
            <w:vAlign w:val="center"/>
            <w:hideMark/>
          </w:tcPr>
          <w:p w14:paraId="0CCD8F3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FAM_3</w:t>
            </w:r>
          </w:p>
        </w:tc>
        <w:tc>
          <w:tcPr>
            <w:tcW w:w="510" w:type="dxa"/>
            <w:tcBorders>
              <w:top w:val="nil"/>
              <w:bottom w:val="single" w:sz="8" w:space="0" w:color="auto"/>
            </w:tcBorders>
            <w:shd w:val="clear" w:color="000000" w:fill="E2EFDA"/>
            <w:noWrap/>
            <w:vAlign w:val="center"/>
            <w:hideMark/>
          </w:tcPr>
          <w:p w14:paraId="44FC660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9</w:t>
            </w:r>
          </w:p>
        </w:tc>
        <w:tc>
          <w:tcPr>
            <w:tcW w:w="502" w:type="dxa"/>
            <w:tcBorders>
              <w:top w:val="nil"/>
              <w:bottom w:val="single" w:sz="8" w:space="0" w:color="auto"/>
            </w:tcBorders>
            <w:shd w:val="clear" w:color="000000" w:fill="E2EFDA"/>
            <w:noWrap/>
            <w:vAlign w:val="center"/>
            <w:hideMark/>
          </w:tcPr>
          <w:p w14:paraId="21E22E9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8" w:space="0" w:color="auto"/>
            </w:tcBorders>
            <w:shd w:val="clear" w:color="000000" w:fill="E2EFDA"/>
            <w:noWrap/>
            <w:vAlign w:val="center"/>
            <w:hideMark/>
          </w:tcPr>
          <w:p w14:paraId="7D217AB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8" w:space="0" w:color="auto"/>
            </w:tcBorders>
            <w:shd w:val="clear" w:color="000000" w:fill="E2EFDA"/>
            <w:noWrap/>
            <w:vAlign w:val="center"/>
            <w:hideMark/>
          </w:tcPr>
          <w:p w14:paraId="086CC87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8" w:space="0" w:color="auto"/>
            </w:tcBorders>
            <w:shd w:val="clear" w:color="000000" w:fill="DDEBF7"/>
            <w:noWrap/>
            <w:vAlign w:val="center"/>
            <w:hideMark/>
          </w:tcPr>
          <w:p w14:paraId="50537A4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46-50</w:t>
            </w:r>
          </w:p>
        </w:tc>
        <w:tc>
          <w:tcPr>
            <w:tcW w:w="302" w:type="dxa"/>
            <w:tcBorders>
              <w:top w:val="nil"/>
              <w:bottom w:val="single" w:sz="8" w:space="0" w:color="auto"/>
            </w:tcBorders>
            <w:shd w:val="clear" w:color="000000" w:fill="DDEBF7"/>
            <w:noWrap/>
            <w:vAlign w:val="center"/>
            <w:hideMark/>
          </w:tcPr>
          <w:p w14:paraId="2D87226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w:t>
            </w:r>
          </w:p>
        </w:tc>
        <w:tc>
          <w:tcPr>
            <w:tcW w:w="2703" w:type="dxa"/>
            <w:tcBorders>
              <w:top w:val="nil"/>
              <w:bottom w:val="single" w:sz="8" w:space="0" w:color="auto"/>
            </w:tcBorders>
            <w:shd w:val="clear" w:color="000000" w:fill="DDEBF7"/>
            <w:vAlign w:val="center"/>
            <w:hideMark/>
          </w:tcPr>
          <w:p w14:paraId="34409C9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nil"/>
              <w:bottom w:val="single" w:sz="8" w:space="0" w:color="auto"/>
            </w:tcBorders>
            <w:shd w:val="clear" w:color="000000" w:fill="DDEBF7"/>
            <w:vAlign w:val="center"/>
            <w:hideMark/>
          </w:tcPr>
          <w:p w14:paraId="2DC53E4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unaffected</w:t>
            </w:r>
          </w:p>
        </w:tc>
        <w:tc>
          <w:tcPr>
            <w:tcW w:w="1895" w:type="dxa"/>
            <w:tcBorders>
              <w:top w:val="nil"/>
              <w:bottom w:val="single" w:sz="8" w:space="0" w:color="auto"/>
            </w:tcBorders>
            <w:shd w:val="clear" w:color="000000" w:fill="DDEBF7"/>
            <w:vAlign w:val="center"/>
          </w:tcPr>
          <w:p w14:paraId="02F209D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7A6B3923" w14:textId="77777777" w:rsidTr="00C34963">
        <w:trPr>
          <w:jc w:val="center"/>
        </w:trPr>
        <w:tc>
          <w:tcPr>
            <w:tcW w:w="561" w:type="dxa"/>
            <w:tcBorders>
              <w:top w:val="nil"/>
              <w:bottom w:val="single" w:sz="4" w:space="0" w:color="auto"/>
            </w:tcBorders>
            <w:shd w:val="clear" w:color="000000" w:fill="E2EFDA"/>
            <w:noWrap/>
            <w:vAlign w:val="center"/>
            <w:hideMark/>
          </w:tcPr>
          <w:p w14:paraId="4727F19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FAM_4</w:t>
            </w:r>
          </w:p>
        </w:tc>
        <w:tc>
          <w:tcPr>
            <w:tcW w:w="510" w:type="dxa"/>
            <w:tcBorders>
              <w:top w:val="nil"/>
              <w:bottom w:val="single" w:sz="4" w:space="0" w:color="auto"/>
            </w:tcBorders>
            <w:shd w:val="clear" w:color="000000" w:fill="E2EFDA"/>
            <w:noWrap/>
            <w:vAlign w:val="center"/>
            <w:hideMark/>
          </w:tcPr>
          <w:p w14:paraId="626C70B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10</w:t>
            </w:r>
          </w:p>
        </w:tc>
        <w:tc>
          <w:tcPr>
            <w:tcW w:w="502" w:type="dxa"/>
            <w:tcBorders>
              <w:top w:val="nil"/>
              <w:bottom w:val="single" w:sz="4" w:space="0" w:color="auto"/>
            </w:tcBorders>
            <w:shd w:val="clear" w:color="000000" w:fill="E2EFDA"/>
            <w:noWrap/>
            <w:vAlign w:val="center"/>
            <w:hideMark/>
          </w:tcPr>
          <w:p w14:paraId="752E140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11</w:t>
            </w:r>
          </w:p>
        </w:tc>
        <w:tc>
          <w:tcPr>
            <w:tcW w:w="553" w:type="dxa"/>
            <w:tcBorders>
              <w:top w:val="nil"/>
              <w:bottom w:val="single" w:sz="4" w:space="0" w:color="auto"/>
            </w:tcBorders>
            <w:shd w:val="clear" w:color="000000" w:fill="E2EFDA"/>
            <w:noWrap/>
            <w:vAlign w:val="center"/>
            <w:hideMark/>
          </w:tcPr>
          <w:p w14:paraId="03C2EC5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12</w:t>
            </w:r>
          </w:p>
        </w:tc>
        <w:tc>
          <w:tcPr>
            <w:tcW w:w="484" w:type="dxa"/>
            <w:tcBorders>
              <w:top w:val="nil"/>
              <w:bottom w:val="single" w:sz="4" w:space="0" w:color="auto"/>
            </w:tcBorders>
            <w:shd w:val="clear" w:color="000000" w:fill="E2EFDA"/>
            <w:noWrap/>
            <w:vAlign w:val="center"/>
            <w:hideMark/>
          </w:tcPr>
          <w:p w14:paraId="67F1AE6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13</w:t>
            </w:r>
          </w:p>
        </w:tc>
        <w:tc>
          <w:tcPr>
            <w:tcW w:w="437" w:type="dxa"/>
            <w:tcBorders>
              <w:top w:val="nil"/>
              <w:bottom w:val="single" w:sz="4" w:space="0" w:color="auto"/>
            </w:tcBorders>
            <w:shd w:val="clear" w:color="000000" w:fill="DDEBF7"/>
            <w:noWrap/>
            <w:vAlign w:val="center"/>
            <w:hideMark/>
          </w:tcPr>
          <w:p w14:paraId="3DBD903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46-50</w:t>
            </w:r>
          </w:p>
        </w:tc>
        <w:tc>
          <w:tcPr>
            <w:tcW w:w="302" w:type="dxa"/>
            <w:tcBorders>
              <w:top w:val="nil"/>
              <w:bottom w:val="single" w:sz="4" w:space="0" w:color="auto"/>
            </w:tcBorders>
            <w:shd w:val="clear" w:color="000000" w:fill="DDEBF7"/>
            <w:noWrap/>
            <w:vAlign w:val="center"/>
            <w:hideMark/>
          </w:tcPr>
          <w:p w14:paraId="2C52A18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w:t>
            </w:r>
          </w:p>
        </w:tc>
        <w:tc>
          <w:tcPr>
            <w:tcW w:w="2703" w:type="dxa"/>
            <w:tcBorders>
              <w:top w:val="nil"/>
              <w:bottom w:val="single" w:sz="4" w:space="0" w:color="auto"/>
            </w:tcBorders>
            <w:shd w:val="clear" w:color="000000" w:fill="DDEBF7"/>
            <w:vAlign w:val="center"/>
            <w:hideMark/>
          </w:tcPr>
          <w:p w14:paraId="790B116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b/>
                <w:bCs/>
                <w:sz w:val="18"/>
                <w:szCs w:val="18"/>
                <w:u w:val="single"/>
              </w:rPr>
              <w:t>Delayed ability to walk</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Delayed speech and language development</w:t>
            </w:r>
            <w:r w:rsidRPr="00D372FF">
              <w:rPr>
                <w:rFonts w:ascii="Palatino" w:eastAsia="Times New Roman" w:hAnsi="Palatino" w:cs="Calibri"/>
                <w:sz w:val="18"/>
                <w:szCs w:val="18"/>
              </w:rPr>
              <w:t>, Spastic paraparesis, Global developmental delay</w:t>
            </w:r>
          </w:p>
        </w:tc>
        <w:tc>
          <w:tcPr>
            <w:tcW w:w="2509" w:type="dxa"/>
            <w:tcBorders>
              <w:top w:val="nil"/>
              <w:bottom w:val="nil"/>
            </w:tcBorders>
            <w:shd w:val="clear" w:color="000000" w:fill="DDEBF7"/>
            <w:vAlign w:val="center"/>
            <w:hideMark/>
          </w:tcPr>
          <w:p w14:paraId="38A69A9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xml:space="preserve">Global developmental delay, </w:t>
            </w:r>
            <w:r w:rsidRPr="00D372FF">
              <w:rPr>
                <w:rFonts w:ascii="Palatino" w:eastAsia="Times New Roman" w:hAnsi="Palatino" w:cs="Calibri"/>
                <w:b/>
                <w:bCs/>
                <w:sz w:val="18"/>
                <w:szCs w:val="18"/>
                <w:u w:val="single"/>
              </w:rPr>
              <w:t>Intellectual disability</w:t>
            </w:r>
            <w:r w:rsidRPr="00D372FF">
              <w:rPr>
                <w:rFonts w:ascii="Palatino" w:eastAsia="Times New Roman" w:hAnsi="Palatino" w:cs="Calibri"/>
                <w:sz w:val="18"/>
                <w:szCs w:val="18"/>
              </w:rPr>
              <w:t>, and Spastic paraparesis</w:t>
            </w:r>
          </w:p>
        </w:tc>
        <w:tc>
          <w:tcPr>
            <w:tcW w:w="1895" w:type="dxa"/>
            <w:tcBorders>
              <w:top w:val="nil"/>
              <w:bottom w:val="nil"/>
            </w:tcBorders>
            <w:shd w:val="clear" w:color="000000" w:fill="DDEBF7"/>
            <w:vAlign w:val="center"/>
          </w:tcPr>
          <w:p w14:paraId="6A848EE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Intellectual disability (</w:t>
            </w:r>
            <w:r w:rsidRPr="00D372FF">
              <w:rPr>
                <w:rFonts w:ascii="Palatino" w:eastAsia="Times New Roman" w:hAnsi="Palatino" w:cs="Calibri"/>
                <w:b/>
                <w:bCs/>
                <w:sz w:val="18"/>
                <w:szCs w:val="18"/>
              </w:rPr>
              <w:t>R29.4</w:t>
            </w:r>
            <w:r w:rsidRPr="00D372FF">
              <w:rPr>
                <w:rFonts w:ascii="Palatino" w:eastAsia="Times New Roman" w:hAnsi="Palatino" w:cs="Calibri"/>
                <w:sz w:val="18"/>
                <w:szCs w:val="18"/>
              </w:rPr>
              <w:t>)</w:t>
            </w:r>
          </w:p>
        </w:tc>
      </w:tr>
      <w:tr w:rsidR="00C34963" w:rsidRPr="00C34963" w14:paraId="4DAF8A2D" w14:textId="77777777" w:rsidTr="00C34963">
        <w:trPr>
          <w:jc w:val="center"/>
        </w:trPr>
        <w:tc>
          <w:tcPr>
            <w:tcW w:w="561" w:type="dxa"/>
            <w:tcBorders>
              <w:top w:val="nil"/>
              <w:bottom w:val="single" w:sz="4" w:space="0" w:color="auto"/>
            </w:tcBorders>
            <w:shd w:val="clear" w:color="000000" w:fill="E2EFDA"/>
            <w:noWrap/>
            <w:vAlign w:val="center"/>
            <w:hideMark/>
          </w:tcPr>
          <w:p w14:paraId="7E7BF24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FAM_4</w:t>
            </w:r>
          </w:p>
        </w:tc>
        <w:tc>
          <w:tcPr>
            <w:tcW w:w="510" w:type="dxa"/>
            <w:tcBorders>
              <w:top w:val="nil"/>
              <w:bottom w:val="single" w:sz="4" w:space="0" w:color="auto"/>
            </w:tcBorders>
            <w:shd w:val="clear" w:color="000000" w:fill="E2EFDA"/>
            <w:noWrap/>
            <w:vAlign w:val="center"/>
            <w:hideMark/>
          </w:tcPr>
          <w:p w14:paraId="740A12F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11</w:t>
            </w:r>
          </w:p>
        </w:tc>
        <w:tc>
          <w:tcPr>
            <w:tcW w:w="502" w:type="dxa"/>
            <w:tcBorders>
              <w:top w:val="nil"/>
              <w:bottom w:val="single" w:sz="4" w:space="0" w:color="auto"/>
            </w:tcBorders>
            <w:shd w:val="clear" w:color="000000" w:fill="E2EFDA"/>
            <w:noWrap/>
            <w:vAlign w:val="center"/>
            <w:hideMark/>
          </w:tcPr>
          <w:p w14:paraId="418655B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4" w:space="0" w:color="auto"/>
            </w:tcBorders>
            <w:shd w:val="clear" w:color="000000" w:fill="E2EFDA"/>
            <w:noWrap/>
            <w:vAlign w:val="center"/>
            <w:hideMark/>
          </w:tcPr>
          <w:p w14:paraId="5993FC9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4" w:space="0" w:color="auto"/>
            </w:tcBorders>
            <w:shd w:val="clear" w:color="000000" w:fill="E2EFDA"/>
            <w:noWrap/>
            <w:vAlign w:val="center"/>
            <w:hideMark/>
          </w:tcPr>
          <w:p w14:paraId="1D4D166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31612B1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76-80</w:t>
            </w:r>
          </w:p>
        </w:tc>
        <w:tc>
          <w:tcPr>
            <w:tcW w:w="302" w:type="dxa"/>
            <w:tcBorders>
              <w:top w:val="nil"/>
              <w:bottom w:val="single" w:sz="4" w:space="0" w:color="auto"/>
            </w:tcBorders>
            <w:shd w:val="clear" w:color="000000" w:fill="DDEBF7"/>
            <w:noWrap/>
            <w:vAlign w:val="center"/>
            <w:hideMark/>
          </w:tcPr>
          <w:p w14:paraId="77BEB14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M</w:t>
            </w:r>
          </w:p>
        </w:tc>
        <w:tc>
          <w:tcPr>
            <w:tcW w:w="2703" w:type="dxa"/>
            <w:tcBorders>
              <w:top w:val="nil"/>
              <w:bottom w:val="single" w:sz="4" w:space="0" w:color="auto"/>
            </w:tcBorders>
            <w:shd w:val="clear" w:color="000000" w:fill="DDEBF7"/>
            <w:vAlign w:val="center"/>
            <w:hideMark/>
          </w:tcPr>
          <w:p w14:paraId="69A3B2C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single" w:sz="4" w:space="0" w:color="auto"/>
              <w:bottom w:val="single" w:sz="4" w:space="0" w:color="auto"/>
            </w:tcBorders>
            <w:shd w:val="clear" w:color="000000" w:fill="DDEBF7"/>
            <w:vAlign w:val="center"/>
            <w:hideMark/>
          </w:tcPr>
          <w:p w14:paraId="480F63B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1895" w:type="dxa"/>
            <w:tcBorders>
              <w:top w:val="single" w:sz="4" w:space="0" w:color="auto"/>
              <w:bottom w:val="single" w:sz="4" w:space="0" w:color="auto"/>
            </w:tcBorders>
            <w:shd w:val="clear" w:color="000000" w:fill="DDEBF7"/>
            <w:vAlign w:val="center"/>
          </w:tcPr>
          <w:p w14:paraId="117196B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76986ABE" w14:textId="77777777" w:rsidTr="00C34963">
        <w:trPr>
          <w:jc w:val="center"/>
        </w:trPr>
        <w:tc>
          <w:tcPr>
            <w:tcW w:w="561" w:type="dxa"/>
            <w:tcBorders>
              <w:top w:val="nil"/>
              <w:bottom w:val="single" w:sz="4" w:space="0" w:color="auto"/>
            </w:tcBorders>
            <w:shd w:val="clear" w:color="000000" w:fill="E2EFDA"/>
            <w:noWrap/>
            <w:vAlign w:val="center"/>
            <w:hideMark/>
          </w:tcPr>
          <w:p w14:paraId="6254B3D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FAM_4</w:t>
            </w:r>
          </w:p>
        </w:tc>
        <w:tc>
          <w:tcPr>
            <w:tcW w:w="510" w:type="dxa"/>
            <w:tcBorders>
              <w:top w:val="nil"/>
              <w:bottom w:val="single" w:sz="4" w:space="0" w:color="auto"/>
            </w:tcBorders>
            <w:shd w:val="clear" w:color="000000" w:fill="E2EFDA"/>
            <w:noWrap/>
            <w:vAlign w:val="center"/>
            <w:hideMark/>
          </w:tcPr>
          <w:p w14:paraId="6683401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12</w:t>
            </w:r>
          </w:p>
        </w:tc>
        <w:tc>
          <w:tcPr>
            <w:tcW w:w="502" w:type="dxa"/>
            <w:tcBorders>
              <w:top w:val="nil"/>
              <w:bottom w:val="single" w:sz="4" w:space="0" w:color="auto"/>
            </w:tcBorders>
            <w:shd w:val="clear" w:color="000000" w:fill="E2EFDA"/>
            <w:noWrap/>
            <w:vAlign w:val="center"/>
            <w:hideMark/>
          </w:tcPr>
          <w:p w14:paraId="543F03D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4" w:space="0" w:color="auto"/>
            </w:tcBorders>
            <w:shd w:val="clear" w:color="000000" w:fill="E2EFDA"/>
            <w:noWrap/>
            <w:vAlign w:val="center"/>
            <w:hideMark/>
          </w:tcPr>
          <w:p w14:paraId="1083BD4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4" w:space="0" w:color="auto"/>
            </w:tcBorders>
            <w:shd w:val="clear" w:color="000000" w:fill="E2EFDA"/>
            <w:noWrap/>
            <w:vAlign w:val="center"/>
            <w:hideMark/>
          </w:tcPr>
          <w:p w14:paraId="29021D8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51335C6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76-80</w:t>
            </w:r>
          </w:p>
        </w:tc>
        <w:tc>
          <w:tcPr>
            <w:tcW w:w="302" w:type="dxa"/>
            <w:tcBorders>
              <w:top w:val="nil"/>
              <w:bottom w:val="single" w:sz="4" w:space="0" w:color="auto"/>
            </w:tcBorders>
            <w:shd w:val="clear" w:color="000000" w:fill="DDEBF7"/>
            <w:noWrap/>
            <w:vAlign w:val="center"/>
            <w:hideMark/>
          </w:tcPr>
          <w:p w14:paraId="3A6C69C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w:t>
            </w:r>
          </w:p>
        </w:tc>
        <w:tc>
          <w:tcPr>
            <w:tcW w:w="2703" w:type="dxa"/>
            <w:tcBorders>
              <w:top w:val="nil"/>
              <w:bottom w:val="single" w:sz="4" w:space="0" w:color="auto"/>
            </w:tcBorders>
            <w:shd w:val="clear" w:color="000000" w:fill="DDEBF7"/>
            <w:vAlign w:val="center"/>
            <w:hideMark/>
          </w:tcPr>
          <w:p w14:paraId="6C23D8E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nil"/>
              <w:bottom w:val="single" w:sz="4" w:space="0" w:color="auto"/>
            </w:tcBorders>
            <w:shd w:val="clear" w:color="000000" w:fill="DDEBF7"/>
            <w:vAlign w:val="center"/>
            <w:hideMark/>
          </w:tcPr>
          <w:p w14:paraId="36440FC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1895" w:type="dxa"/>
            <w:tcBorders>
              <w:top w:val="nil"/>
              <w:bottom w:val="single" w:sz="4" w:space="0" w:color="auto"/>
            </w:tcBorders>
            <w:shd w:val="clear" w:color="000000" w:fill="DDEBF7"/>
            <w:vAlign w:val="center"/>
          </w:tcPr>
          <w:p w14:paraId="6C1ED9D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741405E3" w14:textId="77777777" w:rsidTr="00C34963">
        <w:trPr>
          <w:jc w:val="center"/>
        </w:trPr>
        <w:tc>
          <w:tcPr>
            <w:tcW w:w="561" w:type="dxa"/>
            <w:tcBorders>
              <w:top w:val="nil"/>
              <w:bottom w:val="single" w:sz="8" w:space="0" w:color="auto"/>
            </w:tcBorders>
            <w:shd w:val="clear" w:color="000000" w:fill="E2EFDA"/>
            <w:noWrap/>
            <w:vAlign w:val="center"/>
            <w:hideMark/>
          </w:tcPr>
          <w:p w14:paraId="5043E04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FAM_4</w:t>
            </w:r>
          </w:p>
        </w:tc>
        <w:tc>
          <w:tcPr>
            <w:tcW w:w="510" w:type="dxa"/>
            <w:tcBorders>
              <w:top w:val="nil"/>
              <w:bottom w:val="single" w:sz="8" w:space="0" w:color="auto"/>
            </w:tcBorders>
            <w:shd w:val="clear" w:color="000000" w:fill="E2EFDA"/>
            <w:noWrap/>
            <w:vAlign w:val="center"/>
            <w:hideMark/>
          </w:tcPr>
          <w:p w14:paraId="56FEE06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13</w:t>
            </w:r>
          </w:p>
        </w:tc>
        <w:tc>
          <w:tcPr>
            <w:tcW w:w="502" w:type="dxa"/>
            <w:tcBorders>
              <w:top w:val="nil"/>
              <w:bottom w:val="single" w:sz="8" w:space="0" w:color="auto"/>
            </w:tcBorders>
            <w:shd w:val="clear" w:color="000000" w:fill="E2EFDA"/>
            <w:noWrap/>
            <w:vAlign w:val="center"/>
            <w:hideMark/>
          </w:tcPr>
          <w:p w14:paraId="0AF296A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8" w:space="0" w:color="auto"/>
            </w:tcBorders>
            <w:shd w:val="clear" w:color="000000" w:fill="E2EFDA"/>
            <w:noWrap/>
            <w:vAlign w:val="center"/>
            <w:hideMark/>
          </w:tcPr>
          <w:p w14:paraId="178A14A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8" w:space="0" w:color="auto"/>
            </w:tcBorders>
            <w:shd w:val="clear" w:color="000000" w:fill="E2EFDA"/>
            <w:noWrap/>
            <w:vAlign w:val="center"/>
            <w:hideMark/>
          </w:tcPr>
          <w:p w14:paraId="2746326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8" w:space="0" w:color="auto"/>
            </w:tcBorders>
            <w:shd w:val="clear" w:color="000000" w:fill="DDEBF7"/>
            <w:noWrap/>
            <w:vAlign w:val="center"/>
            <w:hideMark/>
          </w:tcPr>
          <w:p w14:paraId="4B08E2C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46-50</w:t>
            </w:r>
          </w:p>
        </w:tc>
        <w:tc>
          <w:tcPr>
            <w:tcW w:w="302" w:type="dxa"/>
            <w:tcBorders>
              <w:top w:val="nil"/>
              <w:bottom w:val="single" w:sz="8" w:space="0" w:color="auto"/>
            </w:tcBorders>
            <w:shd w:val="clear" w:color="000000" w:fill="DDEBF7"/>
            <w:noWrap/>
            <w:vAlign w:val="center"/>
            <w:hideMark/>
          </w:tcPr>
          <w:p w14:paraId="2EEFBC3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w:t>
            </w:r>
          </w:p>
        </w:tc>
        <w:tc>
          <w:tcPr>
            <w:tcW w:w="2703" w:type="dxa"/>
            <w:tcBorders>
              <w:top w:val="nil"/>
              <w:bottom w:val="single" w:sz="8" w:space="0" w:color="auto"/>
            </w:tcBorders>
            <w:shd w:val="clear" w:color="000000" w:fill="DDEBF7"/>
            <w:vAlign w:val="center"/>
            <w:hideMark/>
          </w:tcPr>
          <w:p w14:paraId="3E14430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b/>
                <w:bCs/>
                <w:sz w:val="18"/>
                <w:szCs w:val="18"/>
                <w:u w:val="single"/>
              </w:rPr>
              <w:t>Delayed ability to walk</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Delayed speech and language development</w:t>
            </w:r>
            <w:r w:rsidRPr="00D372FF">
              <w:rPr>
                <w:rFonts w:ascii="Palatino" w:eastAsia="Times New Roman" w:hAnsi="Palatino" w:cs="Calibri"/>
                <w:sz w:val="18"/>
                <w:szCs w:val="18"/>
              </w:rPr>
              <w:t xml:space="preserve">, Seizure, Spastic paraparesis, </w:t>
            </w:r>
            <w:r w:rsidRPr="00D372FF">
              <w:rPr>
                <w:rFonts w:ascii="Palatino" w:eastAsia="Times New Roman" w:hAnsi="Palatino" w:cs="Calibri"/>
                <w:b/>
                <w:bCs/>
                <w:sz w:val="18"/>
                <w:szCs w:val="18"/>
                <w:u w:val="single"/>
              </w:rPr>
              <w:t>Global developmental delay</w:t>
            </w:r>
          </w:p>
        </w:tc>
        <w:tc>
          <w:tcPr>
            <w:tcW w:w="2509" w:type="dxa"/>
            <w:tcBorders>
              <w:top w:val="nil"/>
              <w:bottom w:val="single" w:sz="8" w:space="0" w:color="auto"/>
            </w:tcBorders>
            <w:shd w:val="clear" w:color="000000" w:fill="DDEBF7"/>
            <w:vAlign w:val="center"/>
            <w:hideMark/>
          </w:tcPr>
          <w:p w14:paraId="2A5B399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xml:space="preserve">Developmental delay, </w:t>
            </w:r>
            <w:r w:rsidRPr="00D372FF">
              <w:rPr>
                <w:rFonts w:ascii="Palatino" w:eastAsia="Times New Roman" w:hAnsi="Palatino" w:cs="Calibri"/>
                <w:b/>
                <w:bCs/>
                <w:sz w:val="18"/>
                <w:szCs w:val="18"/>
                <w:u w:val="single"/>
              </w:rPr>
              <w:t>Intellectual disability</w:t>
            </w:r>
            <w:r w:rsidRPr="00D372FF">
              <w:rPr>
                <w:rFonts w:ascii="Palatino" w:eastAsia="Times New Roman" w:hAnsi="Palatino" w:cs="Calibri"/>
                <w:sz w:val="18"/>
                <w:szCs w:val="18"/>
              </w:rPr>
              <w:t>, Spastic paraparesis, and Seizure</w:t>
            </w:r>
          </w:p>
        </w:tc>
        <w:tc>
          <w:tcPr>
            <w:tcW w:w="1895" w:type="dxa"/>
            <w:tcBorders>
              <w:top w:val="nil"/>
              <w:bottom w:val="single" w:sz="8" w:space="0" w:color="auto"/>
            </w:tcBorders>
            <w:shd w:val="clear" w:color="000000" w:fill="DDEBF7"/>
            <w:vAlign w:val="center"/>
          </w:tcPr>
          <w:p w14:paraId="08BDCAA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Intellectual disability (</w:t>
            </w:r>
            <w:r w:rsidRPr="00D372FF">
              <w:rPr>
                <w:rFonts w:ascii="Palatino" w:eastAsia="Times New Roman" w:hAnsi="Palatino" w:cs="Calibri"/>
                <w:b/>
                <w:bCs/>
                <w:sz w:val="18"/>
                <w:szCs w:val="18"/>
              </w:rPr>
              <w:t>R29.4</w:t>
            </w:r>
            <w:r w:rsidRPr="00D372FF">
              <w:rPr>
                <w:rFonts w:ascii="Palatino" w:eastAsia="Times New Roman" w:hAnsi="Palatino" w:cs="Calibri"/>
                <w:sz w:val="18"/>
                <w:szCs w:val="18"/>
              </w:rPr>
              <w:t>)</w:t>
            </w:r>
          </w:p>
        </w:tc>
      </w:tr>
      <w:tr w:rsidR="00C34963" w:rsidRPr="00C34963" w14:paraId="3454491A" w14:textId="77777777" w:rsidTr="00C34963">
        <w:trPr>
          <w:jc w:val="center"/>
        </w:trPr>
        <w:tc>
          <w:tcPr>
            <w:tcW w:w="561" w:type="dxa"/>
            <w:tcBorders>
              <w:top w:val="nil"/>
              <w:bottom w:val="single" w:sz="4" w:space="0" w:color="auto"/>
            </w:tcBorders>
            <w:shd w:val="clear" w:color="000000" w:fill="E2EFDA"/>
            <w:noWrap/>
            <w:vAlign w:val="center"/>
            <w:hideMark/>
          </w:tcPr>
          <w:p w14:paraId="3F32CF8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FAM_5</w:t>
            </w:r>
          </w:p>
        </w:tc>
        <w:tc>
          <w:tcPr>
            <w:tcW w:w="510" w:type="dxa"/>
            <w:tcBorders>
              <w:top w:val="nil"/>
              <w:bottom w:val="single" w:sz="4" w:space="0" w:color="auto"/>
            </w:tcBorders>
            <w:shd w:val="clear" w:color="000000" w:fill="E2EFDA"/>
            <w:noWrap/>
            <w:vAlign w:val="center"/>
            <w:hideMark/>
          </w:tcPr>
          <w:p w14:paraId="1B501D7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14</w:t>
            </w:r>
          </w:p>
        </w:tc>
        <w:tc>
          <w:tcPr>
            <w:tcW w:w="502" w:type="dxa"/>
            <w:tcBorders>
              <w:top w:val="nil"/>
              <w:bottom w:val="single" w:sz="4" w:space="0" w:color="auto"/>
            </w:tcBorders>
            <w:shd w:val="clear" w:color="000000" w:fill="E2EFDA"/>
            <w:noWrap/>
            <w:vAlign w:val="center"/>
            <w:hideMark/>
          </w:tcPr>
          <w:p w14:paraId="6B8783F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15</w:t>
            </w:r>
          </w:p>
        </w:tc>
        <w:tc>
          <w:tcPr>
            <w:tcW w:w="553" w:type="dxa"/>
            <w:tcBorders>
              <w:top w:val="nil"/>
              <w:bottom w:val="single" w:sz="4" w:space="0" w:color="auto"/>
            </w:tcBorders>
            <w:shd w:val="clear" w:color="000000" w:fill="E2EFDA"/>
            <w:noWrap/>
            <w:vAlign w:val="center"/>
            <w:hideMark/>
          </w:tcPr>
          <w:p w14:paraId="48DEB93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16</w:t>
            </w:r>
          </w:p>
        </w:tc>
        <w:tc>
          <w:tcPr>
            <w:tcW w:w="484" w:type="dxa"/>
            <w:tcBorders>
              <w:top w:val="nil"/>
              <w:bottom w:val="single" w:sz="4" w:space="0" w:color="auto"/>
            </w:tcBorders>
            <w:shd w:val="clear" w:color="000000" w:fill="E2EFDA"/>
            <w:noWrap/>
            <w:vAlign w:val="center"/>
            <w:hideMark/>
          </w:tcPr>
          <w:p w14:paraId="2373E05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2F71A13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0-5</w:t>
            </w:r>
          </w:p>
        </w:tc>
        <w:tc>
          <w:tcPr>
            <w:tcW w:w="302" w:type="dxa"/>
            <w:tcBorders>
              <w:top w:val="nil"/>
              <w:bottom w:val="single" w:sz="4" w:space="0" w:color="auto"/>
            </w:tcBorders>
            <w:shd w:val="clear" w:color="000000" w:fill="DDEBF7"/>
            <w:noWrap/>
            <w:vAlign w:val="center"/>
            <w:hideMark/>
          </w:tcPr>
          <w:p w14:paraId="3542F61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w:t>
            </w:r>
          </w:p>
        </w:tc>
        <w:tc>
          <w:tcPr>
            <w:tcW w:w="2703" w:type="dxa"/>
            <w:tcBorders>
              <w:top w:val="nil"/>
              <w:bottom w:val="single" w:sz="4" w:space="0" w:color="auto"/>
            </w:tcBorders>
            <w:shd w:val="clear" w:color="000000" w:fill="DDEBF7"/>
            <w:vAlign w:val="center"/>
            <w:hideMark/>
          </w:tcPr>
          <w:p w14:paraId="64E7261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xml:space="preserve">Prominent forehead, Low hanging columella, </w:t>
            </w:r>
            <w:r w:rsidRPr="00D372FF">
              <w:rPr>
                <w:rFonts w:ascii="Palatino" w:eastAsia="Times New Roman" w:hAnsi="Palatino" w:cs="Calibri"/>
                <w:b/>
                <w:bCs/>
                <w:sz w:val="18"/>
                <w:szCs w:val="18"/>
                <w:u w:val="single"/>
              </w:rPr>
              <w:t>Prominent fingertip pads</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Preauricular pit</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Hypopigmented macule</w:t>
            </w:r>
            <w:r w:rsidRPr="00D372FF">
              <w:rPr>
                <w:rFonts w:ascii="Palatino" w:eastAsia="Times New Roman" w:hAnsi="Palatino" w:cs="Calibri"/>
                <w:sz w:val="18"/>
                <w:szCs w:val="18"/>
              </w:rPr>
              <w:t xml:space="preserve">, Frontal bossing, </w:t>
            </w:r>
            <w:r w:rsidRPr="00D372FF">
              <w:rPr>
                <w:rFonts w:ascii="Palatino" w:eastAsia="Times New Roman" w:hAnsi="Palatino" w:cs="Calibri"/>
                <w:b/>
                <w:bCs/>
                <w:sz w:val="18"/>
                <w:szCs w:val="18"/>
                <w:u w:val="single"/>
              </w:rPr>
              <w:t>Flat occiput</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 xml:space="preserve">Joint </w:t>
            </w:r>
            <w:r w:rsidRPr="00D372FF">
              <w:rPr>
                <w:rFonts w:ascii="Palatino" w:eastAsia="Times New Roman" w:hAnsi="Palatino" w:cs="Calibri"/>
                <w:b/>
                <w:bCs/>
                <w:sz w:val="18"/>
                <w:szCs w:val="18"/>
                <w:u w:val="single"/>
              </w:rPr>
              <w:lastRenderedPageBreak/>
              <w:t>hypermobility</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Confluent hyperintensity of cerebral white matter on MRI</w:t>
            </w:r>
            <w:r w:rsidRPr="00D372FF">
              <w:rPr>
                <w:rFonts w:ascii="Palatino" w:eastAsia="Times New Roman" w:hAnsi="Palatino" w:cs="Calibri"/>
                <w:sz w:val="18"/>
                <w:szCs w:val="18"/>
              </w:rPr>
              <w:t xml:space="preserve">, Mild global developmental delay, </w:t>
            </w:r>
            <w:r w:rsidRPr="00D372FF">
              <w:rPr>
                <w:rFonts w:ascii="Palatino" w:eastAsia="Times New Roman" w:hAnsi="Palatino" w:cs="Calibri"/>
                <w:b/>
                <w:bCs/>
                <w:sz w:val="18"/>
                <w:szCs w:val="18"/>
                <w:u w:val="single"/>
              </w:rPr>
              <w:t>Polydipsia</w:t>
            </w:r>
          </w:p>
        </w:tc>
        <w:tc>
          <w:tcPr>
            <w:tcW w:w="2509" w:type="dxa"/>
            <w:tcBorders>
              <w:top w:val="nil"/>
              <w:bottom w:val="nil"/>
            </w:tcBorders>
            <w:shd w:val="clear" w:color="000000" w:fill="DDEBF7"/>
            <w:vAlign w:val="center"/>
            <w:hideMark/>
          </w:tcPr>
          <w:p w14:paraId="12AD55D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lastRenderedPageBreak/>
              <w:t xml:space="preserve">Prominent forehead, Moderate global developmental delay, </w:t>
            </w:r>
            <w:r w:rsidRPr="00D372FF">
              <w:rPr>
                <w:rFonts w:ascii="Palatino" w:eastAsia="Times New Roman" w:hAnsi="Palatino" w:cs="Calibri"/>
                <w:b/>
                <w:bCs/>
                <w:sz w:val="18"/>
                <w:szCs w:val="18"/>
                <w:u w:val="single"/>
              </w:rPr>
              <w:t>Relative macrocephaly</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Anxiety</w:t>
            </w:r>
            <w:r w:rsidRPr="00D372FF">
              <w:rPr>
                <w:rFonts w:ascii="Palatino" w:eastAsia="Times New Roman" w:hAnsi="Palatino" w:cs="Calibri"/>
                <w:sz w:val="18"/>
                <w:szCs w:val="18"/>
              </w:rPr>
              <w:t>, Low hanging columella</w:t>
            </w:r>
          </w:p>
        </w:tc>
        <w:tc>
          <w:tcPr>
            <w:tcW w:w="1895" w:type="dxa"/>
            <w:tcBorders>
              <w:top w:val="nil"/>
              <w:bottom w:val="nil"/>
            </w:tcBorders>
            <w:shd w:val="clear" w:color="000000" w:fill="DDEBF7"/>
            <w:vAlign w:val="center"/>
          </w:tcPr>
          <w:p w14:paraId="1EC2DAE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Intellectual disability (</w:t>
            </w:r>
            <w:r w:rsidRPr="00D372FF">
              <w:rPr>
                <w:rFonts w:ascii="Palatino" w:eastAsia="Times New Roman" w:hAnsi="Palatino" w:cs="Calibri"/>
                <w:b/>
                <w:bCs/>
                <w:sz w:val="18"/>
                <w:szCs w:val="18"/>
              </w:rPr>
              <w:t>R29.4</w:t>
            </w:r>
            <w:r w:rsidRPr="00D372FF">
              <w:rPr>
                <w:rFonts w:ascii="Palatino" w:eastAsia="Times New Roman" w:hAnsi="Palatino" w:cs="Calibri"/>
                <w:sz w:val="18"/>
                <w:szCs w:val="18"/>
              </w:rPr>
              <w:t>)</w:t>
            </w:r>
          </w:p>
        </w:tc>
      </w:tr>
      <w:tr w:rsidR="00C34963" w:rsidRPr="00C34963" w14:paraId="5C60C901" w14:textId="77777777" w:rsidTr="00C34963">
        <w:trPr>
          <w:jc w:val="center"/>
        </w:trPr>
        <w:tc>
          <w:tcPr>
            <w:tcW w:w="561" w:type="dxa"/>
            <w:tcBorders>
              <w:top w:val="nil"/>
              <w:bottom w:val="single" w:sz="4" w:space="0" w:color="auto"/>
            </w:tcBorders>
            <w:shd w:val="clear" w:color="000000" w:fill="E2EFDA"/>
            <w:noWrap/>
            <w:vAlign w:val="center"/>
            <w:hideMark/>
          </w:tcPr>
          <w:p w14:paraId="20852FF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FAM_5</w:t>
            </w:r>
          </w:p>
        </w:tc>
        <w:tc>
          <w:tcPr>
            <w:tcW w:w="510" w:type="dxa"/>
            <w:tcBorders>
              <w:top w:val="nil"/>
              <w:bottom w:val="single" w:sz="4" w:space="0" w:color="auto"/>
            </w:tcBorders>
            <w:shd w:val="clear" w:color="000000" w:fill="E2EFDA"/>
            <w:noWrap/>
            <w:vAlign w:val="center"/>
            <w:hideMark/>
          </w:tcPr>
          <w:p w14:paraId="308E793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15</w:t>
            </w:r>
          </w:p>
        </w:tc>
        <w:tc>
          <w:tcPr>
            <w:tcW w:w="502" w:type="dxa"/>
            <w:tcBorders>
              <w:top w:val="nil"/>
              <w:bottom w:val="single" w:sz="4" w:space="0" w:color="auto"/>
            </w:tcBorders>
            <w:shd w:val="clear" w:color="000000" w:fill="E2EFDA"/>
            <w:noWrap/>
            <w:vAlign w:val="center"/>
            <w:hideMark/>
          </w:tcPr>
          <w:p w14:paraId="64CDF6D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4" w:space="0" w:color="auto"/>
            </w:tcBorders>
            <w:shd w:val="clear" w:color="000000" w:fill="E2EFDA"/>
            <w:noWrap/>
            <w:vAlign w:val="center"/>
            <w:hideMark/>
          </w:tcPr>
          <w:p w14:paraId="4C82B21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4" w:space="0" w:color="auto"/>
            </w:tcBorders>
            <w:shd w:val="clear" w:color="000000" w:fill="E2EFDA"/>
            <w:noWrap/>
            <w:vAlign w:val="center"/>
            <w:hideMark/>
          </w:tcPr>
          <w:p w14:paraId="4CF6704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253EF4F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26-30</w:t>
            </w:r>
          </w:p>
        </w:tc>
        <w:tc>
          <w:tcPr>
            <w:tcW w:w="302" w:type="dxa"/>
            <w:tcBorders>
              <w:top w:val="nil"/>
              <w:bottom w:val="single" w:sz="4" w:space="0" w:color="auto"/>
            </w:tcBorders>
            <w:shd w:val="clear" w:color="000000" w:fill="DDEBF7"/>
            <w:noWrap/>
            <w:vAlign w:val="center"/>
            <w:hideMark/>
          </w:tcPr>
          <w:p w14:paraId="7B47998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M</w:t>
            </w:r>
          </w:p>
        </w:tc>
        <w:tc>
          <w:tcPr>
            <w:tcW w:w="2703" w:type="dxa"/>
            <w:tcBorders>
              <w:top w:val="nil"/>
              <w:bottom w:val="single" w:sz="4" w:space="0" w:color="auto"/>
            </w:tcBorders>
            <w:shd w:val="clear" w:color="000000" w:fill="DDEBF7"/>
            <w:vAlign w:val="center"/>
            <w:hideMark/>
          </w:tcPr>
          <w:p w14:paraId="04D9403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single" w:sz="4" w:space="0" w:color="auto"/>
              <w:bottom w:val="single" w:sz="4" w:space="0" w:color="auto"/>
            </w:tcBorders>
            <w:shd w:val="clear" w:color="000000" w:fill="DDEBF7"/>
            <w:vAlign w:val="center"/>
            <w:hideMark/>
          </w:tcPr>
          <w:p w14:paraId="1D820B3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1895" w:type="dxa"/>
            <w:tcBorders>
              <w:top w:val="single" w:sz="4" w:space="0" w:color="auto"/>
              <w:bottom w:val="single" w:sz="4" w:space="0" w:color="auto"/>
            </w:tcBorders>
            <w:shd w:val="clear" w:color="000000" w:fill="DDEBF7"/>
            <w:vAlign w:val="center"/>
          </w:tcPr>
          <w:p w14:paraId="20F46F5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4E34587B" w14:textId="77777777" w:rsidTr="00C34963">
        <w:trPr>
          <w:jc w:val="center"/>
        </w:trPr>
        <w:tc>
          <w:tcPr>
            <w:tcW w:w="561" w:type="dxa"/>
            <w:tcBorders>
              <w:top w:val="nil"/>
              <w:bottom w:val="single" w:sz="8" w:space="0" w:color="auto"/>
            </w:tcBorders>
            <w:shd w:val="clear" w:color="000000" w:fill="E2EFDA"/>
            <w:noWrap/>
            <w:vAlign w:val="center"/>
            <w:hideMark/>
          </w:tcPr>
          <w:p w14:paraId="080C082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FAM_5</w:t>
            </w:r>
          </w:p>
        </w:tc>
        <w:tc>
          <w:tcPr>
            <w:tcW w:w="510" w:type="dxa"/>
            <w:tcBorders>
              <w:top w:val="nil"/>
              <w:bottom w:val="single" w:sz="8" w:space="0" w:color="auto"/>
            </w:tcBorders>
            <w:shd w:val="clear" w:color="000000" w:fill="E2EFDA"/>
            <w:noWrap/>
            <w:vAlign w:val="center"/>
            <w:hideMark/>
          </w:tcPr>
          <w:p w14:paraId="50A0888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16</w:t>
            </w:r>
          </w:p>
        </w:tc>
        <w:tc>
          <w:tcPr>
            <w:tcW w:w="502" w:type="dxa"/>
            <w:tcBorders>
              <w:top w:val="nil"/>
              <w:bottom w:val="single" w:sz="8" w:space="0" w:color="auto"/>
            </w:tcBorders>
            <w:shd w:val="clear" w:color="000000" w:fill="E2EFDA"/>
            <w:noWrap/>
            <w:vAlign w:val="center"/>
            <w:hideMark/>
          </w:tcPr>
          <w:p w14:paraId="39A2287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8" w:space="0" w:color="auto"/>
            </w:tcBorders>
            <w:shd w:val="clear" w:color="000000" w:fill="E2EFDA"/>
            <w:noWrap/>
            <w:vAlign w:val="center"/>
            <w:hideMark/>
          </w:tcPr>
          <w:p w14:paraId="1CF62D8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8" w:space="0" w:color="auto"/>
            </w:tcBorders>
            <w:shd w:val="clear" w:color="000000" w:fill="E2EFDA"/>
            <w:noWrap/>
            <w:vAlign w:val="center"/>
            <w:hideMark/>
          </w:tcPr>
          <w:p w14:paraId="2B3D498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8" w:space="0" w:color="auto"/>
            </w:tcBorders>
            <w:shd w:val="clear" w:color="000000" w:fill="DDEBF7"/>
            <w:noWrap/>
            <w:vAlign w:val="center"/>
            <w:hideMark/>
          </w:tcPr>
          <w:p w14:paraId="693B277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21-25</w:t>
            </w:r>
          </w:p>
        </w:tc>
        <w:tc>
          <w:tcPr>
            <w:tcW w:w="302" w:type="dxa"/>
            <w:tcBorders>
              <w:top w:val="nil"/>
              <w:bottom w:val="single" w:sz="8" w:space="0" w:color="auto"/>
            </w:tcBorders>
            <w:shd w:val="clear" w:color="000000" w:fill="DDEBF7"/>
            <w:noWrap/>
            <w:vAlign w:val="center"/>
            <w:hideMark/>
          </w:tcPr>
          <w:p w14:paraId="1D67105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w:t>
            </w:r>
          </w:p>
        </w:tc>
        <w:tc>
          <w:tcPr>
            <w:tcW w:w="2703" w:type="dxa"/>
            <w:tcBorders>
              <w:top w:val="nil"/>
              <w:bottom w:val="single" w:sz="8" w:space="0" w:color="auto"/>
            </w:tcBorders>
            <w:shd w:val="clear" w:color="000000" w:fill="DDEBF7"/>
            <w:vAlign w:val="center"/>
            <w:hideMark/>
          </w:tcPr>
          <w:p w14:paraId="15EAFEA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nil"/>
              <w:bottom w:val="single" w:sz="8" w:space="0" w:color="auto"/>
            </w:tcBorders>
            <w:shd w:val="clear" w:color="000000" w:fill="DDEBF7"/>
            <w:vAlign w:val="center"/>
            <w:hideMark/>
          </w:tcPr>
          <w:p w14:paraId="7338EC3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1895" w:type="dxa"/>
            <w:tcBorders>
              <w:top w:val="nil"/>
              <w:bottom w:val="single" w:sz="8" w:space="0" w:color="auto"/>
            </w:tcBorders>
            <w:shd w:val="clear" w:color="000000" w:fill="DDEBF7"/>
            <w:vAlign w:val="center"/>
          </w:tcPr>
          <w:p w14:paraId="69CBE59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3990B7B3" w14:textId="77777777" w:rsidTr="00C34963">
        <w:trPr>
          <w:jc w:val="center"/>
        </w:trPr>
        <w:tc>
          <w:tcPr>
            <w:tcW w:w="561" w:type="dxa"/>
            <w:tcBorders>
              <w:top w:val="nil"/>
              <w:bottom w:val="single" w:sz="4" w:space="0" w:color="auto"/>
            </w:tcBorders>
            <w:shd w:val="clear" w:color="000000" w:fill="E2EFDA"/>
            <w:noWrap/>
            <w:vAlign w:val="center"/>
            <w:hideMark/>
          </w:tcPr>
          <w:p w14:paraId="4933331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FAM_6</w:t>
            </w:r>
          </w:p>
        </w:tc>
        <w:tc>
          <w:tcPr>
            <w:tcW w:w="510" w:type="dxa"/>
            <w:tcBorders>
              <w:top w:val="nil"/>
              <w:bottom w:val="single" w:sz="4" w:space="0" w:color="auto"/>
            </w:tcBorders>
            <w:shd w:val="clear" w:color="000000" w:fill="E2EFDA"/>
            <w:noWrap/>
            <w:vAlign w:val="center"/>
            <w:hideMark/>
          </w:tcPr>
          <w:p w14:paraId="4C3C9D8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17</w:t>
            </w:r>
          </w:p>
        </w:tc>
        <w:tc>
          <w:tcPr>
            <w:tcW w:w="502" w:type="dxa"/>
            <w:tcBorders>
              <w:top w:val="nil"/>
              <w:bottom w:val="single" w:sz="4" w:space="0" w:color="auto"/>
            </w:tcBorders>
            <w:shd w:val="clear" w:color="000000" w:fill="E2EFDA"/>
            <w:noWrap/>
            <w:vAlign w:val="center"/>
            <w:hideMark/>
          </w:tcPr>
          <w:p w14:paraId="4C7319A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18</w:t>
            </w:r>
          </w:p>
        </w:tc>
        <w:tc>
          <w:tcPr>
            <w:tcW w:w="553" w:type="dxa"/>
            <w:tcBorders>
              <w:top w:val="nil"/>
              <w:bottom w:val="single" w:sz="4" w:space="0" w:color="auto"/>
            </w:tcBorders>
            <w:shd w:val="clear" w:color="000000" w:fill="E2EFDA"/>
            <w:noWrap/>
            <w:vAlign w:val="center"/>
            <w:hideMark/>
          </w:tcPr>
          <w:p w14:paraId="76AC19E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19</w:t>
            </w:r>
          </w:p>
        </w:tc>
        <w:tc>
          <w:tcPr>
            <w:tcW w:w="484" w:type="dxa"/>
            <w:tcBorders>
              <w:top w:val="nil"/>
              <w:bottom w:val="single" w:sz="4" w:space="0" w:color="auto"/>
            </w:tcBorders>
            <w:shd w:val="clear" w:color="000000" w:fill="E2EFDA"/>
            <w:noWrap/>
            <w:vAlign w:val="center"/>
            <w:hideMark/>
          </w:tcPr>
          <w:p w14:paraId="436B4F0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06C450C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0-5</w:t>
            </w:r>
          </w:p>
        </w:tc>
        <w:tc>
          <w:tcPr>
            <w:tcW w:w="302" w:type="dxa"/>
            <w:tcBorders>
              <w:top w:val="nil"/>
              <w:bottom w:val="single" w:sz="4" w:space="0" w:color="auto"/>
            </w:tcBorders>
            <w:shd w:val="clear" w:color="000000" w:fill="DDEBF7"/>
            <w:noWrap/>
            <w:vAlign w:val="center"/>
            <w:hideMark/>
          </w:tcPr>
          <w:p w14:paraId="345CD9A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w:t>
            </w:r>
          </w:p>
        </w:tc>
        <w:tc>
          <w:tcPr>
            <w:tcW w:w="2703" w:type="dxa"/>
            <w:tcBorders>
              <w:top w:val="nil"/>
              <w:bottom w:val="single" w:sz="4" w:space="0" w:color="auto"/>
            </w:tcBorders>
            <w:shd w:val="clear" w:color="000000" w:fill="DDEBF7"/>
            <w:vAlign w:val="center"/>
            <w:hideMark/>
          </w:tcPr>
          <w:p w14:paraId="6917E92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xml:space="preserve">Epicanthic folds, </w:t>
            </w:r>
            <w:r w:rsidRPr="00D372FF">
              <w:rPr>
                <w:rFonts w:ascii="Palatino" w:eastAsia="Times New Roman" w:hAnsi="Palatino" w:cs="Calibri"/>
                <w:b/>
                <w:bCs/>
                <w:sz w:val="18"/>
                <w:szCs w:val="18"/>
                <w:u w:val="single"/>
              </w:rPr>
              <w:t>Joint hypermobility</w:t>
            </w:r>
            <w:r w:rsidRPr="00D372FF">
              <w:rPr>
                <w:rFonts w:ascii="Palatino" w:eastAsia="Times New Roman" w:hAnsi="Palatino" w:cs="Calibri"/>
                <w:sz w:val="18"/>
                <w:szCs w:val="18"/>
              </w:rPr>
              <w:t xml:space="preserve">, Global developmental delay, </w:t>
            </w:r>
            <w:r w:rsidRPr="00D372FF">
              <w:rPr>
                <w:rFonts w:ascii="Palatino" w:eastAsia="Times New Roman" w:hAnsi="Palatino" w:cs="Calibri"/>
                <w:b/>
                <w:bCs/>
                <w:sz w:val="18"/>
                <w:szCs w:val="18"/>
                <w:u w:val="single"/>
              </w:rPr>
              <w:t>Intellectual disability</w:t>
            </w:r>
            <w:r w:rsidRPr="00D372FF">
              <w:rPr>
                <w:rFonts w:ascii="Palatino" w:eastAsia="Times New Roman" w:hAnsi="Palatino" w:cs="Calibri"/>
                <w:sz w:val="18"/>
                <w:szCs w:val="18"/>
              </w:rPr>
              <w:t>, Increased nuchal translucency</w:t>
            </w:r>
          </w:p>
        </w:tc>
        <w:tc>
          <w:tcPr>
            <w:tcW w:w="2509" w:type="dxa"/>
            <w:tcBorders>
              <w:top w:val="nil"/>
              <w:bottom w:val="nil"/>
            </w:tcBorders>
            <w:shd w:val="clear" w:color="000000" w:fill="DDEBF7"/>
            <w:vAlign w:val="center"/>
            <w:hideMark/>
          </w:tcPr>
          <w:p w14:paraId="5558BAE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xml:space="preserve">Global developmental delay, Increased prenatal nuchal translucency, </w:t>
            </w:r>
            <w:r w:rsidRPr="00D372FF">
              <w:rPr>
                <w:rFonts w:ascii="Palatino" w:eastAsia="Times New Roman" w:hAnsi="Palatino" w:cs="Calibri"/>
                <w:b/>
                <w:bCs/>
                <w:sz w:val="18"/>
                <w:szCs w:val="18"/>
                <w:u w:val="single"/>
              </w:rPr>
              <w:t>Short toenails</w:t>
            </w:r>
            <w:r w:rsidRPr="00D372FF">
              <w:rPr>
                <w:rFonts w:ascii="Palatino" w:eastAsia="Times New Roman" w:hAnsi="Palatino" w:cs="Calibri"/>
                <w:sz w:val="18"/>
                <w:szCs w:val="18"/>
              </w:rPr>
              <w:t>, Epicanthic folds</w:t>
            </w:r>
          </w:p>
        </w:tc>
        <w:tc>
          <w:tcPr>
            <w:tcW w:w="1895" w:type="dxa"/>
            <w:tcBorders>
              <w:top w:val="nil"/>
              <w:bottom w:val="nil"/>
            </w:tcBorders>
            <w:shd w:val="clear" w:color="000000" w:fill="DDEBF7"/>
            <w:vAlign w:val="center"/>
          </w:tcPr>
          <w:p w14:paraId="48066D0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Intellectual disability (</w:t>
            </w:r>
            <w:r w:rsidRPr="00D372FF">
              <w:rPr>
                <w:rFonts w:ascii="Palatino" w:eastAsia="Times New Roman" w:hAnsi="Palatino" w:cs="Calibri"/>
                <w:b/>
                <w:bCs/>
                <w:sz w:val="18"/>
                <w:szCs w:val="18"/>
              </w:rPr>
              <w:t>R29.4</w:t>
            </w:r>
            <w:r w:rsidRPr="00D372FF">
              <w:rPr>
                <w:rFonts w:ascii="Palatino" w:eastAsia="Times New Roman" w:hAnsi="Palatino" w:cs="Calibri"/>
                <w:sz w:val="18"/>
                <w:szCs w:val="18"/>
              </w:rPr>
              <w:t>)</w:t>
            </w:r>
          </w:p>
        </w:tc>
      </w:tr>
      <w:tr w:rsidR="00C34963" w:rsidRPr="00C34963" w14:paraId="3651D907" w14:textId="77777777" w:rsidTr="00C34963">
        <w:trPr>
          <w:jc w:val="center"/>
        </w:trPr>
        <w:tc>
          <w:tcPr>
            <w:tcW w:w="561" w:type="dxa"/>
            <w:tcBorders>
              <w:top w:val="nil"/>
              <w:bottom w:val="single" w:sz="4" w:space="0" w:color="auto"/>
            </w:tcBorders>
            <w:shd w:val="clear" w:color="000000" w:fill="E2EFDA"/>
            <w:noWrap/>
            <w:vAlign w:val="center"/>
            <w:hideMark/>
          </w:tcPr>
          <w:p w14:paraId="7FE41CE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FAM_6</w:t>
            </w:r>
          </w:p>
        </w:tc>
        <w:tc>
          <w:tcPr>
            <w:tcW w:w="510" w:type="dxa"/>
            <w:tcBorders>
              <w:top w:val="nil"/>
              <w:bottom w:val="single" w:sz="4" w:space="0" w:color="auto"/>
            </w:tcBorders>
            <w:shd w:val="clear" w:color="000000" w:fill="E2EFDA"/>
            <w:noWrap/>
            <w:vAlign w:val="center"/>
            <w:hideMark/>
          </w:tcPr>
          <w:p w14:paraId="6D36943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18</w:t>
            </w:r>
          </w:p>
        </w:tc>
        <w:tc>
          <w:tcPr>
            <w:tcW w:w="502" w:type="dxa"/>
            <w:tcBorders>
              <w:top w:val="nil"/>
              <w:bottom w:val="single" w:sz="4" w:space="0" w:color="auto"/>
            </w:tcBorders>
            <w:shd w:val="clear" w:color="000000" w:fill="E2EFDA"/>
            <w:noWrap/>
            <w:vAlign w:val="center"/>
            <w:hideMark/>
          </w:tcPr>
          <w:p w14:paraId="61E05C2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4" w:space="0" w:color="auto"/>
            </w:tcBorders>
            <w:shd w:val="clear" w:color="000000" w:fill="E2EFDA"/>
            <w:noWrap/>
            <w:vAlign w:val="center"/>
            <w:hideMark/>
          </w:tcPr>
          <w:p w14:paraId="773BB56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4" w:space="0" w:color="auto"/>
            </w:tcBorders>
            <w:shd w:val="clear" w:color="000000" w:fill="E2EFDA"/>
            <w:noWrap/>
            <w:vAlign w:val="center"/>
            <w:hideMark/>
          </w:tcPr>
          <w:p w14:paraId="48AB38F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6BB4273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31-35</w:t>
            </w:r>
          </w:p>
        </w:tc>
        <w:tc>
          <w:tcPr>
            <w:tcW w:w="302" w:type="dxa"/>
            <w:tcBorders>
              <w:top w:val="nil"/>
              <w:bottom w:val="single" w:sz="4" w:space="0" w:color="auto"/>
            </w:tcBorders>
            <w:shd w:val="clear" w:color="000000" w:fill="DDEBF7"/>
            <w:noWrap/>
            <w:vAlign w:val="center"/>
            <w:hideMark/>
          </w:tcPr>
          <w:p w14:paraId="7951C65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M</w:t>
            </w:r>
          </w:p>
        </w:tc>
        <w:tc>
          <w:tcPr>
            <w:tcW w:w="2703" w:type="dxa"/>
            <w:tcBorders>
              <w:top w:val="nil"/>
              <w:bottom w:val="single" w:sz="4" w:space="0" w:color="auto"/>
            </w:tcBorders>
            <w:shd w:val="clear" w:color="000000" w:fill="DDEBF7"/>
            <w:vAlign w:val="center"/>
            <w:hideMark/>
          </w:tcPr>
          <w:p w14:paraId="5132012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single" w:sz="4" w:space="0" w:color="auto"/>
              <w:bottom w:val="single" w:sz="4" w:space="0" w:color="auto"/>
            </w:tcBorders>
            <w:shd w:val="clear" w:color="000000" w:fill="DDEBF7"/>
            <w:vAlign w:val="center"/>
            <w:hideMark/>
          </w:tcPr>
          <w:p w14:paraId="0662BBB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1895" w:type="dxa"/>
            <w:tcBorders>
              <w:top w:val="single" w:sz="4" w:space="0" w:color="auto"/>
              <w:bottom w:val="single" w:sz="4" w:space="0" w:color="auto"/>
            </w:tcBorders>
            <w:shd w:val="clear" w:color="000000" w:fill="DDEBF7"/>
            <w:vAlign w:val="center"/>
          </w:tcPr>
          <w:p w14:paraId="14C7213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5E5BE33E" w14:textId="77777777" w:rsidTr="00C34963">
        <w:trPr>
          <w:jc w:val="center"/>
        </w:trPr>
        <w:tc>
          <w:tcPr>
            <w:tcW w:w="561" w:type="dxa"/>
            <w:tcBorders>
              <w:top w:val="nil"/>
              <w:bottom w:val="single" w:sz="8" w:space="0" w:color="auto"/>
            </w:tcBorders>
            <w:shd w:val="clear" w:color="000000" w:fill="E2EFDA"/>
            <w:noWrap/>
            <w:vAlign w:val="center"/>
            <w:hideMark/>
          </w:tcPr>
          <w:p w14:paraId="7CFFB52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FAM_6</w:t>
            </w:r>
          </w:p>
        </w:tc>
        <w:tc>
          <w:tcPr>
            <w:tcW w:w="510" w:type="dxa"/>
            <w:tcBorders>
              <w:top w:val="nil"/>
              <w:bottom w:val="single" w:sz="8" w:space="0" w:color="auto"/>
            </w:tcBorders>
            <w:shd w:val="clear" w:color="000000" w:fill="E2EFDA"/>
            <w:noWrap/>
            <w:vAlign w:val="center"/>
            <w:hideMark/>
          </w:tcPr>
          <w:p w14:paraId="78D5DB0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19</w:t>
            </w:r>
          </w:p>
        </w:tc>
        <w:tc>
          <w:tcPr>
            <w:tcW w:w="502" w:type="dxa"/>
            <w:tcBorders>
              <w:top w:val="nil"/>
              <w:bottom w:val="single" w:sz="8" w:space="0" w:color="auto"/>
            </w:tcBorders>
            <w:shd w:val="clear" w:color="000000" w:fill="E2EFDA"/>
            <w:noWrap/>
            <w:vAlign w:val="center"/>
            <w:hideMark/>
          </w:tcPr>
          <w:p w14:paraId="3F3FB1F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8" w:space="0" w:color="auto"/>
            </w:tcBorders>
            <w:shd w:val="clear" w:color="000000" w:fill="E2EFDA"/>
            <w:noWrap/>
            <w:vAlign w:val="center"/>
            <w:hideMark/>
          </w:tcPr>
          <w:p w14:paraId="099B53A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8" w:space="0" w:color="auto"/>
            </w:tcBorders>
            <w:shd w:val="clear" w:color="000000" w:fill="E2EFDA"/>
            <w:noWrap/>
            <w:vAlign w:val="center"/>
            <w:hideMark/>
          </w:tcPr>
          <w:p w14:paraId="26E42DD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8" w:space="0" w:color="auto"/>
            </w:tcBorders>
            <w:shd w:val="clear" w:color="000000" w:fill="DDEBF7"/>
            <w:noWrap/>
            <w:vAlign w:val="center"/>
            <w:hideMark/>
          </w:tcPr>
          <w:p w14:paraId="1ABF6F9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31-35</w:t>
            </w:r>
          </w:p>
        </w:tc>
        <w:tc>
          <w:tcPr>
            <w:tcW w:w="302" w:type="dxa"/>
            <w:tcBorders>
              <w:top w:val="nil"/>
              <w:bottom w:val="single" w:sz="8" w:space="0" w:color="auto"/>
            </w:tcBorders>
            <w:shd w:val="clear" w:color="000000" w:fill="DDEBF7"/>
            <w:noWrap/>
            <w:vAlign w:val="center"/>
            <w:hideMark/>
          </w:tcPr>
          <w:p w14:paraId="3D28CF9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w:t>
            </w:r>
          </w:p>
        </w:tc>
        <w:tc>
          <w:tcPr>
            <w:tcW w:w="2703" w:type="dxa"/>
            <w:tcBorders>
              <w:top w:val="nil"/>
              <w:bottom w:val="single" w:sz="8" w:space="0" w:color="auto"/>
            </w:tcBorders>
            <w:shd w:val="clear" w:color="000000" w:fill="DDEBF7"/>
            <w:vAlign w:val="center"/>
            <w:hideMark/>
          </w:tcPr>
          <w:p w14:paraId="61AFD41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nil"/>
              <w:bottom w:val="single" w:sz="8" w:space="0" w:color="auto"/>
            </w:tcBorders>
            <w:shd w:val="clear" w:color="000000" w:fill="DDEBF7"/>
            <w:vAlign w:val="center"/>
            <w:hideMark/>
          </w:tcPr>
          <w:p w14:paraId="3168CEE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1895" w:type="dxa"/>
            <w:tcBorders>
              <w:top w:val="nil"/>
              <w:bottom w:val="single" w:sz="8" w:space="0" w:color="auto"/>
            </w:tcBorders>
            <w:shd w:val="clear" w:color="000000" w:fill="DDEBF7"/>
            <w:vAlign w:val="center"/>
          </w:tcPr>
          <w:p w14:paraId="1CD6252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2611B798" w14:textId="77777777" w:rsidTr="00C34963">
        <w:trPr>
          <w:jc w:val="center"/>
        </w:trPr>
        <w:tc>
          <w:tcPr>
            <w:tcW w:w="561" w:type="dxa"/>
            <w:tcBorders>
              <w:top w:val="nil"/>
              <w:bottom w:val="single" w:sz="4" w:space="0" w:color="auto"/>
            </w:tcBorders>
            <w:shd w:val="clear" w:color="000000" w:fill="E2EFDA"/>
            <w:noWrap/>
            <w:vAlign w:val="center"/>
            <w:hideMark/>
          </w:tcPr>
          <w:p w14:paraId="0629A37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FAM_7</w:t>
            </w:r>
          </w:p>
        </w:tc>
        <w:tc>
          <w:tcPr>
            <w:tcW w:w="510" w:type="dxa"/>
            <w:tcBorders>
              <w:top w:val="nil"/>
              <w:bottom w:val="single" w:sz="4" w:space="0" w:color="auto"/>
            </w:tcBorders>
            <w:shd w:val="clear" w:color="000000" w:fill="E2EFDA"/>
            <w:noWrap/>
            <w:vAlign w:val="center"/>
            <w:hideMark/>
          </w:tcPr>
          <w:p w14:paraId="0670827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20</w:t>
            </w:r>
          </w:p>
        </w:tc>
        <w:tc>
          <w:tcPr>
            <w:tcW w:w="502" w:type="dxa"/>
            <w:tcBorders>
              <w:top w:val="nil"/>
              <w:bottom w:val="single" w:sz="4" w:space="0" w:color="auto"/>
            </w:tcBorders>
            <w:shd w:val="clear" w:color="000000" w:fill="E2EFDA"/>
            <w:noWrap/>
            <w:vAlign w:val="center"/>
            <w:hideMark/>
          </w:tcPr>
          <w:p w14:paraId="254ADE1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21</w:t>
            </w:r>
          </w:p>
        </w:tc>
        <w:tc>
          <w:tcPr>
            <w:tcW w:w="553" w:type="dxa"/>
            <w:tcBorders>
              <w:top w:val="nil"/>
              <w:bottom w:val="single" w:sz="4" w:space="0" w:color="auto"/>
            </w:tcBorders>
            <w:shd w:val="clear" w:color="000000" w:fill="E2EFDA"/>
            <w:noWrap/>
            <w:vAlign w:val="center"/>
            <w:hideMark/>
          </w:tcPr>
          <w:p w14:paraId="4436C25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22</w:t>
            </w:r>
          </w:p>
        </w:tc>
        <w:tc>
          <w:tcPr>
            <w:tcW w:w="484" w:type="dxa"/>
            <w:tcBorders>
              <w:top w:val="nil"/>
              <w:bottom w:val="single" w:sz="4" w:space="0" w:color="auto"/>
            </w:tcBorders>
            <w:shd w:val="clear" w:color="000000" w:fill="E2EFDA"/>
            <w:noWrap/>
            <w:vAlign w:val="center"/>
            <w:hideMark/>
          </w:tcPr>
          <w:p w14:paraId="03C96C7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61534FF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6-10</w:t>
            </w:r>
          </w:p>
        </w:tc>
        <w:tc>
          <w:tcPr>
            <w:tcW w:w="302" w:type="dxa"/>
            <w:tcBorders>
              <w:top w:val="nil"/>
              <w:bottom w:val="single" w:sz="4" w:space="0" w:color="auto"/>
            </w:tcBorders>
            <w:shd w:val="clear" w:color="000000" w:fill="DDEBF7"/>
            <w:noWrap/>
            <w:vAlign w:val="center"/>
            <w:hideMark/>
          </w:tcPr>
          <w:p w14:paraId="5430D50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M</w:t>
            </w:r>
          </w:p>
        </w:tc>
        <w:tc>
          <w:tcPr>
            <w:tcW w:w="2703" w:type="dxa"/>
            <w:tcBorders>
              <w:top w:val="nil"/>
              <w:bottom w:val="single" w:sz="4" w:space="0" w:color="auto"/>
            </w:tcBorders>
            <w:shd w:val="clear" w:color="000000" w:fill="DDEBF7"/>
            <w:vAlign w:val="center"/>
            <w:hideMark/>
          </w:tcPr>
          <w:p w14:paraId="706892B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b/>
                <w:bCs/>
                <w:sz w:val="18"/>
                <w:szCs w:val="18"/>
                <w:u w:val="single"/>
              </w:rPr>
              <w:t>Hypertelorism</w:t>
            </w:r>
            <w:r w:rsidRPr="00D372FF">
              <w:rPr>
                <w:rFonts w:ascii="Palatino" w:eastAsia="Times New Roman" w:hAnsi="Palatino" w:cs="Calibri"/>
                <w:sz w:val="18"/>
                <w:szCs w:val="18"/>
              </w:rPr>
              <w:t xml:space="preserve">, Bilateral polymicrogyria, Global developmental delay, Delayed speech and language development, </w:t>
            </w:r>
            <w:r w:rsidRPr="00D372FF">
              <w:rPr>
                <w:rFonts w:ascii="Palatino" w:eastAsia="Times New Roman" w:hAnsi="Palatino" w:cs="Calibri"/>
                <w:b/>
                <w:bCs/>
                <w:sz w:val="18"/>
                <w:szCs w:val="18"/>
                <w:u w:val="single"/>
              </w:rPr>
              <w:t>Delayed fine motor development</w:t>
            </w:r>
            <w:r w:rsidRPr="00D372FF">
              <w:rPr>
                <w:rFonts w:ascii="Palatino" w:eastAsia="Times New Roman" w:hAnsi="Palatino" w:cs="Calibri"/>
                <w:sz w:val="18"/>
                <w:szCs w:val="18"/>
              </w:rPr>
              <w:t xml:space="preserve">, </w:t>
            </w:r>
            <w:r w:rsidRPr="00D372FF">
              <w:rPr>
                <w:rFonts w:ascii="Palatino" w:eastAsia="Times New Roman" w:hAnsi="Palatino" w:cs="Calibri"/>
                <w:b/>
                <w:bCs/>
                <w:sz w:val="18"/>
                <w:szCs w:val="18"/>
                <w:u w:val="single"/>
              </w:rPr>
              <w:t>Delayed gross motor development</w:t>
            </w:r>
            <w:r w:rsidRPr="00D372FF">
              <w:rPr>
                <w:rFonts w:ascii="Palatino" w:eastAsia="Times New Roman" w:hAnsi="Palatino" w:cs="Calibri"/>
                <w:sz w:val="18"/>
                <w:szCs w:val="18"/>
              </w:rPr>
              <w:t>, Focal seizures, Generalised seizures, Intellectual disability</w:t>
            </w:r>
          </w:p>
        </w:tc>
        <w:tc>
          <w:tcPr>
            <w:tcW w:w="2509" w:type="dxa"/>
            <w:tcBorders>
              <w:top w:val="nil"/>
              <w:bottom w:val="nil"/>
            </w:tcBorders>
            <w:shd w:val="clear" w:color="000000" w:fill="DDEBF7"/>
            <w:vAlign w:val="center"/>
            <w:hideMark/>
          </w:tcPr>
          <w:p w14:paraId="76D1E41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xml:space="preserve">Focal seizures, Generalised seizures, </w:t>
            </w:r>
            <w:r w:rsidRPr="00D372FF">
              <w:rPr>
                <w:rFonts w:ascii="Palatino" w:eastAsia="Times New Roman" w:hAnsi="Palatino" w:cs="Calibri"/>
                <w:b/>
                <w:bCs/>
                <w:sz w:val="18"/>
                <w:szCs w:val="18"/>
                <w:u w:val="single"/>
              </w:rPr>
              <w:t>Infantile encephalopathy</w:t>
            </w:r>
            <w:r w:rsidRPr="00D372FF">
              <w:rPr>
                <w:rFonts w:ascii="Palatino" w:eastAsia="Times New Roman" w:hAnsi="Palatino" w:cs="Calibri"/>
                <w:sz w:val="18"/>
                <w:szCs w:val="18"/>
              </w:rPr>
              <w:t>, Polymicrogyria, Delayed speech and language development, Intellectual disability severe, Global developmental delay</w:t>
            </w:r>
          </w:p>
        </w:tc>
        <w:tc>
          <w:tcPr>
            <w:tcW w:w="1895" w:type="dxa"/>
            <w:tcBorders>
              <w:top w:val="nil"/>
              <w:bottom w:val="nil"/>
            </w:tcBorders>
            <w:shd w:val="clear" w:color="000000" w:fill="DDEBF7"/>
            <w:vAlign w:val="center"/>
          </w:tcPr>
          <w:p w14:paraId="6D27AC8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Early onset or syndromic epilepsy (</w:t>
            </w:r>
            <w:r w:rsidRPr="00D372FF">
              <w:rPr>
                <w:rFonts w:ascii="Palatino" w:eastAsia="Times New Roman" w:hAnsi="Palatino" w:cs="Calibri"/>
                <w:b/>
                <w:bCs/>
                <w:sz w:val="18"/>
                <w:szCs w:val="18"/>
              </w:rPr>
              <w:t>R59.3</w:t>
            </w:r>
            <w:r w:rsidRPr="00D372FF">
              <w:rPr>
                <w:rFonts w:ascii="Palatino" w:eastAsia="Times New Roman" w:hAnsi="Palatino" w:cs="Calibri"/>
                <w:sz w:val="18"/>
                <w:szCs w:val="18"/>
              </w:rPr>
              <w:t>), Cerebral malformation (</w:t>
            </w:r>
            <w:r w:rsidRPr="00D372FF">
              <w:rPr>
                <w:rFonts w:ascii="Palatino" w:eastAsia="Times New Roman" w:hAnsi="Palatino" w:cs="Calibri"/>
                <w:b/>
                <w:bCs/>
                <w:sz w:val="18"/>
                <w:szCs w:val="18"/>
              </w:rPr>
              <w:t>R87.3</w:t>
            </w:r>
            <w:r w:rsidRPr="00D372FF">
              <w:rPr>
                <w:rFonts w:ascii="Palatino" w:eastAsia="Times New Roman" w:hAnsi="Palatino" w:cs="Calibri"/>
                <w:sz w:val="18"/>
                <w:szCs w:val="18"/>
              </w:rPr>
              <w:t>)</w:t>
            </w:r>
          </w:p>
        </w:tc>
      </w:tr>
      <w:tr w:rsidR="00C34963" w:rsidRPr="00C34963" w14:paraId="378345AE" w14:textId="77777777" w:rsidTr="00C34963">
        <w:trPr>
          <w:jc w:val="center"/>
        </w:trPr>
        <w:tc>
          <w:tcPr>
            <w:tcW w:w="561" w:type="dxa"/>
            <w:tcBorders>
              <w:top w:val="nil"/>
              <w:bottom w:val="single" w:sz="4" w:space="0" w:color="auto"/>
            </w:tcBorders>
            <w:shd w:val="clear" w:color="000000" w:fill="E2EFDA"/>
            <w:noWrap/>
            <w:vAlign w:val="center"/>
            <w:hideMark/>
          </w:tcPr>
          <w:p w14:paraId="10BCF6E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FAM_7</w:t>
            </w:r>
          </w:p>
        </w:tc>
        <w:tc>
          <w:tcPr>
            <w:tcW w:w="510" w:type="dxa"/>
            <w:tcBorders>
              <w:top w:val="nil"/>
              <w:bottom w:val="single" w:sz="4" w:space="0" w:color="auto"/>
            </w:tcBorders>
            <w:shd w:val="clear" w:color="000000" w:fill="E2EFDA"/>
            <w:noWrap/>
            <w:vAlign w:val="center"/>
            <w:hideMark/>
          </w:tcPr>
          <w:p w14:paraId="3C587D4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21</w:t>
            </w:r>
          </w:p>
        </w:tc>
        <w:tc>
          <w:tcPr>
            <w:tcW w:w="502" w:type="dxa"/>
            <w:tcBorders>
              <w:top w:val="nil"/>
              <w:bottom w:val="single" w:sz="4" w:space="0" w:color="auto"/>
            </w:tcBorders>
            <w:shd w:val="clear" w:color="000000" w:fill="E2EFDA"/>
            <w:noWrap/>
            <w:vAlign w:val="center"/>
            <w:hideMark/>
          </w:tcPr>
          <w:p w14:paraId="29CA7DE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4" w:space="0" w:color="auto"/>
            </w:tcBorders>
            <w:shd w:val="clear" w:color="000000" w:fill="E2EFDA"/>
            <w:noWrap/>
            <w:vAlign w:val="center"/>
            <w:hideMark/>
          </w:tcPr>
          <w:p w14:paraId="584C1B5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4" w:space="0" w:color="auto"/>
            </w:tcBorders>
            <w:shd w:val="clear" w:color="000000" w:fill="E2EFDA"/>
            <w:noWrap/>
            <w:vAlign w:val="center"/>
            <w:hideMark/>
          </w:tcPr>
          <w:p w14:paraId="7AC0F8E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581A514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36-40</w:t>
            </w:r>
          </w:p>
        </w:tc>
        <w:tc>
          <w:tcPr>
            <w:tcW w:w="302" w:type="dxa"/>
            <w:tcBorders>
              <w:top w:val="nil"/>
              <w:bottom w:val="single" w:sz="4" w:space="0" w:color="auto"/>
            </w:tcBorders>
            <w:shd w:val="clear" w:color="000000" w:fill="DDEBF7"/>
            <w:noWrap/>
            <w:vAlign w:val="center"/>
            <w:hideMark/>
          </w:tcPr>
          <w:p w14:paraId="04ADA94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M</w:t>
            </w:r>
          </w:p>
        </w:tc>
        <w:tc>
          <w:tcPr>
            <w:tcW w:w="2703" w:type="dxa"/>
            <w:tcBorders>
              <w:top w:val="nil"/>
              <w:bottom w:val="single" w:sz="4" w:space="0" w:color="auto"/>
            </w:tcBorders>
            <w:shd w:val="clear" w:color="000000" w:fill="DDEBF7"/>
            <w:vAlign w:val="center"/>
            <w:hideMark/>
          </w:tcPr>
          <w:p w14:paraId="1542D18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single" w:sz="4" w:space="0" w:color="auto"/>
              <w:bottom w:val="single" w:sz="4" w:space="0" w:color="auto"/>
            </w:tcBorders>
            <w:shd w:val="clear" w:color="000000" w:fill="DDEBF7"/>
            <w:vAlign w:val="center"/>
            <w:hideMark/>
          </w:tcPr>
          <w:p w14:paraId="3F6CA9E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1895" w:type="dxa"/>
            <w:tcBorders>
              <w:top w:val="single" w:sz="4" w:space="0" w:color="auto"/>
              <w:bottom w:val="single" w:sz="4" w:space="0" w:color="auto"/>
            </w:tcBorders>
            <w:shd w:val="clear" w:color="000000" w:fill="DDEBF7"/>
            <w:vAlign w:val="center"/>
          </w:tcPr>
          <w:p w14:paraId="46BF649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3FFC34FA" w14:textId="77777777" w:rsidTr="00C34963">
        <w:trPr>
          <w:jc w:val="center"/>
        </w:trPr>
        <w:tc>
          <w:tcPr>
            <w:tcW w:w="561" w:type="dxa"/>
            <w:tcBorders>
              <w:top w:val="nil"/>
              <w:bottom w:val="single" w:sz="8" w:space="0" w:color="auto"/>
            </w:tcBorders>
            <w:shd w:val="clear" w:color="000000" w:fill="E2EFDA"/>
            <w:noWrap/>
            <w:vAlign w:val="center"/>
            <w:hideMark/>
          </w:tcPr>
          <w:p w14:paraId="421506F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FAM_7</w:t>
            </w:r>
          </w:p>
        </w:tc>
        <w:tc>
          <w:tcPr>
            <w:tcW w:w="510" w:type="dxa"/>
            <w:tcBorders>
              <w:top w:val="nil"/>
              <w:bottom w:val="single" w:sz="8" w:space="0" w:color="auto"/>
            </w:tcBorders>
            <w:shd w:val="clear" w:color="000000" w:fill="E2EFDA"/>
            <w:noWrap/>
            <w:vAlign w:val="center"/>
            <w:hideMark/>
          </w:tcPr>
          <w:p w14:paraId="3BB91B0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22</w:t>
            </w:r>
          </w:p>
        </w:tc>
        <w:tc>
          <w:tcPr>
            <w:tcW w:w="502" w:type="dxa"/>
            <w:tcBorders>
              <w:top w:val="nil"/>
              <w:bottom w:val="single" w:sz="8" w:space="0" w:color="auto"/>
            </w:tcBorders>
            <w:shd w:val="clear" w:color="000000" w:fill="E2EFDA"/>
            <w:noWrap/>
            <w:vAlign w:val="center"/>
            <w:hideMark/>
          </w:tcPr>
          <w:p w14:paraId="474DD71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8" w:space="0" w:color="auto"/>
            </w:tcBorders>
            <w:shd w:val="clear" w:color="000000" w:fill="E2EFDA"/>
            <w:noWrap/>
            <w:vAlign w:val="center"/>
            <w:hideMark/>
          </w:tcPr>
          <w:p w14:paraId="1040A1F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8" w:space="0" w:color="auto"/>
            </w:tcBorders>
            <w:shd w:val="clear" w:color="000000" w:fill="E2EFDA"/>
            <w:noWrap/>
            <w:vAlign w:val="center"/>
            <w:hideMark/>
          </w:tcPr>
          <w:p w14:paraId="1A930F3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8" w:space="0" w:color="auto"/>
            </w:tcBorders>
            <w:shd w:val="clear" w:color="000000" w:fill="DDEBF7"/>
            <w:noWrap/>
            <w:vAlign w:val="center"/>
            <w:hideMark/>
          </w:tcPr>
          <w:p w14:paraId="16BBCCE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36-40</w:t>
            </w:r>
          </w:p>
        </w:tc>
        <w:tc>
          <w:tcPr>
            <w:tcW w:w="302" w:type="dxa"/>
            <w:tcBorders>
              <w:top w:val="nil"/>
              <w:bottom w:val="single" w:sz="8" w:space="0" w:color="auto"/>
            </w:tcBorders>
            <w:shd w:val="clear" w:color="000000" w:fill="DDEBF7"/>
            <w:noWrap/>
            <w:vAlign w:val="center"/>
            <w:hideMark/>
          </w:tcPr>
          <w:p w14:paraId="3DB0B9E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w:t>
            </w:r>
          </w:p>
        </w:tc>
        <w:tc>
          <w:tcPr>
            <w:tcW w:w="2703" w:type="dxa"/>
            <w:tcBorders>
              <w:top w:val="nil"/>
              <w:bottom w:val="single" w:sz="8" w:space="0" w:color="auto"/>
            </w:tcBorders>
            <w:shd w:val="clear" w:color="000000" w:fill="DDEBF7"/>
            <w:vAlign w:val="center"/>
            <w:hideMark/>
          </w:tcPr>
          <w:p w14:paraId="3FD8695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nil"/>
              <w:bottom w:val="single" w:sz="8" w:space="0" w:color="auto"/>
            </w:tcBorders>
            <w:shd w:val="clear" w:color="000000" w:fill="DDEBF7"/>
            <w:vAlign w:val="center"/>
            <w:hideMark/>
          </w:tcPr>
          <w:p w14:paraId="6C4D548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1895" w:type="dxa"/>
            <w:tcBorders>
              <w:top w:val="nil"/>
              <w:bottom w:val="single" w:sz="8" w:space="0" w:color="auto"/>
            </w:tcBorders>
            <w:shd w:val="clear" w:color="000000" w:fill="DDEBF7"/>
            <w:vAlign w:val="center"/>
          </w:tcPr>
          <w:p w14:paraId="6DB1259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4AA04F27" w14:textId="77777777" w:rsidTr="00C34963">
        <w:trPr>
          <w:jc w:val="center"/>
        </w:trPr>
        <w:tc>
          <w:tcPr>
            <w:tcW w:w="561" w:type="dxa"/>
            <w:tcBorders>
              <w:top w:val="nil"/>
              <w:bottom w:val="single" w:sz="4" w:space="0" w:color="auto"/>
            </w:tcBorders>
            <w:shd w:val="clear" w:color="000000" w:fill="E2EFDA"/>
            <w:noWrap/>
            <w:vAlign w:val="center"/>
            <w:hideMark/>
          </w:tcPr>
          <w:p w14:paraId="49891EE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FAM_8</w:t>
            </w:r>
          </w:p>
        </w:tc>
        <w:tc>
          <w:tcPr>
            <w:tcW w:w="510" w:type="dxa"/>
            <w:tcBorders>
              <w:top w:val="nil"/>
              <w:bottom w:val="single" w:sz="4" w:space="0" w:color="auto"/>
            </w:tcBorders>
            <w:shd w:val="clear" w:color="000000" w:fill="E2EFDA"/>
            <w:noWrap/>
            <w:vAlign w:val="center"/>
            <w:hideMark/>
          </w:tcPr>
          <w:p w14:paraId="2C746E9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23</w:t>
            </w:r>
          </w:p>
        </w:tc>
        <w:tc>
          <w:tcPr>
            <w:tcW w:w="502" w:type="dxa"/>
            <w:tcBorders>
              <w:top w:val="nil"/>
              <w:bottom w:val="single" w:sz="4" w:space="0" w:color="auto"/>
            </w:tcBorders>
            <w:shd w:val="clear" w:color="000000" w:fill="E2EFDA"/>
            <w:noWrap/>
            <w:vAlign w:val="center"/>
            <w:hideMark/>
          </w:tcPr>
          <w:p w14:paraId="09C2B64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24</w:t>
            </w:r>
          </w:p>
        </w:tc>
        <w:tc>
          <w:tcPr>
            <w:tcW w:w="553" w:type="dxa"/>
            <w:tcBorders>
              <w:top w:val="nil"/>
              <w:bottom w:val="single" w:sz="4" w:space="0" w:color="auto"/>
            </w:tcBorders>
            <w:shd w:val="clear" w:color="000000" w:fill="E2EFDA"/>
            <w:noWrap/>
            <w:vAlign w:val="center"/>
            <w:hideMark/>
          </w:tcPr>
          <w:p w14:paraId="0DD7701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25</w:t>
            </w:r>
          </w:p>
        </w:tc>
        <w:tc>
          <w:tcPr>
            <w:tcW w:w="484" w:type="dxa"/>
            <w:tcBorders>
              <w:top w:val="nil"/>
              <w:bottom w:val="single" w:sz="4" w:space="0" w:color="auto"/>
            </w:tcBorders>
            <w:shd w:val="clear" w:color="000000" w:fill="E2EFDA"/>
            <w:noWrap/>
            <w:vAlign w:val="center"/>
            <w:hideMark/>
          </w:tcPr>
          <w:p w14:paraId="1CF452A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6414069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0-5*</w:t>
            </w:r>
          </w:p>
        </w:tc>
        <w:tc>
          <w:tcPr>
            <w:tcW w:w="302" w:type="dxa"/>
            <w:tcBorders>
              <w:top w:val="nil"/>
              <w:bottom w:val="single" w:sz="4" w:space="0" w:color="auto"/>
            </w:tcBorders>
            <w:shd w:val="clear" w:color="000000" w:fill="DDEBF7"/>
            <w:noWrap/>
            <w:vAlign w:val="center"/>
            <w:hideMark/>
          </w:tcPr>
          <w:p w14:paraId="6F4DCFF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w:t>
            </w:r>
          </w:p>
        </w:tc>
        <w:tc>
          <w:tcPr>
            <w:tcW w:w="2703" w:type="dxa"/>
            <w:tcBorders>
              <w:top w:val="nil"/>
              <w:bottom w:val="single" w:sz="4" w:space="0" w:color="auto"/>
            </w:tcBorders>
            <w:shd w:val="clear" w:color="000000" w:fill="DDEBF7"/>
            <w:vAlign w:val="center"/>
            <w:hideMark/>
          </w:tcPr>
          <w:p w14:paraId="172FC29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Microphthalmia, Cataract, Retinal dystrophy, Congenital nephrotic syndrome, Microcephaly</w:t>
            </w:r>
          </w:p>
        </w:tc>
        <w:tc>
          <w:tcPr>
            <w:tcW w:w="2509" w:type="dxa"/>
            <w:tcBorders>
              <w:top w:val="nil"/>
              <w:bottom w:val="single" w:sz="4" w:space="0" w:color="auto"/>
            </w:tcBorders>
            <w:shd w:val="clear" w:color="000000" w:fill="DDEBF7"/>
            <w:vAlign w:val="center"/>
            <w:hideMark/>
          </w:tcPr>
          <w:p w14:paraId="1E48297E" w14:textId="77777777" w:rsidR="00C369B2" w:rsidRPr="00D372FF" w:rsidRDefault="00C369B2" w:rsidP="00C34963">
            <w:pPr>
              <w:autoSpaceDE w:val="0"/>
              <w:autoSpaceDN w:val="0"/>
              <w:adjustRightInd w:val="0"/>
              <w:snapToGrid w:val="0"/>
              <w:spacing w:line="240" w:lineRule="auto"/>
              <w:jc w:val="center"/>
              <w:rPr>
                <w:rFonts w:ascii="Palatino" w:hAnsi="Palatino"/>
                <w:sz w:val="18"/>
                <w:szCs w:val="18"/>
              </w:rPr>
            </w:pPr>
            <w:r w:rsidRPr="00D372FF">
              <w:rPr>
                <w:rFonts w:ascii="Palatino" w:hAnsi="Palatino"/>
                <w:b/>
                <w:bCs/>
                <w:sz w:val="18"/>
                <w:szCs w:val="18"/>
                <w:u w:val="single"/>
              </w:rPr>
              <w:t>Intrauterine growth restriction</w:t>
            </w:r>
            <w:r w:rsidRPr="00D372FF">
              <w:rPr>
                <w:rFonts w:ascii="Palatino" w:hAnsi="Palatino"/>
                <w:sz w:val="18"/>
                <w:szCs w:val="18"/>
              </w:rPr>
              <w:t xml:space="preserve">, Microcephaly, Congenital nephrotic syndrome, </w:t>
            </w:r>
            <w:r w:rsidRPr="00D372FF">
              <w:rPr>
                <w:rFonts w:ascii="Palatino" w:hAnsi="Palatino"/>
                <w:b/>
                <w:bCs/>
                <w:sz w:val="18"/>
                <w:szCs w:val="18"/>
                <w:u w:val="single"/>
              </w:rPr>
              <w:t>Renal failure</w:t>
            </w:r>
            <w:r w:rsidRPr="00D372FF">
              <w:rPr>
                <w:rFonts w:ascii="Palatino" w:hAnsi="Palatino"/>
                <w:sz w:val="18"/>
                <w:szCs w:val="18"/>
              </w:rPr>
              <w:t xml:space="preserve">, Bilateral congenital cataract, </w:t>
            </w:r>
            <w:r w:rsidRPr="00D372FF">
              <w:rPr>
                <w:rFonts w:ascii="Palatino" w:hAnsi="Palatino"/>
                <w:b/>
                <w:bCs/>
                <w:sz w:val="18"/>
                <w:szCs w:val="18"/>
                <w:u w:val="single"/>
              </w:rPr>
              <w:t>Cerebellopontine hypoplasia</w:t>
            </w:r>
            <w:r w:rsidRPr="00D372FF">
              <w:rPr>
                <w:rFonts w:ascii="Palatino" w:hAnsi="Palatino"/>
                <w:sz w:val="18"/>
                <w:szCs w:val="18"/>
              </w:rPr>
              <w:t xml:space="preserve">, Retinal dysfunction, </w:t>
            </w:r>
            <w:r w:rsidRPr="00D372FF">
              <w:rPr>
                <w:rFonts w:ascii="Palatino" w:hAnsi="Palatino"/>
                <w:b/>
                <w:bCs/>
                <w:sz w:val="18"/>
                <w:szCs w:val="18"/>
                <w:u w:val="single"/>
              </w:rPr>
              <w:t>Thrombocytopaenia</w:t>
            </w:r>
            <w:r w:rsidRPr="00D372FF">
              <w:rPr>
                <w:rFonts w:ascii="Palatino" w:hAnsi="Palatino"/>
                <w:sz w:val="18"/>
                <w:szCs w:val="18"/>
              </w:rPr>
              <w:t xml:space="preserve">, </w:t>
            </w:r>
            <w:r w:rsidRPr="00D372FF">
              <w:rPr>
                <w:rFonts w:ascii="Palatino" w:hAnsi="Palatino"/>
                <w:b/>
                <w:bCs/>
                <w:sz w:val="18"/>
                <w:szCs w:val="18"/>
                <w:u w:val="single"/>
              </w:rPr>
              <w:t>Giant platelets</w:t>
            </w:r>
            <w:r w:rsidRPr="00D372FF">
              <w:rPr>
                <w:rFonts w:ascii="Palatino" w:hAnsi="Palatino"/>
                <w:sz w:val="18"/>
                <w:szCs w:val="18"/>
              </w:rPr>
              <w:t xml:space="preserve">, </w:t>
            </w:r>
            <w:r w:rsidRPr="00D372FF">
              <w:rPr>
                <w:rFonts w:ascii="Palatino" w:hAnsi="Palatino"/>
                <w:b/>
                <w:bCs/>
                <w:sz w:val="18"/>
                <w:szCs w:val="18"/>
                <w:u w:val="single"/>
              </w:rPr>
              <w:t>Howell-Jolly bodies</w:t>
            </w:r>
          </w:p>
        </w:tc>
        <w:tc>
          <w:tcPr>
            <w:tcW w:w="1895" w:type="dxa"/>
            <w:tcBorders>
              <w:top w:val="nil"/>
              <w:bottom w:val="single" w:sz="4" w:space="0" w:color="auto"/>
            </w:tcBorders>
            <w:shd w:val="clear" w:color="000000" w:fill="DDEBF7"/>
            <w:vAlign w:val="center"/>
          </w:tcPr>
          <w:p w14:paraId="516C811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Congenital malformation and dysmorphic syndromes (</w:t>
            </w:r>
            <w:r w:rsidRPr="00D372FF">
              <w:rPr>
                <w:rFonts w:ascii="Palatino" w:eastAsia="Times New Roman" w:hAnsi="Palatino" w:cs="Calibri"/>
                <w:b/>
                <w:bCs/>
                <w:sz w:val="18"/>
                <w:szCs w:val="18"/>
              </w:rPr>
              <w:t>R27</w:t>
            </w:r>
            <w:r w:rsidRPr="00D372FF">
              <w:rPr>
                <w:rFonts w:ascii="Palatino" w:eastAsia="Times New Roman" w:hAnsi="Palatino" w:cs="Calibri"/>
                <w:sz w:val="18"/>
                <w:szCs w:val="18"/>
              </w:rPr>
              <w:t>), Structural eye disease (</w:t>
            </w:r>
            <w:r w:rsidRPr="00D372FF">
              <w:rPr>
                <w:rFonts w:ascii="Palatino" w:eastAsia="Times New Roman" w:hAnsi="Palatino" w:cs="Calibri"/>
                <w:b/>
                <w:bCs/>
                <w:sz w:val="18"/>
                <w:szCs w:val="18"/>
              </w:rPr>
              <w:t>R36</w:t>
            </w:r>
            <w:r w:rsidRPr="00D372FF">
              <w:rPr>
                <w:rFonts w:ascii="Palatino" w:eastAsia="Times New Roman" w:hAnsi="Palatino" w:cs="Calibri"/>
                <w:sz w:val="18"/>
                <w:szCs w:val="18"/>
              </w:rPr>
              <w:t>), Unexplained paediatric onset end-stage renal disease (</w:t>
            </w:r>
            <w:r w:rsidRPr="00D372FF">
              <w:rPr>
                <w:rFonts w:ascii="Palatino" w:eastAsia="Times New Roman" w:hAnsi="Palatino" w:cs="Calibri"/>
                <w:b/>
                <w:bCs/>
                <w:sz w:val="18"/>
                <w:szCs w:val="18"/>
              </w:rPr>
              <w:t>R257</w:t>
            </w:r>
            <w:r w:rsidRPr="00D372FF">
              <w:rPr>
                <w:rFonts w:ascii="Palatino" w:eastAsia="Times New Roman" w:hAnsi="Palatino" w:cs="Calibri"/>
                <w:sz w:val="18"/>
                <w:szCs w:val="18"/>
              </w:rPr>
              <w:t>), Cerebellar anomalies (</w:t>
            </w:r>
            <w:r w:rsidRPr="00D372FF">
              <w:rPr>
                <w:rFonts w:ascii="Palatino" w:eastAsia="Times New Roman" w:hAnsi="Palatino" w:cs="Calibri"/>
                <w:b/>
                <w:bCs/>
                <w:sz w:val="18"/>
                <w:szCs w:val="18"/>
              </w:rPr>
              <w:t>R84</w:t>
            </w:r>
            <w:r w:rsidRPr="00D372FF">
              <w:rPr>
                <w:rFonts w:ascii="Palatino" w:eastAsia="Times New Roman" w:hAnsi="Palatino" w:cs="Calibri"/>
                <w:sz w:val="18"/>
                <w:szCs w:val="18"/>
              </w:rPr>
              <w:t>), Severe microcephaly (</w:t>
            </w:r>
            <w:r w:rsidRPr="00D372FF">
              <w:rPr>
                <w:rFonts w:ascii="Palatino" w:eastAsia="Times New Roman" w:hAnsi="Palatino" w:cs="Calibri"/>
                <w:b/>
                <w:bCs/>
                <w:sz w:val="18"/>
                <w:szCs w:val="18"/>
              </w:rPr>
              <w:t>R88</w:t>
            </w:r>
            <w:r w:rsidRPr="00D372FF">
              <w:rPr>
                <w:rFonts w:ascii="Palatino" w:eastAsia="Times New Roman" w:hAnsi="Palatino" w:cs="Calibri"/>
                <w:sz w:val="18"/>
                <w:szCs w:val="18"/>
              </w:rPr>
              <w:t>), Proteinuric renal disease (</w:t>
            </w:r>
            <w:r w:rsidRPr="00D372FF">
              <w:rPr>
                <w:rFonts w:ascii="Palatino" w:eastAsia="Times New Roman" w:hAnsi="Palatino" w:cs="Calibri"/>
                <w:b/>
                <w:bCs/>
                <w:sz w:val="18"/>
                <w:szCs w:val="18"/>
              </w:rPr>
              <w:t>R195</w:t>
            </w:r>
            <w:r w:rsidRPr="00D372FF">
              <w:rPr>
                <w:rFonts w:ascii="Palatino" w:eastAsia="Times New Roman" w:hAnsi="Palatino" w:cs="Calibri"/>
                <w:sz w:val="18"/>
                <w:szCs w:val="18"/>
              </w:rPr>
              <w:t>)</w:t>
            </w:r>
          </w:p>
        </w:tc>
      </w:tr>
      <w:tr w:rsidR="00C34963" w:rsidRPr="00C34963" w14:paraId="74DFDFBC" w14:textId="77777777" w:rsidTr="00C34963">
        <w:trPr>
          <w:jc w:val="center"/>
        </w:trPr>
        <w:tc>
          <w:tcPr>
            <w:tcW w:w="561" w:type="dxa"/>
            <w:tcBorders>
              <w:top w:val="nil"/>
              <w:bottom w:val="single" w:sz="4" w:space="0" w:color="auto"/>
            </w:tcBorders>
            <w:shd w:val="clear" w:color="000000" w:fill="E2EFDA"/>
            <w:noWrap/>
            <w:vAlign w:val="center"/>
            <w:hideMark/>
          </w:tcPr>
          <w:p w14:paraId="03096D2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FAM_8</w:t>
            </w:r>
          </w:p>
        </w:tc>
        <w:tc>
          <w:tcPr>
            <w:tcW w:w="510" w:type="dxa"/>
            <w:tcBorders>
              <w:top w:val="nil"/>
              <w:bottom w:val="single" w:sz="4" w:space="0" w:color="auto"/>
            </w:tcBorders>
            <w:shd w:val="clear" w:color="000000" w:fill="E2EFDA"/>
            <w:noWrap/>
            <w:vAlign w:val="center"/>
            <w:hideMark/>
          </w:tcPr>
          <w:p w14:paraId="1BAE214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24</w:t>
            </w:r>
          </w:p>
        </w:tc>
        <w:tc>
          <w:tcPr>
            <w:tcW w:w="502" w:type="dxa"/>
            <w:tcBorders>
              <w:top w:val="nil"/>
              <w:bottom w:val="single" w:sz="4" w:space="0" w:color="auto"/>
            </w:tcBorders>
            <w:shd w:val="clear" w:color="000000" w:fill="E2EFDA"/>
            <w:noWrap/>
            <w:vAlign w:val="center"/>
            <w:hideMark/>
          </w:tcPr>
          <w:p w14:paraId="02406B8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4" w:space="0" w:color="auto"/>
            </w:tcBorders>
            <w:shd w:val="clear" w:color="000000" w:fill="E2EFDA"/>
            <w:noWrap/>
            <w:vAlign w:val="center"/>
            <w:hideMark/>
          </w:tcPr>
          <w:p w14:paraId="7C6A01B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4" w:space="0" w:color="auto"/>
            </w:tcBorders>
            <w:shd w:val="clear" w:color="000000" w:fill="E2EFDA"/>
            <w:noWrap/>
            <w:vAlign w:val="center"/>
            <w:hideMark/>
          </w:tcPr>
          <w:p w14:paraId="09D1BED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4" w:space="0" w:color="auto"/>
            </w:tcBorders>
            <w:shd w:val="clear" w:color="000000" w:fill="DDEBF7"/>
            <w:noWrap/>
            <w:vAlign w:val="center"/>
            <w:hideMark/>
          </w:tcPr>
          <w:p w14:paraId="4E93801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36-40</w:t>
            </w:r>
          </w:p>
        </w:tc>
        <w:tc>
          <w:tcPr>
            <w:tcW w:w="302" w:type="dxa"/>
            <w:tcBorders>
              <w:top w:val="nil"/>
              <w:bottom w:val="single" w:sz="4" w:space="0" w:color="auto"/>
            </w:tcBorders>
            <w:shd w:val="clear" w:color="000000" w:fill="DDEBF7"/>
            <w:noWrap/>
            <w:vAlign w:val="center"/>
            <w:hideMark/>
          </w:tcPr>
          <w:p w14:paraId="0BA5FCD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w:t>
            </w:r>
          </w:p>
        </w:tc>
        <w:tc>
          <w:tcPr>
            <w:tcW w:w="2703" w:type="dxa"/>
            <w:tcBorders>
              <w:top w:val="nil"/>
              <w:bottom w:val="single" w:sz="4" w:space="0" w:color="auto"/>
            </w:tcBorders>
            <w:shd w:val="clear" w:color="000000" w:fill="DDEBF7"/>
            <w:vAlign w:val="center"/>
            <w:hideMark/>
          </w:tcPr>
          <w:p w14:paraId="79E0F7E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nil"/>
              <w:bottom w:val="single" w:sz="4" w:space="0" w:color="auto"/>
            </w:tcBorders>
            <w:shd w:val="clear" w:color="000000" w:fill="DDEBF7"/>
            <w:vAlign w:val="center"/>
            <w:hideMark/>
          </w:tcPr>
          <w:p w14:paraId="46933D2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1895" w:type="dxa"/>
            <w:tcBorders>
              <w:top w:val="nil"/>
              <w:bottom w:val="single" w:sz="4" w:space="0" w:color="auto"/>
            </w:tcBorders>
            <w:shd w:val="clear" w:color="000000" w:fill="DDEBF7"/>
            <w:vAlign w:val="center"/>
          </w:tcPr>
          <w:p w14:paraId="199E9C5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r w:rsidR="00C34963" w:rsidRPr="00C34963" w14:paraId="771C2B27" w14:textId="77777777" w:rsidTr="00C34963">
        <w:trPr>
          <w:jc w:val="center"/>
        </w:trPr>
        <w:tc>
          <w:tcPr>
            <w:tcW w:w="561" w:type="dxa"/>
            <w:tcBorders>
              <w:top w:val="nil"/>
              <w:bottom w:val="single" w:sz="8" w:space="0" w:color="auto"/>
            </w:tcBorders>
            <w:shd w:val="clear" w:color="000000" w:fill="E2EFDA"/>
            <w:noWrap/>
            <w:vAlign w:val="center"/>
            <w:hideMark/>
          </w:tcPr>
          <w:p w14:paraId="4B97295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FAM_8</w:t>
            </w:r>
          </w:p>
        </w:tc>
        <w:tc>
          <w:tcPr>
            <w:tcW w:w="510" w:type="dxa"/>
            <w:tcBorders>
              <w:top w:val="nil"/>
              <w:bottom w:val="single" w:sz="8" w:space="0" w:color="auto"/>
            </w:tcBorders>
            <w:shd w:val="clear" w:color="000000" w:fill="E2EFDA"/>
            <w:noWrap/>
            <w:vAlign w:val="center"/>
            <w:hideMark/>
          </w:tcPr>
          <w:p w14:paraId="011A5DD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25</w:t>
            </w:r>
          </w:p>
        </w:tc>
        <w:tc>
          <w:tcPr>
            <w:tcW w:w="502" w:type="dxa"/>
            <w:tcBorders>
              <w:top w:val="nil"/>
              <w:bottom w:val="single" w:sz="8" w:space="0" w:color="auto"/>
            </w:tcBorders>
            <w:shd w:val="clear" w:color="000000" w:fill="E2EFDA"/>
            <w:noWrap/>
            <w:vAlign w:val="center"/>
            <w:hideMark/>
          </w:tcPr>
          <w:p w14:paraId="6B8F4D3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553" w:type="dxa"/>
            <w:tcBorders>
              <w:top w:val="nil"/>
              <w:bottom w:val="single" w:sz="8" w:space="0" w:color="auto"/>
            </w:tcBorders>
            <w:shd w:val="clear" w:color="000000" w:fill="E2EFDA"/>
            <w:noWrap/>
            <w:vAlign w:val="center"/>
            <w:hideMark/>
          </w:tcPr>
          <w:p w14:paraId="7391E25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84" w:type="dxa"/>
            <w:tcBorders>
              <w:top w:val="nil"/>
              <w:bottom w:val="single" w:sz="8" w:space="0" w:color="auto"/>
            </w:tcBorders>
            <w:shd w:val="clear" w:color="000000" w:fill="E2EFDA"/>
            <w:noWrap/>
            <w:vAlign w:val="center"/>
            <w:hideMark/>
          </w:tcPr>
          <w:p w14:paraId="3EA5F5C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 </w:t>
            </w:r>
          </w:p>
        </w:tc>
        <w:tc>
          <w:tcPr>
            <w:tcW w:w="437" w:type="dxa"/>
            <w:tcBorders>
              <w:top w:val="nil"/>
              <w:bottom w:val="single" w:sz="8" w:space="0" w:color="auto"/>
            </w:tcBorders>
            <w:shd w:val="clear" w:color="000000" w:fill="DDEBF7"/>
            <w:noWrap/>
            <w:vAlign w:val="center"/>
            <w:hideMark/>
          </w:tcPr>
          <w:p w14:paraId="7FD1E39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41-45</w:t>
            </w:r>
          </w:p>
        </w:tc>
        <w:tc>
          <w:tcPr>
            <w:tcW w:w="302" w:type="dxa"/>
            <w:tcBorders>
              <w:top w:val="nil"/>
              <w:bottom w:val="single" w:sz="8" w:space="0" w:color="auto"/>
            </w:tcBorders>
            <w:shd w:val="clear" w:color="000000" w:fill="DDEBF7"/>
            <w:noWrap/>
            <w:vAlign w:val="center"/>
            <w:hideMark/>
          </w:tcPr>
          <w:p w14:paraId="32145EE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M</w:t>
            </w:r>
          </w:p>
        </w:tc>
        <w:tc>
          <w:tcPr>
            <w:tcW w:w="2703" w:type="dxa"/>
            <w:tcBorders>
              <w:top w:val="nil"/>
              <w:bottom w:val="single" w:sz="8" w:space="0" w:color="auto"/>
            </w:tcBorders>
            <w:shd w:val="clear" w:color="000000" w:fill="DDEBF7"/>
            <w:vAlign w:val="center"/>
            <w:hideMark/>
          </w:tcPr>
          <w:p w14:paraId="5289E8A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2509" w:type="dxa"/>
            <w:tcBorders>
              <w:top w:val="nil"/>
              <w:bottom w:val="single" w:sz="8" w:space="0" w:color="auto"/>
            </w:tcBorders>
            <w:shd w:val="clear" w:color="000000" w:fill="DDEBF7"/>
            <w:vAlign w:val="center"/>
            <w:hideMark/>
          </w:tcPr>
          <w:p w14:paraId="0FB06BD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r w:rsidRPr="00D372FF">
              <w:rPr>
                <w:rFonts w:ascii="Palatino" w:eastAsia="Times New Roman" w:hAnsi="Palatino" w:cs="Calibri"/>
                <w:sz w:val="18"/>
                <w:szCs w:val="18"/>
              </w:rPr>
              <w:t>unaffected</w:t>
            </w:r>
          </w:p>
        </w:tc>
        <w:tc>
          <w:tcPr>
            <w:tcW w:w="1895" w:type="dxa"/>
            <w:tcBorders>
              <w:top w:val="nil"/>
              <w:bottom w:val="single" w:sz="8" w:space="0" w:color="auto"/>
            </w:tcBorders>
            <w:shd w:val="clear" w:color="000000" w:fill="DDEBF7"/>
            <w:vAlign w:val="center"/>
          </w:tcPr>
          <w:p w14:paraId="7E2546D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 w:val="18"/>
                <w:szCs w:val="18"/>
              </w:rPr>
            </w:pPr>
          </w:p>
        </w:tc>
      </w:tr>
    </w:tbl>
    <w:p w14:paraId="21EED420" w14:textId="59AC469D" w:rsidR="00C369B2" w:rsidRPr="00C34963" w:rsidRDefault="00C369B2" w:rsidP="00C34963">
      <w:pPr>
        <w:pStyle w:val="MDPI43tablefooter"/>
        <w:spacing w:after="240"/>
      </w:pPr>
      <w:r w:rsidRPr="00C34963">
        <w:t>Discrepancies between phenotypes underlined in bold. Ages given in age ranges. Fam_ID = Family ID, Mat_ID = Maternal ID, Pat_ID = Paternal ID, Pro_ID = Proband ID, Sib_ID = sibling ID. All IDs are fully anonymised for publication.</w:t>
      </w:r>
      <w:r w:rsidRPr="00C34963">
        <w:br/>
        <w:t>*Patient deceased</w:t>
      </w:r>
      <w:r w:rsidR="00C34963">
        <w:t>.</w:t>
      </w:r>
    </w:p>
    <w:p w14:paraId="624C8A84" w14:textId="77777777" w:rsidR="00C369B2" w:rsidRPr="00D372FF" w:rsidRDefault="00C369B2" w:rsidP="00C34963">
      <w:pPr>
        <w:pStyle w:val="MDPI23heading3"/>
        <w:spacing w:before="240"/>
        <w:rPr>
          <w:i/>
          <w:iCs/>
        </w:rPr>
      </w:pPr>
      <w:r w:rsidRPr="00D372FF">
        <w:rPr>
          <w:i/>
          <w:iCs/>
        </w:rPr>
        <w:t xml:space="preserve">Genomic Medicine Service pipeline </w:t>
      </w:r>
    </w:p>
    <w:p w14:paraId="2D6AE151" w14:textId="77777777" w:rsidR="00C369B2" w:rsidRPr="00D372FF" w:rsidRDefault="00C369B2" w:rsidP="00C34963">
      <w:pPr>
        <w:pStyle w:val="MDPI31text"/>
        <w:rPr>
          <w:rFonts w:ascii="Palatino" w:hAnsi="Palatino"/>
        </w:rPr>
      </w:pPr>
      <w:r w:rsidRPr="00D372FF">
        <w:rPr>
          <w:rFonts w:ascii="Palatino" w:hAnsi="Palatino"/>
        </w:rPr>
        <w:t xml:space="preserve">25 patients in 8 families were consented for GMS clinical genome sequencing; however, as one family (FAM_4) comprised a quad, the parents were sequenced with each child as two independent trios. Sequencing was performed on an Illumina NovaSeq 6000 machine, with </w:t>
      </w:r>
      <w:r w:rsidRPr="00D372FF">
        <w:rPr>
          <w:rFonts w:ascii="Palatino" w:hAnsi="Palatino" w:cs="Calibri"/>
        </w:rPr>
        <w:t>≥95% of the autosomal genome covered at ≥15x calculated from reads with mapping quality &gt;10 and &gt;85x10^9 bases with Q≥30, after removing duplicate reads and overlapping bases after adaptor and quality trimming</w:t>
      </w:r>
      <w:r w:rsidRPr="00D372FF">
        <w:rPr>
          <w:rFonts w:ascii="Palatino" w:hAnsi="Palatino"/>
        </w:rPr>
        <w:t xml:space="preserve">. </w:t>
      </w:r>
      <w:r w:rsidRPr="00D372FF">
        <w:rPr>
          <w:rFonts w:ascii="Palatino" w:hAnsi="Palatino" w:cs="Calibri"/>
        </w:rPr>
        <w:t>Cross-sample contamination was checked using VerifyBamID and samples with &gt;3% contamination failed QC. Sequencing alignment was performed using the DRAGEN aligner, with ALT-aware mapping and variant calling to improve specificity. Detection of small variants (single nucleotide variants (SNVs) and indels) and CNVs were performed using the DRAGEN small variant caller and DRAGEN CNV respectively. Short tandem repeat expansions were detected using ExpansionHunter (v2.5.6) as part of the DRAGEN software. The DRAGEN software v3.2.22 was used for alignment and variant calling and structural variants were detected using Manta (v1.5).</w:t>
      </w:r>
    </w:p>
    <w:p w14:paraId="7852A176" w14:textId="77777777" w:rsidR="00C369B2" w:rsidRPr="00C34963" w:rsidRDefault="00C369B2" w:rsidP="00C34963">
      <w:pPr>
        <w:pStyle w:val="MDPI22heading2"/>
        <w:spacing w:before="240"/>
      </w:pPr>
      <w:r w:rsidRPr="00C34963">
        <w:lastRenderedPageBreak/>
        <w:t>Data analysis</w:t>
      </w:r>
    </w:p>
    <w:p w14:paraId="15091F2F" w14:textId="554AB8C4" w:rsidR="00C369B2" w:rsidRPr="00C34963" w:rsidRDefault="00C369B2" w:rsidP="00C34963">
      <w:pPr>
        <w:pStyle w:val="MDPI31text"/>
      </w:pPr>
      <w:r w:rsidRPr="00C34963">
        <w:t>Different filtering strategies were applied to the research exome and the GMS genome data (</w:t>
      </w:r>
      <w:r w:rsidRPr="00C34963">
        <w:rPr>
          <w:b/>
          <w:bCs/>
        </w:rPr>
        <w:t>Table 2</w:t>
      </w:r>
      <w:r w:rsidRPr="00C34963">
        <w:t xml:space="preserve">). The research exome adopted the HiPPo </w:t>
      </w:r>
      <w:proofErr w:type="gramStart"/>
      <w:r w:rsidRPr="00C34963">
        <w:t>strategy</w:t>
      </w:r>
      <w:proofErr w:type="gramEnd"/>
      <w:r w:rsidRPr="00C34963">
        <w:t xml:space="preserve"> and the GMS adopted a panel-based approach.</w:t>
      </w:r>
      <w:r w:rsidR="000F697F">
        <w:t xml:space="preserve"> The research filtering strategy collates and filters on more information than the GMS approach. The GMS does not consider cohort allele frequency, ClinVar status, nor </w:t>
      </w:r>
      <w:r w:rsidR="000F697F" w:rsidRPr="00D372FF">
        <w:rPr>
          <w:i/>
          <w:iCs/>
        </w:rPr>
        <w:t>in silico</w:t>
      </w:r>
      <w:r w:rsidR="000F697F">
        <w:t xml:space="preserve"> metrics in its filtering strategy (</w:t>
      </w:r>
      <w:r w:rsidR="000F697F" w:rsidRPr="00D372FF">
        <w:rPr>
          <w:b/>
          <w:bCs/>
        </w:rPr>
        <w:t>Table 2</w:t>
      </w:r>
      <w:r w:rsidR="000F697F">
        <w:t>).</w:t>
      </w:r>
    </w:p>
    <w:p w14:paraId="19FE1688" w14:textId="18B02F98" w:rsidR="00C369B2" w:rsidRPr="00C34963" w:rsidRDefault="00C34963" w:rsidP="00C34963">
      <w:pPr>
        <w:pStyle w:val="MDPI41tablecaption"/>
      </w:pPr>
      <w:r w:rsidRPr="00C34963">
        <w:rPr>
          <w:b/>
          <w:bCs/>
        </w:rPr>
        <w:t xml:space="preserve">Table 2. </w:t>
      </w:r>
      <w:r w:rsidR="00C369B2" w:rsidRPr="00C34963">
        <w:t>| Filtering criteria for the research exome and NHS genome</w:t>
      </w:r>
      <w:r>
        <w:t>.</w:t>
      </w:r>
    </w:p>
    <w:tbl>
      <w:tblPr>
        <w:tblW w:w="10465" w:type="dxa"/>
        <w:jc w:val="center"/>
        <w:tblLayout w:type="fixed"/>
        <w:tblCellMar>
          <w:left w:w="0" w:type="dxa"/>
          <w:right w:w="0" w:type="dxa"/>
        </w:tblCellMar>
        <w:tblLook w:val="04A0" w:firstRow="1" w:lastRow="0" w:firstColumn="1" w:lastColumn="0" w:noHBand="0" w:noVBand="1"/>
      </w:tblPr>
      <w:tblGrid>
        <w:gridCol w:w="1901"/>
        <w:gridCol w:w="2021"/>
        <w:gridCol w:w="2029"/>
        <w:gridCol w:w="2505"/>
        <w:gridCol w:w="2009"/>
      </w:tblGrid>
      <w:tr w:rsidR="00C369B2" w:rsidRPr="00A76F86" w14:paraId="7B5EDD20" w14:textId="77777777" w:rsidTr="00C34963">
        <w:trPr>
          <w:jc w:val="center"/>
        </w:trPr>
        <w:tc>
          <w:tcPr>
            <w:tcW w:w="1963" w:type="dxa"/>
            <w:tcBorders>
              <w:top w:val="single" w:sz="8" w:space="0" w:color="auto"/>
              <w:left w:val="nil"/>
              <w:bottom w:val="nil"/>
            </w:tcBorders>
            <w:shd w:val="clear" w:color="auto" w:fill="auto"/>
            <w:noWrap/>
            <w:vAlign w:val="center"/>
            <w:hideMark/>
          </w:tcPr>
          <w:p w14:paraId="43B32BA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szCs w:val="18"/>
              </w:rPr>
            </w:pPr>
          </w:p>
        </w:tc>
        <w:tc>
          <w:tcPr>
            <w:tcW w:w="4182" w:type="dxa"/>
            <w:gridSpan w:val="2"/>
            <w:tcBorders>
              <w:top w:val="single" w:sz="8" w:space="0" w:color="auto"/>
              <w:bottom w:val="nil"/>
            </w:tcBorders>
            <w:shd w:val="clear" w:color="000000" w:fill="A9D08E"/>
            <w:noWrap/>
            <w:vAlign w:val="center"/>
            <w:hideMark/>
          </w:tcPr>
          <w:p w14:paraId="4B9FAEF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Research exome HiPPo strategy</w:t>
            </w:r>
          </w:p>
        </w:tc>
        <w:tc>
          <w:tcPr>
            <w:tcW w:w="4662" w:type="dxa"/>
            <w:gridSpan w:val="2"/>
            <w:tcBorders>
              <w:top w:val="single" w:sz="8" w:space="0" w:color="auto"/>
              <w:bottom w:val="nil"/>
            </w:tcBorders>
            <w:shd w:val="clear" w:color="000000" w:fill="FFD966"/>
            <w:noWrap/>
            <w:vAlign w:val="center"/>
            <w:hideMark/>
          </w:tcPr>
          <w:p w14:paraId="4808242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NHS genome panel-based strategy</w:t>
            </w:r>
          </w:p>
        </w:tc>
      </w:tr>
      <w:tr w:rsidR="00C369B2" w:rsidRPr="00A76F86" w14:paraId="2D831666" w14:textId="77777777" w:rsidTr="00C34963">
        <w:trPr>
          <w:jc w:val="center"/>
        </w:trPr>
        <w:tc>
          <w:tcPr>
            <w:tcW w:w="1963" w:type="dxa"/>
            <w:tcBorders>
              <w:top w:val="nil"/>
              <w:left w:val="nil"/>
              <w:bottom w:val="nil"/>
            </w:tcBorders>
            <w:shd w:val="clear" w:color="auto" w:fill="auto"/>
            <w:vAlign w:val="center"/>
            <w:hideMark/>
          </w:tcPr>
          <w:p w14:paraId="01561E5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p>
        </w:tc>
        <w:tc>
          <w:tcPr>
            <w:tcW w:w="2087" w:type="dxa"/>
            <w:tcBorders>
              <w:top w:val="single" w:sz="4" w:space="0" w:color="auto"/>
              <w:bottom w:val="single" w:sz="4" w:space="0" w:color="auto"/>
            </w:tcBorders>
            <w:shd w:val="clear" w:color="auto" w:fill="auto"/>
            <w:vAlign w:val="center"/>
            <w:hideMark/>
          </w:tcPr>
          <w:p w14:paraId="5FD6EA6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Dominant</w:t>
            </w:r>
          </w:p>
        </w:tc>
        <w:tc>
          <w:tcPr>
            <w:tcW w:w="2095" w:type="dxa"/>
            <w:tcBorders>
              <w:top w:val="single" w:sz="4" w:space="0" w:color="auto"/>
              <w:bottom w:val="single" w:sz="4" w:space="0" w:color="auto"/>
            </w:tcBorders>
            <w:shd w:val="clear" w:color="auto" w:fill="auto"/>
            <w:vAlign w:val="center"/>
            <w:hideMark/>
          </w:tcPr>
          <w:p w14:paraId="52EBB32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Recessive</w:t>
            </w:r>
          </w:p>
        </w:tc>
        <w:tc>
          <w:tcPr>
            <w:tcW w:w="2587" w:type="dxa"/>
            <w:tcBorders>
              <w:top w:val="single" w:sz="4" w:space="0" w:color="auto"/>
              <w:bottom w:val="single" w:sz="4" w:space="0" w:color="auto"/>
            </w:tcBorders>
            <w:shd w:val="clear" w:color="auto" w:fill="auto"/>
            <w:vAlign w:val="center"/>
            <w:hideMark/>
          </w:tcPr>
          <w:p w14:paraId="3745ECB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Dominant</w:t>
            </w:r>
          </w:p>
        </w:tc>
        <w:tc>
          <w:tcPr>
            <w:tcW w:w="2075" w:type="dxa"/>
            <w:tcBorders>
              <w:top w:val="single" w:sz="4" w:space="0" w:color="auto"/>
              <w:bottom w:val="single" w:sz="4" w:space="0" w:color="auto"/>
            </w:tcBorders>
            <w:shd w:val="clear" w:color="auto" w:fill="auto"/>
            <w:vAlign w:val="center"/>
            <w:hideMark/>
          </w:tcPr>
          <w:p w14:paraId="1097E04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Recessive</w:t>
            </w:r>
          </w:p>
        </w:tc>
      </w:tr>
      <w:tr w:rsidR="00C34963" w:rsidRPr="00A76F86" w14:paraId="1669725E" w14:textId="77777777" w:rsidTr="00C34963">
        <w:trPr>
          <w:jc w:val="center"/>
        </w:trPr>
        <w:tc>
          <w:tcPr>
            <w:tcW w:w="1963" w:type="dxa"/>
            <w:tcBorders>
              <w:top w:val="single" w:sz="4" w:space="0" w:color="auto"/>
              <w:bottom w:val="single" w:sz="4" w:space="0" w:color="auto"/>
            </w:tcBorders>
            <w:shd w:val="clear" w:color="auto" w:fill="auto"/>
            <w:vAlign w:val="center"/>
            <w:hideMark/>
          </w:tcPr>
          <w:p w14:paraId="18FF196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Inheritance</w:t>
            </w:r>
          </w:p>
        </w:tc>
        <w:tc>
          <w:tcPr>
            <w:tcW w:w="2087" w:type="dxa"/>
            <w:tcBorders>
              <w:top w:val="nil"/>
              <w:bottom w:val="single" w:sz="4" w:space="0" w:color="auto"/>
            </w:tcBorders>
            <w:shd w:val="clear" w:color="000000" w:fill="E2EFDA"/>
            <w:vAlign w:val="center"/>
            <w:hideMark/>
          </w:tcPr>
          <w:p w14:paraId="0D7E4FC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De novo/dominant search</w:t>
            </w:r>
          </w:p>
        </w:tc>
        <w:tc>
          <w:tcPr>
            <w:tcW w:w="2095" w:type="dxa"/>
            <w:tcBorders>
              <w:top w:val="nil"/>
              <w:bottom w:val="single" w:sz="4" w:space="0" w:color="auto"/>
            </w:tcBorders>
            <w:shd w:val="clear" w:color="000000" w:fill="E2EFDA"/>
            <w:vAlign w:val="center"/>
            <w:hideMark/>
          </w:tcPr>
          <w:p w14:paraId="41C8149C" w14:textId="2D98E6EC"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Recessive search</w:t>
            </w:r>
            <w:r w:rsidR="00130A36" w:rsidRPr="00D372FF">
              <w:rPr>
                <w:rFonts w:ascii="Palatino" w:eastAsia="Times New Roman" w:hAnsi="Palatino" w:cs="Calibri"/>
                <w:szCs w:val="18"/>
                <w:vertAlign w:val="superscript"/>
              </w:rPr>
              <w:t>&amp;</w:t>
            </w:r>
          </w:p>
        </w:tc>
        <w:tc>
          <w:tcPr>
            <w:tcW w:w="2587" w:type="dxa"/>
            <w:tcBorders>
              <w:top w:val="nil"/>
              <w:bottom w:val="single" w:sz="4" w:space="0" w:color="auto"/>
            </w:tcBorders>
            <w:shd w:val="clear" w:color="000000" w:fill="FFF2CC"/>
            <w:vAlign w:val="center"/>
            <w:hideMark/>
          </w:tcPr>
          <w:p w14:paraId="33CB73C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De novo/dominant search</w:t>
            </w:r>
          </w:p>
        </w:tc>
        <w:tc>
          <w:tcPr>
            <w:tcW w:w="2075" w:type="dxa"/>
            <w:tcBorders>
              <w:top w:val="nil"/>
              <w:bottom w:val="single" w:sz="4" w:space="0" w:color="auto"/>
            </w:tcBorders>
            <w:shd w:val="clear" w:color="000000" w:fill="FFF2CC"/>
            <w:vAlign w:val="center"/>
            <w:hideMark/>
          </w:tcPr>
          <w:p w14:paraId="1F262BC2" w14:textId="77D79475"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Recessive search</w:t>
            </w:r>
            <w:r w:rsidR="00130A36" w:rsidRPr="00D372FF">
              <w:rPr>
                <w:rFonts w:ascii="Palatino" w:eastAsia="Times New Roman" w:hAnsi="Palatino" w:cs="Calibri"/>
                <w:szCs w:val="18"/>
                <w:vertAlign w:val="superscript"/>
              </w:rPr>
              <w:t>&amp;</w:t>
            </w:r>
          </w:p>
        </w:tc>
      </w:tr>
      <w:tr w:rsidR="00C34963" w:rsidRPr="00A76F86" w14:paraId="5EB0E9C3" w14:textId="77777777" w:rsidTr="00C34963">
        <w:trPr>
          <w:jc w:val="center"/>
        </w:trPr>
        <w:tc>
          <w:tcPr>
            <w:tcW w:w="1963" w:type="dxa"/>
            <w:tcBorders>
              <w:top w:val="nil"/>
              <w:bottom w:val="single" w:sz="4" w:space="0" w:color="auto"/>
            </w:tcBorders>
            <w:shd w:val="clear" w:color="auto" w:fill="auto"/>
            <w:vAlign w:val="center"/>
            <w:hideMark/>
          </w:tcPr>
          <w:p w14:paraId="66553F2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AF (gnomAD exomes, gnomAD genomes, TOPMED*, ExAC, 1000g)</w:t>
            </w:r>
          </w:p>
        </w:tc>
        <w:tc>
          <w:tcPr>
            <w:tcW w:w="2087" w:type="dxa"/>
            <w:tcBorders>
              <w:top w:val="nil"/>
              <w:bottom w:val="single" w:sz="4" w:space="0" w:color="auto"/>
            </w:tcBorders>
            <w:shd w:val="clear" w:color="000000" w:fill="E2EFDA"/>
            <w:vAlign w:val="center"/>
            <w:hideMark/>
          </w:tcPr>
          <w:p w14:paraId="6F64FEE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&lt;0.001</w:t>
            </w:r>
          </w:p>
        </w:tc>
        <w:tc>
          <w:tcPr>
            <w:tcW w:w="2095" w:type="dxa"/>
            <w:tcBorders>
              <w:top w:val="nil"/>
              <w:bottom w:val="single" w:sz="4" w:space="0" w:color="auto"/>
            </w:tcBorders>
            <w:shd w:val="clear" w:color="000000" w:fill="E2EFDA"/>
            <w:vAlign w:val="center"/>
            <w:hideMark/>
          </w:tcPr>
          <w:p w14:paraId="1092E8A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&lt;0.05</w:t>
            </w:r>
          </w:p>
        </w:tc>
        <w:tc>
          <w:tcPr>
            <w:tcW w:w="2587" w:type="dxa"/>
            <w:tcBorders>
              <w:top w:val="nil"/>
              <w:bottom w:val="single" w:sz="4" w:space="0" w:color="auto"/>
            </w:tcBorders>
            <w:shd w:val="clear" w:color="000000" w:fill="FFF2CC"/>
            <w:noWrap/>
            <w:vAlign w:val="center"/>
            <w:hideMark/>
          </w:tcPr>
          <w:p w14:paraId="6EF47D0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&lt;0.001</w:t>
            </w:r>
          </w:p>
        </w:tc>
        <w:tc>
          <w:tcPr>
            <w:tcW w:w="2075" w:type="dxa"/>
            <w:tcBorders>
              <w:top w:val="nil"/>
              <w:bottom w:val="single" w:sz="4" w:space="0" w:color="auto"/>
            </w:tcBorders>
            <w:shd w:val="clear" w:color="000000" w:fill="FFF2CC"/>
            <w:vAlign w:val="center"/>
            <w:hideMark/>
          </w:tcPr>
          <w:p w14:paraId="346D430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&lt;0.01</w:t>
            </w:r>
          </w:p>
        </w:tc>
      </w:tr>
      <w:tr w:rsidR="00C34963" w:rsidRPr="00A76F86" w14:paraId="5A78DA50" w14:textId="77777777" w:rsidTr="00C34963">
        <w:trPr>
          <w:jc w:val="center"/>
        </w:trPr>
        <w:tc>
          <w:tcPr>
            <w:tcW w:w="1963" w:type="dxa"/>
            <w:tcBorders>
              <w:top w:val="nil"/>
              <w:bottom w:val="single" w:sz="4" w:space="0" w:color="auto"/>
            </w:tcBorders>
            <w:shd w:val="clear" w:color="auto" w:fill="auto"/>
            <w:vAlign w:val="center"/>
            <w:hideMark/>
          </w:tcPr>
          <w:p w14:paraId="4404BA9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Cohort^ AF</w:t>
            </w:r>
          </w:p>
        </w:tc>
        <w:tc>
          <w:tcPr>
            <w:tcW w:w="2087" w:type="dxa"/>
            <w:tcBorders>
              <w:top w:val="nil"/>
              <w:bottom w:val="single" w:sz="4" w:space="0" w:color="auto"/>
            </w:tcBorders>
            <w:shd w:val="clear" w:color="000000" w:fill="E2EFDA"/>
            <w:vAlign w:val="center"/>
            <w:hideMark/>
          </w:tcPr>
          <w:p w14:paraId="04777AD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&lt;0.01</w:t>
            </w:r>
          </w:p>
        </w:tc>
        <w:tc>
          <w:tcPr>
            <w:tcW w:w="2095" w:type="dxa"/>
            <w:tcBorders>
              <w:top w:val="nil"/>
              <w:bottom w:val="single" w:sz="4" w:space="0" w:color="auto"/>
            </w:tcBorders>
            <w:shd w:val="clear" w:color="000000" w:fill="E2EFDA"/>
            <w:vAlign w:val="center"/>
            <w:hideMark/>
          </w:tcPr>
          <w:p w14:paraId="76B05C3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&lt;0.01</w:t>
            </w:r>
          </w:p>
        </w:tc>
        <w:tc>
          <w:tcPr>
            <w:tcW w:w="2587" w:type="dxa"/>
            <w:tcBorders>
              <w:top w:val="nil"/>
              <w:bottom w:val="single" w:sz="4" w:space="0" w:color="auto"/>
            </w:tcBorders>
            <w:shd w:val="clear" w:color="000000" w:fill="FFF2CC"/>
            <w:noWrap/>
            <w:vAlign w:val="center"/>
            <w:hideMark/>
          </w:tcPr>
          <w:p w14:paraId="66CEF9E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No filter applied</w:t>
            </w:r>
          </w:p>
        </w:tc>
        <w:tc>
          <w:tcPr>
            <w:tcW w:w="2075" w:type="dxa"/>
            <w:tcBorders>
              <w:top w:val="nil"/>
              <w:bottom w:val="single" w:sz="4" w:space="0" w:color="auto"/>
            </w:tcBorders>
            <w:shd w:val="clear" w:color="000000" w:fill="FFF2CC"/>
            <w:vAlign w:val="center"/>
            <w:hideMark/>
          </w:tcPr>
          <w:p w14:paraId="2D56153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No filter applied</w:t>
            </w:r>
          </w:p>
        </w:tc>
      </w:tr>
      <w:tr w:rsidR="00C34963" w:rsidRPr="00A76F86" w14:paraId="5E1D39CB" w14:textId="77777777" w:rsidTr="00C34963">
        <w:trPr>
          <w:jc w:val="center"/>
        </w:trPr>
        <w:tc>
          <w:tcPr>
            <w:tcW w:w="1963" w:type="dxa"/>
            <w:tcBorders>
              <w:top w:val="nil"/>
              <w:bottom w:val="single" w:sz="4" w:space="0" w:color="auto"/>
            </w:tcBorders>
            <w:shd w:val="clear" w:color="auto" w:fill="auto"/>
            <w:vAlign w:val="center"/>
            <w:hideMark/>
          </w:tcPr>
          <w:p w14:paraId="695C082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Variant type</w:t>
            </w:r>
          </w:p>
        </w:tc>
        <w:tc>
          <w:tcPr>
            <w:tcW w:w="2087" w:type="dxa"/>
            <w:tcBorders>
              <w:top w:val="nil"/>
              <w:bottom w:val="single" w:sz="4" w:space="0" w:color="auto"/>
            </w:tcBorders>
            <w:shd w:val="clear" w:color="000000" w:fill="E2EFDA"/>
            <w:vAlign w:val="center"/>
            <w:hideMark/>
          </w:tcPr>
          <w:p w14:paraId="0AB198E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All coding +/- 20bp excluding synonymous, on any transcript</w:t>
            </w:r>
          </w:p>
        </w:tc>
        <w:tc>
          <w:tcPr>
            <w:tcW w:w="2095" w:type="dxa"/>
            <w:tcBorders>
              <w:top w:val="nil"/>
              <w:bottom w:val="single" w:sz="4" w:space="0" w:color="auto"/>
            </w:tcBorders>
            <w:shd w:val="clear" w:color="000000" w:fill="E2EFDA"/>
            <w:vAlign w:val="center"/>
            <w:hideMark/>
          </w:tcPr>
          <w:p w14:paraId="5A42F25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All coding +/- 20bp, excluding synonymous, on any transcript</w:t>
            </w:r>
          </w:p>
        </w:tc>
        <w:tc>
          <w:tcPr>
            <w:tcW w:w="2587" w:type="dxa"/>
            <w:tcBorders>
              <w:top w:val="nil"/>
              <w:bottom w:val="single" w:sz="4" w:space="0" w:color="auto"/>
            </w:tcBorders>
            <w:shd w:val="clear" w:color="000000" w:fill="FFF2CC"/>
            <w:vAlign w:val="center"/>
            <w:hideMark/>
          </w:tcPr>
          <w:p w14:paraId="5557BE1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All coding +/- 8bp on any transcript, excluding synonymous</w:t>
            </w:r>
          </w:p>
        </w:tc>
        <w:tc>
          <w:tcPr>
            <w:tcW w:w="2075" w:type="dxa"/>
            <w:tcBorders>
              <w:top w:val="nil"/>
              <w:bottom w:val="single" w:sz="4" w:space="0" w:color="auto"/>
            </w:tcBorders>
            <w:shd w:val="clear" w:color="000000" w:fill="FFF2CC"/>
            <w:vAlign w:val="center"/>
            <w:hideMark/>
          </w:tcPr>
          <w:p w14:paraId="22241A9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All coding +/- 8bp on any transcript, excluding synonymous</w:t>
            </w:r>
          </w:p>
        </w:tc>
      </w:tr>
      <w:tr w:rsidR="00C34963" w:rsidRPr="00A76F86" w14:paraId="67D92490" w14:textId="77777777" w:rsidTr="00C34963">
        <w:trPr>
          <w:jc w:val="center"/>
        </w:trPr>
        <w:tc>
          <w:tcPr>
            <w:tcW w:w="1963" w:type="dxa"/>
            <w:tcBorders>
              <w:top w:val="nil"/>
              <w:bottom w:val="single" w:sz="4" w:space="0" w:color="auto"/>
            </w:tcBorders>
            <w:shd w:val="clear" w:color="auto" w:fill="auto"/>
            <w:vAlign w:val="center"/>
            <w:hideMark/>
          </w:tcPr>
          <w:p w14:paraId="223F154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SpliceAI (for splicing variants)</w:t>
            </w:r>
          </w:p>
        </w:tc>
        <w:tc>
          <w:tcPr>
            <w:tcW w:w="2087" w:type="dxa"/>
            <w:tcBorders>
              <w:top w:val="nil"/>
              <w:bottom w:val="single" w:sz="4" w:space="0" w:color="auto"/>
            </w:tcBorders>
            <w:shd w:val="clear" w:color="000000" w:fill="E2EFDA"/>
            <w:vAlign w:val="center"/>
            <w:hideMark/>
          </w:tcPr>
          <w:p w14:paraId="691F701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&gt;0.2</w:t>
            </w:r>
          </w:p>
        </w:tc>
        <w:tc>
          <w:tcPr>
            <w:tcW w:w="2095" w:type="dxa"/>
            <w:tcBorders>
              <w:top w:val="nil"/>
              <w:bottom w:val="single" w:sz="4" w:space="0" w:color="auto"/>
            </w:tcBorders>
            <w:shd w:val="clear" w:color="000000" w:fill="E2EFDA"/>
            <w:vAlign w:val="center"/>
            <w:hideMark/>
          </w:tcPr>
          <w:p w14:paraId="761D4BB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&gt;0.2</w:t>
            </w:r>
          </w:p>
        </w:tc>
        <w:tc>
          <w:tcPr>
            <w:tcW w:w="2587" w:type="dxa"/>
            <w:tcBorders>
              <w:top w:val="nil"/>
              <w:bottom w:val="single" w:sz="4" w:space="0" w:color="auto"/>
            </w:tcBorders>
            <w:shd w:val="clear" w:color="000000" w:fill="FFF2CC"/>
            <w:vAlign w:val="center"/>
            <w:hideMark/>
          </w:tcPr>
          <w:p w14:paraId="5CEED8B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No filter applied</w:t>
            </w:r>
          </w:p>
        </w:tc>
        <w:tc>
          <w:tcPr>
            <w:tcW w:w="2075" w:type="dxa"/>
            <w:tcBorders>
              <w:top w:val="nil"/>
              <w:bottom w:val="single" w:sz="4" w:space="0" w:color="auto"/>
            </w:tcBorders>
            <w:shd w:val="clear" w:color="000000" w:fill="FFF2CC"/>
            <w:vAlign w:val="center"/>
            <w:hideMark/>
          </w:tcPr>
          <w:p w14:paraId="51FCBC8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No filter applied</w:t>
            </w:r>
          </w:p>
        </w:tc>
      </w:tr>
      <w:tr w:rsidR="00C34963" w:rsidRPr="00A76F86" w14:paraId="53EEE1FA" w14:textId="77777777" w:rsidTr="00C34963">
        <w:trPr>
          <w:jc w:val="center"/>
        </w:trPr>
        <w:tc>
          <w:tcPr>
            <w:tcW w:w="1963" w:type="dxa"/>
            <w:tcBorders>
              <w:top w:val="nil"/>
              <w:bottom w:val="single" w:sz="4" w:space="0" w:color="auto"/>
            </w:tcBorders>
            <w:shd w:val="clear" w:color="auto" w:fill="auto"/>
            <w:vAlign w:val="center"/>
            <w:hideMark/>
          </w:tcPr>
          <w:p w14:paraId="105C97E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CADD (all variants)</w:t>
            </w:r>
          </w:p>
        </w:tc>
        <w:tc>
          <w:tcPr>
            <w:tcW w:w="2087" w:type="dxa"/>
            <w:tcBorders>
              <w:top w:val="nil"/>
              <w:bottom w:val="single" w:sz="4" w:space="0" w:color="auto"/>
            </w:tcBorders>
            <w:shd w:val="clear" w:color="000000" w:fill="E2EFDA"/>
            <w:vAlign w:val="center"/>
            <w:hideMark/>
          </w:tcPr>
          <w:p w14:paraId="4B3B7E5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&gt;15</w:t>
            </w:r>
          </w:p>
        </w:tc>
        <w:tc>
          <w:tcPr>
            <w:tcW w:w="2095" w:type="dxa"/>
            <w:tcBorders>
              <w:top w:val="nil"/>
              <w:bottom w:val="single" w:sz="4" w:space="0" w:color="auto"/>
            </w:tcBorders>
            <w:shd w:val="clear" w:color="000000" w:fill="E2EFDA"/>
            <w:vAlign w:val="center"/>
            <w:hideMark/>
          </w:tcPr>
          <w:p w14:paraId="446A7CC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&gt;15</w:t>
            </w:r>
          </w:p>
        </w:tc>
        <w:tc>
          <w:tcPr>
            <w:tcW w:w="2587" w:type="dxa"/>
            <w:tcBorders>
              <w:top w:val="nil"/>
              <w:bottom w:val="single" w:sz="4" w:space="0" w:color="auto"/>
            </w:tcBorders>
            <w:shd w:val="clear" w:color="000000" w:fill="FFF2CC"/>
            <w:vAlign w:val="center"/>
            <w:hideMark/>
          </w:tcPr>
          <w:p w14:paraId="4442192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No filter applied</w:t>
            </w:r>
          </w:p>
        </w:tc>
        <w:tc>
          <w:tcPr>
            <w:tcW w:w="2075" w:type="dxa"/>
            <w:tcBorders>
              <w:top w:val="nil"/>
              <w:bottom w:val="single" w:sz="4" w:space="0" w:color="auto"/>
            </w:tcBorders>
            <w:shd w:val="clear" w:color="000000" w:fill="FFF2CC"/>
            <w:vAlign w:val="center"/>
            <w:hideMark/>
          </w:tcPr>
          <w:p w14:paraId="36CC3A8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No filter applied</w:t>
            </w:r>
          </w:p>
        </w:tc>
      </w:tr>
      <w:tr w:rsidR="00C34963" w:rsidRPr="00A76F86" w14:paraId="2E7CB5FF" w14:textId="77777777" w:rsidTr="00C34963">
        <w:trPr>
          <w:jc w:val="center"/>
        </w:trPr>
        <w:tc>
          <w:tcPr>
            <w:tcW w:w="1963" w:type="dxa"/>
            <w:tcBorders>
              <w:top w:val="nil"/>
              <w:bottom w:val="single" w:sz="4" w:space="0" w:color="auto"/>
            </w:tcBorders>
            <w:shd w:val="clear" w:color="auto" w:fill="auto"/>
            <w:vAlign w:val="center"/>
            <w:hideMark/>
          </w:tcPr>
          <w:p w14:paraId="0E601AD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ClinVar</w:t>
            </w:r>
          </w:p>
        </w:tc>
        <w:tc>
          <w:tcPr>
            <w:tcW w:w="2087" w:type="dxa"/>
            <w:tcBorders>
              <w:top w:val="nil"/>
              <w:bottom w:val="single" w:sz="4" w:space="0" w:color="auto"/>
            </w:tcBorders>
            <w:shd w:val="clear" w:color="000000" w:fill="E2EFDA"/>
            <w:vAlign w:val="center"/>
            <w:hideMark/>
          </w:tcPr>
          <w:p w14:paraId="17F2C74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Remove benign/likely benign</w:t>
            </w:r>
          </w:p>
        </w:tc>
        <w:tc>
          <w:tcPr>
            <w:tcW w:w="2095" w:type="dxa"/>
            <w:tcBorders>
              <w:top w:val="nil"/>
              <w:bottom w:val="single" w:sz="4" w:space="0" w:color="auto"/>
            </w:tcBorders>
            <w:shd w:val="clear" w:color="000000" w:fill="E2EFDA"/>
            <w:vAlign w:val="center"/>
            <w:hideMark/>
          </w:tcPr>
          <w:p w14:paraId="57D4D85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Remove benign/likely benign</w:t>
            </w:r>
          </w:p>
        </w:tc>
        <w:tc>
          <w:tcPr>
            <w:tcW w:w="2587" w:type="dxa"/>
            <w:tcBorders>
              <w:top w:val="nil"/>
              <w:bottom w:val="single" w:sz="4" w:space="0" w:color="auto"/>
            </w:tcBorders>
            <w:shd w:val="clear" w:color="000000" w:fill="FFF2CC"/>
            <w:vAlign w:val="center"/>
            <w:hideMark/>
          </w:tcPr>
          <w:p w14:paraId="1B7BAB9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No filter applied</w:t>
            </w:r>
          </w:p>
        </w:tc>
        <w:tc>
          <w:tcPr>
            <w:tcW w:w="2075" w:type="dxa"/>
            <w:tcBorders>
              <w:top w:val="nil"/>
              <w:bottom w:val="single" w:sz="4" w:space="0" w:color="auto"/>
            </w:tcBorders>
            <w:shd w:val="clear" w:color="000000" w:fill="FFF2CC"/>
            <w:vAlign w:val="center"/>
            <w:hideMark/>
          </w:tcPr>
          <w:p w14:paraId="7272859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No filter applied</w:t>
            </w:r>
          </w:p>
        </w:tc>
      </w:tr>
      <w:tr w:rsidR="00C34963" w:rsidRPr="00A76F86" w14:paraId="115F43B7" w14:textId="77777777" w:rsidTr="00C34963">
        <w:trPr>
          <w:jc w:val="center"/>
        </w:trPr>
        <w:tc>
          <w:tcPr>
            <w:tcW w:w="1963" w:type="dxa"/>
            <w:tcBorders>
              <w:top w:val="nil"/>
              <w:bottom w:val="single" w:sz="4" w:space="0" w:color="auto"/>
            </w:tcBorders>
            <w:shd w:val="clear" w:color="auto" w:fill="auto"/>
            <w:vAlign w:val="center"/>
            <w:hideMark/>
          </w:tcPr>
          <w:p w14:paraId="015EC91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Genes</w:t>
            </w:r>
          </w:p>
        </w:tc>
        <w:tc>
          <w:tcPr>
            <w:tcW w:w="2087" w:type="dxa"/>
            <w:tcBorders>
              <w:top w:val="nil"/>
              <w:bottom w:val="single" w:sz="4" w:space="0" w:color="auto"/>
            </w:tcBorders>
            <w:shd w:val="clear" w:color="000000" w:fill="E2EFDA"/>
            <w:vAlign w:val="center"/>
            <w:hideMark/>
          </w:tcPr>
          <w:p w14:paraId="2C55157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All genes and later restricted to GenCC definitive and strong genes</w:t>
            </w:r>
          </w:p>
        </w:tc>
        <w:tc>
          <w:tcPr>
            <w:tcW w:w="2095" w:type="dxa"/>
            <w:tcBorders>
              <w:top w:val="nil"/>
              <w:bottom w:val="single" w:sz="4" w:space="0" w:color="auto"/>
            </w:tcBorders>
            <w:shd w:val="clear" w:color="000000" w:fill="E2EFDA"/>
            <w:vAlign w:val="center"/>
            <w:hideMark/>
          </w:tcPr>
          <w:p w14:paraId="5725C3E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All genes and later restricted to GenCC definitive and strong genes</w:t>
            </w:r>
          </w:p>
        </w:tc>
        <w:tc>
          <w:tcPr>
            <w:tcW w:w="2587" w:type="dxa"/>
            <w:tcBorders>
              <w:top w:val="nil"/>
              <w:bottom w:val="single" w:sz="4" w:space="0" w:color="auto"/>
            </w:tcBorders>
            <w:shd w:val="clear" w:color="000000" w:fill="FFF2CC"/>
            <w:vAlign w:val="center"/>
            <w:hideMark/>
          </w:tcPr>
          <w:p w14:paraId="5ED997C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Green in PanelApp Panel(s)</w:t>
            </w:r>
          </w:p>
        </w:tc>
        <w:tc>
          <w:tcPr>
            <w:tcW w:w="2075" w:type="dxa"/>
            <w:tcBorders>
              <w:top w:val="nil"/>
              <w:bottom w:val="single" w:sz="4" w:space="0" w:color="auto"/>
            </w:tcBorders>
            <w:shd w:val="clear" w:color="000000" w:fill="FFF2CC"/>
            <w:vAlign w:val="center"/>
            <w:hideMark/>
          </w:tcPr>
          <w:p w14:paraId="5CA06C1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Green in PanelApp Panel(s)</w:t>
            </w:r>
          </w:p>
        </w:tc>
      </w:tr>
      <w:tr w:rsidR="00C34963" w:rsidRPr="00A76F86" w14:paraId="26B3E7F5" w14:textId="77777777" w:rsidTr="00C34963">
        <w:trPr>
          <w:jc w:val="center"/>
        </w:trPr>
        <w:tc>
          <w:tcPr>
            <w:tcW w:w="1963" w:type="dxa"/>
            <w:tcBorders>
              <w:top w:val="nil"/>
              <w:bottom w:val="single" w:sz="4" w:space="0" w:color="auto"/>
            </w:tcBorders>
            <w:shd w:val="clear" w:color="auto" w:fill="auto"/>
            <w:vAlign w:val="center"/>
            <w:hideMark/>
          </w:tcPr>
          <w:p w14:paraId="0EB56E0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Allele balance</w:t>
            </w:r>
          </w:p>
        </w:tc>
        <w:tc>
          <w:tcPr>
            <w:tcW w:w="2087" w:type="dxa"/>
            <w:tcBorders>
              <w:top w:val="nil"/>
              <w:bottom w:val="single" w:sz="4" w:space="0" w:color="auto"/>
            </w:tcBorders>
            <w:shd w:val="clear" w:color="000000" w:fill="E2EFDA"/>
            <w:vAlign w:val="center"/>
            <w:hideMark/>
          </w:tcPr>
          <w:p w14:paraId="614B561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&gt;0.2</w:t>
            </w:r>
          </w:p>
        </w:tc>
        <w:tc>
          <w:tcPr>
            <w:tcW w:w="2095" w:type="dxa"/>
            <w:tcBorders>
              <w:top w:val="nil"/>
              <w:bottom w:val="single" w:sz="4" w:space="0" w:color="auto"/>
            </w:tcBorders>
            <w:shd w:val="clear" w:color="000000" w:fill="E2EFDA"/>
            <w:vAlign w:val="center"/>
            <w:hideMark/>
          </w:tcPr>
          <w:p w14:paraId="22319B4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&gt;0.2</w:t>
            </w:r>
          </w:p>
        </w:tc>
        <w:tc>
          <w:tcPr>
            <w:tcW w:w="2587" w:type="dxa"/>
            <w:tcBorders>
              <w:top w:val="nil"/>
              <w:bottom w:val="single" w:sz="4" w:space="0" w:color="auto"/>
            </w:tcBorders>
            <w:shd w:val="clear" w:color="000000" w:fill="FFF2CC"/>
            <w:noWrap/>
            <w:vAlign w:val="center"/>
            <w:hideMark/>
          </w:tcPr>
          <w:p w14:paraId="641DAE4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N/A</w:t>
            </w:r>
          </w:p>
        </w:tc>
        <w:tc>
          <w:tcPr>
            <w:tcW w:w="2075" w:type="dxa"/>
            <w:tcBorders>
              <w:top w:val="nil"/>
              <w:bottom w:val="single" w:sz="4" w:space="0" w:color="auto"/>
            </w:tcBorders>
            <w:shd w:val="clear" w:color="000000" w:fill="FFF2CC"/>
            <w:noWrap/>
            <w:vAlign w:val="center"/>
            <w:hideMark/>
          </w:tcPr>
          <w:p w14:paraId="61B2E2C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N/A</w:t>
            </w:r>
          </w:p>
        </w:tc>
      </w:tr>
      <w:tr w:rsidR="00C34963" w:rsidRPr="00A76F86" w14:paraId="697836E0" w14:textId="77777777" w:rsidTr="00C34963">
        <w:trPr>
          <w:jc w:val="center"/>
        </w:trPr>
        <w:tc>
          <w:tcPr>
            <w:tcW w:w="1963" w:type="dxa"/>
            <w:tcBorders>
              <w:top w:val="nil"/>
              <w:bottom w:val="single" w:sz="4" w:space="0" w:color="auto"/>
            </w:tcBorders>
            <w:shd w:val="clear" w:color="auto" w:fill="auto"/>
            <w:vAlign w:val="center"/>
            <w:hideMark/>
          </w:tcPr>
          <w:p w14:paraId="5ED663C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Genotype Quality</w:t>
            </w:r>
          </w:p>
        </w:tc>
        <w:tc>
          <w:tcPr>
            <w:tcW w:w="2087" w:type="dxa"/>
            <w:tcBorders>
              <w:top w:val="nil"/>
              <w:bottom w:val="single" w:sz="4" w:space="0" w:color="auto"/>
            </w:tcBorders>
            <w:shd w:val="clear" w:color="000000" w:fill="E2EFDA"/>
            <w:vAlign w:val="center"/>
            <w:hideMark/>
          </w:tcPr>
          <w:p w14:paraId="61BF28A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&gt;40</w:t>
            </w:r>
          </w:p>
        </w:tc>
        <w:tc>
          <w:tcPr>
            <w:tcW w:w="2095" w:type="dxa"/>
            <w:tcBorders>
              <w:top w:val="nil"/>
              <w:bottom w:val="single" w:sz="4" w:space="0" w:color="auto"/>
            </w:tcBorders>
            <w:shd w:val="clear" w:color="000000" w:fill="E2EFDA"/>
            <w:vAlign w:val="center"/>
            <w:hideMark/>
          </w:tcPr>
          <w:p w14:paraId="7D877A9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&gt;40</w:t>
            </w:r>
          </w:p>
        </w:tc>
        <w:tc>
          <w:tcPr>
            <w:tcW w:w="2587" w:type="dxa"/>
            <w:tcBorders>
              <w:top w:val="nil"/>
              <w:bottom w:val="single" w:sz="4" w:space="0" w:color="auto"/>
            </w:tcBorders>
            <w:shd w:val="clear" w:color="000000" w:fill="FFF2CC"/>
            <w:noWrap/>
            <w:vAlign w:val="center"/>
            <w:hideMark/>
          </w:tcPr>
          <w:p w14:paraId="5175D5B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&gt;30</w:t>
            </w:r>
          </w:p>
        </w:tc>
        <w:tc>
          <w:tcPr>
            <w:tcW w:w="2075" w:type="dxa"/>
            <w:tcBorders>
              <w:top w:val="nil"/>
              <w:bottom w:val="single" w:sz="4" w:space="0" w:color="auto"/>
            </w:tcBorders>
            <w:shd w:val="clear" w:color="000000" w:fill="FFF2CC"/>
            <w:noWrap/>
            <w:vAlign w:val="center"/>
            <w:hideMark/>
          </w:tcPr>
          <w:p w14:paraId="309544A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&gt;30</w:t>
            </w:r>
          </w:p>
        </w:tc>
      </w:tr>
      <w:tr w:rsidR="00C34963" w:rsidRPr="00A76F86" w14:paraId="3D5AB7BA" w14:textId="77777777" w:rsidTr="00C34963">
        <w:trPr>
          <w:jc w:val="center"/>
        </w:trPr>
        <w:tc>
          <w:tcPr>
            <w:tcW w:w="1963" w:type="dxa"/>
            <w:tcBorders>
              <w:top w:val="nil"/>
              <w:bottom w:val="single" w:sz="4" w:space="0" w:color="auto"/>
            </w:tcBorders>
            <w:shd w:val="clear" w:color="auto" w:fill="auto"/>
            <w:vAlign w:val="center"/>
            <w:hideMark/>
          </w:tcPr>
          <w:p w14:paraId="43DE18A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QC</w:t>
            </w:r>
          </w:p>
        </w:tc>
        <w:tc>
          <w:tcPr>
            <w:tcW w:w="2087" w:type="dxa"/>
            <w:tcBorders>
              <w:top w:val="nil"/>
              <w:bottom w:val="single" w:sz="4" w:space="0" w:color="auto"/>
            </w:tcBorders>
            <w:shd w:val="clear" w:color="000000" w:fill="E2EFDA"/>
            <w:vAlign w:val="center"/>
            <w:hideMark/>
          </w:tcPr>
          <w:p w14:paraId="3A647A0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all variants</w:t>
            </w:r>
          </w:p>
        </w:tc>
        <w:tc>
          <w:tcPr>
            <w:tcW w:w="2095" w:type="dxa"/>
            <w:tcBorders>
              <w:top w:val="nil"/>
              <w:bottom w:val="single" w:sz="4" w:space="0" w:color="auto"/>
            </w:tcBorders>
            <w:shd w:val="clear" w:color="000000" w:fill="E2EFDA"/>
            <w:vAlign w:val="center"/>
            <w:hideMark/>
          </w:tcPr>
          <w:p w14:paraId="3BA9998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all variants</w:t>
            </w:r>
          </w:p>
        </w:tc>
        <w:tc>
          <w:tcPr>
            <w:tcW w:w="2587" w:type="dxa"/>
            <w:tcBorders>
              <w:top w:val="nil"/>
              <w:bottom w:val="single" w:sz="4" w:space="0" w:color="auto"/>
            </w:tcBorders>
            <w:shd w:val="clear" w:color="000000" w:fill="FFF2CC"/>
            <w:vAlign w:val="center"/>
            <w:hideMark/>
          </w:tcPr>
          <w:p w14:paraId="7473EB7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pass</w:t>
            </w:r>
          </w:p>
        </w:tc>
        <w:tc>
          <w:tcPr>
            <w:tcW w:w="2075" w:type="dxa"/>
            <w:tcBorders>
              <w:top w:val="nil"/>
              <w:bottom w:val="single" w:sz="4" w:space="0" w:color="auto"/>
            </w:tcBorders>
            <w:shd w:val="clear" w:color="000000" w:fill="FFF2CC"/>
            <w:vAlign w:val="center"/>
            <w:hideMark/>
          </w:tcPr>
          <w:p w14:paraId="1E1C439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pass</w:t>
            </w:r>
          </w:p>
        </w:tc>
      </w:tr>
      <w:tr w:rsidR="00C34963" w:rsidRPr="00A76F86" w14:paraId="704E5CAE" w14:textId="77777777" w:rsidTr="00C34963">
        <w:trPr>
          <w:jc w:val="center"/>
        </w:trPr>
        <w:tc>
          <w:tcPr>
            <w:tcW w:w="1963" w:type="dxa"/>
            <w:tcBorders>
              <w:top w:val="nil"/>
              <w:bottom w:val="single" w:sz="4" w:space="0" w:color="auto"/>
            </w:tcBorders>
            <w:shd w:val="clear" w:color="auto" w:fill="auto"/>
            <w:vAlign w:val="center"/>
            <w:hideMark/>
          </w:tcPr>
          <w:p w14:paraId="5C471E4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Other</w:t>
            </w:r>
          </w:p>
        </w:tc>
        <w:tc>
          <w:tcPr>
            <w:tcW w:w="2087" w:type="dxa"/>
            <w:tcBorders>
              <w:top w:val="nil"/>
              <w:bottom w:val="single" w:sz="4" w:space="0" w:color="auto"/>
            </w:tcBorders>
            <w:shd w:val="clear" w:color="000000" w:fill="E2EFDA"/>
            <w:noWrap/>
            <w:vAlign w:val="center"/>
            <w:hideMark/>
          </w:tcPr>
          <w:p w14:paraId="2F6277F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Pathogenic variants in ClinVar retained even if in unaffected parents</w:t>
            </w:r>
          </w:p>
        </w:tc>
        <w:tc>
          <w:tcPr>
            <w:tcW w:w="2095" w:type="dxa"/>
            <w:tcBorders>
              <w:top w:val="nil"/>
              <w:bottom w:val="single" w:sz="4" w:space="0" w:color="auto"/>
            </w:tcBorders>
            <w:shd w:val="clear" w:color="000000" w:fill="E2EFDA"/>
            <w:noWrap/>
            <w:vAlign w:val="center"/>
            <w:hideMark/>
          </w:tcPr>
          <w:p w14:paraId="6FA1329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N/A</w:t>
            </w:r>
          </w:p>
        </w:tc>
        <w:tc>
          <w:tcPr>
            <w:tcW w:w="2587" w:type="dxa"/>
            <w:tcBorders>
              <w:top w:val="nil"/>
              <w:bottom w:val="single" w:sz="4" w:space="0" w:color="auto"/>
            </w:tcBorders>
            <w:shd w:val="clear" w:color="000000" w:fill="FFF2CC"/>
            <w:vAlign w:val="center"/>
            <w:hideMark/>
          </w:tcPr>
          <w:p w14:paraId="161DDDD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 xml:space="preserve">In any gene: Exomiser top 3 rank variant (coding) with score of ≥0.95 or any </w:t>
            </w:r>
            <w:r w:rsidRPr="00D372FF">
              <w:rPr>
                <w:rFonts w:ascii="Palatino" w:eastAsia="Times New Roman" w:hAnsi="Palatino" w:cs="Calibri"/>
                <w:i/>
                <w:iCs/>
                <w:szCs w:val="18"/>
              </w:rPr>
              <w:t xml:space="preserve">de novo </w:t>
            </w:r>
            <w:r w:rsidRPr="00D372FF">
              <w:rPr>
                <w:rFonts w:ascii="Palatino" w:eastAsia="Times New Roman" w:hAnsi="Palatino" w:cs="Calibri"/>
                <w:szCs w:val="18"/>
              </w:rPr>
              <w:t>(coding)</w:t>
            </w:r>
          </w:p>
        </w:tc>
        <w:tc>
          <w:tcPr>
            <w:tcW w:w="2075" w:type="dxa"/>
            <w:tcBorders>
              <w:top w:val="nil"/>
              <w:bottom w:val="single" w:sz="4" w:space="0" w:color="auto"/>
            </w:tcBorders>
            <w:shd w:val="clear" w:color="000000" w:fill="FFF2CC"/>
            <w:vAlign w:val="center"/>
            <w:hideMark/>
          </w:tcPr>
          <w:p w14:paraId="12D429A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 xml:space="preserve">In any gene: Exomiser top 3 rank variant (coding) with score of ≥0.95 or any </w:t>
            </w:r>
            <w:r w:rsidRPr="00D372FF">
              <w:rPr>
                <w:rFonts w:ascii="Palatino" w:eastAsia="Times New Roman" w:hAnsi="Palatino" w:cs="Calibri"/>
                <w:i/>
                <w:iCs/>
                <w:szCs w:val="18"/>
              </w:rPr>
              <w:t xml:space="preserve">de novo </w:t>
            </w:r>
            <w:r w:rsidRPr="00D372FF">
              <w:rPr>
                <w:rFonts w:ascii="Palatino" w:eastAsia="Times New Roman" w:hAnsi="Palatino" w:cs="Calibri"/>
                <w:szCs w:val="18"/>
              </w:rPr>
              <w:t>(coding)</w:t>
            </w:r>
          </w:p>
        </w:tc>
      </w:tr>
      <w:tr w:rsidR="00C34963" w:rsidRPr="00A76F86" w14:paraId="1D5264E1" w14:textId="77777777" w:rsidTr="00C34963">
        <w:trPr>
          <w:jc w:val="center"/>
        </w:trPr>
        <w:tc>
          <w:tcPr>
            <w:tcW w:w="1963" w:type="dxa"/>
            <w:tcBorders>
              <w:top w:val="single" w:sz="4" w:space="0" w:color="auto"/>
              <w:bottom w:val="single" w:sz="8" w:space="0" w:color="auto"/>
            </w:tcBorders>
            <w:shd w:val="clear" w:color="auto" w:fill="auto"/>
            <w:vAlign w:val="center"/>
          </w:tcPr>
          <w:p w14:paraId="094672D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8"/>
              </w:rPr>
            </w:pPr>
            <w:r w:rsidRPr="00D372FF">
              <w:rPr>
                <w:rFonts w:ascii="Palatino" w:eastAsia="Times New Roman" w:hAnsi="Palatino" w:cs="Calibri"/>
                <w:b/>
                <w:bCs/>
                <w:szCs w:val="18"/>
              </w:rPr>
              <w:t>SV/CNV</w:t>
            </w:r>
          </w:p>
        </w:tc>
        <w:tc>
          <w:tcPr>
            <w:tcW w:w="2087" w:type="dxa"/>
            <w:tcBorders>
              <w:top w:val="single" w:sz="4" w:space="0" w:color="auto"/>
              <w:bottom w:val="single" w:sz="8" w:space="0" w:color="auto"/>
            </w:tcBorders>
            <w:shd w:val="clear" w:color="000000" w:fill="E2EFDA"/>
            <w:noWrap/>
            <w:vAlign w:val="center"/>
          </w:tcPr>
          <w:p w14:paraId="6EAFECF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Not assessed</w:t>
            </w:r>
          </w:p>
        </w:tc>
        <w:tc>
          <w:tcPr>
            <w:tcW w:w="2095" w:type="dxa"/>
            <w:tcBorders>
              <w:top w:val="single" w:sz="4" w:space="0" w:color="auto"/>
              <w:bottom w:val="single" w:sz="8" w:space="0" w:color="auto"/>
            </w:tcBorders>
            <w:shd w:val="clear" w:color="000000" w:fill="E2EFDA"/>
            <w:noWrap/>
            <w:vAlign w:val="center"/>
          </w:tcPr>
          <w:p w14:paraId="6E233B5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Not assessed</w:t>
            </w:r>
          </w:p>
        </w:tc>
        <w:tc>
          <w:tcPr>
            <w:tcW w:w="2587" w:type="dxa"/>
            <w:tcBorders>
              <w:top w:val="single" w:sz="4" w:space="0" w:color="auto"/>
              <w:bottom w:val="single" w:sz="8" w:space="0" w:color="auto"/>
            </w:tcBorders>
            <w:shd w:val="clear" w:color="000000" w:fill="FFF2CC"/>
            <w:vAlign w:val="center"/>
          </w:tcPr>
          <w:p w14:paraId="58A850A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CNV (&gt;10KB) overlaps a ClinGen curated pathogenic region relevant to a panel applied or the CNV overlaps with a green gene in the panel applied.</w:t>
            </w:r>
          </w:p>
        </w:tc>
        <w:tc>
          <w:tcPr>
            <w:tcW w:w="2075" w:type="dxa"/>
            <w:tcBorders>
              <w:top w:val="single" w:sz="4" w:space="0" w:color="auto"/>
              <w:bottom w:val="single" w:sz="8" w:space="0" w:color="auto"/>
            </w:tcBorders>
            <w:shd w:val="clear" w:color="000000" w:fill="FFF2CC"/>
            <w:vAlign w:val="center"/>
          </w:tcPr>
          <w:p w14:paraId="4C2AB44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8"/>
              </w:rPr>
            </w:pPr>
            <w:r w:rsidRPr="00D372FF">
              <w:rPr>
                <w:rFonts w:ascii="Palatino" w:eastAsia="Times New Roman" w:hAnsi="Palatino" w:cs="Calibri"/>
                <w:szCs w:val="18"/>
              </w:rPr>
              <w:t>CNV (&gt;10KB) overlaps a ClinGen curated pathogenic region relevant to a panel applied or the CNV overlaps with a green gene in the panel applied.</w:t>
            </w:r>
          </w:p>
        </w:tc>
      </w:tr>
    </w:tbl>
    <w:p w14:paraId="46429228" w14:textId="1AFEA119" w:rsidR="00C369B2" w:rsidRPr="00C34963" w:rsidRDefault="00C369B2" w:rsidP="00C34963">
      <w:pPr>
        <w:pStyle w:val="MDPI43tablefooter"/>
        <w:spacing w:after="240"/>
      </w:pPr>
      <w:r w:rsidRPr="00C34963">
        <w:t>Comparison of filtering criteria between the research exome and NHS genome. AF – maximum allele frequency</w:t>
      </w:r>
      <w:r w:rsidR="00B7554F">
        <w:t xml:space="preserve"> across any population</w:t>
      </w:r>
      <w:r w:rsidRPr="00C34963">
        <w:t>, QC – quality control, N/A – not applicable. *TOPMED allele frequency was only applied to the research exome. ^Cohort AF is the frequency of any given variant as a frequency of the total number of individuals in that cohort (&gt;15,000 individuals for the research study).</w:t>
      </w:r>
      <w:r w:rsidR="00130A36">
        <w:t xml:space="preserve"> </w:t>
      </w:r>
      <w:r w:rsidR="00130A36" w:rsidRPr="009D0AE5">
        <w:rPr>
          <w:rFonts w:ascii="Calibri" w:hAnsi="Calibri" w:cs="Calibri"/>
          <w:szCs w:val="18"/>
          <w:vertAlign w:val="superscript"/>
        </w:rPr>
        <w:t>&amp;</w:t>
      </w:r>
      <w:r w:rsidR="00130A36">
        <w:t>Recessive search includes X-linked recessive disorders.</w:t>
      </w:r>
    </w:p>
    <w:p w14:paraId="02EDF495" w14:textId="77777777" w:rsidR="00C369B2" w:rsidRPr="00D372FF" w:rsidRDefault="00C369B2" w:rsidP="00C34963">
      <w:pPr>
        <w:pStyle w:val="MDPI23heading3"/>
        <w:spacing w:before="240"/>
        <w:rPr>
          <w:i/>
          <w:iCs/>
        </w:rPr>
      </w:pPr>
      <w:r w:rsidRPr="00D372FF">
        <w:rPr>
          <w:i/>
          <w:iCs/>
        </w:rPr>
        <w:t>Research exome analysis</w:t>
      </w:r>
    </w:p>
    <w:p w14:paraId="7DCCA8C1" w14:textId="77777777" w:rsidR="00C369B2" w:rsidRPr="00C34963" w:rsidRDefault="00C369B2" w:rsidP="00C34963">
      <w:pPr>
        <w:pStyle w:val="MDPI31text"/>
      </w:pPr>
      <w:r w:rsidRPr="00C34963">
        <w:t xml:space="preserve">For the research exome, each family was analysed as a unit to utilise segregation data. We applied the same </w:t>
      </w:r>
      <w:r w:rsidRPr="00C34963">
        <w:rPr>
          <w:i/>
          <w:iCs/>
        </w:rPr>
        <w:t>de novo</w:t>
      </w:r>
      <w:r w:rsidRPr="00C34963">
        <w:t xml:space="preserve">/dominant and recessive filtering strategies to all families, applying a gene-agnostic filtering strategy by selecting variants with the highest pathogenic potential (HiPPo) using allele frequency, </w:t>
      </w:r>
      <w:r w:rsidRPr="00C34963">
        <w:rPr>
          <w:i/>
          <w:iCs/>
        </w:rPr>
        <w:t>in silico</w:t>
      </w:r>
      <w:r w:rsidRPr="00C34963">
        <w:t xml:space="preserve"> prediction scores, and ClinVar </w:t>
      </w:r>
      <w:r w:rsidRPr="00C34963">
        <w:lastRenderedPageBreak/>
        <w:t>(</w:t>
      </w:r>
      <w:r w:rsidRPr="00C34963">
        <w:rPr>
          <w:b/>
          <w:bCs/>
        </w:rPr>
        <w:t>Table 2</w:t>
      </w:r>
      <w:r w:rsidRPr="00C34963">
        <w:t>). We later restricted the HiPPo strategy to GenCC</w:t>
      </w:r>
      <w:r w:rsidRPr="00C34963">
        <w:fldChar w:fldCharType="begin">
          <w:fldData xml:space="preserve">PEVuZE5vdGU+PENpdGU+PEF1dGhvcj5EaVN0ZWZhbm88L0F1dGhvcj48WWVhcj4yMDIyPC9ZZWFy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</w:fldData>
        </w:fldChar>
      </w:r>
      <w:r w:rsidRPr="00C34963">
        <w:instrText xml:space="preserve"> ADDIN EN.CITE </w:instrText>
      </w:r>
      <w:r w:rsidRPr="00C34963">
        <w:fldChar w:fldCharType="begin">
          <w:fldData xml:space="preserve">PEVuZE5vdGU+PENpdGU+PEF1dGhvcj5EaVN0ZWZhbm88L0F1dGhvcj48WWVhcj4yMDIyPC9ZZWFy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</w:fldData>
        </w:fldChar>
      </w:r>
      <w:r w:rsidRPr="00C34963">
        <w:instrText xml:space="preserve"> ADDIN EN.CITE.DATA </w:instrText>
      </w:r>
      <w:r w:rsidRPr="00C34963">
        <w:fldChar w:fldCharType="end"/>
      </w:r>
      <w:r w:rsidRPr="00C34963">
        <w:fldChar w:fldCharType="separate"/>
      </w:r>
      <w:r w:rsidRPr="00C34963">
        <w:rPr>
          <w:noProof/>
        </w:rPr>
        <w:t>(16)</w:t>
      </w:r>
      <w:r w:rsidRPr="00C34963">
        <w:fldChar w:fldCharType="end"/>
      </w:r>
      <w:r w:rsidRPr="00C34963">
        <w:t xml:space="preserve"> genes with a definitive or strong disease association.</w:t>
      </w:r>
    </w:p>
    <w:p w14:paraId="2F72EFE6" w14:textId="77777777" w:rsidR="00C369B2" w:rsidRPr="00D372FF" w:rsidRDefault="00C369B2" w:rsidP="00C34963">
      <w:pPr>
        <w:pStyle w:val="MDPI23heading3"/>
        <w:spacing w:before="240"/>
        <w:rPr>
          <w:i/>
          <w:iCs/>
        </w:rPr>
      </w:pPr>
      <w:r w:rsidRPr="00D372FF">
        <w:rPr>
          <w:i/>
          <w:iCs/>
        </w:rPr>
        <w:t>Reporting on exome variants</w:t>
      </w:r>
    </w:p>
    <w:p w14:paraId="676A17CE" w14:textId="77777777" w:rsidR="00C369B2" w:rsidRPr="00C34963" w:rsidRDefault="00C369B2" w:rsidP="00C34963">
      <w:pPr>
        <w:pStyle w:val="MDPI31text"/>
      </w:pPr>
      <w:r w:rsidRPr="00C34963">
        <w:t>Variants remaining following HiPPo filtering were reviewed in seqr</w:t>
      </w:r>
      <w:r w:rsidRPr="00C34963">
        <w:fldChar w:fldCharType="begin"/>
      </w:r>
      <w:r w:rsidRPr="00C34963">
        <w:instrText xml:space="preserve"> ADDIN EN.CITE &lt;EndNote&gt;&lt;Cite&gt;&lt;Author&gt;Pais&lt;/Author&gt;&lt;Year&gt;2022&lt;/Year&gt;&lt;RecNum&gt;1195&lt;/RecNum&gt;&lt;DisplayText&gt;(15)&lt;/DisplayText&gt;&lt;record&gt;&lt;rec-number&gt;1195&lt;/rec-number&gt;&lt;foreign-keys&gt;&lt;key app="EN" db-id="d0vstffei2ze5sew5fwxp0dq9zxs5pvvsxpv" timestamp="1659694088"&gt;1195&lt;/key&gt;&lt;/foreign-keys&gt;&lt;ref-type name="Journal Article"&gt;17&lt;/ref-type&gt;&lt;contributors&gt;&lt;authors&gt;&lt;author&gt;Pais, Lynn S&lt;/author&gt;&lt;author&gt;Snow, Hana&lt;/author&gt;&lt;author&gt;Weisburd, Ben&lt;/author&gt;&lt;author&gt;Zhang, Shifa&lt;/author&gt;&lt;author&gt;Baxter, Samantha M&lt;/author&gt;&lt;author&gt;DiTroia, Stephanie&lt;/author&gt;&lt;author&gt;O&amp;apos;Heir, Emily&lt;/author&gt;&lt;author&gt;England, Eleina&lt;/author&gt;&lt;author&gt;Chao, Katherine R&lt;/author&gt;&lt;author&gt;Lemire, Gabrielle&lt;/author&gt;&lt;/authors&gt;&lt;/contributors&gt;&lt;titles&gt;&lt;title&gt;seqr: A web‐based analysis and collaboration tool for rare disease genomics&lt;/title&gt;&lt;secondary-title&gt;Human Mutation&lt;/secondary-title&gt;&lt;/titles&gt;&lt;periodical&gt;&lt;full-title&gt;Human mutation&lt;/full-title&gt;&lt;/periodical&gt;&lt;dates&gt;&lt;year&gt;2022&lt;/year&gt;&lt;/dates&gt;&lt;isbn&gt;1059-7794&lt;/isbn&gt;&lt;urls&gt;&lt;/urls&gt;&lt;/record&gt;&lt;/Cite&gt;&lt;/EndNote&gt;</w:instrText>
      </w:r>
      <w:r w:rsidRPr="00C34963">
        <w:fldChar w:fldCharType="separate"/>
      </w:r>
      <w:r w:rsidRPr="00C34963">
        <w:rPr>
          <w:noProof/>
        </w:rPr>
        <w:t>(15)</w:t>
      </w:r>
      <w:r w:rsidRPr="00C34963">
        <w:fldChar w:fldCharType="end"/>
      </w:r>
      <w:r w:rsidRPr="00C34963">
        <w:t xml:space="preserve"> using a wealth of in-built annotations. Variants that did not meet any of the below exclusion criteria were considered ‘reportable’ and returned to the referring clinician following application of ACMG-AMP guidelines</w:t>
      </w:r>
      <w:r w:rsidRPr="00C34963">
        <w:fldChar w:fldCharType="begin">
          <w:fldData xml:space="preserve">PEVuZE5vdGU+PENpdGU+PEF1dGhvcj5SaWNoYXJkczwvQXV0aG9yPjxZZWFyPjIwMTU8L1llYXI+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=
</w:fldData>
        </w:fldChar>
      </w:r>
      <w:r w:rsidRPr="00C34963">
        <w:instrText xml:space="preserve"> ADDIN EN.CITE </w:instrText>
      </w:r>
      <w:r w:rsidRPr="00C34963">
        <w:fldChar w:fldCharType="begin">
          <w:fldData xml:space="preserve">PEVuZE5vdGU+PENpdGU+PEF1dGhvcj5SaWNoYXJkczwvQXV0aG9yPjxZZWFyPjIwMTU8L1llYXI+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=
</w:fldData>
        </w:fldChar>
      </w:r>
      <w:r w:rsidRPr="00C34963">
        <w:instrText xml:space="preserve"> ADDIN EN.CITE.DATA </w:instrText>
      </w:r>
      <w:r w:rsidRPr="00C34963">
        <w:fldChar w:fldCharType="end"/>
      </w:r>
      <w:r w:rsidRPr="00C34963">
        <w:fldChar w:fldCharType="separate"/>
      </w:r>
      <w:r w:rsidRPr="00C34963">
        <w:rPr>
          <w:noProof/>
        </w:rPr>
        <w:t>(17)</w:t>
      </w:r>
      <w:r w:rsidRPr="00C34963">
        <w:fldChar w:fldCharType="end"/>
      </w:r>
      <w:r w:rsidRPr="00C34963">
        <w:t>. Because the exome data was obtained in a research setting, we were able to include novel discoveries, which would not meet diagnostic criteria in a clinical setting. Any novel discoveries were discussed with the referring clinician before submission to the Matchmaker Exchange (MME).</w:t>
      </w:r>
      <w:r w:rsidRPr="00C34963">
        <w:fldChar w:fldCharType="begin">
          <w:fldData xml:space="preserve">PEVuZE5vdGU+PENpdGU+PEF1dGhvcj5Benphcml0aTwvQXV0aG9yPjxZZWFyPjIwMjA8L1llYXI+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</w:fldData>
        </w:fldChar>
      </w:r>
      <w:r w:rsidRPr="00C34963">
        <w:instrText xml:space="preserve"> ADDIN EN.CITE </w:instrText>
      </w:r>
      <w:r w:rsidRPr="00C34963">
        <w:fldChar w:fldCharType="begin">
          <w:fldData xml:space="preserve">PEVuZE5vdGU+PENpdGU+PEF1dGhvcj5Benphcml0aTwvQXV0aG9yPjxZZWFyPjIwMjA8L1llYXI+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</w:fldData>
        </w:fldChar>
      </w:r>
      <w:r w:rsidRPr="00C34963">
        <w:instrText xml:space="preserve"> ADDIN EN.CITE.DATA </w:instrText>
      </w:r>
      <w:r w:rsidRPr="00C34963">
        <w:fldChar w:fldCharType="end"/>
      </w:r>
      <w:r w:rsidRPr="00C34963">
        <w:fldChar w:fldCharType="separate"/>
      </w:r>
      <w:r w:rsidRPr="00C34963">
        <w:rPr>
          <w:noProof/>
        </w:rPr>
        <w:t>(18-20)</w:t>
      </w:r>
      <w:r w:rsidRPr="00C34963">
        <w:fldChar w:fldCharType="end"/>
      </w:r>
    </w:p>
    <w:p w14:paraId="6C201E16" w14:textId="77777777" w:rsidR="00C369B2" w:rsidRPr="00C34963" w:rsidRDefault="00C369B2" w:rsidP="00C34963">
      <w:pPr>
        <w:pStyle w:val="MDPI31text"/>
      </w:pPr>
      <w:r w:rsidRPr="00C34963">
        <w:t>Exclusion criteria:</w:t>
      </w:r>
    </w:p>
    <w:p w14:paraId="272F338C" w14:textId="59A5FA72" w:rsidR="00C369B2" w:rsidRPr="00C34963" w:rsidRDefault="00C34963" w:rsidP="00C34963">
      <w:pPr>
        <w:pStyle w:val="MDPI31text"/>
      </w:pPr>
      <w:r>
        <w:t>1</w:t>
      </w:r>
      <w:r>
        <w:tab/>
      </w:r>
      <w:r w:rsidR="00C369B2" w:rsidRPr="00C34963">
        <w:t xml:space="preserve">The variant was heterozygous in a known autosomal recessive disease gene and no second hit (coding or non-coding) was </w:t>
      </w:r>
      <w:proofErr w:type="gramStart"/>
      <w:r w:rsidR="00C369B2" w:rsidRPr="00C34963">
        <w:t>identified</w:t>
      </w:r>
      <w:proofErr w:type="gramEnd"/>
    </w:p>
    <w:p w14:paraId="58D93795" w14:textId="5BF72DE4" w:rsidR="00C369B2" w:rsidRPr="00C34963" w:rsidRDefault="00C34963" w:rsidP="00C34963">
      <w:pPr>
        <w:pStyle w:val="MDPI31text"/>
      </w:pPr>
      <w:r>
        <w:t>2</w:t>
      </w:r>
      <w:r>
        <w:tab/>
      </w:r>
      <w:r w:rsidR="00C369B2" w:rsidRPr="00C34963">
        <w:t>The variant was found in a disease gene and was not associated with the phenotype presented by the patient, as assessed using OMIM</w:t>
      </w:r>
      <w:r w:rsidR="00C369B2" w:rsidRPr="00C34963">
        <w:fldChar w:fldCharType="begin"/>
      </w:r>
      <w:r w:rsidR="00C369B2" w:rsidRPr="00C34963">
        <w:instrText xml:space="preserve"> ADDIN EN.CITE &lt;EndNote&gt;&lt;Cite&gt;&lt;Author&gt;Amberger&lt;/Author&gt;&lt;Year&gt;2015&lt;/Year&gt;&lt;RecNum&gt;221&lt;/RecNum&gt;&lt;DisplayText&gt;(21)&lt;/DisplayText&gt;&lt;record&gt;&lt;rec-number&gt;221&lt;/rec-number&gt;&lt;foreign-keys&gt;&lt;key app="EN" db-id="d0vstffei2ze5sew5fwxp0dq9zxs5pvvsxpv" timestamp="1598677964"&gt;221&lt;/key&gt;&lt;/foreign-keys&gt;&lt;ref-type name="Journal Article"&gt;17&lt;/ref-type&gt;&lt;contributors&gt;&lt;authors&gt;&lt;author&gt;Amberger, Joanna S&lt;/author&gt;&lt;author&gt;Bocchini, Carol A&lt;/author&gt;&lt;author&gt;Schiettecatte, François&lt;/author&gt;&lt;author&gt;Scott, Alan F&lt;/author&gt;&lt;author&gt;Hamosh, Ada&lt;/author&gt;&lt;/authors&gt;&lt;/contributors&gt;&lt;titles&gt;&lt;title&gt;OMIM. org: Online Mendelian Inheritance in Man (OMIM®), an online catalog of human genes and genetic disorders&lt;/title&gt;&lt;secondary-title&gt;Nucleic acids research&lt;/secondary-title&gt;&lt;/titles&gt;&lt;periodical&gt;&lt;full-title&gt;Nucleic acids research&lt;/full-title&gt;&lt;/periodical&gt;&lt;pages&gt;D789-D798&lt;/pages&gt;&lt;volume&gt;43&lt;/volume&gt;&lt;number&gt;D1&lt;/number&gt;&lt;dates&gt;&lt;year&gt;2015&lt;/year&gt;&lt;/dates&gt;&lt;isbn&gt;1362-4962&lt;/isbn&gt;&lt;urls&gt;&lt;/urls&gt;&lt;/record&gt;&lt;/Cite&gt;&lt;/EndNote&gt;</w:instrText>
      </w:r>
      <w:r w:rsidR="00C369B2" w:rsidRPr="00C34963">
        <w:fldChar w:fldCharType="separate"/>
      </w:r>
      <w:r w:rsidR="00C369B2" w:rsidRPr="00C34963">
        <w:rPr>
          <w:noProof/>
        </w:rPr>
        <w:t>(21)</w:t>
      </w:r>
      <w:r w:rsidR="00C369B2" w:rsidRPr="00C34963">
        <w:fldChar w:fldCharType="end"/>
      </w:r>
      <w:r w:rsidR="00C369B2" w:rsidRPr="00C34963">
        <w:t>, GenCC</w:t>
      </w:r>
      <w:r w:rsidR="00C369B2" w:rsidRPr="00C34963">
        <w:fldChar w:fldCharType="begin">
          <w:fldData xml:space="preserve">PEVuZE5vdGU+PENpdGU+PEF1dGhvcj5EaVN0ZWZhbm88L0F1dGhvcj48WWVhcj4yMDIyPC9ZZWFy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</w:fldData>
        </w:fldChar>
      </w:r>
      <w:r w:rsidR="00C369B2" w:rsidRPr="00C34963">
        <w:instrText xml:space="preserve"> ADDIN EN.CITE </w:instrText>
      </w:r>
      <w:r w:rsidR="00C369B2" w:rsidRPr="00C34963">
        <w:fldChar w:fldCharType="begin">
          <w:fldData xml:space="preserve">PEVuZE5vdGU+PENpdGU+PEF1dGhvcj5EaVN0ZWZhbm88L0F1dGhvcj48WWVhcj4yMDIyPC9ZZWFy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</w:fldData>
        </w:fldChar>
      </w:r>
      <w:r w:rsidR="00C369B2" w:rsidRPr="00C34963">
        <w:instrText xml:space="preserve"> ADDIN EN.CITE.DATA </w:instrText>
      </w:r>
      <w:r w:rsidR="00C369B2" w:rsidRPr="00C34963">
        <w:fldChar w:fldCharType="end"/>
      </w:r>
      <w:r w:rsidR="00C369B2" w:rsidRPr="00C34963">
        <w:fldChar w:fldCharType="separate"/>
      </w:r>
      <w:r w:rsidR="00C369B2" w:rsidRPr="00C34963">
        <w:rPr>
          <w:noProof/>
        </w:rPr>
        <w:t>(16)</w:t>
      </w:r>
      <w:r w:rsidR="00C369B2" w:rsidRPr="00C34963">
        <w:fldChar w:fldCharType="end"/>
      </w:r>
      <w:r w:rsidR="00C369B2" w:rsidRPr="00C34963">
        <w:t xml:space="preserve"> and the medical literature and the variant is not likely pathogenic/pathogenic in ClinVar</w:t>
      </w:r>
      <w:r w:rsidR="00C369B2" w:rsidRPr="00C34963">
        <w:fldChar w:fldCharType="begin"/>
      </w:r>
      <w:r w:rsidR="00C369B2" w:rsidRPr="00C34963">
        <w:instrText xml:space="preserve"> ADDIN EN.CITE &lt;EndNote&gt;&lt;Cite&gt;&lt;Author&gt;Landrum&lt;/Author&gt;&lt;Year&gt;2014&lt;/Year&gt;&lt;RecNum&gt;66&lt;/RecNum&gt;&lt;DisplayText&gt;(12)&lt;/DisplayText&gt;&lt;record&gt;&lt;rec-number&gt;66&lt;/rec-number&gt;&lt;foreign-keys&gt;&lt;key app="EN" db-id="d0vstffei2ze5sew5fwxp0dq9zxs5pvvsxpv" timestamp="1580021225"&gt;66&lt;/key&gt;&lt;/foreign-keys&gt;&lt;ref-type name="Journal Article"&gt;17&lt;/ref-type&gt;&lt;contributors&gt;&lt;authors&gt;&lt;author&gt;Landrum, Melissa J&lt;/author&gt;&lt;author&gt;Lee, Jennifer M&lt;/author&gt;&lt;author&gt;Riley, George R&lt;/author&gt;&lt;author&gt;Jang, Wonhee&lt;/author&gt;&lt;author&gt;Rubinstein, Wendy S&lt;/author&gt;&lt;author&gt;Church, Deanna M&lt;/author&gt;&lt;author&gt;Maglott, Donna R&lt;/author&gt;&lt;/authors&gt;&lt;/contributors&gt;&lt;titles&gt;&lt;title&gt;ClinVar: public archive of relationships among sequence variation and human phenotype&lt;/title&gt;&lt;secondary-title&gt;Nucleic acids research&lt;/secondary-title&gt;&lt;/titles&gt;&lt;periodical&gt;&lt;full-title&gt;Nucleic acids research&lt;/full-title&gt;&lt;/periodical&gt;&lt;pages&gt;D980-D985&lt;/pages&gt;&lt;volume&gt;42&lt;/volume&gt;&lt;number&gt;D1&lt;/number&gt;&lt;dates&gt;&lt;year&gt;2014&lt;/year&gt;&lt;/dates&gt;&lt;isbn&gt;1362-4962&lt;/isbn&gt;&lt;urls&gt;&lt;/urls&gt;&lt;/record&gt;&lt;/Cite&gt;&lt;/EndNote&gt;</w:instrText>
      </w:r>
      <w:r w:rsidR="00C369B2" w:rsidRPr="00C34963">
        <w:fldChar w:fldCharType="separate"/>
      </w:r>
      <w:r w:rsidR="00C369B2" w:rsidRPr="00C34963">
        <w:rPr>
          <w:noProof/>
        </w:rPr>
        <w:t>(12)</w:t>
      </w:r>
      <w:r w:rsidR="00C369B2" w:rsidRPr="00C34963">
        <w:fldChar w:fldCharType="end"/>
      </w:r>
    </w:p>
    <w:p w14:paraId="20363209" w14:textId="3E656985" w:rsidR="00C369B2" w:rsidRPr="00C34963" w:rsidRDefault="00C34963" w:rsidP="00C34963">
      <w:pPr>
        <w:pStyle w:val="MDPI31text"/>
      </w:pPr>
      <w:r>
        <w:t>3</w:t>
      </w:r>
      <w:r>
        <w:tab/>
      </w:r>
      <w:r w:rsidR="00C369B2" w:rsidRPr="00C34963">
        <w:t>The variant is in a known disease gene but that gene is poorly expressed as indicated in GTEx</w:t>
      </w:r>
      <w:r w:rsidR="00C369B2" w:rsidRPr="00C34963">
        <w:fldChar w:fldCharType="begin"/>
      </w:r>
      <w:r w:rsidR="00C369B2" w:rsidRPr="00C34963">
        <w:instrText xml:space="preserve"> ADDIN EN.CITE &lt;EndNote&gt;&lt;Cite&gt;&lt;Author&gt;Lonsdale&lt;/Author&gt;&lt;Year&gt;2013&lt;/Year&gt;&lt;RecNum&gt;61&lt;/RecNum&gt;&lt;DisplayText&gt;(22)&lt;/DisplayText&gt;&lt;record&gt;&lt;rec-number&gt;61&lt;/rec-number&gt;&lt;foreign-keys&gt;&lt;key app="EN" db-id="d0vstffei2ze5sew5fwxp0dq9zxs5pvvsxpv" timestamp="1579957185"&gt;61&lt;/key&gt;&lt;/foreign-keys&gt;&lt;ref-type name="Journal Article"&gt;17&lt;/ref-type&gt;&lt;contributors&gt;&lt;authors&gt;&lt;author&gt;Lonsdale, John&lt;/author&gt;&lt;author&gt;Thomas, Jeffrey&lt;/author&gt;&lt;author&gt;Salvatore, Mike&lt;/author&gt;&lt;author&gt;Phillips, Rebecca&lt;/author&gt;&lt;author&gt;Lo, Edmund&lt;/author&gt;&lt;author&gt;Shad, Saboor&lt;/author&gt;&lt;author&gt;Hasz, Richard&lt;/author&gt;&lt;author&gt;Walters, Gary&lt;/author&gt;&lt;author&gt;Garcia, Fernando&lt;/author&gt;&lt;author&gt;Young, Nancy&lt;/author&gt;&lt;/authors&gt;&lt;/contributors&gt;&lt;titles&gt;&lt;title&gt;The genotype-tissue expression (GTEx) project&lt;/title&gt;&lt;secondary-title&gt;Nature genetics&lt;/secondary-title&gt;&lt;/titles&gt;&lt;periodical&gt;&lt;full-title&gt;Nature genetics&lt;/full-title&gt;&lt;/periodical&gt;&lt;pages&gt;580&lt;/pages&gt;&lt;volume&gt;45&lt;/volume&gt;&lt;number&gt;6&lt;/number&gt;&lt;dates&gt;&lt;year&gt;2013&lt;/year&gt;&lt;/dates&gt;&lt;isbn&gt;1546-1718&lt;/isbn&gt;&lt;urls&gt;&lt;/urls&gt;&lt;/record&gt;&lt;/Cite&gt;&lt;/EndNote&gt;</w:instrText>
      </w:r>
      <w:r w:rsidR="00C369B2" w:rsidRPr="00C34963">
        <w:fldChar w:fldCharType="separate"/>
      </w:r>
      <w:r w:rsidR="00C369B2" w:rsidRPr="00C34963">
        <w:rPr>
          <w:noProof/>
        </w:rPr>
        <w:t>(22)</w:t>
      </w:r>
      <w:r w:rsidR="00C369B2" w:rsidRPr="00C34963">
        <w:fldChar w:fldCharType="end"/>
      </w:r>
      <w:r w:rsidR="00C369B2" w:rsidRPr="00C34963">
        <w:t xml:space="preserve"> in the tissue relevant to the patient’s phenotype or in an exon of the gene with poor expression as determined by the per base expression metric, pext</w:t>
      </w:r>
      <w:r w:rsidR="00C369B2" w:rsidRPr="00C34963">
        <w:fldChar w:fldCharType="begin"/>
      </w:r>
      <w:r w:rsidR="00C369B2" w:rsidRPr="00C34963">
        <w:instrText xml:space="preserve"> ADDIN EN.CITE &lt;EndNote&gt;&lt;Cite&gt;&lt;Author&gt;Cummings&lt;/Author&gt;&lt;Year&gt;2019&lt;/Year&gt;&lt;RecNum&gt;7&lt;/RecNum&gt;&lt;DisplayText&gt;(23)&lt;/DisplayText&gt;&lt;record&gt;&lt;rec-number&gt;7&lt;/rec-number&gt;&lt;foreign-keys&gt;&lt;key app="EN" db-id="d0vstffei2ze5sew5fwxp0dq9zxs5pvvsxpv" timestamp="1579849793"&gt;7&lt;/key&gt;&lt;/foreign-keys&gt;&lt;ref-type name="Journal Article"&gt;17&lt;/ref-type&gt;&lt;contributors&gt;&lt;authors&gt;&lt;author&gt;Cummings, Beryl B.&lt;/author&gt;&lt;author&gt;Karczewski, Konrad J.&lt;/author&gt;&lt;author&gt;Kosmicki, Jack A.&lt;/author&gt;&lt;author&gt;Seaby, Eleanor G.&lt;/author&gt;&lt;author&gt;Watts, Nicholas A.&lt;/author&gt;&lt;author&gt;Singer-Berk, Moriel&lt;/author&gt;&lt;author&gt;Mudge, Jonathan M.&lt;/author&gt;&lt;author&gt;Karjalainen, Juha&lt;/author&gt;&lt;author&gt;Kyle Satterstrom, F.&lt;/author&gt;&lt;author&gt;O’Donnell-Luria, Anne&lt;/author&gt;&lt;author&gt;Poterba, Timothy&lt;/author&gt;&lt;author&gt;Seed, Cotton&lt;/author&gt;&lt;author&gt;Solomonson, Matthew&lt;/author&gt;&lt;author&gt;Alföldi, Jessica&lt;/author&gt;&lt;author&gt;Daly, Mark J.&lt;/author&gt;&lt;author&gt;MacArthur, Daniel G.&lt;/author&gt;&lt;/authors&gt;&lt;/contributors&gt;&lt;titles&gt;&lt;title&gt;Transcript expression-aware annotation improves rare variant discovery and interpretation&lt;/title&gt;&lt;secondary-title&gt;bioRxiv&lt;/secondary-title&gt;&lt;/titles&gt;&lt;periodical&gt;&lt;full-title&gt;bioRxiv&lt;/full-title&gt;&lt;/periodical&gt;&lt;pages&gt;554444&lt;/pages&gt;&lt;dates&gt;&lt;year&gt;2019&lt;/year&gt;&lt;/dates&gt;&lt;urls&gt;&lt;related-urls&gt;&lt;url&gt;https://www.biorxiv.org/content/biorxiv/early/2019/02/19/554444.full.pdf&lt;/url&gt;&lt;/related-urls&gt;&lt;/urls&gt;&lt;electronic-resource-num&gt;10.1101/554444&lt;/electronic-resource-num&gt;&lt;/record&gt;&lt;/Cite&gt;&lt;/EndNote&gt;</w:instrText>
      </w:r>
      <w:r w:rsidR="00C369B2" w:rsidRPr="00C34963">
        <w:fldChar w:fldCharType="separate"/>
      </w:r>
      <w:r w:rsidR="00C369B2" w:rsidRPr="00C34963">
        <w:rPr>
          <w:noProof/>
        </w:rPr>
        <w:t>(23)</w:t>
      </w:r>
      <w:r w:rsidR="00C369B2" w:rsidRPr="00C34963">
        <w:fldChar w:fldCharType="end"/>
      </w:r>
    </w:p>
    <w:p w14:paraId="3AB7B0FB" w14:textId="381818CB" w:rsidR="00C369B2" w:rsidRPr="00C34963" w:rsidRDefault="00C34963" w:rsidP="00C34963">
      <w:pPr>
        <w:pStyle w:val="MDPI31text"/>
      </w:pPr>
      <w:r>
        <w:t>4</w:t>
      </w:r>
      <w:r>
        <w:tab/>
      </w:r>
      <w:r w:rsidR="00C369B2" w:rsidRPr="00C34963">
        <w:t>The variant was in a novel gene (currently unassociated with disease) and the gene is poorly expressed in the relevant disease tissue as indicated in GTEx</w:t>
      </w:r>
      <w:r w:rsidR="00C369B2" w:rsidRPr="00C34963">
        <w:fldChar w:fldCharType="begin"/>
      </w:r>
      <w:r w:rsidR="00C369B2" w:rsidRPr="00C34963">
        <w:instrText xml:space="preserve"> ADDIN EN.CITE &lt;EndNote&gt;&lt;Cite&gt;&lt;Author&gt;Lonsdale&lt;/Author&gt;&lt;Year&gt;2013&lt;/Year&gt;&lt;RecNum&gt;61&lt;/RecNum&gt;&lt;DisplayText&gt;(22)&lt;/DisplayText&gt;&lt;record&gt;&lt;rec-number&gt;61&lt;/rec-number&gt;&lt;foreign-keys&gt;&lt;key app="EN" db-id="d0vstffei2ze5sew5fwxp0dq9zxs5pvvsxpv" timestamp="1579957185"&gt;61&lt;/key&gt;&lt;/foreign-keys&gt;&lt;ref-type name="Journal Article"&gt;17&lt;/ref-type&gt;&lt;contributors&gt;&lt;authors&gt;&lt;author&gt;Lonsdale, John&lt;/author&gt;&lt;author&gt;Thomas, Jeffrey&lt;/author&gt;&lt;author&gt;Salvatore, Mike&lt;/author&gt;&lt;author&gt;Phillips, Rebecca&lt;/author&gt;&lt;author&gt;Lo, Edmund&lt;/author&gt;&lt;author&gt;Shad, Saboor&lt;/author&gt;&lt;author&gt;Hasz, Richard&lt;/author&gt;&lt;author&gt;Walters, Gary&lt;/author&gt;&lt;author&gt;Garcia, Fernando&lt;/author&gt;&lt;author&gt;Young, Nancy&lt;/author&gt;&lt;/authors&gt;&lt;/contributors&gt;&lt;titles&gt;&lt;title&gt;The genotype-tissue expression (GTEx) project&lt;/title&gt;&lt;secondary-title&gt;Nature genetics&lt;/secondary-title&gt;&lt;/titles&gt;&lt;periodical&gt;&lt;full-title&gt;Nature genetics&lt;/full-title&gt;&lt;/periodical&gt;&lt;pages&gt;580&lt;/pages&gt;&lt;volume&gt;45&lt;/volume&gt;&lt;number&gt;6&lt;/number&gt;&lt;dates&gt;&lt;year&gt;2013&lt;/year&gt;&lt;/dates&gt;&lt;isbn&gt;1546-1718&lt;/isbn&gt;&lt;urls&gt;&lt;/urls&gt;&lt;/record&gt;&lt;/Cite&gt;&lt;/EndNote&gt;</w:instrText>
      </w:r>
      <w:r w:rsidR="00C369B2" w:rsidRPr="00C34963">
        <w:fldChar w:fldCharType="separate"/>
      </w:r>
      <w:r w:rsidR="00C369B2" w:rsidRPr="00C34963">
        <w:rPr>
          <w:noProof/>
        </w:rPr>
        <w:t>(22)</w:t>
      </w:r>
      <w:r w:rsidR="00C369B2" w:rsidRPr="00C34963">
        <w:fldChar w:fldCharType="end"/>
      </w:r>
      <w:r w:rsidR="00C369B2" w:rsidRPr="00C34963">
        <w:t xml:space="preserve"> OR</w:t>
      </w:r>
      <w:r>
        <w:t xml:space="preserve"> </w:t>
      </w:r>
      <w:r w:rsidR="00C369B2" w:rsidRPr="00C34963">
        <w:t xml:space="preserve">the gene is explicitly </w:t>
      </w:r>
      <w:r w:rsidR="00C369B2" w:rsidRPr="00C34963">
        <w:rPr>
          <w:b/>
          <w:bCs/>
        </w:rPr>
        <w:t>not</w:t>
      </w:r>
      <w:r w:rsidR="00C369B2" w:rsidRPr="00C34963">
        <w:t xml:space="preserve"> involved in the relevant biological pathway as evidenced in Monarch</w:t>
      </w:r>
      <w:r w:rsidR="00C369B2" w:rsidRPr="00C34963">
        <w:fldChar w:fldCharType="begin"/>
      </w:r>
      <w:r w:rsidR="00C369B2" w:rsidRPr="00C34963">
        <w:instrText xml:space="preserve"> ADDIN EN.CITE &lt;EndNote&gt;&lt;Cite&gt;&lt;Author&gt;Mungall&lt;/Author&gt;&lt;Year&gt;2017&lt;/Year&gt;&lt;RecNum&gt;191&lt;/RecNum&gt;&lt;DisplayText&gt;(24)&lt;/DisplayText&gt;&lt;record&gt;&lt;rec-number&gt;191&lt;/rec-number&gt;&lt;foreign-keys&gt;&lt;key app="EN" db-id="d0vstffei2ze5sew5fwxp0dq9zxs5pvvsxpv" timestamp="1598330086"&gt;191&lt;/key&gt;&lt;/foreign-keys&gt;&lt;ref-type name="Journal Article"&gt;17&lt;/ref-type&gt;&lt;contributors&gt;&lt;authors&gt;&lt;author&gt;Mungall, Christopher J&lt;/author&gt;&lt;author&gt;McMurry, Julie A&lt;/author&gt;&lt;author&gt;Köhler, Sebastian&lt;/author&gt;&lt;author&gt;Balhoff, James P&lt;/author&gt;&lt;author&gt;Borromeo, Charles&lt;/author&gt;&lt;author&gt;Brush, Matthew&lt;/author&gt;&lt;author&gt;Carbon, Seth&lt;/author&gt;&lt;author&gt;Conlin, Tom&lt;/author&gt;&lt;author&gt;Dunn, Nathan&lt;/author&gt;&lt;author&gt;Engelstad, Mark&lt;/author&gt;&lt;/authors&gt;&lt;/contributors&gt;&lt;titles&gt;&lt;title&gt;The Monarch Initiative: an integrative data and analytic platform connecting phenotypes to genotypes across species&lt;/title&gt;&lt;secondary-title&gt;Nucleic acids research&lt;/secondary-title&gt;&lt;/titles&gt;&lt;periodical&gt;&lt;full-title&gt;Nucleic acids research&lt;/full-title&gt;&lt;/periodical&gt;&lt;pages&gt;D712-D722&lt;/pages&gt;&lt;volume&gt;45&lt;/volume&gt;&lt;number&gt;D1&lt;/number&gt;&lt;dates&gt;&lt;year&gt;2017&lt;/year&gt;&lt;/dates&gt;&lt;isbn&gt;0305-1048&lt;/isbn&gt;&lt;urls&gt;&lt;/urls&gt;&lt;/record&gt;&lt;/Cite&gt;&lt;/EndNote&gt;</w:instrText>
      </w:r>
      <w:r w:rsidR="00C369B2" w:rsidRPr="00C34963">
        <w:fldChar w:fldCharType="separate"/>
      </w:r>
      <w:r w:rsidR="00C369B2" w:rsidRPr="00C34963">
        <w:rPr>
          <w:noProof/>
        </w:rPr>
        <w:t>(24)</w:t>
      </w:r>
      <w:r w:rsidR="00C369B2" w:rsidRPr="00C34963">
        <w:fldChar w:fldCharType="end"/>
      </w:r>
    </w:p>
    <w:p w14:paraId="340D54D1" w14:textId="22AAF5F1" w:rsidR="00C369B2" w:rsidRPr="00C34963" w:rsidRDefault="00C34963" w:rsidP="00C34963">
      <w:pPr>
        <w:pStyle w:val="MDPI31text"/>
      </w:pPr>
      <w:r>
        <w:t>5</w:t>
      </w:r>
      <w:r>
        <w:tab/>
      </w:r>
      <w:r w:rsidR="00C369B2" w:rsidRPr="00C34963">
        <w:t>A predicted loss-of-function (LoF) variant as called by Variant Effect Predictor</w:t>
      </w:r>
      <w:r w:rsidR="00C369B2" w:rsidRPr="00C34963">
        <w:fldChar w:fldCharType="begin"/>
      </w:r>
      <w:r w:rsidR="00C369B2" w:rsidRPr="00C34963">
        <w:instrText xml:space="preserve"> ADDIN EN.CITE &lt;EndNote&gt;&lt;Cite&gt;&lt;Author&gt;McLaren&lt;/Author&gt;&lt;Year&gt;2016&lt;/Year&gt;&lt;RecNum&gt;1068&lt;/RecNum&gt;&lt;DisplayText&gt;(25)&lt;/DisplayText&gt;&lt;record&gt;&lt;rec-number&gt;1068&lt;/rec-number&gt;&lt;foreign-keys&gt;&lt;key app="EN" db-id="d0vstffei2ze5sew5fwxp0dq9zxs5pvvsxpv" timestamp="1618530193"&gt;1068&lt;/key&gt;&lt;/foreign-keys&gt;&lt;ref-type name="Journal Article"&gt;17&lt;/ref-type&gt;&lt;contributors&gt;&lt;authors&gt;&lt;author&gt;McLaren, William&lt;/author&gt;&lt;author&gt;Gil, Laurent&lt;/author&gt;&lt;author&gt;Hunt, Sarah E&lt;/author&gt;&lt;author&gt;Riat, Harpreet Singh&lt;/author&gt;&lt;author&gt;Ritchie, Graham RS&lt;/author&gt;&lt;author&gt;Thormann, Anja&lt;/author&gt;&lt;author&gt;Flicek, Paul&lt;/author&gt;&lt;author&gt;Cunningham, Fiona&lt;/author&gt;&lt;/authors&gt;&lt;/contributors&gt;&lt;titles&gt;&lt;title&gt;The ensembl variant effect predictor&lt;/title&gt;&lt;secondary-title&gt;Genome biology&lt;/secondary-title&gt;&lt;/titles&gt;&lt;periodical&gt;&lt;full-title&gt;Genome Biology&lt;/full-title&gt;&lt;/periodical&gt;&lt;pages&gt;1-14&lt;/pages&gt;&lt;volume&gt;17&lt;/volume&gt;&lt;number&gt;1&lt;/number&gt;&lt;dates&gt;&lt;year&gt;2016&lt;/year&gt;&lt;/dates&gt;&lt;isbn&gt;1474-760X&lt;/isbn&gt;&lt;urls&gt;&lt;/urls&gt;&lt;/record&gt;&lt;/Cite&gt;&lt;/EndNote&gt;</w:instrText>
      </w:r>
      <w:r w:rsidR="00C369B2" w:rsidRPr="00C34963">
        <w:fldChar w:fldCharType="separate"/>
      </w:r>
      <w:r w:rsidR="00C369B2" w:rsidRPr="00C34963">
        <w:rPr>
          <w:noProof/>
        </w:rPr>
        <w:t>(25)</w:t>
      </w:r>
      <w:r w:rsidR="00C369B2" w:rsidRPr="00C34963">
        <w:fldChar w:fldCharType="end"/>
      </w:r>
      <w:r w:rsidR="00C369B2" w:rsidRPr="00C34963">
        <w:t xml:space="preserve"> that was deemed as ‘not LoF’ or ‘likely not LoF’ after application of LoF manual curation guidance as recommended by Karczewski et al.</w:t>
      </w:r>
      <w:r w:rsidR="00C369B2" w:rsidRPr="00C34963">
        <w:fldChar w:fldCharType="begin">
          <w:fldData xml:space="preserve">PEVuZE5vdGU+PENpdGU+PEF1dGhvcj5LYXJjemV3c2tpPC9BdXRob3I+PFllYXI+MjAyMDwvWWVh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</w:fldData>
        </w:fldChar>
      </w:r>
      <w:r w:rsidR="00C369B2" w:rsidRPr="00C34963">
        <w:instrText xml:space="preserve"> ADDIN EN.CITE </w:instrText>
      </w:r>
      <w:r w:rsidR="00C369B2" w:rsidRPr="00C34963">
        <w:fldChar w:fldCharType="begin">
          <w:fldData xml:space="preserve">PEVuZE5vdGU+PENpdGU+PEF1dGhvcj5LYXJjemV3c2tpPC9BdXRob3I+PFllYXI+MjAyMDwvWWVh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</w:fldData>
        </w:fldChar>
      </w:r>
      <w:r w:rsidR="00C369B2" w:rsidRPr="00C34963">
        <w:instrText xml:space="preserve"> ADDIN EN.CITE.DATA </w:instrText>
      </w:r>
      <w:r w:rsidR="00C369B2" w:rsidRPr="00C34963">
        <w:fldChar w:fldCharType="end"/>
      </w:r>
      <w:r w:rsidR="00C369B2" w:rsidRPr="00C34963">
        <w:fldChar w:fldCharType="separate"/>
      </w:r>
      <w:r w:rsidR="00C369B2" w:rsidRPr="00C34963">
        <w:rPr>
          <w:noProof/>
        </w:rPr>
        <w:t>(26)</w:t>
      </w:r>
      <w:r w:rsidR="00C369B2" w:rsidRPr="00C34963">
        <w:fldChar w:fldCharType="end"/>
      </w:r>
      <w:r w:rsidR="00C369B2" w:rsidRPr="00C34963">
        <w:t xml:space="preserve"> </w:t>
      </w:r>
    </w:p>
    <w:p w14:paraId="7E7BA246" w14:textId="788E7E4F" w:rsidR="00C369B2" w:rsidRPr="00C34963" w:rsidRDefault="00C34963" w:rsidP="00C34963">
      <w:pPr>
        <w:pStyle w:val="MDPI31text"/>
      </w:pPr>
      <w:r>
        <w:t>6</w:t>
      </w:r>
      <w:r>
        <w:tab/>
      </w:r>
      <w:r w:rsidR="00C369B2" w:rsidRPr="00C34963">
        <w:t xml:space="preserve">The variant appeared artefactual upon </w:t>
      </w:r>
      <w:proofErr w:type="spellStart"/>
      <w:r w:rsidR="00C369B2" w:rsidRPr="00C34963">
        <w:t>visualisation</w:t>
      </w:r>
      <w:proofErr w:type="spellEnd"/>
      <w:r w:rsidR="00C369B2" w:rsidRPr="00C34963">
        <w:t xml:space="preserve"> of the read data in Integrative Genomics Viewer (IGV).</w:t>
      </w:r>
      <w:r w:rsidR="00C369B2" w:rsidRPr="00C34963">
        <w:fldChar w:fldCharType="begin"/>
      </w:r>
      <w:r w:rsidR="00C369B2" w:rsidRPr="00C34963">
        <w:instrText xml:space="preserve"> ADDIN EN.CITE &lt;EndNote&gt;&lt;Cite&gt;&lt;Author&gt;Robinson&lt;/Author&gt;&lt;Year&gt;2011&lt;/Year&gt;&lt;RecNum&gt;58&lt;/RecNum&gt;&lt;DisplayText&gt;(27)&lt;/DisplayText&gt;&lt;record&gt;&lt;rec-number&gt;58&lt;/rec-number&gt;&lt;foreign-keys&gt;&lt;key app="EN" db-id="d0vstffei2ze5sew5fwxp0dq9zxs5pvvsxpv" timestamp="1579954214"&gt;58&lt;/key&gt;&lt;/foreign-keys&gt;&lt;ref-type name="Journal Article"&gt;17&lt;/ref-type&gt;&lt;contributors&gt;&lt;authors&gt;&lt;author&gt;Robinson, James T.&lt;/author&gt;&lt;author&gt;Thorvaldsdóttir, Helga&lt;/author&gt;&lt;author&gt;Winckler, Wendy&lt;/author&gt;&lt;author&gt;Guttman, Mitchell&lt;/author&gt;&lt;author&gt;Lander, Eric S.&lt;/author&gt;&lt;author&gt;Getz, Gad&lt;/author&gt;&lt;author&gt;Mesirov, Jill P.&lt;/author&gt;&lt;/authors&gt;&lt;/contributors&gt;&lt;titles&gt;&lt;title&gt;Integrative genomics viewer&lt;/title&gt;&lt;secondary-title&gt;Nature Biotechnology&lt;/secondary-title&gt;&lt;/titles&gt;&lt;periodical&gt;&lt;full-title&gt;Nature biotechnology&lt;/full-title&gt;&lt;/periodical&gt;&lt;pages&gt;24-26&lt;/pages&gt;&lt;volume&gt;29&lt;/volume&gt;&lt;number&gt;1&lt;/number&gt;&lt;dates&gt;&lt;year&gt;2011&lt;/year&gt;&lt;pub-dates&gt;&lt;date&gt;2011/01/01&lt;/date&gt;&lt;/pub-dates&gt;&lt;/dates&gt;&lt;isbn&gt;1546-1696&lt;/isbn&gt;&lt;urls&gt;&lt;related-urls&gt;&lt;url&gt;https://doi.org/10.1038/nbt.1754&lt;/url&gt;&lt;/related-urls&gt;&lt;/urls&gt;&lt;electronic-resource-num&gt;10.1038/nbt.1754&lt;/electronic-resource-num&gt;&lt;/record&gt;&lt;/Cite&gt;&lt;/EndNote&gt;</w:instrText>
      </w:r>
      <w:r w:rsidR="00C369B2" w:rsidRPr="00C34963">
        <w:fldChar w:fldCharType="separate"/>
      </w:r>
      <w:r w:rsidR="00C369B2" w:rsidRPr="00C34963">
        <w:rPr>
          <w:noProof/>
        </w:rPr>
        <w:t>(27)</w:t>
      </w:r>
      <w:r w:rsidR="00C369B2" w:rsidRPr="00C34963">
        <w:fldChar w:fldCharType="end"/>
      </w:r>
    </w:p>
    <w:p w14:paraId="680D5B27" w14:textId="77777777" w:rsidR="00C369B2" w:rsidRPr="00D372FF" w:rsidRDefault="00C369B2" w:rsidP="00C34963">
      <w:pPr>
        <w:pStyle w:val="MDPI23heading3"/>
        <w:spacing w:before="240"/>
        <w:rPr>
          <w:i/>
          <w:iCs/>
        </w:rPr>
      </w:pPr>
      <w:r w:rsidRPr="00D372FF">
        <w:rPr>
          <w:i/>
          <w:iCs/>
        </w:rPr>
        <w:t>Taking novel exome candidates forward</w:t>
      </w:r>
    </w:p>
    <w:p w14:paraId="636ECD98" w14:textId="77777777" w:rsidR="00C369B2" w:rsidRPr="00C34963" w:rsidRDefault="00C369B2" w:rsidP="00C34963">
      <w:pPr>
        <w:pStyle w:val="MDPI31text"/>
      </w:pPr>
      <w:r w:rsidRPr="00C34963">
        <w:t>Where the referring clinician agreed, candidate variants in novel genes were submitted by the researcher to MME, sharing anonymised genotype and phenotype data. Any potential matches were discussed in detail with the patient’s clinician and explicit consent was obtained from the participants prior to joining case series.</w:t>
      </w:r>
    </w:p>
    <w:p w14:paraId="2CD225AC" w14:textId="77777777" w:rsidR="00C369B2" w:rsidRPr="00D372FF" w:rsidRDefault="00C369B2" w:rsidP="00C34963">
      <w:pPr>
        <w:pStyle w:val="MDPI23heading3"/>
        <w:spacing w:before="240"/>
        <w:rPr>
          <w:i/>
          <w:iCs/>
        </w:rPr>
      </w:pPr>
      <w:r w:rsidRPr="00D372FF">
        <w:rPr>
          <w:i/>
          <w:iCs/>
        </w:rPr>
        <w:t>GMS clinical genome analysis pipeline</w:t>
      </w:r>
    </w:p>
    <w:p w14:paraId="14FC0F14" w14:textId="77777777" w:rsidR="00C369B2" w:rsidRPr="00C34963" w:rsidRDefault="00C369B2" w:rsidP="00C34963">
      <w:pPr>
        <w:pStyle w:val="MDPI31text"/>
      </w:pPr>
      <w:r w:rsidRPr="00C34963">
        <w:t>Variants called through the GMS pipeline were prefiltered on mode of inheritance, quality, and allele frequency. These variants were then restricted to ‘green’ genes on the pre-selected PanelApp</w:t>
      </w:r>
      <w:r w:rsidRPr="00C34963">
        <w:fldChar w:fldCharType="begin"/>
      </w:r>
      <w:r w:rsidRPr="00C34963">
        <w:instrText xml:space="preserve"> ADDIN EN.CITE &lt;EndNote&gt;&lt;Cite&gt;&lt;Author&gt;Martin&lt;/Author&gt;&lt;Year&gt;2019&lt;/Year&gt;&lt;RecNum&gt;1070&lt;/RecNum&gt;&lt;DisplayText&gt;(4)&lt;/DisplayText&gt;&lt;record&gt;&lt;rec-number&gt;1070&lt;/rec-number&gt;&lt;foreign-keys&gt;&lt;key app="EN" db-id="d0vstffei2ze5sew5fwxp0dq9zxs5pvvsxpv" timestamp="1618530630"&gt;1070&lt;/key&gt;&lt;/foreign-keys&gt;&lt;ref-type name="Journal Article"&gt;17&lt;/ref-type&gt;&lt;contributors&gt;&lt;authors&gt;&lt;author&gt;Martin, Antonio Rueda&lt;/author&gt;&lt;author&gt;Williams, Eleanor&lt;/author&gt;&lt;author&gt;Foulger, Rebecca E&lt;/author&gt;&lt;author&gt;Leigh, Sarah&lt;/author&gt;&lt;author&gt;Daugherty, Louise C&lt;/author&gt;&lt;author&gt;Niblock, Olivia&lt;/author&gt;&lt;author&gt;Leong, Ivone US&lt;/author&gt;&lt;author&gt;Smith, Katherine R&lt;/author&gt;&lt;author&gt;Gerasimenko, Oleg&lt;/author&gt;&lt;author&gt;Haraldsdottir, Eik&lt;/author&gt;&lt;/authors&gt;&lt;/contributors&gt;&lt;titles&gt;&lt;title&gt;PanelApp crowdsources expert knowledge to establish consensus diagnostic gene panels&lt;/title&gt;&lt;secondary-title&gt;Nature genetics&lt;/secondary-title&gt;&lt;/titles&gt;&lt;periodical&gt;&lt;full-title&gt;Nature genetics&lt;/full-title&gt;&lt;/periodical&gt;&lt;pages&gt;1560-1565&lt;/pages&gt;&lt;volume&gt;51&lt;/volume&gt;&lt;number&gt;11&lt;/number&gt;&lt;dates&gt;&lt;year&gt;2019&lt;/year&gt;&lt;/dates&gt;&lt;isbn&gt;1546-1718&lt;/isbn&gt;&lt;urls&gt;&lt;/urls&gt;&lt;/record&gt;&lt;/Cite&gt;&lt;/EndNote&gt;</w:instrText>
      </w:r>
      <w:r w:rsidRPr="00C34963">
        <w:fldChar w:fldCharType="separate"/>
      </w:r>
      <w:r w:rsidRPr="00C34963">
        <w:rPr>
          <w:noProof/>
        </w:rPr>
        <w:t>(4)</w:t>
      </w:r>
      <w:r w:rsidRPr="00C34963">
        <w:fldChar w:fldCharType="end"/>
      </w:r>
      <w:r w:rsidRPr="00C34963">
        <w:t xml:space="preserve"> gene panels for review (</w:t>
      </w:r>
      <w:r w:rsidRPr="00C34963">
        <w:rPr>
          <w:b/>
          <w:bCs/>
        </w:rPr>
        <w:t>Table 2</w:t>
      </w:r>
      <w:r w:rsidRPr="00C34963">
        <w:t xml:space="preserve">). A complementary gene agnostic filter was also applied to the data, which included all </w:t>
      </w:r>
      <w:r w:rsidRPr="00C34963">
        <w:rPr>
          <w:i/>
          <w:iCs/>
        </w:rPr>
        <w:t>de novo</w:t>
      </w:r>
      <w:r w:rsidRPr="00C34963">
        <w:t xml:space="preserve"> variants and Exomiser</w:t>
      </w:r>
      <w:r w:rsidRPr="00C34963">
        <w:fldChar w:fldCharType="begin"/>
      </w:r>
      <w:r w:rsidRPr="00C34963">
        <w:instrText xml:space="preserve"> ADDIN EN.CITE &lt;EndNote&gt;&lt;Cite&gt;&lt;Author&gt;Smedley&lt;/Author&gt;&lt;Year&gt;2015&lt;/Year&gt;&lt;RecNum&gt;178&lt;/RecNum&gt;&lt;DisplayText&gt;(6)&lt;/DisplayText&gt;&lt;record&gt;&lt;rec-number&gt;178&lt;/rec-number&gt;&lt;foreign-keys&gt;&lt;key app="EN" db-id="d0vstffei2ze5sew5fwxp0dq9zxs5pvvsxpv" timestamp="1598243424"&gt;178&lt;/key&gt;&lt;/foreign-keys&gt;&lt;ref-type name="Journal Article"&gt;17&lt;/ref-type&gt;&lt;contributors&gt;&lt;authors&gt;&lt;author&gt;Smedley, Damian&lt;/author&gt;&lt;author&gt;Jacobsen, Julius OB&lt;/author&gt;&lt;author&gt;Jäger, Marten&lt;/author&gt;&lt;author&gt;Köhler, Sebastian&lt;/author&gt;&lt;author&gt;Holtgrewe, Manuel&lt;/author&gt;&lt;author&gt;Schubach, Max&lt;/author&gt;&lt;author&gt;Siragusa, Enrico&lt;/author&gt;&lt;author&gt;Zemojtel, Tomasz&lt;/author&gt;&lt;author&gt;Buske, Orion J&lt;/author&gt;&lt;author&gt;Washington, Nicole L&lt;/author&gt;&lt;/authors&gt;&lt;/contributors&gt;&lt;titles&gt;&lt;title&gt;Next-generation diagnostics and disease-gene discovery with the Exomiser&lt;/title&gt;&lt;secondary-title&gt;Nature protocols&lt;/secondary-title&gt;&lt;/titles&gt;&lt;periodical&gt;&lt;full-title&gt;Nature protocols&lt;/full-title&gt;&lt;/periodical&gt;&lt;pages&gt;2004-2015&lt;/pages&gt;&lt;volume&gt;10&lt;/volume&gt;&lt;number&gt;12&lt;/number&gt;&lt;dates&gt;&lt;year&gt;2015&lt;/year&gt;&lt;/dates&gt;&lt;isbn&gt;1750-2799&lt;/isbn&gt;&lt;urls&gt;&lt;/urls&gt;&lt;/record&gt;&lt;/Cite&gt;&lt;/EndNote&gt;</w:instrText>
      </w:r>
      <w:r w:rsidRPr="00C34963">
        <w:fldChar w:fldCharType="separate"/>
      </w:r>
      <w:r w:rsidRPr="00C34963">
        <w:rPr>
          <w:noProof/>
        </w:rPr>
        <w:t>(6)</w:t>
      </w:r>
      <w:r w:rsidRPr="00C34963">
        <w:fldChar w:fldCharType="end"/>
      </w:r>
      <w:r w:rsidRPr="00C34963">
        <w:t xml:space="preserve"> top 3 ranked coding variants (of any quality). Variants passing filtering were returned to the Wessex Regional Genetics Laboratory for reporting.</w:t>
      </w:r>
    </w:p>
    <w:p w14:paraId="24DB32B5" w14:textId="77777777" w:rsidR="00C369B2" w:rsidRPr="00D372FF" w:rsidRDefault="00C369B2" w:rsidP="00C34963">
      <w:pPr>
        <w:pStyle w:val="MDPI23heading3"/>
        <w:spacing w:before="240"/>
        <w:rPr>
          <w:i/>
          <w:iCs/>
        </w:rPr>
      </w:pPr>
      <w:r w:rsidRPr="00D372FF">
        <w:rPr>
          <w:i/>
          <w:iCs/>
        </w:rPr>
        <w:t>Reporting of GMS genome variants</w:t>
      </w:r>
    </w:p>
    <w:p w14:paraId="08350553" w14:textId="77777777" w:rsidR="00C369B2" w:rsidRPr="00C34963" w:rsidRDefault="00C369B2" w:rsidP="00C34963">
      <w:pPr>
        <w:pStyle w:val="MDPI31text"/>
      </w:pPr>
      <w:r w:rsidRPr="00C34963">
        <w:t>GMS variant classification was carried out according to the ACMG/AMP guidelines with ACGS</w:t>
      </w:r>
      <w:r w:rsidRPr="00C34963">
        <w:fldChar w:fldCharType="begin"/>
      </w:r>
      <w:r w:rsidRPr="00C34963">
        <w:instrText xml:space="preserve"> ADDIN EN.CITE &lt;EndNote&gt;&lt;Cite&gt;&lt;Author&gt;Ellard&lt;/Author&gt;&lt;Year&gt;2019&lt;/Year&gt;&lt;RecNum&gt;1204&lt;/RecNum&gt;&lt;DisplayText&gt;(28)&lt;/DisplayText&gt;&lt;record&gt;&lt;rec-number&gt;1204&lt;/rec-number&gt;&lt;foreign-keys&gt;&lt;key app="EN" db-id="d0vstffei2ze5sew5fwxp0dq9zxs5pvvsxpv" timestamp="1673663095"&gt;1204&lt;/key&gt;&lt;/foreign-keys&gt;&lt;ref-type name="Journal Article"&gt;17&lt;/ref-type&gt;&lt;contributors&gt;&lt;authors&gt;&lt;author&gt;Ellard, Sian&lt;/author&gt;&lt;author&gt;Baple, Emma L&lt;/author&gt;&lt;author&gt;Owens, Martina&lt;/author&gt;&lt;author&gt;Eccles, Diana M&lt;/author&gt;&lt;author&gt;Abbs, Stephen&lt;/author&gt;&lt;author&gt;Deans, Zandra C&lt;/author&gt;&lt;author&gt;McMullan, DJ&lt;/author&gt;&lt;/authors&gt;&lt;/contributors&gt;&lt;titles&gt;&lt;title&gt;ACGS best practice guidelines for variant classification 2019&lt;/title&gt;&lt;secondary-title&gt;ACGS Guidelines&lt;/secondary-title&gt;&lt;/titles&gt;&lt;periodical&gt;&lt;full-title&gt;ACGS Guidelines&lt;/full-title&gt;&lt;/periodical&gt;&lt;dates&gt;&lt;year&gt;2019&lt;/year&gt;&lt;/dates&gt;&lt;urls&gt;&lt;/urls&gt;&lt;/record&gt;&lt;/Cite&gt;&lt;/EndNote&gt;</w:instrText>
      </w:r>
      <w:r w:rsidRPr="00C34963">
        <w:fldChar w:fldCharType="separate"/>
      </w:r>
      <w:r w:rsidRPr="00C34963">
        <w:rPr>
          <w:noProof/>
        </w:rPr>
        <w:t>(28)</w:t>
      </w:r>
      <w:r w:rsidRPr="00C34963">
        <w:fldChar w:fldCharType="end"/>
      </w:r>
      <w:r w:rsidRPr="00C34963">
        <w:t xml:space="preserve"> modifications. This included an assessment of the gene-phenotype match based on the HPO</w:t>
      </w:r>
      <w:r w:rsidRPr="00C34963">
        <w:fldChar w:fldCharType="begin"/>
      </w:r>
      <w:r w:rsidRPr="00C34963">
        <w:instrText xml:space="preserve"> ADDIN EN.CITE &lt;EndNote&gt;&lt;Cite&gt;&lt;Author&gt;Robinson&lt;/Author&gt;&lt;Year&gt;2008&lt;/Year&gt;&lt;RecNum&gt;126&lt;/RecNum&gt;&lt;DisplayText&gt;(29)&lt;/DisplayText&gt;&lt;record&gt;&lt;rec-number&gt;126&lt;/rec-number&gt;&lt;foreign-keys&gt;&lt;key app="EN" db-id="d0vstffei2ze5sew5fwxp0dq9zxs5pvvsxpv" timestamp="1583792861"&gt;126&lt;/key&gt;&lt;/foreign-keys&gt;&lt;ref-type name="Journal Article"&gt;17&lt;/ref-type&gt;&lt;contributors&gt;&lt;authors&gt;&lt;author&gt;Robinson, Peter N&lt;/author&gt;&lt;author&gt;Köhler, Sebastian&lt;/author&gt;&lt;author&gt;Bauer, Sebastian&lt;/author&gt;&lt;author&gt;Seelow, Dominik&lt;/author&gt;&lt;author&gt;Horn, Denise&lt;/author&gt;&lt;author&gt;Mundlos, Stefan&lt;/author&gt;&lt;/authors&gt;&lt;/contributors&gt;&lt;titles&gt;&lt;title&gt;The Human Phenotype Ontology: a tool for annotating and analyzing human hereditary disease&lt;/title&gt;&lt;secondary-title&gt;The American Journal of Human Genetics&lt;/secondary-title&gt;&lt;/titles&gt;&lt;periodical&gt;&lt;full-title&gt;The American Journal of Human Genetics&lt;/full-title&gt;&lt;/periodical&gt;&lt;pages&gt;610-615&lt;/pages&gt;&lt;volume&gt;83&lt;/volume&gt;&lt;number&gt;5&lt;/number&gt;&lt;dates&gt;&lt;year&gt;2008&lt;/year&gt;&lt;/dates&gt;&lt;isbn&gt;0002-9297&lt;/isbn&gt;&lt;urls&gt;&lt;/urls&gt;&lt;/record&gt;&lt;/Cite&gt;&lt;/EndNote&gt;</w:instrText>
      </w:r>
      <w:r w:rsidRPr="00C34963">
        <w:fldChar w:fldCharType="separate"/>
      </w:r>
      <w:r w:rsidRPr="00C34963">
        <w:rPr>
          <w:noProof/>
        </w:rPr>
        <w:t>(29)</w:t>
      </w:r>
      <w:r w:rsidRPr="00C34963">
        <w:fldChar w:fldCharType="end"/>
      </w:r>
      <w:r w:rsidRPr="00C34963">
        <w:t xml:space="preserve"> terms supplied. Variants in genes with no known disease association (determined using OMIM</w:t>
      </w:r>
      <w:r w:rsidRPr="00C34963">
        <w:fldChar w:fldCharType="begin"/>
      </w:r>
      <w:r w:rsidRPr="00C34963">
        <w:instrText xml:space="preserve"> ADDIN EN.CITE &lt;EndNote&gt;&lt;Cite&gt;&lt;Author&gt;Amberger&lt;/Author&gt;&lt;Year&gt;2015&lt;/Year&gt;&lt;RecNum&gt;221&lt;/RecNum&gt;&lt;DisplayText&gt;(21)&lt;/DisplayText&gt;&lt;record&gt;&lt;rec-number&gt;221&lt;/rec-number&gt;&lt;foreign-keys&gt;&lt;key app="EN" db-id="d0vstffei2ze5sew5fwxp0dq9zxs5pvvsxpv" timestamp="1598677964"&gt;221&lt;/key&gt;&lt;/foreign-keys&gt;&lt;ref-type name="Journal Article"&gt;17&lt;/ref-type&gt;&lt;contributors&gt;&lt;authors&gt;&lt;author&gt;Amberger, Joanna S&lt;/author&gt;&lt;author&gt;Bocchini, Carol A&lt;/author&gt;&lt;author&gt;Schiettecatte, François&lt;/author&gt;&lt;author&gt;Scott, Alan F&lt;/author&gt;&lt;author&gt;Hamosh, Ada&lt;/author&gt;&lt;/authors&gt;&lt;/contributors&gt;&lt;titles&gt;&lt;title&gt;OMIM. org: Online Mendelian Inheritance in Man (OMIM®), an online catalog of human genes and genetic disorders&lt;/title&gt;&lt;secondary-title&gt;Nucleic acids research&lt;/secondary-title&gt;&lt;/titles&gt;&lt;periodical&gt;&lt;full-title&gt;Nucleic acids research&lt;/full-title&gt;&lt;/periodical&gt;&lt;pages&gt;D789-D798&lt;/pages&gt;&lt;volume&gt;43&lt;/volume&gt;&lt;number&gt;D1&lt;/number&gt;&lt;dates&gt;&lt;year&gt;2015&lt;/year&gt;&lt;/dates&gt;&lt;isbn&gt;1362-4962&lt;/isbn&gt;&lt;urls&gt;&lt;/urls&gt;&lt;/record&gt;&lt;/Cite&gt;&lt;/EndNote&gt;</w:instrText>
      </w:r>
      <w:r w:rsidRPr="00C34963">
        <w:fldChar w:fldCharType="separate"/>
      </w:r>
      <w:r w:rsidRPr="00C34963">
        <w:rPr>
          <w:noProof/>
        </w:rPr>
        <w:t>(21)</w:t>
      </w:r>
      <w:r w:rsidRPr="00C34963">
        <w:fldChar w:fldCharType="end"/>
      </w:r>
      <w:r w:rsidRPr="00C34963">
        <w:t>, HGMDPro, ClinGen</w:t>
      </w:r>
      <w:r w:rsidRPr="00C34963">
        <w:fldChar w:fldCharType="begin"/>
      </w:r>
      <w:r w:rsidRPr="00C34963">
        <w:instrText xml:space="preserve"> ADDIN EN.CITE &lt;EndNote&gt;&lt;Cite&gt;&lt;Author&gt;Rehm&lt;/Author&gt;&lt;Year&gt;2015&lt;/Year&gt;&lt;RecNum&gt;1206&lt;/RecNum&gt;&lt;DisplayText&gt;(30)&lt;/DisplayText&gt;&lt;record&gt;&lt;rec-number&gt;1206&lt;/rec-number&gt;&lt;foreign-keys&gt;&lt;key app="EN" db-id="d0vstffei2ze5sew5fwxp0dq9zxs5pvvsxpv" timestamp="1673663296"&gt;1206&lt;/key&gt;&lt;/foreign-keys&gt;&lt;ref-type name="Journal Article"&gt;17&lt;/ref-type&gt;&lt;contributors&gt;&lt;authors&gt;&lt;author&gt;Rehm, Heidi L&lt;/author&gt;&lt;author&gt;Berg, Jonathan S&lt;/author&gt;&lt;author&gt;Brooks, Lisa D&lt;/author&gt;&lt;author&gt;Bustamante, Carlos D&lt;/author&gt;&lt;author&gt;Evans, James P&lt;/author&gt;&lt;author&gt;Landrum, Melissa J&lt;/author&gt;&lt;author&gt;Ledbetter, David H&lt;/author&gt;&lt;author&gt;Maglott, Donna R&lt;/author&gt;&lt;author&gt;Martin, Christa Lese&lt;/author&gt;&lt;author&gt;Nussbaum, Robert L&lt;/author&gt;&lt;/authors&gt;&lt;/contributors&gt;&lt;titles&gt;&lt;title&gt;ClinGen—the clinical genome resource&lt;/title&gt;&lt;secondary-title&gt;New England Journal of Medicine&lt;/secondary-title&gt;&lt;/titles&gt;&lt;periodical&gt;&lt;full-title&gt;New England Journal of Medicine&lt;/full-title&gt;&lt;/periodical&gt;&lt;pages&gt;2235-2242&lt;/pages&gt;&lt;volume&gt;372&lt;/volume&gt;&lt;number&gt;23&lt;/number&gt;&lt;dates&gt;&lt;year&gt;2015&lt;/year&gt;&lt;/dates&gt;&lt;isbn&gt;0028-4793&lt;/isbn&gt;&lt;urls&gt;&lt;/urls&gt;&lt;/record&gt;&lt;/Cite&gt;&lt;/EndNote&gt;</w:instrText>
      </w:r>
      <w:r w:rsidRPr="00C34963">
        <w:fldChar w:fldCharType="separate"/>
      </w:r>
      <w:r w:rsidRPr="00C34963">
        <w:rPr>
          <w:noProof/>
        </w:rPr>
        <w:t>(30)</w:t>
      </w:r>
      <w:r w:rsidRPr="00C34963">
        <w:fldChar w:fldCharType="end"/>
      </w:r>
      <w:r w:rsidRPr="00C34963">
        <w:t xml:space="preserve"> and PanelApp</w:t>
      </w:r>
      <w:r w:rsidRPr="00C34963">
        <w:fldChar w:fldCharType="begin"/>
      </w:r>
      <w:r w:rsidRPr="00C34963">
        <w:instrText xml:space="preserve"> ADDIN EN.CITE &lt;EndNote&gt;&lt;Cite&gt;&lt;Author&gt;Martin&lt;/Author&gt;&lt;Year&gt;2019&lt;/Year&gt;&lt;RecNum&gt;1070&lt;/RecNum&gt;&lt;DisplayText&gt;(4)&lt;/DisplayText&gt;&lt;record&gt;&lt;rec-number&gt;1070&lt;/rec-number&gt;&lt;foreign-keys&gt;&lt;key app="EN" db-id="d0vstffei2ze5sew5fwxp0dq9zxs5pvvsxpv" timestamp="1618530630"&gt;1070&lt;/key&gt;&lt;/foreign-keys&gt;&lt;ref-type name="Journal Article"&gt;17&lt;/ref-type&gt;&lt;contributors&gt;&lt;authors&gt;&lt;author&gt;Martin, Antonio Rueda&lt;/author&gt;&lt;author&gt;Williams, Eleanor&lt;/author&gt;&lt;author&gt;Foulger, Rebecca E&lt;/author&gt;&lt;author&gt;Leigh, Sarah&lt;/author&gt;&lt;author&gt;Daugherty, Louise C&lt;/author&gt;&lt;author&gt;Niblock, Olivia&lt;/author&gt;&lt;author&gt;Leong, Ivone US&lt;/author&gt;&lt;author&gt;Smith, Katherine R&lt;/author&gt;&lt;author&gt;Gerasimenko, Oleg&lt;/author&gt;&lt;author&gt;Haraldsdottir, Eik&lt;/author&gt;&lt;/authors&gt;&lt;/contributors&gt;&lt;titles&gt;&lt;title&gt;PanelApp crowdsources expert knowledge to establish consensus diagnostic gene panels&lt;/title&gt;&lt;secondary-title&gt;Nature genetics&lt;/secondary-title&gt;&lt;/titles&gt;&lt;periodical&gt;&lt;full-title&gt;Nature genetics&lt;/full-title&gt;&lt;/periodical&gt;&lt;pages&gt;1560-1565&lt;/pages&gt;&lt;volume&gt;51&lt;/volume&gt;&lt;number&gt;11&lt;/number&gt;&lt;dates&gt;&lt;year&gt;2019&lt;/year&gt;&lt;/dates&gt;&lt;isbn&gt;1546-1718&lt;/isbn&gt;&lt;urls&gt;&lt;/urls&gt;&lt;/record&gt;&lt;/Cite&gt;&lt;/EndNote&gt;</w:instrText>
      </w:r>
      <w:r w:rsidRPr="00C34963">
        <w:fldChar w:fldCharType="separate"/>
      </w:r>
      <w:r w:rsidRPr="00C34963">
        <w:rPr>
          <w:noProof/>
        </w:rPr>
        <w:t>(4)</w:t>
      </w:r>
      <w:r w:rsidRPr="00C34963">
        <w:fldChar w:fldCharType="end"/>
      </w:r>
      <w:r w:rsidRPr="00C34963">
        <w:t xml:space="preserve">) were discounted and not assessed. Classified variants were reported according to standard ACMG/AMP guidelines: i.e pathogenic and likely pathogenic variants were always reported, variants of uncertain significance (VUSes) were only reported if there was </w:t>
      </w:r>
      <w:r w:rsidRPr="00C34963">
        <w:lastRenderedPageBreak/>
        <w:t xml:space="preserve">significant evidence for pathogenicity and/or with the prior agreement of the clinician following a multidisciplinary team discussion (typically via email). </w:t>
      </w:r>
    </w:p>
    <w:p w14:paraId="751A0423" w14:textId="77777777" w:rsidR="00C369B2" w:rsidRPr="00C34963" w:rsidRDefault="00C369B2" w:rsidP="00C34963">
      <w:pPr>
        <w:pStyle w:val="MDPI22heading2"/>
        <w:spacing w:before="240"/>
      </w:pPr>
      <w:r w:rsidRPr="00C34963">
        <w:t>Comparison of two filtering approaches</w:t>
      </w:r>
    </w:p>
    <w:p w14:paraId="021D9B65" w14:textId="77777777" w:rsidR="00C369B2" w:rsidRPr="00C34963" w:rsidRDefault="00C369B2" w:rsidP="00C34963">
      <w:pPr>
        <w:pStyle w:val="MDPI31text"/>
      </w:pPr>
      <w:r w:rsidRPr="00C34963">
        <w:t>We compared the diagnostic yield and the number of variants requiring assessment after variant filtering for both the research exome HiPPo approach (which included novel discoveries) and GMS clinical genome panel-based approach, which was restricted to reporting variants that met diagnostic standards only. Specifically, we counted the number of variants passing HiPPo filtering criteria in the research exome study and compared these with the number of Tier 1 and 2 variants for the same patients’ GMS genome results, in addition to the ‘gene agnostic’ variants (de novo and Exomiser</w:t>
      </w:r>
      <w:r w:rsidRPr="00C34963">
        <w:fldChar w:fldCharType="begin"/>
      </w:r>
      <w:r w:rsidRPr="00C34963">
        <w:instrText xml:space="preserve"> ADDIN EN.CITE &lt;EndNote&gt;&lt;Cite&gt;&lt;Author&gt;Smedley&lt;/Author&gt;&lt;Year&gt;2015&lt;/Year&gt;&lt;RecNum&gt;178&lt;/RecNum&gt;&lt;DisplayText&gt;(6)&lt;/DisplayText&gt;&lt;record&gt;&lt;rec-number&gt;178&lt;/rec-number&gt;&lt;foreign-keys&gt;&lt;key app="EN" db-id="d0vstffei2ze5sew5fwxp0dq9zxs5pvvsxpv" timestamp="1598243424"&gt;178&lt;/key&gt;&lt;/foreign-keys&gt;&lt;ref-type name="Journal Article"&gt;17&lt;/ref-type&gt;&lt;contributors&gt;&lt;authors&gt;&lt;author&gt;Smedley, Damian&lt;/author&gt;&lt;author&gt;Jacobsen, Julius OB&lt;/author&gt;&lt;author&gt;Jäger, Marten&lt;/author&gt;&lt;author&gt;Köhler, Sebastian&lt;/author&gt;&lt;author&gt;Holtgrewe, Manuel&lt;/author&gt;&lt;author&gt;Schubach, Max&lt;/author&gt;&lt;author&gt;Siragusa, Enrico&lt;/author&gt;&lt;author&gt;Zemojtel, Tomasz&lt;/author&gt;&lt;author&gt;Buske, Orion J&lt;/author&gt;&lt;author&gt;Washington, Nicole L&lt;/author&gt;&lt;/authors&gt;&lt;/contributors&gt;&lt;titles&gt;&lt;title&gt;Next-generation diagnostics and disease-gene discovery with the Exomiser&lt;/title&gt;&lt;secondary-title&gt;Nature protocols&lt;/secondary-title&gt;&lt;/titles&gt;&lt;periodical&gt;&lt;full-title&gt;Nature protocols&lt;/full-title&gt;&lt;/periodical&gt;&lt;pages&gt;2004-2015&lt;/pages&gt;&lt;volume&gt;10&lt;/volume&gt;&lt;number&gt;12&lt;/number&gt;&lt;dates&gt;&lt;year&gt;2015&lt;/year&gt;&lt;/dates&gt;&lt;isbn&gt;1750-2799&lt;/isbn&gt;&lt;urls&gt;&lt;/urls&gt;&lt;/record&gt;&lt;/Cite&gt;&lt;/EndNote&gt;</w:instrText>
      </w:r>
      <w:r w:rsidRPr="00C34963">
        <w:fldChar w:fldCharType="separate"/>
      </w:r>
      <w:r w:rsidRPr="00C34963">
        <w:rPr>
          <w:noProof/>
        </w:rPr>
        <w:t>(6)</w:t>
      </w:r>
      <w:r w:rsidRPr="00C34963">
        <w:fldChar w:fldCharType="end"/>
      </w:r>
      <w:r w:rsidRPr="00C34963">
        <w:t xml:space="preserve"> Top 3 hits) as provided in an anonymised spreadsheet by the Wessex Regional Genetics Laboratory. We omitted CNVs since these were not assessed in the exome data and no diagnoses were made from structural variants in the GMS clinical genome data. We then compared the variants reported from the research exome with the variants interpreted and reported by the NHS on the patient’s GMS genome report. For the GMS, the reporting threshold is high with novel genes and nearly all VUSes not reported, however as part of the GMS, patients have their deidentified data deposited into a genomics library for researchers to access. Therefore, to test the efficiency of the methods applied, we calculated the diagnostic rate per number of variants assessed across the cohort.</w:t>
      </w:r>
    </w:p>
    <w:p w14:paraId="44DF1BBA" w14:textId="0D40C8A5" w:rsidR="00C369B2" w:rsidRPr="00C34963" w:rsidRDefault="00C34963" w:rsidP="00C34963">
      <w:pPr>
        <w:pStyle w:val="MDPI21heading1"/>
      </w:pPr>
      <w:r>
        <w:t xml:space="preserve">3. </w:t>
      </w:r>
      <w:r w:rsidR="00C369B2" w:rsidRPr="00C34963">
        <w:t>Results</w:t>
      </w:r>
    </w:p>
    <w:p w14:paraId="72E6736A" w14:textId="77777777" w:rsidR="00C369B2" w:rsidRPr="00C34963" w:rsidRDefault="00C369B2" w:rsidP="00C34963">
      <w:pPr>
        <w:pStyle w:val="MDPI22heading2"/>
        <w:spacing w:before="240"/>
      </w:pPr>
      <w:r w:rsidRPr="00C34963">
        <w:t>GMS clinical genome analysis strategy</w:t>
      </w:r>
    </w:p>
    <w:p w14:paraId="0DE68C31" w14:textId="77777777" w:rsidR="00C369B2" w:rsidRPr="00C34963" w:rsidRDefault="00C369B2" w:rsidP="00C34963">
      <w:pPr>
        <w:pStyle w:val="MDPI31text"/>
      </w:pPr>
      <w:r w:rsidRPr="00C34963">
        <w:t xml:space="preserve">In the 8 families who underwent GMS clinical genome sequencing, a total of 77 single nucleotide and indel variants, were returned for analysis as ‘Tiered variants’ including the gene agnostic variants (Exomiser and </w:t>
      </w:r>
      <w:r w:rsidRPr="00C34963">
        <w:rPr>
          <w:i/>
          <w:iCs/>
        </w:rPr>
        <w:t>de novos</w:t>
      </w:r>
      <w:r w:rsidRPr="00C34963">
        <w:t>). A further 108 CNVs passed filtering. 5 variants in total from 4 patients were included on the final reports issued by the NHS: two diagnoses, one variant of uncertain significance, and compound heterozygous variants (pathogenic and VUS); all five reported variants were also identified by HiPPo in the research exome (</w:t>
      </w:r>
      <w:r w:rsidRPr="00C34963">
        <w:rPr>
          <w:b/>
          <w:bCs/>
        </w:rPr>
        <w:t>Table 3</w:t>
      </w:r>
      <w:r w:rsidRPr="00C34963">
        <w:t xml:space="preserve">). </w:t>
      </w:r>
    </w:p>
    <w:p w14:paraId="609CEFD1" w14:textId="77777777" w:rsidR="00C369B2" w:rsidRPr="00C34963" w:rsidRDefault="00C369B2" w:rsidP="00C34963">
      <w:pPr>
        <w:pStyle w:val="MDPI22heading2"/>
        <w:spacing w:before="240"/>
      </w:pPr>
      <w:r w:rsidRPr="00C34963">
        <w:t>Research exome HiPPo strategy</w:t>
      </w:r>
    </w:p>
    <w:p w14:paraId="7FA911B8" w14:textId="258454EB" w:rsidR="00C369B2" w:rsidRPr="00C34963" w:rsidRDefault="00C369B2" w:rsidP="00C34963">
      <w:pPr>
        <w:pStyle w:val="MDPI31text"/>
      </w:pPr>
      <w:r w:rsidRPr="00C34963">
        <w:t>HiPPo identified a total of 109 variants (</w:t>
      </w:r>
      <w:r w:rsidRPr="00C34963">
        <w:rPr>
          <w:b/>
          <w:bCs/>
        </w:rPr>
        <w:t>Supplementary Table 2</w:t>
      </w:r>
      <w:r w:rsidRPr="00C34963">
        <w:t xml:space="preserve">) from 8 families (8 trios) passing filtering criteria as outlined in </w:t>
      </w:r>
      <w:r w:rsidRPr="00C34963">
        <w:rPr>
          <w:b/>
          <w:bCs/>
        </w:rPr>
        <w:t>Table 2</w:t>
      </w:r>
      <w:r w:rsidRPr="00C34963">
        <w:t xml:space="preserve">. However, one family, FAM_4, comprising a mother, father and monozygotic twins was sequenced as a trio (father, twin </w:t>
      </w:r>
      <w:proofErr w:type="gramStart"/>
      <w:r w:rsidRPr="00C34963">
        <w:t>A</w:t>
      </w:r>
      <w:proofErr w:type="gramEnd"/>
      <w:r w:rsidRPr="00C34963">
        <w:t xml:space="preserve"> and twin B) in the research exome study as there was insufficient maternal DNA. For the genome performed through the GMS, there was available maternal DNA and thus the twin daughters were sequenced as separate trios, with the parents sequenced twice in accordance with GMS policy. This meant more variants were identified in the research exome than the GMS genome (68 vs 11 respectively) for this family, given that no maternal DNA was available for segregation analysis in the exome.</w:t>
      </w:r>
    </w:p>
    <w:p w14:paraId="1419B629" w14:textId="77777777" w:rsidR="00C369B2" w:rsidRPr="00C34963" w:rsidRDefault="00C369B2" w:rsidP="00C34963">
      <w:pPr>
        <w:pStyle w:val="MDPI31text"/>
      </w:pPr>
      <w:r w:rsidRPr="00C34963">
        <w:t>Of the 109 variants identified by HiPPo across the 8 families, 38 variants were in genes reported as definitive or strong evidence for disease association as classified by GenCC.</w:t>
      </w:r>
    </w:p>
    <w:p w14:paraId="396DEF2E" w14:textId="77777777" w:rsidR="00C369B2" w:rsidRPr="00C34963" w:rsidRDefault="00C369B2" w:rsidP="00C34963">
      <w:pPr>
        <w:pStyle w:val="MDPI31text"/>
      </w:pPr>
      <w:r w:rsidRPr="00C34963">
        <w:t>In addition to the 2 pathogenic variants identified by the GMS and deemed causal, HiPPo identified a further pathogenic variant in a known disease gene (</w:t>
      </w:r>
      <w:r w:rsidRPr="00C34963">
        <w:rPr>
          <w:i/>
          <w:iCs/>
        </w:rPr>
        <w:t>ABCC8</w:t>
      </w:r>
      <w:r w:rsidRPr="00C34963">
        <w:t xml:space="preserve">), representing a partial diagnosis that was filtered out by the GMS strategy due to not being on the chosen gene panel. HiPPo also identified compound heterozygous variants in a known disease gene, </w:t>
      </w:r>
      <w:r w:rsidRPr="00C34963">
        <w:rPr>
          <w:i/>
          <w:iCs/>
        </w:rPr>
        <w:t>INTS1</w:t>
      </w:r>
      <w:r w:rsidRPr="00C34963">
        <w:t xml:space="preserve"> in participant </w:t>
      </w:r>
      <w:r w:rsidRPr="00C34963">
        <w:rPr>
          <w:rFonts w:ascii="Calibri" w:hAnsi="Calibri" w:cs="Calibri"/>
        </w:rPr>
        <w:t>FAM_2_4</w:t>
      </w:r>
      <w:r w:rsidRPr="00C34963">
        <w:rPr>
          <w:rFonts w:ascii="Calibri" w:hAnsi="Calibri" w:cs="Calibri"/>
          <w:sz w:val="16"/>
          <w:szCs w:val="16"/>
        </w:rPr>
        <w:t xml:space="preserve"> </w:t>
      </w:r>
      <w:r w:rsidRPr="00C34963">
        <w:rPr>
          <w:rFonts w:ascii="Calibri" w:hAnsi="Calibri" w:cs="Calibri"/>
        </w:rPr>
        <w:t xml:space="preserve">which is known to cause an autosomal recessive neurodevelopmental disorder with cataracts, poor growth, and dysmorphic facies (MIM: 618571). These variants were discounted by the GMS as weak VUSes with limited evidence but </w:t>
      </w:r>
      <w:r w:rsidRPr="00C34963">
        <w:t xml:space="preserve">remain under review by the clinical team. </w:t>
      </w:r>
    </w:p>
    <w:p w14:paraId="6D886AF5" w14:textId="095E0FA7" w:rsidR="00C369B2" w:rsidRPr="00C34963" w:rsidRDefault="00C369B2" w:rsidP="00C34963">
      <w:pPr>
        <w:pStyle w:val="MDPI31text"/>
      </w:pPr>
      <w:r w:rsidRPr="00C34963">
        <w:lastRenderedPageBreak/>
        <w:t xml:space="preserve">HiPPo detected a further 6 VUSes in 5 novel (currently unassociated with disease) genes, in addition to the same compound heterozygous variants in </w:t>
      </w:r>
      <w:r w:rsidRPr="00C34963">
        <w:rPr>
          <w:i/>
          <w:iCs/>
        </w:rPr>
        <w:t>SDCCAG8</w:t>
      </w:r>
      <w:r w:rsidRPr="00C34963">
        <w:t xml:space="preserve"> and the VUS in </w:t>
      </w:r>
      <w:r w:rsidRPr="00C34963">
        <w:rPr>
          <w:i/>
          <w:iCs/>
        </w:rPr>
        <w:t>HMGB1</w:t>
      </w:r>
      <w:r w:rsidRPr="00C34963">
        <w:t xml:space="preserve"> reported by the GMS (</w:t>
      </w:r>
      <w:r w:rsidRPr="00C34963">
        <w:rPr>
          <w:b/>
          <w:bCs/>
        </w:rPr>
        <w:t>Table 3</w:t>
      </w:r>
      <w:r w:rsidRPr="00C34963">
        <w:t xml:space="preserve">). In total, the research exome identified 109 variants using HiPPo of which 38/109 (34.9%) were in GenCC disease genes. After application of exclusion criteria to all HiPPo variants, independent of GenCC disease status, a total of 14 variants from the research exome were curated against ACMG/AMP criteria and returned as shown in </w:t>
      </w:r>
      <w:r w:rsidRPr="00C34963">
        <w:rPr>
          <w:b/>
          <w:bCs/>
        </w:rPr>
        <w:t>Table 4</w:t>
      </w:r>
      <w:r w:rsidRPr="00C34963">
        <w:t>.</w:t>
      </w:r>
    </w:p>
    <w:p w14:paraId="257C2FFE" w14:textId="32FC1F14" w:rsidR="00C369B2" w:rsidRPr="00C34963" w:rsidRDefault="00C34963" w:rsidP="00C34963">
      <w:pPr>
        <w:pStyle w:val="MDPI41tablecaption"/>
        <w:jc w:val="both"/>
      </w:pPr>
      <w:r w:rsidRPr="00C34963">
        <w:rPr>
          <w:b/>
          <w:bCs/>
        </w:rPr>
        <w:t xml:space="preserve">Table 3. </w:t>
      </w:r>
      <w:r w:rsidR="00C369B2" w:rsidRPr="00C34963">
        <w:t>| Comparison of variants reported by the research exome sequencing study vs the GMS genome sequencing</w:t>
      </w:r>
      <w:r>
        <w:t>.</w:t>
      </w:r>
    </w:p>
    <w:tbl>
      <w:tblPr>
        <w:tblW w:w="10465" w:type="dxa"/>
        <w:jc w:val="center"/>
        <w:tblLayout w:type="fixed"/>
        <w:tblCellMar>
          <w:left w:w="0" w:type="dxa"/>
          <w:right w:w="0" w:type="dxa"/>
        </w:tblCellMar>
        <w:tblLook w:val="04A0" w:firstRow="1" w:lastRow="0" w:firstColumn="1" w:lastColumn="0" w:noHBand="0" w:noVBand="1"/>
      </w:tblPr>
      <w:tblGrid>
        <w:gridCol w:w="520"/>
        <w:gridCol w:w="353"/>
        <w:gridCol w:w="1026"/>
        <w:gridCol w:w="1168"/>
        <w:gridCol w:w="469"/>
        <w:gridCol w:w="469"/>
        <w:gridCol w:w="1030"/>
        <w:gridCol w:w="517"/>
        <w:gridCol w:w="542"/>
        <w:gridCol w:w="645"/>
        <w:gridCol w:w="2384"/>
        <w:gridCol w:w="925"/>
        <w:gridCol w:w="285"/>
        <w:gridCol w:w="132"/>
      </w:tblGrid>
      <w:tr w:rsidR="00C34963" w:rsidRPr="00A76F86" w14:paraId="3F9BDB95" w14:textId="77777777" w:rsidTr="00C34963">
        <w:trPr>
          <w:gridAfter w:val="1"/>
          <w:wAfter w:w="65" w:type="pct"/>
          <w:jc w:val="center"/>
        </w:trPr>
        <w:tc>
          <w:tcPr>
            <w:tcW w:w="418" w:type="pct"/>
            <w:gridSpan w:val="2"/>
            <w:tcBorders>
              <w:top w:val="single" w:sz="8" w:space="0" w:color="auto"/>
              <w:bottom w:val="single" w:sz="8" w:space="0" w:color="auto"/>
            </w:tcBorders>
            <w:shd w:val="clear" w:color="000000" w:fill="A8D08D"/>
            <w:vAlign w:val="center"/>
            <w:hideMark/>
          </w:tcPr>
          <w:p w14:paraId="2849E7D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bookmarkStart w:id="0" w:name="RANGE!A1"/>
            <w:bookmarkStart w:id="1" w:name="_Hlk119578927" w:colFirst="2" w:colLast="7"/>
            <w:r w:rsidRPr="00D372FF">
              <w:rPr>
                <w:rFonts w:ascii="Palatino" w:eastAsia="Times New Roman" w:hAnsi="Palatino" w:cs="Calibri"/>
                <w:szCs w:val="16"/>
              </w:rPr>
              <w:t>Samples</w:t>
            </w:r>
            <w:bookmarkEnd w:id="0"/>
          </w:p>
        </w:tc>
        <w:tc>
          <w:tcPr>
            <w:tcW w:w="1495" w:type="pct"/>
            <w:gridSpan w:val="4"/>
            <w:tcBorders>
              <w:top w:val="single" w:sz="8" w:space="0" w:color="auto"/>
              <w:bottom w:val="single" w:sz="8" w:space="0" w:color="auto"/>
            </w:tcBorders>
            <w:shd w:val="clear" w:color="000000" w:fill="FFD966"/>
            <w:vAlign w:val="center"/>
            <w:hideMark/>
          </w:tcPr>
          <w:p w14:paraId="364FB7F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Research exome</w:t>
            </w:r>
          </w:p>
        </w:tc>
        <w:tc>
          <w:tcPr>
            <w:tcW w:w="3022" w:type="pct"/>
            <w:gridSpan w:val="7"/>
            <w:tcBorders>
              <w:top w:val="single" w:sz="8" w:space="0" w:color="auto"/>
              <w:bottom w:val="single" w:sz="8" w:space="0" w:color="auto"/>
            </w:tcBorders>
            <w:shd w:val="clear" w:color="000000" w:fill="F4B083"/>
            <w:vAlign w:val="center"/>
            <w:hideMark/>
          </w:tcPr>
          <w:p w14:paraId="2B5038B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GMS genome</w:t>
            </w:r>
          </w:p>
        </w:tc>
      </w:tr>
      <w:tr w:rsidR="00C34963" w:rsidRPr="00A76F86" w14:paraId="5B639D70" w14:textId="77777777" w:rsidTr="00C34963">
        <w:trPr>
          <w:gridAfter w:val="1"/>
          <w:wAfter w:w="65" w:type="pct"/>
          <w:jc w:val="center"/>
        </w:trPr>
        <w:tc>
          <w:tcPr>
            <w:tcW w:w="249" w:type="pct"/>
            <w:tcBorders>
              <w:top w:val="nil"/>
              <w:bottom w:val="single" w:sz="8" w:space="0" w:color="auto"/>
            </w:tcBorders>
            <w:shd w:val="clear" w:color="auto" w:fill="auto"/>
            <w:vAlign w:val="center"/>
            <w:hideMark/>
          </w:tcPr>
          <w:p w14:paraId="5943B19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FamID</w:t>
            </w:r>
          </w:p>
        </w:tc>
        <w:tc>
          <w:tcPr>
            <w:tcW w:w="168" w:type="pct"/>
            <w:tcBorders>
              <w:top w:val="nil"/>
              <w:bottom w:val="single" w:sz="8" w:space="0" w:color="auto"/>
            </w:tcBorders>
            <w:shd w:val="clear" w:color="auto" w:fill="auto"/>
            <w:vAlign w:val="center"/>
            <w:hideMark/>
          </w:tcPr>
          <w:p w14:paraId="15005B6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ProID</w:t>
            </w:r>
          </w:p>
        </w:tc>
        <w:tc>
          <w:tcPr>
            <w:tcW w:w="490" w:type="pct"/>
            <w:tcBorders>
              <w:top w:val="nil"/>
              <w:bottom w:val="single" w:sz="8" w:space="0" w:color="auto"/>
            </w:tcBorders>
            <w:shd w:val="clear" w:color="auto" w:fill="auto"/>
            <w:vAlign w:val="center"/>
            <w:hideMark/>
          </w:tcPr>
          <w:p w14:paraId="49C0243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Reported variants</w:t>
            </w:r>
          </w:p>
        </w:tc>
        <w:tc>
          <w:tcPr>
            <w:tcW w:w="558" w:type="pct"/>
            <w:tcBorders>
              <w:top w:val="nil"/>
              <w:bottom w:val="single" w:sz="8" w:space="0" w:color="auto"/>
            </w:tcBorders>
            <w:shd w:val="clear" w:color="auto" w:fill="auto"/>
            <w:vAlign w:val="center"/>
            <w:hideMark/>
          </w:tcPr>
          <w:p w14:paraId="6B3A0D9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Status</w:t>
            </w:r>
          </w:p>
        </w:tc>
        <w:tc>
          <w:tcPr>
            <w:tcW w:w="224" w:type="pct"/>
            <w:tcBorders>
              <w:top w:val="nil"/>
              <w:bottom w:val="single" w:sz="8" w:space="0" w:color="auto"/>
            </w:tcBorders>
            <w:shd w:val="clear" w:color="auto" w:fill="auto"/>
            <w:vAlign w:val="center"/>
            <w:hideMark/>
          </w:tcPr>
          <w:p w14:paraId="2D297D1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No. HiPPo variants</w:t>
            </w:r>
          </w:p>
        </w:tc>
        <w:tc>
          <w:tcPr>
            <w:tcW w:w="224" w:type="pct"/>
            <w:tcBorders>
              <w:top w:val="nil"/>
              <w:bottom w:val="single" w:sz="8" w:space="0" w:color="auto"/>
            </w:tcBorders>
            <w:shd w:val="clear" w:color="auto" w:fill="auto"/>
            <w:vAlign w:val="center"/>
            <w:hideMark/>
          </w:tcPr>
          <w:p w14:paraId="2BB04CE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No. HiPPo variants in GenCC genes</w:t>
            </w:r>
          </w:p>
        </w:tc>
        <w:tc>
          <w:tcPr>
            <w:tcW w:w="492" w:type="pct"/>
            <w:tcBorders>
              <w:top w:val="nil"/>
              <w:bottom w:val="single" w:sz="8" w:space="0" w:color="auto"/>
            </w:tcBorders>
            <w:shd w:val="clear" w:color="auto" w:fill="auto"/>
            <w:vAlign w:val="center"/>
            <w:hideMark/>
          </w:tcPr>
          <w:p w14:paraId="2582C4D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Reported variants</w:t>
            </w:r>
          </w:p>
        </w:tc>
        <w:tc>
          <w:tcPr>
            <w:tcW w:w="247" w:type="pct"/>
            <w:tcBorders>
              <w:top w:val="nil"/>
              <w:bottom w:val="single" w:sz="8" w:space="0" w:color="auto"/>
            </w:tcBorders>
            <w:shd w:val="clear" w:color="auto" w:fill="auto"/>
            <w:vAlign w:val="center"/>
            <w:hideMark/>
          </w:tcPr>
          <w:p w14:paraId="24C6F35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No. of variants passing filtering</w:t>
            </w:r>
            <w:r w:rsidRPr="00D372FF">
              <w:rPr>
                <w:rFonts w:ascii="Palatino" w:eastAsia="Times New Roman" w:hAnsi="Palatino" w:cs="Calibri"/>
                <w:szCs w:val="16"/>
              </w:rPr>
              <w:t>  </w:t>
            </w:r>
          </w:p>
        </w:tc>
        <w:tc>
          <w:tcPr>
            <w:tcW w:w="259" w:type="pct"/>
            <w:tcBorders>
              <w:top w:val="nil"/>
              <w:bottom w:val="single" w:sz="8" w:space="0" w:color="auto"/>
            </w:tcBorders>
            <w:shd w:val="clear" w:color="auto" w:fill="auto"/>
            <w:noWrap/>
            <w:vAlign w:val="center"/>
            <w:hideMark/>
          </w:tcPr>
          <w:p w14:paraId="7F71BB5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De Novo</w:t>
            </w:r>
          </w:p>
        </w:tc>
        <w:tc>
          <w:tcPr>
            <w:tcW w:w="308" w:type="pct"/>
            <w:tcBorders>
              <w:top w:val="nil"/>
              <w:bottom w:val="single" w:sz="8" w:space="0" w:color="auto"/>
            </w:tcBorders>
            <w:shd w:val="clear" w:color="auto" w:fill="auto"/>
            <w:noWrap/>
            <w:vAlign w:val="center"/>
            <w:hideMark/>
          </w:tcPr>
          <w:p w14:paraId="492C48E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Exomiser</w:t>
            </w:r>
          </w:p>
        </w:tc>
        <w:tc>
          <w:tcPr>
            <w:tcW w:w="1139" w:type="pct"/>
            <w:tcBorders>
              <w:top w:val="nil"/>
              <w:bottom w:val="single" w:sz="8" w:space="0" w:color="auto"/>
            </w:tcBorders>
            <w:shd w:val="clear" w:color="auto" w:fill="auto"/>
            <w:vAlign w:val="center"/>
            <w:hideMark/>
          </w:tcPr>
          <w:p w14:paraId="42F49E9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Additional HiPPo Variants</w:t>
            </w:r>
          </w:p>
        </w:tc>
        <w:tc>
          <w:tcPr>
            <w:tcW w:w="578" w:type="pct"/>
            <w:gridSpan w:val="2"/>
            <w:tcBorders>
              <w:top w:val="nil"/>
              <w:bottom w:val="single" w:sz="8" w:space="0" w:color="auto"/>
            </w:tcBorders>
            <w:shd w:val="clear" w:color="auto" w:fill="auto"/>
            <w:vAlign w:val="center"/>
            <w:hideMark/>
          </w:tcPr>
          <w:p w14:paraId="3D7562F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GMS interpretation of HiPPo variants</w:t>
            </w:r>
          </w:p>
        </w:tc>
      </w:tr>
      <w:tr w:rsidR="00C34963" w:rsidRPr="00A76F86" w14:paraId="0AA07113" w14:textId="77777777" w:rsidTr="00C34963">
        <w:trPr>
          <w:gridAfter w:val="1"/>
          <w:wAfter w:w="65" w:type="pct"/>
          <w:jc w:val="center"/>
        </w:trPr>
        <w:tc>
          <w:tcPr>
            <w:tcW w:w="249" w:type="pct"/>
            <w:tcBorders>
              <w:top w:val="nil"/>
              <w:bottom w:val="single" w:sz="8" w:space="0" w:color="auto"/>
            </w:tcBorders>
            <w:shd w:val="clear" w:color="000000" w:fill="E2EFDA"/>
            <w:vAlign w:val="center"/>
            <w:hideMark/>
          </w:tcPr>
          <w:p w14:paraId="179BB27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FAM_1</w:t>
            </w:r>
          </w:p>
        </w:tc>
        <w:tc>
          <w:tcPr>
            <w:tcW w:w="168" w:type="pct"/>
            <w:tcBorders>
              <w:top w:val="nil"/>
              <w:bottom w:val="single" w:sz="8" w:space="0" w:color="auto"/>
            </w:tcBorders>
            <w:shd w:val="clear" w:color="000000" w:fill="E2EFDA"/>
            <w:vAlign w:val="center"/>
            <w:hideMark/>
          </w:tcPr>
          <w:p w14:paraId="4B1B7FB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1</w:t>
            </w:r>
          </w:p>
        </w:tc>
        <w:tc>
          <w:tcPr>
            <w:tcW w:w="490" w:type="pct"/>
            <w:tcBorders>
              <w:top w:val="nil"/>
              <w:bottom w:val="single" w:sz="8" w:space="0" w:color="auto"/>
            </w:tcBorders>
            <w:shd w:val="clear" w:color="000000" w:fill="FFF2CC"/>
            <w:vAlign w:val="center"/>
            <w:hideMark/>
          </w:tcPr>
          <w:p w14:paraId="78FE5CB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VUS:</w:t>
            </w:r>
            <w:r w:rsidRPr="00D372FF">
              <w:rPr>
                <w:rFonts w:ascii="Palatino" w:eastAsia="Times New Roman" w:hAnsi="Palatino" w:cs="Calibri"/>
                <w:i/>
                <w:iCs/>
                <w:szCs w:val="16"/>
              </w:rPr>
              <w:t xml:space="preserve"> HMGB1</w:t>
            </w:r>
            <w:r w:rsidRPr="00D372FF">
              <w:rPr>
                <w:rFonts w:ascii="Palatino" w:eastAsia="Times New Roman" w:hAnsi="Palatino" w:cs="Calibri"/>
                <w:szCs w:val="16"/>
              </w:rPr>
              <w:t xml:space="preserve">: 13:30462666:CT:C; c.342del; p.Gly115GlufsTer37 (frameshift, </w:t>
            </w:r>
            <w:r w:rsidRPr="00D372FF">
              <w:rPr>
                <w:rFonts w:ascii="Palatino" w:eastAsia="Times New Roman" w:hAnsi="Palatino" w:cs="Calibri"/>
                <w:i/>
                <w:iCs/>
                <w:szCs w:val="16"/>
              </w:rPr>
              <w:t>de novo</w:t>
            </w:r>
            <w:r w:rsidRPr="00D372FF">
              <w:rPr>
                <w:rFonts w:ascii="Palatino" w:eastAsia="Times New Roman" w:hAnsi="Palatino" w:cs="Calibri"/>
                <w:szCs w:val="16"/>
              </w:rPr>
              <w:t xml:space="preserve">). </w:t>
            </w:r>
          </w:p>
        </w:tc>
        <w:tc>
          <w:tcPr>
            <w:tcW w:w="558" w:type="pct"/>
            <w:tcBorders>
              <w:top w:val="nil"/>
              <w:bottom w:val="single" w:sz="8" w:space="0" w:color="auto"/>
            </w:tcBorders>
            <w:shd w:val="clear" w:color="000000" w:fill="FFF2CC"/>
            <w:vAlign w:val="center"/>
            <w:hideMark/>
          </w:tcPr>
          <w:p w14:paraId="5137301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Potential new disease gene, submitted to MME. Variant also detected by NHS.</w:t>
            </w:r>
          </w:p>
        </w:tc>
        <w:tc>
          <w:tcPr>
            <w:tcW w:w="224" w:type="pct"/>
            <w:tcBorders>
              <w:top w:val="nil"/>
              <w:bottom w:val="single" w:sz="8" w:space="0" w:color="auto"/>
            </w:tcBorders>
            <w:shd w:val="clear" w:color="000000" w:fill="FFF2CC"/>
            <w:vAlign w:val="center"/>
            <w:hideMark/>
          </w:tcPr>
          <w:p w14:paraId="4D3CE64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8</w:t>
            </w:r>
          </w:p>
        </w:tc>
        <w:tc>
          <w:tcPr>
            <w:tcW w:w="224" w:type="pct"/>
            <w:tcBorders>
              <w:top w:val="nil"/>
              <w:bottom w:val="single" w:sz="8" w:space="0" w:color="auto"/>
            </w:tcBorders>
            <w:shd w:val="clear" w:color="000000" w:fill="FFF2CC"/>
            <w:vAlign w:val="center"/>
            <w:hideMark/>
          </w:tcPr>
          <w:p w14:paraId="345C132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3</w:t>
            </w:r>
          </w:p>
        </w:tc>
        <w:tc>
          <w:tcPr>
            <w:tcW w:w="492" w:type="pct"/>
            <w:tcBorders>
              <w:top w:val="nil"/>
              <w:bottom w:val="single" w:sz="8" w:space="0" w:color="auto"/>
            </w:tcBorders>
            <w:shd w:val="clear" w:color="000000" w:fill="FCE4D6"/>
            <w:vAlign w:val="center"/>
            <w:hideMark/>
          </w:tcPr>
          <w:p w14:paraId="4B57B0A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VUS</w:t>
            </w:r>
            <w:r w:rsidRPr="00D372FF">
              <w:rPr>
                <w:rFonts w:ascii="Palatino" w:eastAsia="Times New Roman" w:hAnsi="Palatino" w:cs="Calibri"/>
                <w:szCs w:val="16"/>
              </w:rPr>
              <w:t xml:space="preserve">: </w:t>
            </w:r>
            <w:r w:rsidRPr="00D372FF">
              <w:rPr>
                <w:rFonts w:ascii="Palatino" w:eastAsia="Times New Roman" w:hAnsi="Palatino" w:cs="Calibri"/>
                <w:i/>
                <w:iCs/>
                <w:szCs w:val="16"/>
              </w:rPr>
              <w:t>HMGB1</w:t>
            </w:r>
            <w:r w:rsidRPr="00D372FF">
              <w:rPr>
                <w:rFonts w:ascii="Palatino" w:eastAsia="Times New Roman" w:hAnsi="Palatino" w:cs="Calibri"/>
                <w:szCs w:val="16"/>
              </w:rPr>
              <w:t>: 13:30462666:CT:C; c.342del; p.Gly115GlufsTer37</w:t>
            </w:r>
          </w:p>
        </w:tc>
        <w:tc>
          <w:tcPr>
            <w:tcW w:w="247" w:type="pct"/>
            <w:tcBorders>
              <w:top w:val="nil"/>
              <w:bottom w:val="single" w:sz="8" w:space="0" w:color="auto"/>
            </w:tcBorders>
            <w:shd w:val="clear" w:color="000000" w:fill="FCE4D6"/>
            <w:vAlign w:val="center"/>
            <w:hideMark/>
          </w:tcPr>
          <w:p w14:paraId="7E220A8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9</w:t>
            </w:r>
          </w:p>
        </w:tc>
        <w:tc>
          <w:tcPr>
            <w:tcW w:w="259" w:type="pct"/>
            <w:tcBorders>
              <w:top w:val="nil"/>
              <w:bottom w:val="single" w:sz="8" w:space="0" w:color="auto"/>
            </w:tcBorders>
            <w:shd w:val="clear" w:color="auto" w:fill="F7CAAC" w:themeFill="accent2" w:themeFillTint="66"/>
            <w:vAlign w:val="center"/>
            <w:hideMark/>
          </w:tcPr>
          <w:p w14:paraId="7AFADEE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REST</w:t>
            </w:r>
            <w:r w:rsidRPr="00D372FF">
              <w:rPr>
                <w:rFonts w:ascii="Palatino" w:eastAsia="Times New Roman" w:hAnsi="Palatino" w:cs="Calibri"/>
                <w:i/>
                <w:iCs/>
                <w:szCs w:val="16"/>
              </w:rPr>
              <w:br/>
              <w:t>HMGB1</w:t>
            </w:r>
          </w:p>
        </w:tc>
        <w:tc>
          <w:tcPr>
            <w:tcW w:w="308" w:type="pct"/>
            <w:tcBorders>
              <w:top w:val="nil"/>
              <w:bottom w:val="single" w:sz="8" w:space="0" w:color="auto"/>
            </w:tcBorders>
            <w:shd w:val="clear" w:color="000000" w:fill="F8CBAD"/>
            <w:noWrap/>
            <w:vAlign w:val="center"/>
            <w:hideMark/>
          </w:tcPr>
          <w:p w14:paraId="0545C8C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1.HMGB1</w:t>
            </w:r>
          </w:p>
          <w:p w14:paraId="6134BFE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2.KDM4</w:t>
            </w:r>
          </w:p>
          <w:p w14:paraId="3FB1F40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3.ROBO1</w:t>
            </w:r>
          </w:p>
        </w:tc>
        <w:tc>
          <w:tcPr>
            <w:tcW w:w="1139" w:type="pct"/>
            <w:tcBorders>
              <w:top w:val="nil"/>
              <w:bottom w:val="single" w:sz="8" w:space="0" w:color="auto"/>
            </w:tcBorders>
            <w:shd w:val="clear" w:color="000000" w:fill="F8CBAD"/>
            <w:vAlign w:val="center"/>
            <w:hideMark/>
          </w:tcPr>
          <w:p w14:paraId="28EC845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None</w:t>
            </w:r>
          </w:p>
        </w:tc>
        <w:tc>
          <w:tcPr>
            <w:tcW w:w="578" w:type="pct"/>
            <w:gridSpan w:val="2"/>
            <w:tcBorders>
              <w:top w:val="nil"/>
              <w:bottom w:val="single" w:sz="8" w:space="0" w:color="auto"/>
            </w:tcBorders>
            <w:shd w:val="clear" w:color="000000" w:fill="F8CBAD"/>
            <w:noWrap/>
            <w:vAlign w:val="center"/>
            <w:hideMark/>
          </w:tcPr>
          <w:p w14:paraId="149DF3D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N/A</w:t>
            </w:r>
          </w:p>
        </w:tc>
      </w:tr>
      <w:tr w:rsidR="00C34963" w:rsidRPr="00A76F86" w14:paraId="2FABA5D9" w14:textId="77777777" w:rsidTr="00C34963">
        <w:trPr>
          <w:gridAfter w:val="1"/>
          <w:wAfter w:w="65" w:type="pct"/>
          <w:jc w:val="center"/>
        </w:trPr>
        <w:tc>
          <w:tcPr>
            <w:tcW w:w="249" w:type="pct"/>
            <w:vMerge w:val="restart"/>
            <w:tcBorders>
              <w:top w:val="nil"/>
              <w:bottom w:val="single" w:sz="8" w:space="0" w:color="000000"/>
            </w:tcBorders>
            <w:shd w:val="clear" w:color="000000" w:fill="E2EFDA"/>
            <w:vAlign w:val="center"/>
            <w:hideMark/>
          </w:tcPr>
          <w:p w14:paraId="481EA3F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FAM_2</w:t>
            </w:r>
          </w:p>
        </w:tc>
        <w:tc>
          <w:tcPr>
            <w:tcW w:w="168" w:type="pct"/>
            <w:vMerge w:val="restart"/>
            <w:tcBorders>
              <w:top w:val="nil"/>
              <w:bottom w:val="single" w:sz="8" w:space="0" w:color="000000"/>
            </w:tcBorders>
            <w:shd w:val="clear" w:color="000000" w:fill="E2EFDA"/>
            <w:vAlign w:val="center"/>
            <w:hideMark/>
          </w:tcPr>
          <w:p w14:paraId="5A843DA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4</w:t>
            </w:r>
          </w:p>
        </w:tc>
        <w:tc>
          <w:tcPr>
            <w:tcW w:w="490" w:type="pct"/>
            <w:tcBorders>
              <w:top w:val="nil"/>
              <w:bottom w:val="nil"/>
            </w:tcBorders>
            <w:shd w:val="clear" w:color="000000" w:fill="FFF2CC"/>
            <w:vAlign w:val="center"/>
            <w:hideMark/>
          </w:tcPr>
          <w:p w14:paraId="1E3EE99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 xml:space="preserve">VUS: </w:t>
            </w:r>
            <w:r w:rsidRPr="00D372FF">
              <w:rPr>
                <w:rFonts w:ascii="Palatino" w:eastAsia="Times New Roman" w:hAnsi="Palatino" w:cs="Calibri"/>
                <w:i/>
                <w:iCs/>
                <w:szCs w:val="16"/>
              </w:rPr>
              <w:t>INTS1</w:t>
            </w:r>
            <w:r w:rsidRPr="00D372FF">
              <w:rPr>
                <w:rFonts w:ascii="Palatino" w:eastAsia="Times New Roman" w:hAnsi="Palatino" w:cs="Calibri"/>
                <w:szCs w:val="16"/>
              </w:rPr>
              <w:t xml:space="preserve">: 7:1480876:G:C; c.3908C&gt;G;  p.Thr1303Ser (missense). </w:t>
            </w:r>
          </w:p>
        </w:tc>
        <w:tc>
          <w:tcPr>
            <w:tcW w:w="558" w:type="pct"/>
            <w:vMerge w:val="restart"/>
            <w:tcBorders>
              <w:top w:val="nil"/>
              <w:bottom w:val="single" w:sz="8" w:space="0" w:color="000000"/>
            </w:tcBorders>
            <w:shd w:val="clear" w:color="000000" w:fill="FFF2CC"/>
            <w:vAlign w:val="center"/>
            <w:hideMark/>
          </w:tcPr>
          <w:p w14:paraId="6E952F1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Phenotype partially fitting with disease gene – undergoing clinical review.</w:t>
            </w:r>
          </w:p>
        </w:tc>
        <w:tc>
          <w:tcPr>
            <w:tcW w:w="224" w:type="pct"/>
            <w:vMerge w:val="restart"/>
            <w:tcBorders>
              <w:top w:val="nil"/>
              <w:bottom w:val="single" w:sz="8" w:space="0" w:color="000000"/>
            </w:tcBorders>
            <w:shd w:val="clear" w:color="000000" w:fill="FFF2CC"/>
            <w:vAlign w:val="center"/>
            <w:hideMark/>
          </w:tcPr>
          <w:p w14:paraId="6C3C2CE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4</w:t>
            </w:r>
          </w:p>
        </w:tc>
        <w:tc>
          <w:tcPr>
            <w:tcW w:w="224" w:type="pct"/>
            <w:vMerge w:val="restart"/>
            <w:tcBorders>
              <w:top w:val="nil"/>
              <w:bottom w:val="single" w:sz="8" w:space="0" w:color="000000"/>
            </w:tcBorders>
            <w:shd w:val="clear" w:color="000000" w:fill="FFF2CC"/>
            <w:vAlign w:val="center"/>
            <w:hideMark/>
          </w:tcPr>
          <w:p w14:paraId="5B94099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4</w:t>
            </w:r>
          </w:p>
        </w:tc>
        <w:tc>
          <w:tcPr>
            <w:tcW w:w="492" w:type="pct"/>
            <w:vMerge w:val="restart"/>
            <w:tcBorders>
              <w:top w:val="nil"/>
              <w:bottom w:val="single" w:sz="8" w:space="0" w:color="000000"/>
            </w:tcBorders>
            <w:shd w:val="clear" w:color="000000" w:fill="FCE4D6"/>
            <w:vAlign w:val="center"/>
            <w:hideMark/>
          </w:tcPr>
          <w:p w14:paraId="5941A89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No variants reported</w:t>
            </w:r>
          </w:p>
        </w:tc>
        <w:tc>
          <w:tcPr>
            <w:tcW w:w="247" w:type="pct"/>
            <w:vMerge w:val="restart"/>
            <w:tcBorders>
              <w:top w:val="nil"/>
              <w:bottom w:val="single" w:sz="8" w:space="0" w:color="000000"/>
            </w:tcBorders>
            <w:shd w:val="clear" w:color="000000" w:fill="FCE4D6"/>
            <w:vAlign w:val="center"/>
            <w:hideMark/>
          </w:tcPr>
          <w:p w14:paraId="46ECCF6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5</w:t>
            </w:r>
          </w:p>
        </w:tc>
        <w:tc>
          <w:tcPr>
            <w:tcW w:w="259" w:type="pct"/>
            <w:vMerge w:val="restart"/>
            <w:tcBorders>
              <w:top w:val="nil"/>
              <w:bottom w:val="single" w:sz="8" w:space="0" w:color="000000"/>
            </w:tcBorders>
            <w:shd w:val="clear" w:color="auto" w:fill="F7CAAC" w:themeFill="accent2" w:themeFillTint="66"/>
            <w:noWrap/>
            <w:vAlign w:val="center"/>
            <w:hideMark/>
          </w:tcPr>
          <w:p w14:paraId="05DD0DD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None</w:t>
            </w:r>
          </w:p>
        </w:tc>
        <w:tc>
          <w:tcPr>
            <w:tcW w:w="308" w:type="pct"/>
            <w:vMerge w:val="restart"/>
            <w:tcBorders>
              <w:top w:val="nil"/>
              <w:bottom w:val="single" w:sz="8" w:space="0" w:color="000000"/>
            </w:tcBorders>
            <w:shd w:val="clear" w:color="000000" w:fill="F8CBAD"/>
            <w:noWrap/>
            <w:vAlign w:val="center"/>
            <w:hideMark/>
          </w:tcPr>
          <w:p w14:paraId="0C67C04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1.KDM5A</w:t>
            </w:r>
          </w:p>
          <w:p w14:paraId="034823D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2.RPS3A</w:t>
            </w:r>
          </w:p>
          <w:p w14:paraId="01946E0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3.COL16A1</w:t>
            </w:r>
          </w:p>
        </w:tc>
        <w:tc>
          <w:tcPr>
            <w:tcW w:w="1139" w:type="pct"/>
            <w:vMerge w:val="restart"/>
            <w:tcBorders>
              <w:top w:val="nil"/>
              <w:bottom w:val="single" w:sz="8" w:space="0" w:color="000000"/>
            </w:tcBorders>
            <w:shd w:val="clear" w:color="000000" w:fill="F8CBAD"/>
            <w:vAlign w:val="center"/>
            <w:hideMark/>
          </w:tcPr>
          <w:p w14:paraId="364D40A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i/>
                <w:iCs/>
                <w:szCs w:val="16"/>
              </w:rPr>
              <w:t>INTS1</w:t>
            </w:r>
            <w:r w:rsidRPr="00D372FF">
              <w:rPr>
                <w:rFonts w:ascii="Palatino" w:eastAsia="Times New Roman" w:hAnsi="Palatino" w:cs="Calibri"/>
                <w:szCs w:val="16"/>
              </w:rPr>
              <w:t xml:space="preserve"> - VUS x 2</w:t>
            </w:r>
          </w:p>
        </w:tc>
        <w:tc>
          <w:tcPr>
            <w:tcW w:w="578" w:type="pct"/>
            <w:gridSpan w:val="2"/>
            <w:vMerge w:val="restart"/>
            <w:tcBorders>
              <w:top w:val="nil"/>
              <w:bottom w:val="single" w:sz="8" w:space="0" w:color="000000"/>
            </w:tcBorders>
            <w:shd w:val="clear" w:color="000000" w:fill="F8CBAD"/>
            <w:vAlign w:val="center"/>
            <w:hideMark/>
          </w:tcPr>
          <w:p w14:paraId="4CB7510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i/>
                <w:iCs/>
                <w:szCs w:val="16"/>
              </w:rPr>
              <w:t>INTS1</w:t>
            </w:r>
            <w:r w:rsidRPr="00D372FF">
              <w:rPr>
                <w:rFonts w:ascii="Palatino" w:eastAsia="Times New Roman" w:hAnsi="Palatino" w:cs="Calibri"/>
                <w:szCs w:val="16"/>
              </w:rPr>
              <w:t xml:space="preserve"> (Tier 2) discounted as weak evidence</w:t>
            </w:r>
          </w:p>
        </w:tc>
      </w:tr>
      <w:tr w:rsidR="00C34963" w:rsidRPr="00A76F86" w14:paraId="3A7E90DD" w14:textId="77777777" w:rsidTr="00C34963">
        <w:trPr>
          <w:gridAfter w:val="1"/>
          <w:wAfter w:w="65" w:type="pct"/>
          <w:jc w:val="center"/>
        </w:trPr>
        <w:tc>
          <w:tcPr>
            <w:tcW w:w="249" w:type="pct"/>
            <w:vMerge/>
            <w:tcBorders>
              <w:top w:val="nil"/>
              <w:bottom w:val="single" w:sz="8" w:space="0" w:color="000000"/>
            </w:tcBorders>
            <w:vAlign w:val="center"/>
            <w:hideMark/>
          </w:tcPr>
          <w:p w14:paraId="670653C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168" w:type="pct"/>
            <w:vMerge/>
            <w:tcBorders>
              <w:top w:val="nil"/>
              <w:bottom w:val="single" w:sz="8" w:space="0" w:color="000000"/>
            </w:tcBorders>
            <w:vAlign w:val="center"/>
            <w:hideMark/>
          </w:tcPr>
          <w:p w14:paraId="78C9640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490" w:type="pct"/>
            <w:tcBorders>
              <w:top w:val="nil"/>
              <w:bottom w:val="nil"/>
            </w:tcBorders>
            <w:shd w:val="clear" w:color="000000" w:fill="FFF2CC"/>
            <w:vAlign w:val="center"/>
            <w:hideMark/>
          </w:tcPr>
          <w:p w14:paraId="610FD6E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 xml:space="preserve">VUS: </w:t>
            </w:r>
            <w:r w:rsidRPr="00D372FF">
              <w:rPr>
                <w:rFonts w:ascii="Palatino" w:eastAsia="Times New Roman" w:hAnsi="Palatino" w:cs="Calibri"/>
                <w:i/>
                <w:iCs/>
                <w:szCs w:val="16"/>
              </w:rPr>
              <w:t>INTS1</w:t>
            </w:r>
            <w:r w:rsidRPr="00D372FF">
              <w:rPr>
                <w:rFonts w:ascii="Palatino" w:eastAsia="Times New Roman" w:hAnsi="Palatino" w:cs="Calibri"/>
                <w:szCs w:val="16"/>
              </w:rPr>
              <w:t xml:space="preserve">: 7:1497193:C:G; c.1547G&gt;C; p.Cys516Ser (missense). </w:t>
            </w:r>
          </w:p>
        </w:tc>
        <w:tc>
          <w:tcPr>
            <w:tcW w:w="558" w:type="pct"/>
            <w:vMerge/>
            <w:tcBorders>
              <w:top w:val="nil"/>
              <w:bottom w:val="single" w:sz="8" w:space="0" w:color="000000"/>
            </w:tcBorders>
            <w:vAlign w:val="center"/>
            <w:hideMark/>
          </w:tcPr>
          <w:p w14:paraId="37B4651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24" w:type="pct"/>
            <w:vMerge/>
            <w:tcBorders>
              <w:top w:val="nil"/>
              <w:bottom w:val="single" w:sz="8" w:space="0" w:color="000000"/>
            </w:tcBorders>
            <w:vAlign w:val="center"/>
            <w:hideMark/>
          </w:tcPr>
          <w:p w14:paraId="1E97D36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24" w:type="pct"/>
            <w:vMerge/>
            <w:tcBorders>
              <w:top w:val="nil"/>
              <w:bottom w:val="single" w:sz="8" w:space="0" w:color="000000"/>
            </w:tcBorders>
            <w:vAlign w:val="center"/>
            <w:hideMark/>
          </w:tcPr>
          <w:p w14:paraId="4196671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492" w:type="pct"/>
            <w:vMerge/>
            <w:tcBorders>
              <w:top w:val="nil"/>
              <w:bottom w:val="single" w:sz="8" w:space="0" w:color="000000"/>
            </w:tcBorders>
            <w:vAlign w:val="center"/>
            <w:hideMark/>
          </w:tcPr>
          <w:p w14:paraId="41FDD88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47" w:type="pct"/>
            <w:vMerge/>
            <w:tcBorders>
              <w:top w:val="nil"/>
              <w:bottom w:val="single" w:sz="8" w:space="0" w:color="000000"/>
            </w:tcBorders>
            <w:vAlign w:val="center"/>
            <w:hideMark/>
          </w:tcPr>
          <w:p w14:paraId="4268F14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59" w:type="pct"/>
            <w:vMerge/>
            <w:tcBorders>
              <w:top w:val="nil"/>
              <w:bottom w:val="single" w:sz="8" w:space="0" w:color="000000"/>
            </w:tcBorders>
            <w:shd w:val="clear" w:color="auto" w:fill="F7CAAC" w:themeFill="accent2" w:themeFillTint="66"/>
            <w:vAlign w:val="center"/>
            <w:hideMark/>
          </w:tcPr>
          <w:p w14:paraId="4EFD5E7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p>
        </w:tc>
        <w:tc>
          <w:tcPr>
            <w:tcW w:w="308" w:type="pct"/>
            <w:vMerge/>
            <w:tcBorders>
              <w:top w:val="nil"/>
              <w:bottom w:val="single" w:sz="8" w:space="0" w:color="000000"/>
            </w:tcBorders>
            <w:vAlign w:val="center"/>
            <w:hideMark/>
          </w:tcPr>
          <w:p w14:paraId="691E49C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p>
        </w:tc>
        <w:tc>
          <w:tcPr>
            <w:tcW w:w="1139" w:type="pct"/>
            <w:vMerge/>
            <w:tcBorders>
              <w:top w:val="nil"/>
              <w:bottom w:val="single" w:sz="8" w:space="0" w:color="000000"/>
            </w:tcBorders>
            <w:vAlign w:val="center"/>
            <w:hideMark/>
          </w:tcPr>
          <w:p w14:paraId="4A025BB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578" w:type="pct"/>
            <w:gridSpan w:val="2"/>
            <w:vMerge/>
            <w:tcBorders>
              <w:top w:val="nil"/>
              <w:bottom w:val="single" w:sz="8" w:space="0" w:color="000000"/>
            </w:tcBorders>
            <w:vAlign w:val="center"/>
            <w:hideMark/>
          </w:tcPr>
          <w:p w14:paraId="578593A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r>
      <w:tr w:rsidR="00C34963" w:rsidRPr="00A76F86" w14:paraId="6284D6E2" w14:textId="77777777" w:rsidTr="00C34963">
        <w:trPr>
          <w:gridAfter w:val="1"/>
          <w:wAfter w:w="65" w:type="pct"/>
          <w:jc w:val="center"/>
        </w:trPr>
        <w:tc>
          <w:tcPr>
            <w:tcW w:w="249" w:type="pct"/>
            <w:vMerge/>
            <w:tcBorders>
              <w:top w:val="nil"/>
              <w:bottom w:val="single" w:sz="8" w:space="0" w:color="000000"/>
            </w:tcBorders>
            <w:vAlign w:val="center"/>
            <w:hideMark/>
          </w:tcPr>
          <w:p w14:paraId="2488394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168" w:type="pct"/>
            <w:vMerge/>
            <w:tcBorders>
              <w:top w:val="nil"/>
              <w:bottom w:val="single" w:sz="8" w:space="0" w:color="000000"/>
            </w:tcBorders>
            <w:vAlign w:val="center"/>
            <w:hideMark/>
          </w:tcPr>
          <w:p w14:paraId="190A9EE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490" w:type="pct"/>
            <w:tcBorders>
              <w:top w:val="nil"/>
              <w:bottom w:val="single" w:sz="8" w:space="0" w:color="auto"/>
            </w:tcBorders>
            <w:shd w:val="clear" w:color="000000" w:fill="FFF2CC"/>
            <w:vAlign w:val="center"/>
            <w:hideMark/>
          </w:tcPr>
          <w:p w14:paraId="477EE7A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 xml:space="preserve">(Variants </w:t>
            </w:r>
            <w:r w:rsidRPr="00D372FF">
              <w:rPr>
                <w:rFonts w:ascii="Palatino" w:eastAsia="Times New Roman" w:hAnsi="Palatino" w:cs="Calibri"/>
                <w:i/>
                <w:iCs/>
                <w:szCs w:val="16"/>
              </w:rPr>
              <w:t>in trans)</w:t>
            </w:r>
          </w:p>
        </w:tc>
        <w:tc>
          <w:tcPr>
            <w:tcW w:w="558" w:type="pct"/>
            <w:vMerge/>
            <w:tcBorders>
              <w:top w:val="nil"/>
              <w:bottom w:val="single" w:sz="8" w:space="0" w:color="000000"/>
            </w:tcBorders>
            <w:vAlign w:val="center"/>
            <w:hideMark/>
          </w:tcPr>
          <w:p w14:paraId="6A899C1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24" w:type="pct"/>
            <w:vMerge/>
            <w:tcBorders>
              <w:top w:val="nil"/>
              <w:bottom w:val="single" w:sz="8" w:space="0" w:color="000000"/>
            </w:tcBorders>
            <w:vAlign w:val="center"/>
            <w:hideMark/>
          </w:tcPr>
          <w:p w14:paraId="3C357DC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24" w:type="pct"/>
            <w:vMerge/>
            <w:tcBorders>
              <w:top w:val="nil"/>
              <w:bottom w:val="single" w:sz="8" w:space="0" w:color="000000"/>
            </w:tcBorders>
            <w:vAlign w:val="center"/>
            <w:hideMark/>
          </w:tcPr>
          <w:p w14:paraId="6B267B2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492" w:type="pct"/>
            <w:vMerge/>
            <w:tcBorders>
              <w:top w:val="nil"/>
              <w:bottom w:val="single" w:sz="8" w:space="0" w:color="000000"/>
            </w:tcBorders>
            <w:vAlign w:val="center"/>
            <w:hideMark/>
          </w:tcPr>
          <w:p w14:paraId="3E4F74C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47" w:type="pct"/>
            <w:vMerge/>
            <w:tcBorders>
              <w:top w:val="nil"/>
              <w:bottom w:val="single" w:sz="8" w:space="0" w:color="000000"/>
            </w:tcBorders>
            <w:vAlign w:val="center"/>
            <w:hideMark/>
          </w:tcPr>
          <w:p w14:paraId="0940395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59" w:type="pct"/>
            <w:vMerge/>
            <w:tcBorders>
              <w:top w:val="nil"/>
              <w:bottom w:val="single" w:sz="8" w:space="0" w:color="000000"/>
            </w:tcBorders>
            <w:shd w:val="clear" w:color="auto" w:fill="F7CAAC" w:themeFill="accent2" w:themeFillTint="66"/>
            <w:vAlign w:val="center"/>
            <w:hideMark/>
          </w:tcPr>
          <w:p w14:paraId="7FE4447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p>
        </w:tc>
        <w:tc>
          <w:tcPr>
            <w:tcW w:w="308" w:type="pct"/>
            <w:vMerge/>
            <w:tcBorders>
              <w:top w:val="nil"/>
              <w:bottom w:val="single" w:sz="8" w:space="0" w:color="000000"/>
            </w:tcBorders>
            <w:vAlign w:val="center"/>
            <w:hideMark/>
          </w:tcPr>
          <w:p w14:paraId="7322D00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p>
        </w:tc>
        <w:tc>
          <w:tcPr>
            <w:tcW w:w="1139" w:type="pct"/>
            <w:vMerge/>
            <w:tcBorders>
              <w:top w:val="nil"/>
              <w:bottom w:val="single" w:sz="8" w:space="0" w:color="000000"/>
            </w:tcBorders>
            <w:vAlign w:val="center"/>
            <w:hideMark/>
          </w:tcPr>
          <w:p w14:paraId="1994B90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578" w:type="pct"/>
            <w:gridSpan w:val="2"/>
            <w:vMerge/>
            <w:tcBorders>
              <w:top w:val="nil"/>
              <w:bottom w:val="single" w:sz="8" w:space="0" w:color="000000"/>
            </w:tcBorders>
            <w:vAlign w:val="center"/>
            <w:hideMark/>
          </w:tcPr>
          <w:p w14:paraId="798AF27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r>
      <w:tr w:rsidR="00C34963" w:rsidRPr="00A76F86" w14:paraId="49B06277" w14:textId="77777777" w:rsidTr="00C34963">
        <w:trPr>
          <w:gridAfter w:val="1"/>
          <w:wAfter w:w="65" w:type="pct"/>
          <w:jc w:val="center"/>
        </w:trPr>
        <w:tc>
          <w:tcPr>
            <w:tcW w:w="249" w:type="pct"/>
            <w:tcBorders>
              <w:top w:val="nil"/>
              <w:bottom w:val="single" w:sz="8" w:space="0" w:color="auto"/>
            </w:tcBorders>
            <w:shd w:val="clear" w:color="000000" w:fill="E2EFDA"/>
            <w:vAlign w:val="center"/>
            <w:hideMark/>
          </w:tcPr>
          <w:p w14:paraId="1D348E8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FAM_3</w:t>
            </w:r>
          </w:p>
        </w:tc>
        <w:tc>
          <w:tcPr>
            <w:tcW w:w="168" w:type="pct"/>
            <w:tcBorders>
              <w:top w:val="nil"/>
              <w:bottom w:val="single" w:sz="8" w:space="0" w:color="auto"/>
            </w:tcBorders>
            <w:shd w:val="clear" w:color="000000" w:fill="E2EFDA"/>
            <w:vAlign w:val="center"/>
            <w:hideMark/>
          </w:tcPr>
          <w:p w14:paraId="044C45C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7</w:t>
            </w:r>
          </w:p>
        </w:tc>
        <w:tc>
          <w:tcPr>
            <w:tcW w:w="490" w:type="pct"/>
            <w:tcBorders>
              <w:top w:val="nil"/>
              <w:bottom w:val="single" w:sz="8" w:space="0" w:color="auto"/>
            </w:tcBorders>
            <w:shd w:val="clear" w:color="000000" w:fill="FFF2CC"/>
            <w:vAlign w:val="center"/>
            <w:hideMark/>
          </w:tcPr>
          <w:p w14:paraId="7D1EC03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Pathogenic:</w:t>
            </w:r>
            <w:r w:rsidRPr="00D372FF">
              <w:rPr>
                <w:rFonts w:ascii="Palatino" w:eastAsia="Times New Roman" w:hAnsi="Palatino" w:cs="Calibri"/>
                <w:szCs w:val="16"/>
              </w:rPr>
              <w:t xml:space="preserve"> </w:t>
            </w:r>
            <w:r w:rsidRPr="00D372FF">
              <w:rPr>
                <w:rFonts w:ascii="Palatino" w:eastAsia="Times New Roman" w:hAnsi="Palatino" w:cs="Calibri"/>
                <w:i/>
                <w:iCs/>
                <w:szCs w:val="16"/>
              </w:rPr>
              <w:t>PPP1CB</w:t>
            </w:r>
            <w:r w:rsidRPr="00D372FF">
              <w:rPr>
                <w:rFonts w:ascii="Palatino" w:eastAsia="Times New Roman" w:hAnsi="Palatino" w:cs="Calibri"/>
                <w:szCs w:val="16"/>
              </w:rPr>
              <w:t>: 2:28776944:C:G; c.146C&gt;G; p.Pro49Arg (missense, de novo).</w:t>
            </w:r>
          </w:p>
        </w:tc>
        <w:tc>
          <w:tcPr>
            <w:tcW w:w="558" w:type="pct"/>
            <w:tcBorders>
              <w:top w:val="nil"/>
              <w:bottom w:val="single" w:sz="8" w:space="0" w:color="auto"/>
            </w:tcBorders>
            <w:shd w:val="clear" w:color="000000" w:fill="FFF2CC"/>
            <w:vAlign w:val="center"/>
            <w:hideMark/>
          </w:tcPr>
          <w:p w14:paraId="1FC193D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Confirmed diagnosis (also detected by NHS).</w:t>
            </w:r>
          </w:p>
        </w:tc>
        <w:tc>
          <w:tcPr>
            <w:tcW w:w="224" w:type="pct"/>
            <w:tcBorders>
              <w:top w:val="nil"/>
              <w:bottom w:val="single" w:sz="8" w:space="0" w:color="auto"/>
            </w:tcBorders>
            <w:shd w:val="clear" w:color="000000" w:fill="FFF2CC"/>
            <w:vAlign w:val="center"/>
            <w:hideMark/>
          </w:tcPr>
          <w:p w14:paraId="6050807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4</w:t>
            </w:r>
          </w:p>
        </w:tc>
        <w:tc>
          <w:tcPr>
            <w:tcW w:w="224" w:type="pct"/>
            <w:tcBorders>
              <w:top w:val="nil"/>
              <w:bottom w:val="single" w:sz="8" w:space="0" w:color="auto"/>
            </w:tcBorders>
            <w:shd w:val="clear" w:color="000000" w:fill="FFF2CC"/>
            <w:vAlign w:val="center"/>
            <w:hideMark/>
          </w:tcPr>
          <w:p w14:paraId="0B5DDA6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2</w:t>
            </w:r>
          </w:p>
        </w:tc>
        <w:tc>
          <w:tcPr>
            <w:tcW w:w="492" w:type="pct"/>
            <w:tcBorders>
              <w:top w:val="nil"/>
              <w:bottom w:val="single" w:sz="8" w:space="0" w:color="auto"/>
            </w:tcBorders>
            <w:shd w:val="clear" w:color="000000" w:fill="FCE4D6"/>
            <w:vAlign w:val="center"/>
            <w:hideMark/>
          </w:tcPr>
          <w:p w14:paraId="2A918F7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Pathogenic</w:t>
            </w:r>
            <w:r w:rsidRPr="00D372FF">
              <w:rPr>
                <w:rFonts w:ascii="Palatino" w:eastAsia="Times New Roman" w:hAnsi="Palatino" w:cs="Calibri"/>
                <w:szCs w:val="16"/>
              </w:rPr>
              <w:t xml:space="preserve">: </w:t>
            </w:r>
            <w:r w:rsidRPr="00D372FF">
              <w:rPr>
                <w:rFonts w:ascii="Palatino" w:eastAsia="Times New Roman" w:hAnsi="Palatino" w:cs="Calibri"/>
                <w:i/>
                <w:iCs/>
                <w:szCs w:val="16"/>
              </w:rPr>
              <w:t>PPP1CB</w:t>
            </w:r>
            <w:r w:rsidRPr="00D372FF">
              <w:rPr>
                <w:rFonts w:ascii="Palatino" w:eastAsia="Times New Roman" w:hAnsi="Palatino" w:cs="Calibri"/>
                <w:szCs w:val="16"/>
              </w:rPr>
              <w:t>: 2:28776944:C:G; c.146C&gt;G; p.Pro49Arg</w:t>
            </w:r>
          </w:p>
        </w:tc>
        <w:tc>
          <w:tcPr>
            <w:tcW w:w="247" w:type="pct"/>
            <w:tcBorders>
              <w:top w:val="nil"/>
              <w:bottom w:val="single" w:sz="8" w:space="0" w:color="auto"/>
            </w:tcBorders>
            <w:shd w:val="clear" w:color="000000" w:fill="FCE4D6"/>
            <w:vAlign w:val="center"/>
            <w:hideMark/>
          </w:tcPr>
          <w:p w14:paraId="2D38C7F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7</w:t>
            </w:r>
          </w:p>
        </w:tc>
        <w:tc>
          <w:tcPr>
            <w:tcW w:w="259" w:type="pct"/>
            <w:tcBorders>
              <w:top w:val="nil"/>
              <w:bottom w:val="single" w:sz="8" w:space="0" w:color="auto"/>
            </w:tcBorders>
            <w:shd w:val="clear" w:color="auto" w:fill="F7CAAC" w:themeFill="accent2" w:themeFillTint="66"/>
            <w:vAlign w:val="center"/>
            <w:hideMark/>
          </w:tcPr>
          <w:p w14:paraId="765BB6A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MYO7B</w:t>
            </w:r>
            <w:r w:rsidRPr="00D372FF">
              <w:rPr>
                <w:rFonts w:ascii="Palatino" w:eastAsia="Times New Roman" w:hAnsi="Palatino" w:cs="Calibri"/>
                <w:i/>
                <w:iCs/>
                <w:szCs w:val="16"/>
              </w:rPr>
              <w:br/>
              <w:t>PPP1CB</w:t>
            </w:r>
            <w:r w:rsidRPr="00D372FF">
              <w:rPr>
                <w:rFonts w:ascii="Palatino" w:eastAsia="Times New Roman" w:hAnsi="Palatino" w:cs="Calibri"/>
                <w:i/>
                <w:iCs/>
                <w:szCs w:val="16"/>
              </w:rPr>
              <w:br/>
              <w:t>EXOC7</w:t>
            </w:r>
          </w:p>
        </w:tc>
        <w:tc>
          <w:tcPr>
            <w:tcW w:w="308" w:type="pct"/>
            <w:tcBorders>
              <w:top w:val="nil"/>
              <w:bottom w:val="single" w:sz="8" w:space="0" w:color="auto"/>
            </w:tcBorders>
            <w:shd w:val="clear" w:color="000000" w:fill="F8CBAD"/>
            <w:noWrap/>
            <w:vAlign w:val="center"/>
            <w:hideMark/>
          </w:tcPr>
          <w:p w14:paraId="377BFF4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1.PPP1CB</w:t>
            </w:r>
          </w:p>
          <w:p w14:paraId="2AFD77D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2.SELENBP1</w:t>
            </w:r>
          </w:p>
          <w:p w14:paraId="58EBA1F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3.EFCAB11</w:t>
            </w:r>
          </w:p>
        </w:tc>
        <w:tc>
          <w:tcPr>
            <w:tcW w:w="1139" w:type="pct"/>
            <w:tcBorders>
              <w:top w:val="nil"/>
              <w:bottom w:val="single" w:sz="8" w:space="0" w:color="auto"/>
            </w:tcBorders>
            <w:shd w:val="clear" w:color="000000" w:fill="F8CBAD"/>
            <w:vAlign w:val="center"/>
            <w:hideMark/>
          </w:tcPr>
          <w:p w14:paraId="62B23EC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None</w:t>
            </w:r>
          </w:p>
        </w:tc>
        <w:tc>
          <w:tcPr>
            <w:tcW w:w="578" w:type="pct"/>
            <w:gridSpan w:val="2"/>
            <w:tcBorders>
              <w:top w:val="nil"/>
              <w:bottom w:val="single" w:sz="8" w:space="0" w:color="auto"/>
            </w:tcBorders>
            <w:shd w:val="clear" w:color="000000" w:fill="F8CBAD"/>
            <w:noWrap/>
            <w:vAlign w:val="center"/>
            <w:hideMark/>
          </w:tcPr>
          <w:p w14:paraId="6B201AC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N/A</w:t>
            </w:r>
          </w:p>
        </w:tc>
      </w:tr>
      <w:tr w:rsidR="00C34963" w:rsidRPr="00A76F86" w14:paraId="05B58F67" w14:textId="77777777" w:rsidTr="00C34963">
        <w:trPr>
          <w:gridAfter w:val="1"/>
          <w:wAfter w:w="65" w:type="pct"/>
          <w:jc w:val="center"/>
        </w:trPr>
        <w:tc>
          <w:tcPr>
            <w:tcW w:w="249" w:type="pct"/>
            <w:tcBorders>
              <w:top w:val="nil"/>
              <w:bottom w:val="nil"/>
            </w:tcBorders>
            <w:shd w:val="clear" w:color="000000" w:fill="E2EFDA"/>
            <w:vAlign w:val="center"/>
            <w:hideMark/>
          </w:tcPr>
          <w:p w14:paraId="0EBE5A2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FAM_4</w:t>
            </w:r>
          </w:p>
        </w:tc>
        <w:tc>
          <w:tcPr>
            <w:tcW w:w="168" w:type="pct"/>
            <w:tcBorders>
              <w:top w:val="nil"/>
              <w:bottom w:val="nil"/>
            </w:tcBorders>
            <w:shd w:val="clear" w:color="000000" w:fill="E2EFDA"/>
            <w:vAlign w:val="center"/>
            <w:hideMark/>
          </w:tcPr>
          <w:p w14:paraId="37956BB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10</w:t>
            </w:r>
          </w:p>
        </w:tc>
        <w:tc>
          <w:tcPr>
            <w:tcW w:w="490" w:type="pct"/>
            <w:tcBorders>
              <w:top w:val="nil"/>
              <w:bottom w:val="nil"/>
            </w:tcBorders>
            <w:shd w:val="clear" w:color="000000" w:fill="FFF2CC"/>
            <w:vAlign w:val="center"/>
            <w:hideMark/>
          </w:tcPr>
          <w:p w14:paraId="7A52851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 xml:space="preserve">VUS: </w:t>
            </w:r>
            <w:r w:rsidRPr="00D372FF">
              <w:rPr>
                <w:rFonts w:ascii="Palatino" w:eastAsia="Times New Roman" w:hAnsi="Palatino" w:cs="Calibri"/>
                <w:i/>
                <w:iCs/>
                <w:szCs w:val="16"/>
              </w:rPr>
              <w:t>ADGRB2</w:t>
            </w:r>
            <w:r w:rsidRPr="00D372FF">
              <w:rPr>
                <w:rFonts w:ascii="Palatino" w:eastAsia="Times New Roman" w:hAnsi="Palatino" w:cs="Calibri"/>
                <w:szCs w:val="16"/>
              </w:rPr>
              <w:t xml:space="preserve">: 1:31731030:G:A; </w:t>
            </w:r>
            <w:r w:rsidRPr="00D372FF">
              <w:rPr>
                <w:rFonts w:ascii="Palatino" w:eastAsia="Times New Roman" w:hAnsi="Palatino" w:cs="Calibri"/>
                <w:szCs w:val="16"/>
              </w:rPr>
              <w:lastRenderedPageBreak/>
              <w:t>c.4150C&gt;T; p.Arg1384Ter (</w:t>
            </w:r>
            <w:r w:rsidRPr="00D372FF">
              <w:rPr>
                <w:rFonts w:ascii="Palatino" w:eastAsia="Times New Roman" w:hAnsi="Palatino" w:cs="Calibri"/>
                <w:i/>
                <w:iCs/>
                <w:szCs w:val="16"/>
              </w:rPr>
              <w:t>de novo</w:t>
            </w:r>
            <w:r w:rsidRPr="00D372FF">
              <w:rPr>
                <w:rFonts w:ascii="Palatino" w:eastAsia="Times New Roman" w:hAnsi="Palatino" w:cs="Calibri"/>
                <w:szCs w:val="16"/>
              </w:rPr>
              <w:t>, nonsense).</w:t>
            </w:r>
          </w:p>
        </w:tc>
        <w:tc>
          <w:tcPr>
            <w:tcW w:w="558" w:type="pct"/>
            <w:tcBorders>
              <w:top w:val="nil"/>
              <w:bottom w:val="nil"/>
            </w:tcBorders>
            <w:shd w:val="clear" w:color="000000" w:fill="FFF2CC"/>
            <w:vAlign w:val="center"/>
            <w:hideMark/>
          </w:tcPr>
          <w:p w14:paraId="4AC8272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lastRenderedPageBreak/>
              <w:t xml:space="preserve">Potential new disease gene. Confirmed </w:t>
            </w:r>
            <w:r w:rsidRPr="00D372FF">
              <w:rPr>
                <w:rFonts w:ascii="Palatino" w:eastAsia="Times New Roman" w:hAnsi="Palatino" w:cs="Calibri"/>
                <w:i/>
                <w:iCs/>
                <w:szCs w:val="16"/>
              </w:rPr>
              <w:lastRenderedPageBreak/>
              <w:t>de novo</w:t>
            </w:r>
            <w:r w:rsidRPr="00D372FF">
              <w:rPr>
                <w:rFonts w:ascii="Palatino" w:eastAsia="Times New Roman" w:hAnsi="Palatino" w:cs="Calibri"/>
                <w:szCs w:val="16"/>
              </w:rPr>
              <w:t xml:space="preserve"> by Sanger sequencing and in identical twin (FAM_4_13). Functional work underway.</w:t>
            </w:r>
          </w:p>
        </w:tc>
        <w:tc>
          <w:tcPr>
            <w:tcW w:w="224" w:type="pct"/>
            <w:vMerge w:val="restart"/>
            <w:tcBorders>
              <w:top w:val="nil"/>
              <w:bottom w:val="single" w:sz="8" w:space="0" w:color="000000"/>
            </w:tcBorders>
            <w:shd w:val="clear" w:color="000000" w:fill="FFF2CC"/>
            <w:vAlign w:val="center"/>
            <w:hideMark/>
          </w:tcPr>
          <w:p w14:paraId="7B94048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lastRenderedPageBreak/>
              <w:t>68</w:t>
            </w:r>
          </w:p>
        </w:tc>
        <w:tc>
          <w:tcPr>
            <w:tcW w:w="224" w:type="pct"/>
            <w:vMerge w:val="restart"/>
            <w:tcBorders>
              <w:top w:val="nil"/>
              <w:bottom w:val="single" w:sz="8" w:space="0" w:color="000000"/>
            </w:tcBorders>
            <w:shd w:val="clear" w:color="000000" w:fill="FFF2CC"/>
            <w:vAlign w:val="center"/>
            <w:hideMark/>
          </w:tcPr>
          <w:p w14:paraId="787E695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23</w:t>
            </w:r>
          </w:p>
        </w:tc>
        <w:tc>
          <w:tcPr>
            <w:tcW w:w="492" w:type="pct"/>
            <w:tcBorders>
              <w:top w:val="nil"/>
              <w:bottom w:val="nil"/>
            </w:tcBorders>
            <w:shd w:val="clear" w:color="000000" w:fill="FCE4D6"/>
            <w:vAlign w:val="center"/>
            <w:hideMark/>
          </w:tcPr>
          <w:p w14:paraId="249BEE5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No variants reported</w:t>
            </w:r>
          </w:p>
        </w:tc>
        <w:tc>
          <w:tcPr>
            <w:tcW w:w="247" w:type="pct"/>
            <w:vMerge w:val="restart"/>
            <w:tcBorders>
              <w:top w:val="nil"/>
              <w:bottom w:val="single" w:sz="8" w:space="0" w:color="000000"/>
            </w:tcBorders>
            <w:shd w:val="clear" w:color="000000" w:fill="FCE4D6"/>
            <w:vAlign w:val="center"/>
            <w:hideMark/>
          </w:tcPr>
          <w:p w14:paraId="0D147C2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14</w:t>
            </w:r>
          </w:p>
        </w:tc>
        <w:tc>
          <w:tcPr>
            <w:tcW w:w="259" w:type="pct"/>
            <w:vMerge w:val="restart"/>
            <w:tcBorders>
              <w:top w:val="nil"/>
              <w:bottom w:val="single" w:sz="8" w:space="0" w:color="000000"/>
            </w:tcBorders>
            <w:shd w:val="clear" w:color="auto" w:fill="F7CAAC" w:themeFill="accent2" w:themeFillTint="66"/>
            <w:vAlign w:val="center"/>
            <w:hideMark/>
          </w:tcPr>
          <w:p w14:paraId="65EC464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ADGRB2</w:t>
            </w:r>
            <w:r w:rsidRPr="00D372FF">
              <w:rPr>
                <w:rFonts w:ascii="Palatino" w:eastAsia="Times New Roman" w:hAnsi="Palatino" w:cs="Calibri"/>
                <w:i/>
                <w:iCs/>
                <w:szCs w:val="16"/>
              </w:rPr>
              <w:br/>
              <w:t>CRNN</w:t>
            </w:r>
            <w:r w:rsidRPr="00D372FF">
              <w:rPr>
                <w:rFonts w:ascii="Palatino" w:eastAsia="Times New Roman" w:hAnsi="Palatino" w:cs="Calibri"/>
                <w:i/>
                <w:iCs/>
                <w:szCs w:val="16"/>
              </w:rPr>
              <w:br/>
            </w:r>
            <w:r w:rsidRPr="00D372FF">
              <w:rPr>
                <w:rFonts w:ascii="Palatino" w:eastAsia="Times New Roman" w:hAnsi="Palatino" w:cs="Calibri"/>
                <w:i/>
                <w:iCs/>
                <w:szCs w:val="16"/>
              </w:rPr>
              <w:lastRenderedPageBreak/>
              <w:t>PCDHB7</w:t>
            </w:r>
            <w:r w:rsidRPr="00D372FF">
              <w:rPr>
                <w:rFonts w:ascii="Palatino" w:eastAsia="Times New Roman" w:hAnsi="Palatino" w:cs="Calibri"/>
                <w:i/>
                <w:iCs/>
                <w:szCs w:val="16"/>
              </w:rPr>
              <w:br/>
              <w:t>NFYB</w:t>
            </w:r>
            <w:r w:rsidRPr="00D372FF">
              <w:rPr>
                <w:rFonts w:ascii="Palatino" w:eastAsia="Times New Roman" w:hAnsi="Palatino" w:cs="Calibri"/>
                <w:i/>
                <w:iCs/>
                <w:szCs w:val="16"/>
              </w:rPr>
              <w:br/>
              <w:t>PIEZO1</w:t>
            </w:r>
          </w:p>
        </w:tc>
        <w:tc>
          <w:tcPr>
            <w:tcW w:w="308" w:type="pct"/>
            <w:vMerge w:val="restart"/>
            <w:tcBorders>
              <w:top w:val="nil"/>
              <w:bottom w:val="single" w:sz="8" w:space="0" w:color="000000"/>
            </w:tcBorders>
            <w:shd w:val="clear" w:color="000000" w:fill="F8CBAD"/>
            <w:noWrap/>
            <w:vAlign w:val="center"/>
            <w:hideMark/>
          </w:tcPr>
          <w:p w14:paraId="3451D92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lastRenderedPageBreak/>
              <w:t>1.FBXO46</w:t>
            </w:r>
          </w:p>
          <w:p w14:paraId="43049D8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2.CEP290</w:t>
            </w:r>
          </w:p>
          <w:p w14:paraId="231D627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lastRenderedPageBreak/>
              <w:t>3.NFYB</w:t>
            </w:r>
          </w:p>
        </w:tc>
        <w:tc>
          <w:tcPr>
            <w:tcW w:w="1139" w:type="pct"/>
            <w:vMerge w:val="restart"/>
            <w:tcBorders>
              <w:top w:val="nil"/>
              <w:bottom w:val="single" w:sz="8" w:space="0" w:color="000000"/>
            </w:tcBorders>
            <w:shd w:val="clear" w:color="000000" w:fill="F8CBAD"/>
            <w:vAlign w:val="center"/>
            <w:hideMark/>
          </w:tcPr>
          <w:p w14:paraId="3957888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i/>
                <w:iCs/>
                <w:szCs w:val="16"/>
              </w:rPr>
              <w:lastRenderedPageBreak/>
              <w:t>ADGRB2</w:t>
            </w:r>
            <w:r w:rsidRPr="00D372FF">
              <w:rPr>
                <w:rFonts w:ascii="Palatino" w:eastAsia="Times New Roman" w:hAnsi="Palatino" w:cs="Calibri"/>
                <w:szCs w:val="16"/>
              </w:rPr>
              <w:t xml:space="preserve"> - VUS x 2</w:t>
            </w:r>
          </w:p>
        </w:tc>
        <w:tc>
          <w:tcPr>
            <w:tcW w:w="578" w:type="pct"/>
            <w:gridSpan w:val="2"/>
            <w:vMerge w:val="restart"/>
            <w:tcBorders>
              <w:top w:val="nil"/>
              <w:bottom w:val="single" w:sz="8" w:space="0" w:color="000000"/>
            </w:tcBorders>
            <w:shd w:val="clear" w:color="000000" w:fill="F8CBAD"/>
            <w:vAlign w:val="center"/>
            <w:hideMark/>
          </w:tcPr>
          <w:p w14:paraId="6E1DBBA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i/>
                <w:iCs/>
                <w:szCs w:val="16"/>
              </w:rPr>
              <w:t>De novo</w:t>
            </w:r>
            <w:r w:rsidRPr="00D372FF">
              <w:rPr>
                <w:rFonts w:ascii="Palatino" w:eastAsia="Times New Roman" w:hAnsi="Palatino" w:cs="Calibri"/>
                <w:szCs w:val="16"/>
              </w:rPr>
              <w:t xml:space="preserve"> (</w:t>
            </w:r>
            <w:r w:rsidRPr="00D372FF">
              <w:rPr>
                <w:rFonts w:ascii="Palatino" w:eastAsia="Times New Roman" w:hAnsi="Palatino" w:cs="Calibri"/>
                <w:i/>
                <w:iCs/>
                <w:szCs w:val="16"/>
              </w:rPr>
              <w:t>ADGRB2</w:t>
            </w:r>
            <w:r w:rsidRPr="00D372FF">
              <w:rPr>
                <w:rFonts w:ascii="Palatino" w:eastAsia="Times New Roman" w:hAnsi="Palatino" w:cs="Calibri"/>
                <w:szCs w:val="16"/>
              </w:rPr>
              <w:t>) variant</w:t>
            </w:r>
            <w:r w:rsidRPr="00D372FF">
              <w:rPr>
                <w:rFonts w:ascii="Palatino" w:eastAsia="Times New Roman" w:hAnsi="Palatino" w:cs="Calibri"/>
                <w:szCs w:val="16"/>
              </w:rPr>
              <w:br/>
              <w:t xml:space="preserve">discounted </w:t>
            </w:r>
            <w:r w:rsidRPr="00D372FF">
              <w:rPr>
                <w:rFonts w:ascii="Palatino" w:eastAsia="Times New Roman" w:hAnsi="Palatino" w:cs="Calibri"/>
                <w:szCs w:val="16"/>
              </w:rPr>
              <w:lastRenderedPageBreak/>
              <w:t>as in novel gene</w:t>
            </w:r>
          </w:p>
        </w:tc>
      </w:tr>
      <w:tr w:rsidR="00C34963" w:rsidRPr="00A76F86" w14:paraId="0A76FAA5" w14:textId="77777777" w:rsidTr="00C34963">
        <w:trPr>
          <w:gridAfter w:val="1"/>
          <w:wAfter w:w="65" w:type="pct"/>
          <w:jc w:val="center"/>
        </w:trPr>
        <w:tc>
          <w:tcPr>
            <w:tcW w:w="249" w:type="pct"/>
            <w:tcBorders>
              <w:top w:val="nil"/>
              <w:bottom w:val="single" w:sz="8" w:space="0" w:color="auto"/>
            </w:tcBorders>
            <w:shd w:val="clear" w:color="000000" w:fill="E2EFDA"/>
            <w:vAlign w:val="center"/>
            <w:hideMark/>
          </w:tcPr>
          <w:p w14:paraId="214B14B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lastRenderedPageBreak/>
              <w:t>FAM_4</w:t>
            </w:r>
          </w:p>
        </w:tc>
        <w:tc>
          <w:tcPr>
            <w:tcW w:w="168" w:type="pct"/>
            <w:tcBorders>
              <w:top w:val="nil"/>
              <w:bottom w:val="single" w:sz="8" w:space="0" w:color="auto"/>
            </w:tcBorders>
            <w:shd w:val="clear" w:color="000000" w:fill="E2EFDA"/>
            <w:vAlign w:val="center"/>
            <w:hideMark/>
          </w:tcPr>
          <w:p w14:paraId="5865C5E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13</w:t>
            </w:r>
          </w:p>
        </w:tc>
        <w:tc>
          <w:tcPr>
            <w:tcW w:w="490" w:type="pct"/>
            <w:tcBorders>
              <w:top w:val="nil"/>
              <w:bottom w:val="single" w:sz="8" w:space="0" w:color="auto"/>
            </w:tcBorders>
            <w:shd w:val="clear" w:color="000000" w:fill="FFF2CC"/>
            <w:vAlign w:val="center"/>
            <w:hideMark/>
          </w:tcPr>
          <w:p w14:paraId="5367306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VUS</w:t>
            </w:r>
            <w:r w:rsidRPr="00D372FF">
              <w:rPr>
                <w:rFonts w:ascii="Palatino" w:eastAsia="Times New Roman" w:hAnsi="Palatino" w:cs="Calibri"/>
                <w:i/>
                <w:iCs/>
                <w:szCs w:val="16"/>
              </w:rPr>
              <w:t>: ADGRB2:</w:t>
            </w:r>
            <w:r w:rsidRPr="00D372FF">
              <w:rPr>
                <w:rFonts w:ascii="Palatino" w:eastAsia="Times New Roman" w:hAnsi="Palatino" w:cs="Calibri"/>
                <w:szCs w:val="16"/>
              </w:rPr>
              <w:t xml:space="preserve"> 1:31731030:G:A; c.4150C&gt;T; p.Arg1384Ter (</w:t>
            </w:r>
            <w:r w:rsidRPr="00D372FF">
              <w:rPr>
                <w:rFonts w:ascii="Palatino" w:eastAsia="Times New Roman" w:hAnsi="Palatino" w:cs="Calibri"/>
                <w:i/>
                <w:iCs/>
                <w:szCs w:val="16"/>
              </w:rPr>
              <w:t>de novo</w:t>
            </w:r>
            <w:r w:rsidRPr="00D372FF">
              <w:rPr>
                <w:rFonts w:ascii="Palatino" w:eastAsia="Times New Roman" w:hAnsi="Palatino" w:cs="Calibri"/>
                <w:szCs w:val="16"/>
              </w:rPr>
              <w:t>, stop gained).</w:t>
            </w:r>
          </w:p>
        </w:tc>
        <w:tc>
          <w:tcPr>
            <w:tcW w:w="558" w:type="pct"/>
            <w:tcBorders>
              <w:top w:val="nil"/>
              <w:bottom w:val="single" w:sz="8" w:space="0" w:color="auto"/>
            </w:tcBorders>
            <w:shd w:val="clear" w:color="000000" w:fill="FFF2CC"/>
            <w:vAlign w:val="center"/>
            <w:hideMark/>
          </w:tcPr>
          <w:p w14:paraId="38B98DD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Same variant as in present in identical twin (FAM_4_10)</w:t>
            </w:r>
          </w:p>
        </w:tc>
        <w:tc>
          <w:tcPr>
            <w:tcW w:w="224" w:type="pct"/>
            <w:vMerge/>
            <w:tcBorders>
              <w:top w:val="nil"/>
              <w:bottom w:val="single" w:sz="8" w:space="0" w:color="000000"/>
            </w:tcBorders>
            <w:vAlign w:val="center"/>
            <w:hideMark/>
          </w:tcPr>
          <w:p w14:paraId="4182DBC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24" w:type="pct"/>
            <w:vMerge/>
            <w:tcBorders>
              <w:top w:val="nil"/>
              <w:bottom w:val="single" w:sz="8" w:space="0" w:color="000000"/>
            </w:tcBorders>
            <w:vAlign w:val="center"/>
            <w:hideMark/>
          </w:tcPr>
          <w:p w14:paraId="5435378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492" w:type="pct"/>
            <w:tcBorders>
              <w:top w:val="nil"/>
              <w:bottom w:val="single" w:sz="8" w:space="0" w:color="auto"/>
            </w:tcBorders>
            <w:shd w:val="clear" w:color="000000" w:fill="FCE4D6"/>
            <w:vAlign w:val="center"/>
            <w:hideMark/>
          </w:tcPr>
          <w:p w14:paraId="189F392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No variants reported</w:t>
            </w:r>
          </w:p>
        </w:tc>
        <w:tc>
          <w:tcPr>
            <w:tcW w:w="247" w:type="pct"/>
            <w:vMerge/>
            <w:tcBorders>
              <w:top w:val="nil"/>
              <w:bottom w:val="single" w:sz="8" w:space="0" w:color="000000"/>
            </w:tcBorders>
            <w:vAlign w:val="center"/>
            <w:hideMark/>
          </w:tcPr>
          <w:p w14:paraId="2F5FD56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59" w:type="pct"/>
            <w:vMerge/>
            <w:tcBorders>
              <w:top w:val="nil"/>
              <w:bottom w:val="single" w:sz="8" w:space="0" w:color="000000"/>
            </w:tcBorders>
            <w:shd w:val="clear" w:color="auto" w:fill="F7CAAC" w:themeFill="accent2" w:themeFillTint="66"/>
            <w:vAlign w:val="center"/>
            <w:hideMark/>
          </w:tcPr>
          <w:p w14:paraId="0A8B64A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p>
        </w:tc>
        <w:tc>
          <w:tcPr>
            <w:tcW w:w="308" w:type="pct"/>
            <w:vMerge/>
            <w:tcBorders>
              <w:top w:val="nil"/>
              <w:bottom w:val="single" w:sz="8" w:space="0" w:color="000000"/>
            </w:tcBorders>
            <w:vAlign w:val="center"/>
            <w:hideMark/>
          </w:tcPr>
          <w:p w14:paraId="20A235E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p>
        </w:tc>
        <w:tc>
          <w:tcPr>
            <w:tcW w:w="1139" w:type="pct"/>
            <w:vMerge/>
            <w:tcBorders>
              <w:top w:val="nil"/>
              <w:bottom w:val="single" w:sz="8" w:space="0" w:color="000000"/>
            </w:tcBorders>
            <w:vAlign w:val="center"/>
            <w:hideMark/>
          </w:tcPr>
          <w:p w14:paraId="09FA14A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578" w:type="pct"/>
            <w:gridSpan w:val="2"/>
            <w:vMerge/>
            <w:tcBorders>
              <w:top w:val="nil"/>
              <w:bottom w:val="single" w:sz="8" w:space="0" w:color="000000"/>
            </w:tcBorders>
            <w:vAlign w:val="center"/>
            <w:hideMark/>
          </w:tcPr>
          <w:p w14:paraId="59F7975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r>
      <w:tr w:rsidR="00C34963" w:rsidRPr="00A76F86" w14:paraId="29ED265A" w14:textId="77777777" w:rsidTr="00C34963">
        <w:trPr>
          <w:gridAfter w:val="1"/>
          <w:wAfter w:w="65" w:type="pct"/>
          <w:jc w:val="center"/>
        </w:trPr>
        <w:tc>
          <w:tcPr>
            <w:tcW w:w="249" w:type="pct"/>
            <w:tcBorders>
              <w:top w:val="nil"/>
              <w:bottom w:val="single" w:sz="8" w:space="0" w:color="auto"/>
            </w:tcBorders>
            <w:shd w:val="clear" w:color="000000" w:fill="E2EFDA"/>
            <w:vAlign w:val="center"/>
            <w:hideMark/>
          </w:tcPr>
          <w:p w14:paraId="117A4B5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FAM_5</w:t>
            </w:r>
          </w:p>
        </w:tc>
        <w:tc>
          <w:tcPr>
            <w:tcW w:w="168" w:type="pct"/>
            <w:tcBorders>
              <w:top w:val="nil"/>
              <w:bottom w:val="single" w:sz="8" w:space="0" w:color="auto"/>
            </w:tcBorders>
            <w:shd w:val="clear" w:color="000000" w:fill="E2EFDA"/>
            <w:vAlign w:val="center"/>
            <w:hideMark/>
          </w:tcPr>
          <w:p w14:paraId="1BA8C8F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14</w:t>
            </w:r>
          </w:p>
        </w:tc>
        <w:tc>
          <w:tcPr>
            <w:tcW w:w="490" w:type="pct"/>
            <w:tcBorders>
              <w:top w:val="nil"/>
              <w:bottom w:val="single" w:sz="8" w:space="0" w:color="auto"/>
            </w:tcBorders>
            <w:shd w:val="clear" w:color="000000" w:fill="FFF2CC"/>
            <w:vAlign w:val="center"/>
            <w:hideMark/>
          </w:tcPr>
          <w:p w14:paraId="35331B8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Pathogenic:</w:t>
            </w:r>
            <w:r w:rsidRPr="00D372FF">
              <w:rPr>
                <w:rFonts w:ascii="Palatino" w:eastAsia="Times New Roman" w:hAnsi="Palatino" w:cs="Calibri"/>
                <w:i/>
                <w:iCs/>
                <w:szCs w:val="16"/>
              </w:rPr>
              <w:t xml:space="preserve"> ABCC8</w:t>
            </w:r>
            <w:r w:rsidRPr="00D372FF">
              <w:rPr>
                <w:rFonts w:ascii="Palatino" w:eastAsia="Times New Roman" w:hAnsi="Palatino" w:cs="Calibri"/>
                <w:szCs w:val="16"/>
              </w:rPr>
              <w:t xml:space="preserve">: 11:17413408:G:A; c.2464C&gt;T; p.Gln822Ter (nonsense, inherited from parent) </w:t>
            </w:r>
          </w:p>
        </w:tc>
        <w:tc>
          <w:tcPr>
            <w:tcW w:w="558" w:type="pct"/>
            <w:tcBorders>
              <w:top w:val="nil"/>
              <w:bottom w:val="single" w:sz="8" w:space="0" w:color="auto"/>
            </w:tcBorders>
            <w:shd w:val="clear" w:color="000000" w:fill="FFF2CC"/>
            <w:vAlign w:val="center"/>
            <w:hideMark/>
          </w:tcPr>
          <w:p w14:paraId="04B2E0E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Clinically agreed as partial diagnosis.</w:t>
            </w:r>
          </w:p>
        </w:tc>
        <w:tc>
          <w:tcPr>
            <w:tcW w:w="224" w:type="pct"/>
            <w:tcBorders>
              <w:top w:val="nil"/>
              <w:bottom w:val="single" w:sz="8" w:space="0" w:color="auto"/>
            </w:tcBorders>
            <w:shd w:val="clear" w:color="000000" w:fill="FFF2CC"/>
            <w:vAlign w:val="center"/>
            <w:hideMark/>
          </w:tcPr>
          <w:p w14:paraId="5D6BE5B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8</w:t>
            </w:r>
          </w:p>
        </w:tc>
        <w:tc>
          <w:tcPr>
            <w:tcW w:w="224" w:type="pct"/>
            <w:tcBorders>
              <w:top w:val="nil"/>
              <w:bottom w:val="single" w:sz="8" w:space="0" w:color="auto"/>
            </w:tcBorders>
            <w:shd w:val="clear" w:color="000000" w:fill="FFF2CC"/>
            <w:vAlign w:val="center"/>
            <w:hideMark/>
          </w:tcPr>
          <w:p w14:paraId="0F58CD3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1</w:t>
            </w:r>
          </w:p>
        </w:tc>
        <w:tc>
          <w:tcPr>
            <w:tcW w:w="492" w:type="pct"/>
            <w:tcBorders>
              <w:top w:val="nil"/>
              <w:bottom w:val="single" w:sz="8" w:space="0" w:color="auto"/>
            </w:tcBorders>
            <w:shd w:val="clear" w:color="000000" w:fill="FCE4D6"/>
            <w:vAlign w:val="center"/>
            <w:hideMark/>
          </w:tcPr>
          <w:p w14:paraId="5CC4824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No variants reported</w:t>
            </w:r>
          </w:p>
        </w:tc>
        <w:tc>
          <w:tcPr>
            <w:tcW w:w="247" w:type="pct"/>
            <w:tcBorders>
              <w:top w:val="nil"/>
              <w:bottom w:val="single" w:sz="8" w:space="0" w:color="auto"/>
            </w:tcBorders>
            <w:shd w:val="clear" w:color="000000" w:fill="FCE4D6"/>
            <w:vAlign w:val="center"/>
            <w:hideMark/>
          </w:tcPr>
          <w:p w14:paraId="79C5CCF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5</w:t>
            </w:r>
          </w:p>
        </w:tc>
        <w:tc>
          <w:tcPr>
            <w:tcW w:w="259" w:type="pct"/>
            <w:tcBorders>
              <w:top w:val="nil"/>
              <w:bottom w:val="single" w:sz="8" w:space="0" w:color="auto"/>
            </w:tcBorders>
            <w:shd w:val="clear" w:color="auto" w:fill="F7CAAC" w:themeFill="accent2" w:themeFillTint="66"/>
            <w:noWrap/>
            <w:vAlign w:val="center"/>
            <w:hideMark/>
          </w:tcPr>
          <w:p w14:paraId="3454A89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GOLGA8T</w:t>
            </w:r>
          </w:p>
        </w:tc>
        <w:tc>
          <w:tcPr>
            <w:tcW w:w="308" w:type="pct"/>
            <w:tcBorders>
              <w:top w:val="nil"/>
              <w:bottom w:val="single" w:sz="8" w:space="0" w:color="auto"/>
            </w:tcBorders>
            <w:shd w:val="clear" w:color="000000" w:fill="F8CBAD"/>
            <w:noWrap/>
            <w:vAlign w:val="center"/>
            <w:hideMark/>
          </w:tcPr>
          <w:p w14:paraId="2ED3D3A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1.PTPRF</w:t>
            </w:r>
          </w:p>
          <w:p w14:paraId="0F6BE67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2.NPHP4</w:t>
            </w:r>
          </w:p>
          <w:p w14:paraId="3974540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3.PRKDC</w:t>
            </w:r>
          </w:p>
        </w:tc>
        <w:tc>
          <w:tcPr>
            <w:tcW w:w="1139" w:type="pct"/>
            <w:tcBorders>
              <w:top w:val="nil"/>
              <w:bottom w:val="single" w:sz="8" w:space="0" w:color="auto"/>
            </w:tcBorders>
            <w:shd w:val="clear" w:color="000000" w:fill="F8CBAD"/>
            <w:vAlign w:val="center"/>
            <w:hideMark/>
          </w:tcPr>
          <w:p w14:paraId="3EC8FF6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i/>
                <w:iCs/>
                <w:szCs w:val="16"/>
              </w:rPr>
              <w:t>ABCC8</w:t>
            </w:r>
            <w:r w:rsidRPr="00D372FF">
              <w:rPr>
                <w:rFonts w:ascii="Palatino" w:eastAsia="Times New Roman" w:hAnsi="Palatino" w:cs="Calibri"/>
                <w:szCs w:val="16"/>
              </w:rPr>
              <w:t xml:space="preserve"> - </w:t>
            </w:r>
            <w:r w:rsidRPr="00D372FF">
              <w:rPr>
                <w:rFonts w:ascii="Palatino" w:eastAsia="Times New Roman" w:hAnsi="Palatino" w:cs="Calibri"/>
                <w:b/>
                <w:bCs/>
                <w:szCs w:val="16"/>
              </w:rPr>
              <w:t>Pathogenic</w:t>
            </w:r>
          </w:p>
        </w:tc>
        <w:tc>
          <w:tcPr>
            <w:tcW w:w="578" w:type="pct"/>
            <w:gridSpan w:val="2"/>
            <w:tcBorders>
              <w:top w:val="nil"/>
              <w:bottom w:val="single" w:sz="8" w:space="0" w:color="auto"/>
            </w:tcBorders>
            <w:shd w:val="clear" w:color="000000" w:fill="F8CBAD"/>
            <w:vAlign w:val="center"/>
            <w:hideMark/>
          </w:tcPr>
          <w:p w14:paraId="3FFB620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i/>
                <w:iCs/>
                <w:szCs w:val="16"/>
              </w:rPr>
              <w:t>ABCC8</w:t>
            </w:r>
            <w:r w:rsidRPr="00D372FF">
              <w:rPr>
                <w:rFonts w:ascii="Palatino" w:eastAsia="Times New Roman" w:hAnsi="Palatino" w:cs="Calibri"/>
                <w:szCs w:val="16"/>
              </w:rPr>
              <w:t xml:space="preserve"> not analysed as untiered and gene absent from R29 panel</w:t>
            </w:r>
          </w:p>
        </w:tc>
      </w:tr>
      <w:tr w:rsidR="00C34963" w:rsidRPr="00A76F86" w14:paraId="4E293B6D" w14:textId="77777777" w:rsidTr="00C34963">
        <w:trPr>
          <w:gridAfter w:val="1"/>
          <w:wAfter w:w="65" w:type="pct"/>
          <w:jc w:val="center"/>
        </w:trPr>
        <w:tc>
          <w:tcPr>
            <w:tcW w:w="249" w:type="pct"/>
            <w:tcBorders>
              <w:top w:val="nil"/>
              <w:bottom w:val="single" w:sz="8" w:space="0" w:color="auto"/>
            </w:tcBorders>
            <w:shd w:val="clear" w:color="000000" w:fill="E2EFDA"/>
            <w:vAlign w:val="center"/>
            <w:hideMark/>
          </w:tcPr>
          <w:p w14:paraId="09E502D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FAM_6</w:t>
            </w:r>
          </w:p>
        </w:tc>
        <w:tc>
          <w:tcPr>
            <w:tcW w:w="168" w:type="pct"/>
            <w:tcBorders>
              <w:top w:val="nil"/>
              <w:bottom w:val="single" w:sz="8" w:space="0" w:color="auto"/>
            </w:tcBorders>
            <w:shd w:val="clear" w:color="000000" w:fill="E2EFDA"/>
            <w:vAlign w:val="center"/>
            <w:hideMark/>
          </w:tcPr>
          <w:p w14:paraId="31A9E7A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17</w:t>
            </w:r>
          </w:p>
        </w:tc>
        <w:tc>
          <w:tcPr>
            <w:tcW w:w="490" w:type="pct"/>
            <w:tcBorders>
              <w:top w:val="nil"/>
              <w:bottom w:val="single" w:sz="8" w:space="0" w:color="auto"/>
            </w:tcBorders>
            <w:shd w:val="clear" w:color="000000" w:fill="FFF2CC"/>
            <w:vAlign w:val="center"/>
            <w:hideMark/>
          </w:tcPr>
          <w:p w14:paraId="5E283EA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 xml:space="preserve">Pathogenic: </w:t>
            </w:r>
            <w:r w:rsidRPr="00D372FF">
              <w:rPr>
                <w:rFonts w:ascii="Palatino" w:eastAsia="Times New Roman" w:hAnsi="Palatino" w:cs="Calibri"/>
                <w:i/>
                <w:iCs/>
                <w:szCs w:val="16"/>
              </w:rPr>
              <w:t>CHAMP1</w:t>
            </w:r>
            <w:r w:rsidRPr="00D372FF">
              <w:rPr>
                <w:rFonts w:ascii="Palatino" w:eastAsia="Times New Roman" w:hAnsi="Palatino" w:cs="Calibri"/>
                <w:szCs w:val="16"/>
              </w:rPr>
              <w:t>: 13:114325034:C:T;  c.1192C&gt;T; p.Arg398Ter (</w:t>
            </w:r>
            <w:r w:rsidRPr="00D372FF">
              <w:rPr>
                <w:rFonts w:ascii="Palatino" w:eastAsia="Times New Roman" w:hAnsi="Palatino" w:cs="Calibri"/>
                <w:i/>
                <w:iCs/>
                <w:szCs w:val="16"/>
              </w:rPr>
              <w:t>de novo</w:t>
            </w:r>
            <w:r w:rsidRPr="00D372FF">
              <w:rPr>
                <w:rFonts w:ascii="Palatino" w:eastAsia="Times New Roman" w:hAnsi="Palatino" w:cs="Calibri"/>
                <w:szCs w:val="16"/>
              </w:rPr>
              <w:t>, nonsense).</w:t>
            </w:r>
          </w:p>
        </w:tc>
        <w:tc>
          <w:tcPr>
            <w:tcW w:w="558" w:type="pct"/>
            <w:tcBorders>
              <w:top w:val="nil"/>
              <w:bottom w:val="single" w:sz="8" w:space="0" w:color="auto"/>
            </w:tcBorders>
            <w:shd w:val="clear" w:color="000000" w:fill="FFF2CC"/>
            <w:vAlign w:val="center"/>
            <w:hideMark/>
          </w:tcPr>
          <w:p w14:paraId="48F7FF0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Confirmed diagnosis (also detected by NHS).</w:t>
            </w:r>
          </w:p>
        </w:tc>
        <w:tc>
          <w:tcPr>
            <w:tcW w:w="224" w:type="pct"/>
            <w:tcBorders>
              <w:top w:val="nil"/>
              <w:bottom w:val="single" w:sz="8" w:space="0" w:color="auto"/>
            </w:tcBorders>
            <w:shd w:val="clear" w:color="000000" w:fill="FFF2CC"/>
            <w:vAlign w:val="center"/>
            <w:hideMark/>
          </w:tcPr>
          <w:p w14:paraId="6CFFAD7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2</w:t>
            </w:r>
          </w:p>
        </w:tc>
        <w:tc>
          <w:tcPr>
            <w:tcW w:w="224" w:type="pct"/>
            <w:tcBorders>
              <w:top w:val="nil"/>
              <w:bottom w:val="single" w:sz="8" w:space="0" w:color="auto"/>
            </w:tcBorders>
            <w:shd w:val="clear" w:color="000000" w:fill="FFF2CC"/>
            <w:vAlign w:val="center"/>
            <w:hideMark/>
          </w:tcPr>
          <w:p w14:paraId="27AFC7F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1</w:t>
            </w:r>
          </w:p>
        </w:tc>
        <w:tc>
          <w:tcPr>
            <w:tcW w:w="492" w:type="pct"/>
            <w:tcBorders>
              <w:top w:val="nil"/>
              <w:bottom w:val="single" w:sz="8" w:space="0" w:color="auto"/>
            </w:tcBorders>
            <w:shd w:val="clear" w:color="000000" w:fill="FCE4D6"/>
            <w:vAlign w:val="center"/>
            <w:hideMark/>
          </w:tcPr>
          <w:p w14:paraId="1D96241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Pathogenic</w:t>
            </w:r>
            <w:r w:rsidRPr="00D372FF">
              <w:rPr>
                <w:rFonts w:ascii="Palatino" w:eastAsia="Times New Roman" w:hAnsi="Palatino" w:cs="Calibri"/>
                <w:szCs w:val="16"/>
              </w:rPr>
              <w:t xml:space="preserve">: </w:t>
            </w:r>
            <w:r w:rsidRPr="00D372FF">
              <w:rPr>
                <w:rFonts w:ascii="Palatino" w:eastAsia="Times New Roman" w:hAnsi="Palatino" w:cs="Calibri"/>
                <w:i/>
                <w:iCs/>
                <w:szCs w:val="16"/>
              </w:rPr>
              <w:t>CHAMP1</w:t>
            </w:r>
            <w:r w:rsidRPr="00D372FF">
              <w:rPr>
                <w:rFonts w:ascii="Palatino" w:eastAsia="Times New Roman" w:hAnsi="Palatino" w:cs="Calibri"/>
                <w:szCs w:val="16"/>
              </w:rPr>
              <w:t>: 13:114325034:C:T;  c.1192C&gt;T; p.Arg398Ter</w:t>
            </w:r>
          </w:p>
        </w:tc>
        <w:tc>
          <w:tcPr>
            <w:tcW w:w="247" w:type="pct"/>
            <w:tcBorders>
              <w:top w:val="nil"/>
              <w:bottom w:val="single" w:sz="8" w:space="0" w:color="auto"/>
            </w:tcBorders>
            <w:shd w:val="clear" w:color="000000" w:fill="FCE4D6"/>
            <w:vAlign w:val="center"/>
            <w:hideMark/>
          </w:tcPr>
          <w:p w14:paraId="23F47C4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6</w:t>
            </w:r>
          </w:p>
        </w:tc>
        <w:tc>
          <w:tcPr>
            <w:tcW w:w="259" w:type="pct"/>
            <w:tcBorders>
              <w:top w:val="nil"/>
              <w:bottom w:val="single" w:sz="8" w:space="0" w:color="auto"/>
            </w:tcBorders>
            <w:shd w:val="clear" w:color="auto" w:fill="F7CAAC" w:themeFill="accent2" w:themeFillTint="66"/>
            <w:noWrap/>
            <w:vAlign w:val="center"/>
            <w:hideMark/>
          </w:tcPr>
          <w:p w14:paraId="754F658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KRTAP5-5</w:t>
            </w:r>
          </w:p>
        </w:tc>
        <w:tc>
          <w:tcPr>
            <w:tcW w:w="308" w:type="pct"/>
            <w:tcBorders>
              <w:top w:val="nil"/>
              <w:bottom w:val="single" w:sz="8" w:space="0" w:color="auto"/>
            </w:tcBorders>
            <w:shd w:val="clear" w:color="000000" w:fill="F8CBAD"/>
            <w:noWrap/>
            <w:vAlign w:val="center"/>
            <w:hideMark/>
          </w:tcPr>
          <w:p w14:paraId="01F815A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1.CHAMP1</w:t>
            </w:r>
          </w:p>
          <w:p w14:paraId="2562DD4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2.MDK</w:t>
            </w:r>
          </w:p>
          <w:p w14:paraId="5CCF456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3.CRAC2RA</w:t>
            </w:r>
          </w:p>
        </w:tc>
        <w:tc>
          <w:tcPr>
            <w:tcW w:w="1139" w:type="pct"/>
            <w:tcBorders>
              <w:top w:val="nil"/>
              <w:bottom w:val="single" w:sz="8" w:space="0" w:color="auto"/>
            </w:tcBorders>
            <w:shd w:val="clear" w:color="000000" w:fill="F8CBAD"/>
            <w:vAlign w:val="center"/>
            <w:hideMark/>
          </w:tcPr>
          <w:p w14:paraId="16A59C9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None</w:t>
            </w:r>
          </w:p>
        </w:tc>
        <w:tc>
          <w:tcPr>
            <w:tcW w:w="578" w:type="pct"/>
            <w:gridSpan w:val="2"/>
            <w:tcBorders>
              <w:top w:val="nil"/>
              <w:bottom w:val="single" w:sz="8" w:space="0" w:color="auto"/>
            </w:tcBorders>
            <w:shd w:val="clear" w:color="000000" w:fill="F8CBAD"/>
            <w:noWrap/>
            <w:vAlign w:val="center"/>
            <w:hideMark/>
          </w:tcPr>
          <w:p w14:paraId="6A760EF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N/A</w:t>
            </w:r>
          </w:p>
        </w:tc>
      </w:tr>
      <w:tr w:rsidR="00C34963" w:rsidRPr="00A76F86" w14:paraId="467C2287" w14:textId="77777777" w:rsidTr="00C34963">
        <w:trPr>
          <w:gridAfter w:val="1"/>
          <w:wAfter w:w="65" w:type="pct"/>
          <w:jc w:val="center"/>
        </w:trPr>
        <w:tc>
          <w:tcPr>
            <w:tcW w:w="249" w:type="pct"/>
            <w:vMerge w:val="restart"/>
            <w:tcBorders>
              <w:top w:val="nil"/>
              <w:bottom w:val="single" w:sz="8" w:space="0" w:color="000000"/>
            </w:tcBorders>
            <w:shd w:val="clear" w:color="000000" w:fill="E2EFDA"/>
            <w:vAlign w:val="center"/>
            <w:hideMark/>
          </w:tcPr>
          <w:p w14:paraId="1ED99DB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FAM_7</w:t>
            </w:r>
          </w:p>
        </w:tc>
        <w:tc>
          <w:tcPr>
            <w:tcW w:w="168" w:type="pct"/>
            <w:vMerge w:val="restart"/>
            <w:tcBorders>
              <w:top w:val="nil"/>
              <w:bottom w:val="single" w:sz="8" w:space="0" w:color="000000"/>
            </w:tcBorders>
            <w:shd w:val="clear" w:color="000000" w:fill="E2EFDA"/>
            <w:vAlign w:val="center"/>
            <w:hideMark/>
          </w:tcPr>
          <w:p w14:paraId="1D8341A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20</w:t>
            </w:r>
          </w:p>
        </w:tc>
        <w:tc>
          <w:tcPr>
            <w:tcW w:w="490" w:type="pct"/>
            <w:tcBorders>
              <w:top w:val="nil"/>
              <w:bottom w:val="nil"/>
            </w:tcBorders>
            <w:shd w:val="clear" w:color="000000" w:fill="FFF2CC"/>
            <w:vAlign w:val="center"/>
            <w:hideMark/>
          </w:tcPr>
          <w:p w14:paraId="4F7A7FE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b/>
                <w:bCs/>
                <w:szCs w:val="16"/>
              </w:rPr>
              <w:t xml:space="preserve">VUS: </w:t>
            </w:r>
            <w:r w:rsidRPr="00D372FF">
              <w:rPr>
                <w:rFonts w:ascii="Palatino" w:eastAsia="Times New Roman" w:hAnsi="Palatino" w:cs="Calibri"/>
                <w:i/>
                <w:iCs/>
                <w:szCs w:val="16"/>
              </w:rPr>
              <w:t>FOXB2</w:t>
            </w:r>
            <w:r w:rsidRPr="00D372FF">
              <w:rPr>
                <w:rFonts w:ascii="Palatino" w:eastAsia="Times New Roman" w:hAnsi="Palatino" w:cs="Calibri"/>
                <w:szCs w:val="16"/>
              </w:rPr>
              <w:t xml:space="preserve">: 9:77020700:A:G; c.1046A&gt;G; p.Lys349Arg (missense, de novo). </w:t>
            </w:r>
          </w:p>
          <w:p w14:paraId="2989B1C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 xml:space="preserve">VUS: </w:t>
            </w:r>
            <w:r w:rsidRPr="00D372FF">
              <w:rPr>
                <w:rFonts w:ascii="Palatino" w:eastAsia="Times New Roman" w:hAnsi="Palatino" w:cs="Calibri"/>
                <w:szCs w:val="16"/>
              </w:rPr>
              <w:t>PKD1L3: 16:71951734:T:G; c.3020A&gt;C; p.Glu1007Ala (missense).</w:t>
            </w:r>
            <w:r w:rsidRPr="00D372FF">
              <w:rPr>
                <w:rFonts w:ascii="Palatino" w:eastAsia="Times New Roman" w:hAnsi="Palatino" w:cs="Calibri"/>
                <w:b/>
                <w:bCs/>
                <w:szCs w:val="16"/>
              </w:rPr>
              <w:t xml:space="preserve"> </w:t>
            </w:r>
          </w:p>
        </w:tc>
        <w:tc>
          <w:tcPr>
            <w:tcW w:w="558" w:type="pct"/>
            <w:vMerge w:val="restart"/>
            <w:tcBorders>
              <w:top w:val="nil"/>
              <w:bottom w:val="single" w:sz="8" w:space="0" w:color="000000"/>
            </w:tcBorders>
            <w:shd w:val="clear" w:color="000000" w:fill="FFF2CC"/>
            <w:vAlign w:val="center"/>
            <w:hideMark/>
          </w:tcPr>
          <w:p w14:paraId="22754E7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szCs w:val="16"/>
              </w:rPr>
              <w:t>Both FOXB2 and PFK1L3 are potential novel disease genes and have been submitted to MME.</w:t>
            </w:r>
          </w:p>
        </w:tc>
        <w:tc>
          <w:tcPr>
            <w:tcW w:w="224" w:type="pct"/>
            <w:vMerge w:val="restart"/>
            <w:tcBorders>
              <w:top w:val="nil"/>
              <w:bottom w:val="single" w:sz="8" w:space="0" w:color="000000"/>
            </w:tcBorders>
            <w:shd w:val="clear" w:color="000000" w:fill="FFF2CC"/>
            <w:vAlign w:val="center"/>
            <w:hideMark/>
          </w:tcPr>
          <w:p w14:paraId="094F45A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10</w:t>
            </w:r>
          </w:p>
        </w:tc>
        <w:tc>
          <w:tcPr>
            <w:tcW w:w="224" w:type="pct"/>
            <w:vMerge w:val="restart"/>
            <w:tcBorders>
              <w:top w:val="nil"/>
              <w:bottom w:val="single" w:sz="8" w:space="0" w:color="000000"/>
            </w:tcBorders>
            <w:shd w:val="clear" w:color="000000" w:fill="FFF2CC"/>
            <w:vAlign w:val="center"/>
            <w:hideMark/>
          </w:tcPr>
          <w:p w14:paraId="412EFFA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1</w:t>
            </w:r>
          </w:p>
        </w:tc>
        <w:tc>
          <w:tcPr>
            <w:tcW w:w="492" w:type="pct"/>
            <w:vMerge w:val="restart"/>
            <w:tcBorders>
              <w:top w:val="nil"/>
              <w:bottom w:val="single" w:sz="8" w:space="0" w:color="000000"/>
            </w:tcBorders>
            <w:shd w:val="clear" w:color="000000" w:fill="FCE4D6"/>
            <w:vAlign w:val="center"/>
            <w:hideMark/>
          </w:tcPr>
          <w:p w14:paraId="4311FB5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No variants reported</w:t>
            </w:r>
          </w:p>
        </w:tc>
        <w:tc>
          <w:tcPr>
            <w:tcW w:w="247" w:type="pct"/>
            <w:vMerge w:val="restart"/>
            <w:tcBorders>
              <w:top w:val="nil"/>
              <w:bottom w:val="single" w:sz="8" w:space="0" w:color="000000"/>
            </w:tcBorders>
            <w:shd w:val="clear" w:color="000000" w:fill="FCE4D6"/>
            <w:vAlign w:val="center"/>
            <w:hideMark/>
          </w:tcPr>
          <w:p w14:paraId="23E4EEE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7</w:t>
            </w:r>
          </w:p>
        </w:tc>
        <w:tc>
          <w:tcPr>
            <w:tcW w:w="259" w:type="pct"/>
            <w:vMerge w:val="restart"/>
            <w:tcBorders>
              <w:top w:val="nil"/>
              <w:bottom w:val="single" w:sz="8" w:space="0" w:color="000000"/>
            </w:tcBorders>
            <w:shd w:val="clear" w:color="auto" w:fill="F7CAAC" w:themeFill="accent2" w:themeFillTint="66"/>
            <w:vAlign w:val="center"/>
            <w:hideMark/>
          </w:tcPr>
          <w:p w14:paraId="20AD349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 xml:space="preserve">FOXB2 </w:t>
            </w:r>
            <w:r w:rsidRPr="00D372FF">
              <w:rPr>
                <w:rFonts w:ascii="Palatino" w:eastAsia="Times New Roman" w:hAnsi="Palatino" w:cs="Calibri"/>
                <w:i/>
                <w:iCs/>
                <w:szCs w:val="16"/>
              </w:rPr>
              <w:br/>
              <w:t>RP1L1</w:t>
            </w:r>
          </w:p>
        </w:tc>
        <w:tc>
          <w:tcPr>
            <w:tcW w:w="308" w:type="pct"/>
            <w:vMerge w:val="restart"/>
            <w:tcBorders>
              <w:top w:val="nil"/>
              <w:bottom w:val="single" w:sz="8" w:space="0" w:color="000000"/>
            </w:tcBorders>
            <w:shd w:val="clear" w:color="000000" w:fill="F8CBAD"/>
            <w:noWrap/>
            <w:vAlign w:val="center"/>
            <w:hideMark/>
          </w:tcPr>
          <w:p w14:paraId="2FC81CB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1.IGFN1</w:t>
            </w:r>
          </w:p>
          <w:p w14:paraId="2B025C5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2.ZXDA</w:t>
            </w:r>
          </w:p>
          <w:p w14:paraId="149E4B5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3.CADNA1F</w:t>
            </w:r>
          </w:p>
        </w:tc>
        <w:tc>
          <w:tcPr>
            <w:tcW w:w="1139" w:type="pct"/>
            <w:vMerge w:val="restart"/>
            <w:tcBorders>
              <w:top w:val="nil"/>
              <w:bottom w:val="single" w:sz="8" w:space="0" w:color="000000"/>
            </w:tcBorders>
            <w:shd w:val="clear" w:color="000000" w:fill="F8CBAD"/>
            <w:vAlign w:val="center"/>
            <w:hideMark/>
          </w:tcPr>
          <w:p w14:paraId="17BDA74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i/>
                <w:iCs/>
                <w:szCs w:val="16"/>
              </w:rPr>
              <w:t>FOXB2</w:t>
            </w:r>
            <w:r w:rsidRPr="00D372FF">
              <w:rPr>
                <w:rFonts w:ascii="Palatino" w:eastAsia="Times New Roman" w:hAnsi="Palatino" w:cs="Calibri"/>
                <w:szCs w:val="16"/>
              </w:rPr>
              <w:t xml:space="preserve"> - VUS</w:t>
            </w:r>
            <w:r w:rsidRPr="00D372FF">
              <w:rPr>
                <w:rFonts w:ascii="Palatino" w:eastAsia="Times New Roman" w:hAnsi="Palatino" w:cs="Calibri"/>
                <w:szCs w:val="16"/>
              </w:rPr>
              <w:br/>
            </w:r>
            <w:r w:rsidRPr="00D372FF">
              <w:rPr>
                <w:rFonts w:ascii="Palatino" w:eastAsia="Times New Roman" w:hAnsi="Palatino" w:cs="Calibri"/>
                <w:i/>
                <w:iCs/>
                <w:szCs w:val="16"/>
              </w:rPr>
              <w:t>PKD1L3</w:t>
            </w:r>
            <w:r w:rsidRPr="00D372FF">
              <w:rPr>
                <w:rFonts w:ascii="Palatino" w:eastAsia="Times New Roman" w:hAnsi="Palatino" w:cs="Calibri"/>
                <w:szCs w:val="16"/>
              </w:rPr>
              <w:t xml:space="preserve"> - VUS x 2</w:t>
            </w:r>
          </w:p>
        </w:tc>
        <w:tc>
          <w:tcPr>
            <w:tcW w:w="578" w:type="pct"/>
            <w:gridSpan w:val="2"/>
            <w:vMerge w:val="restart"/>
            <w:tcBorders>
              <w:top w:val="nil"/>
              <w:bottom w:val="single" w:sz="8" w:space="0" w:color="000000"/>
            </w:tcBorders>
            <w:shd w:val="clear" w:color="000000" w:fill="F8CBAD"/>
            <w:vAlign w:val="center"/>
            <w:hideMark/>
          </w:tcPr>
          <w:p w14:paraId="61C7BBC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i/>
                <w:iCs/>
                <w:szCs w:val="16"/>
              </w:rPr>
              <w:t>FOXB2</w:t>
            </w:r>
            <w:r w:rsidRPr="00D372FF">
              <w:rPr>
                <w:rFonts w:ascii="Palatino" w:eastAsia="Times New Roman" w:hAnsi="Palatino" w:cs="Calibri"/>
                <w:szCs w:val="16"/>
              </w:rPr>
              <w:t xml:space="preserve"> </w:t>
            </w:r>
            <w:r w:rsidRPr="00D372FF">
              <w:rPr>
                <w:rFonts w:ascii="Palatino" w:eastAsia="Times New Roman" w:hAnsi="Palatino" w:cs="Calibri"/>
                <w:i/>
                <w:iCs/>
                <w:szCs w:val="16"/>
              </w:rPr>
              <w:t>de novo</w:t>
            </w:r>
            <w:r w:rsidRPr="00D372FF">
              <w:rPr>
                <w:rFonts w:ascii="Palatino" w:eastAsia="Times New Roman" w:hAnsi="Palatino" w:cs="Calibri"/>
                <w:szCs w:val="16"/>
              </w:rPr>
              <w:t xml:space="preserve"> variant - Discounted</w:t>
            </w:r>
            <w:r w:rsidRPr="00D372FF">
              <w:rPr>
                <w:rFonts w:ascii="Palatino" w:eastAsia="Times New Roman" w:hAnsi="Palatino" w:cs="Calibri"/>
                <w:szCs w:val="16"/>
              </w:rPr>
              <w:br/>
            </w:r>
            <w:r w:rsidRPr="00D372FF">
              <w:rPr>
                <w:rFonts w:ascii="Palatino" w:eastAsia="Times New Roman" w:hAnsi="Palatino" w:cs="Calibri"/>
                <w:i/>
                <w:iCs/>
                <w:szCs w:val="16"/>
              </w:rPr>
              <w:t>PKD1L3</w:t>
            </w:r>
            <w:r w:rsidRPr="00D372FF">
              <w:rPr>
                <w:rFonts w:ascii="Palatino" w:eastAsia="Times New Roman" w:hAnsi="Palatino" w:cs="Calibri"/>
                <w:szCs w:val="16"/>
              </w:rPr>
              <w:t xml:space="preserve"> - Not analysed - Tier 3; Exomiser rank 33</w:t>
            </w:r>
          </w:p>
        </w:tc>
      </w:tr>
      <w:tr w:rsidR="00C34963" w:rsidRPr="00A76F86" w14:paraId="460B5A8B" w14:textId="77777777" w:rsidTr="00C34963">
        <w:trPr>
          <w:gridAfter w:val="1"/>
          <w:wAfter w:w="65" w:type="pct"/>
          <w:jc w:val="center"/>
        </w:trPr>
        <w:tc>
          <w:tcPr>
            <w:tcW w:w="249" w:type="pct"/>
            <w:vMerge/>
            <w:tcBorders>
              <w:top w:val="nil"/>
              <w:bottom w:val="single" w:sz="8" w:space="0" w:color="000000"/>
            </w:tcBorders>
            <w:vAlign w:val="center"/>
            <w:hideMark/>
          </w:tcPr>
          <w:p w14:paraId="23456F5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168" w:type="pct"/>
            <w:vMerge/>
            <w:tcBorders>
              <w:top w:val="nil"/>
              <w:bottom w:val="single" w:sz="8" w:space="0" w:color="000000"/>
            </w:tcBorders>
            <w:vAlign w:val="center"/>
            <w:hideMark/>
          </w:tcPr>
          <w:p w14:paraId="39CCE50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490" w:type="pct"/>
            <w:tcBorders>
              <w:top w:val="nil"/>
              <w:bottom w:val="nil"/>
            </w:tcBorders>
            <w:shd w:val="clear" w:color="000000" w:fill="FFF2CC"/>
            <w:vAlign w:val="center"/>
            <w:hideMark/>
          </w:tcPr>
          <w:p w14:paraId="0479F1A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b/>
                <w:bCs/>
                <w:szCs w:val="16"/>
              </w:rPr>
              <w:t xml:space="preserve">VUS: </w:t>
            </w:r>
            <w:r w:rsidRPr="00D372FF">
              <w:rPr>
                <w:rFonts w:ascii="Palatino" w:eastAsia="Times New Roman" w:hAnsi="Palatino" w:cs="Calibri"/>
                <w:i/>
                <w:iCs/>
                <w:szCs w:val="16"/>
              </w:rPr>
              <w:t>PKD1L3</w:t>
            </w:r>
            <w:r w:rsidRPr="00D372FF">
              <w:rPr>
                <w:rFonts w:ascii="Palatino" w:eastAsia="Times New Roman" w:hAnsi="Palatino" w:cs="Calibri"/>
                <w:szCs w:val="16"/>
              </w:rPr>
              <w:t>: 16:71951734:T:G; c.3020A&gt;C; p.Glu1007</w:t>
            </w:r>
            <w:r w:rsidRPr="00D372FF">
              <w:rPr>
                <w:rFonts w:ascii="Palatino" w:eastAsia="Times New Roman" w:hAnsi="Palatino" w:cs="Calibri"/>
                <w:szCs w:val="16"/>
              </w:rPr>
              <w:lastRenderedPageBreak/>
              <w:t xml:space="preserve">Ala (missense). </w:t>
            </w:r>
          </w:p>
          <w:p w14:paraId="5538D73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i/>
                <w:iCs/>
                <w:szCs w:val="16"/>
              </w:rPr>
              <w:t xml:space="preserve">PFK1L3 </w:t>
            </w:r>
            <w:r w:rsidRPr="00D372FF">
              <w:rPr>
                <w:rFonts w:ascii="Palatino" w:eastAsia="Times New Roman" w:hAnsi="Palatino" w:cs="Calibri"/>
                <w:szCs w:val="16"/>
              </w:rPr>
              <w:t>variants are</w:t>
            </w:r>
            <w:r w:rsidRPr="00D372FF">
              <w:rPr>
                <w:rFonts w:ascii="Palatino" w:eastAsia="Times New Roman" w:hAnsi="Palatino" w:cs="Calibri"/>
                <w:i/>
                <w:iCs/>
                <w:szCs w:val="16"/>
              </w:rPr>
              <w:t xml:space="preserve"> in trans.</w:t>
            </w:r>
          </w:p>
        </w:tc>
        <w:tc>
          <w:tcPr>
            <w:tcW w:w="558" w:type="pct"/>
            <w:vMerge/>
            <w:tcBorders>
              <w:top w:val="nil"/>
              <w:bottom w:val="single" w:sz="8" w:space="0" w:color="000000"/>
            </w:tcBorders>
            <w:vAlign w:val="center"/>
            <w:hideMark/>
          </w:tcPr>
          <w:p w14:paraId="00A5CF6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p>
        </w:tc>
        <w:tc>
          <w:tcPr>
            <w:tcW w:w="224" w:type="pct"/>
            <w:vMerge/>
            <w:tcBorders>
              <w:top w:val="nil"/>
              <w:bottom w:val="single" w:sz="8" w:space="0" w:color="000000"/>
            </w:tcBorders>
            <w:vAlign w:val="center"/>
            <w:hideMark/>
          </w:tcPr>
          <w:p w14:paraId="741325A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24" w:type="pct"/>
            <w:vMerge/>
            <w:tcBorders>
              <w:top w:val="nil"/>
              <w:bottom w:val="single" w:sz="8" w:space="0" w:color="000000"/>
            </w:tcBorders>
            <w:vAlign w:val="center"/>
            <w:hideMark/>
          </w:tcPr>
          <w:p w14:paraId="1D98FD3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492" w:type="pct"/>
            <w:vMerge/>
            <w:tcBorders>
              <w:top w:val="nil"/>
              <w:bottom w:val="single" w:sz="8" w:space="0" w:color="000000"/>
            </w:tcBorders>
            <w:vAlign w:val="center"/>
            <w:hideMark/>
          </w:tcPr>
          <w:p w14:paraId="11381D1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47" w:type="pct"/>
            <w:vMerge/>
            <w:tcBorders>
              <w:top w:val="nil"/>
              <w:bottom w:val="single" w:sz="8" w:space="0" w:color="000000"/>
            </w:tcBorders>
            <w:vAlign w:val="center"/>
            <w:hideMark/>
          </w:tcPr>
          <w:p w14:paraId="30C11F4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59" w:type="pct"/>
            <w:vMerge/>
            <w:tcBorders>
              <w:top w:val="nil"/>
              <w:bottom w:val="single" w:sz="8" w:space="0" w:color="000000"/>
            </w:tcBorders>
            <w:shd w:val="clear" w:color="auto" w:fill="F7CAAC" w:themeFill="accent2" w:themeFillTint="66"/>
            <w:vAlign w:val="center"/>
            <w:hideMark/>
          </w:tcPr>
          <w:p w14:paraId="7BDA90E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p>
        </w:tc>
        <w:tc>
          <w:tcPr>
            <w:tcW w:w="308" w:type="pct"/>
            <w:vMerge/>
            <w:tcBorders>
              <w:top w:val="nil"/>
              <w:bottom w:val="single" w:sz="8" w:space="0" w:color="000000"/>
            </w:tcBorders>
            <w:vAlign w:val="center"/>
            <w:hideMark/>
          </w:tcPr>
          <w:p w14:paraId="0AF6F10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p>
        </w:tc>
        <w:tc>
          <w:tcPr>
            <w:tcW w:w="1139" w:type="pct"/>
            <w:vMerge/>
            <w:tcBorders>
              <w:top w:val="nil"/>
              <w:bottom w:val="single" w:sz="8" w:space="0" w:color="000000"/>
            </w:tcBorders>
            <w:vAlign w:val="center"/>
            <w:hideMark/>
          </w:tcPr>
          <w:p w14:paraId="3E884E4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578" w:type="pct"/>
            <w:gridSpan w:val="2"/>
            <w:vMerge/>
            <w:tcBorders>
              <w:top w:val="nil"/>
              <w:bottom w:val="single" w:sz="8" w:space="0" w:color="000000"/>
            </w:tcBorders>
            <w:vAlign w:val="center"/>
            <w:hideMark/>
          </w:tcPr>
          <w:p w14:paraId="0E2F423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r>
      <w:tr w:rsidR="00C34963" w:rsidRPr="00A76F86" w14:paraId="1345D99B" w14:textId="77777777" w:rsidTr="00C34963">
        <w:trPr>
          <w:gridAfter w:val="1"/>
          <w:wAfter w:w="65" w:type="pct"/>
          <w:jc w:val="center"/>
        </w:trPr>
        <w:tc>
          <w:tcPr>
            <w:tcW w:w="249" w:type="pct"/>
            <w:vMerge/>
            <w:tcBorders>
              <w:top w:val="nil"/>
              <w:bottom w:val="single" w:sz="8" w:space="0" w:color="000000"/>
            </w:tcBorders>
            <w:vAlign w:val="center"/>
            <w:hideMark/>
          </w:tcPr>
          <w:p w14:paraId="3C9D734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168" w:type="pct"/>
            <w:vMerge/>
            <w:tcBorders>
              <w:top w:val="nil"/>
              <w:bottom w:val="single" w:sz="8" w:space="0" w:color="000000"/>
            </w:tcBorders>
            <w:vAlign w:val="center"/>
            <w:hideMark/>
          </w:tcPr>
          <w:p w14:paraId="7F5CD43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490" w:type="pct"/>
            <w:tcBorders>
              <w:top w:val="nil"/>
              <w:bottom w:val="single" w:sz="8" w:space="0" w:color="auto"/>
            </w:tcBorders>
            <w:shd w:val="clear" w:color="000000" w:fill="FFF2CC"/>
            <w:vAlign w:val="center"/>
            <w:hideMark/>
          </w:tcPr>
          <w:p w14:paraId="274554B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 </w:t>
            </w:r>
          </w:p>
        </w:tc>
        <w:tc>
          <w:tcPr>
            <w:tcW w:w="558" w:type="pct"/>
            <w:vMerge/>
            <w:tcBorders>
              <w:top w:val="nil"/>
              <w:bottom w:val="single" w:sz="8" w:space="0" w:color="000000"/>
            </w:tcBorders>
            <w:vAlign w:val="center"/>
            <w:hideMark/>
          </w:tcPr>
          <w:p w14:paraId="29D090B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p>
        </w:tc>
        <w:tc>
          <w:tcPr>
            <w:tcW w:w="224" w:type="pct"/>
            <w:vMerge/>
            <w:tcBorders>
              <w:top w:val="nil"/>
              <w:bottom w:val="single" w:sz="8" w:space="0" w:color="000000"/>
            </w:tcBorders>
            <w:vAlign w:val="center"/>
            <w:hideMark/>
          </w:tcPr>
          <w:p w14:paraId="414D270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24" w:type="pct"/>
            <w:vMerge/>
            <w:tcBorders>
              <w:top w:val="nil"/>
              <w:bottom w:val="single" w:sz="8" w:space="0" w:color="000000"/>
            </w:tcBorders>
            <w:vAlign w:val="center"/>
            <w:hideMark/>
          </w:tcPr>
          <w:p w14:paraId="47DE3FB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492" w:type="pct"/>
            <w:vMerge/>
            <w:tcBorders>
              <w:top w:val="nil"/>
              <w:bottom w:val="single" w:sz="8" w:space="0" w:color="000000"/>
            </w:tcBorders>
            <w:vAlign w:val="center"/>
            <w:hideMark/>
          </w:tcPr>
          <w:p w14:paraId="343FD82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47" w:type="pct"/>
            <w:vMerge/>
            <w:tcBorders>
              <w:top w:val="nil"/>
              <w:bottom w:val="single" w:sz="8" w:space="0" w:color="000000"/>
            </w:tcBorders>
            <w:vAlign w:val="center"/>
            <w:hideMark/>
          </w:tcPr>
          <w:p w14:paraId="105332B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59" w:type="pct"/>
            <w:vMerge/>
            <w:tcBorders>
              <w:top w:val="nil"/>
              <w:bottom w:val="single" w:sz="8" w:space="0" w:color="000000"/>
            </w:tcBorders>
            <w:shd w:val="clear" w:color="auto" w:fill="F7CAAC" w:themeFill="accent2" w:themeFillTint="66"/>
            <w:vAlign w:val="center"/>
            <w:hideMark/>
          </w:tcPr>
          <w:p w14:paraId="62CE8B2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p>
        </w:tc>
        <w:tc>
          <w:tcPr>
            <w:tcW w:w="308" w:type="pct"/>
            <w:vMerge/>
            <w:tcBorders>
              <w:top w:val="nil"/>
              <w:bottom w:val="single" w:sz="8" w:space="0" w:color="000000"/>
            </w:tcBorders>
            <w:vAlign w:val="center"/>
            <w:hideMark/>
          </w:tcPr>
          <w:p w14:paraId="28BE034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p>
        </w:tc>
        <w:tc>
          <w:tcPr>
            <w:tcW w:w="1139" w:type="pct"/>
            <w:vMerge/>
            <w:tcBorders>
              <w:top w:val="nil"/>
              <w:bottom w:val="single" w:sz="8" w:space="0" w:color="000000"/>
            </w:tcBorders>
            <w:vAlign w:val="center"/>
            <w:hideMark/>
          </w:tcPr>
          <w:p w14:paraId="1C8FC08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578" w:type="pct"/>
            <w:gridSpan w:val="2"/>
            <w:vMerge/>
            <w:tcBorders>
              <w:top w:val="nil"/>
              <w:bottom w:val="single" w:sz="8" w:space="0" w:color="000000"/>
            </w:tcBorders>
            <w:vAlign w:val="center"/>
            <w:hideMark/>
          </w:tcPr>
          <w:p w14:paraId="51D92AA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r>
      <w:bookmarkEnd w:id="1"/>
      <w:tr w:rsidR="00C34963" w:rsidRPr="00A76F86" w14:paraId="402910D3" w14:textId="77777777" w:rsidTr="00C34963">
        <w:trPr>
          <w:gridAfter w:val="1"/>
          <w:wAfter w:w="65" w:type="pct"/>
          <w:jc w:val="center"/>
        </w:trPr>
        <w:tc>
          <w:tcPr>
            <w:tcW w:w="249" w:type="pct"/>
            <w:vMerge w:val="restart"/>
            <w:tcBorders>
              <w:top w:val="nil"/>
              <w:bottom w:val="single" w:sz="8" w:space="0" w:color="000000"/>
            </w:tcBorders>
            <w:shd w:val="clear" w:color="auto" w:fill="E2EFD9" w:themeFill="accent6" w:themeFillTint="33"/>
            <w:vAlign w:val="center"/>
            <w:hideMark/>
          </w:tcPr>
          <w:p w14:paraId="79B9C4B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FAM_8</w:t>
            </w:r>
          </w:p>
        </w:tc>
        <w:tc>
          <w:tcPr>
            <w:tcW w:w="168" w:type="pct"/>
            <w:vMerge w:val="restart"/>
            <w:tcBorders>
              <w:top w:val="nil"/>
              <w:bottom w:val="single" w:sz="8" w:space="0" w:color="000000"/>
            </w:tcBorders>
            <w:shd w:val="clear" w:color="auto" w:fill="E2EFD9" w:themeFill="accent6" w:themeFillTint="33"/>
            <w:vAlign w:val="center"/>
            <w:hideMark/>
          </w:tcPr>
          <w:p w14:paraId="66BD275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23</w:t>
            </w:r>
          </w:p>
        </w:tc>
        <w:tc>
          <w:tcPr>
            <w:tcW w:w="490" w:type="pct"/>
            <w:tcBorders>
              <w:top w:val="nil"/>
              <w:bottom w:val="nil"/>
            </w:tcBorders>
            <w:shd w:val="clear" w:color="auto" w:fill="FFF2CC" w:themeFill="accent4" w:themeFillTint="33"/>
            <w:vAlign w:val="center"/>
            <w:hideMark/>
          </w:tcPr>
          <w:p w14:paraId="019AA2D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 xml:space="preserve">VUS: </w:t>
            </w:r>
            <w:r w:rsidRPr="00D372FF">
              <w:rPr>
                <w:rFonts w:ascii="Palatino" w:eastAsia="Times New Roman" w:hAnsi="Palatino" w:cs="Calibri"/>
                <w:i/>
                <w:iCs/>
                <w:szCs w:val="16"/>
              </w:rPr>
              <w:t>ZNF91</w:t>
            </w:r>
            <w:r w:rsidRPr="00D372FF">
              <w:rPr>
                <w:rFonts w:ascii="Palatino" w:eastAsia="Times New Roman" w:hAnsi="Palatino" w:cs="Calibri"/>
                <w:szCs w:val="16"/>
              </w:rPr>
              <w:t xml:space="preserve">: 19:23361341:G:C; c.1638C&gt;G;  p.Tyr546Ter (de novo, nonsense). </w:t>
            </w:r>
          </w:p>
        </w:tc>
        <w:tc>
          <w:tcPr>
            <w:tcW w:w="558" w:type="pct"/>
            <w:vMerge w:val="restart"/>
            <w:tcBorders>
              <w:top w:val="nil"/>
              <w:bottom w:val="single" w:sz="8" w:space="0" w:color="000000"/>
            </w:tcBorders>
            <w:shd w:val="clear" w:color="auto" w:fill="FFF2CC" w:themeFill="accent4" w:themeFillTint="33"/>
            <w:vAlign w:val="center"/>
            <w:hideMark/>
          </w:tcPr>
          <w:p w14:paraId="246636C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 xml:space="preserve">ZNF91 </w:t>
            </w:r>
            <w:r w:rsidRPr="00D372FF">
              <w:rPr>
                <w:rFonts w:ascii="Palatino" w:eastAsia="Times New Roman" w:hAnsi="Palatino" w:cs="Calibri"/>
                <w:szCs w:val="16"/>
              </w:rPr>
              <w:t xml:space="preserve">is a novel disease gene. A group is working on this gene and we have joined their case series. The </w:t>
            </w:r>
            <w:r w:rsidRPr="00D372FF">
              <w:rPr>
                <w:rFonts w:ascii="Palatino" w:eastAsia="Times New Roman" w:hAnsi="Palatino" w:cs="Calibri"/>
                <w:i/>
                <w:iCs/>
                <w:szCs w:val="16"/>
              </w:rPr>
              <w:t>SDCCAG8</w:t>
            </w:r>
            <w:r w:rsidRPr="00D372FF">
              <w:rPr>
                <w:rFonts w:ascii="Palatino" w:eastAsia="Times New Roman" w:hAnsi="Palatino" w:cs="Calibri"/>
                <w:szCs w:val="16"/>
              </w:rPr>
              <w:t xml:space="preserve"> variants are </w:t>
            </w:r>
            <w:r w:rsidRPr="00D372FF">
              <w:rPr>
                <w:rFonts w:ascii="Palatino" w:eastAsia="Times New Roman" w:hAnsi="Palatino" w:cs="Calibri"/>
                <w:i/>
                <w:iCs/>
                <w:szCs w:val="16"/>
              </w:rPr>
              <w:t>in trans</w:t>
            </w:r>
            <w:r w:rsidRPr="00D372FF">
              <w:rPr>
                <w:rFonts w:ascii="Palatino" w:eastAsia="Times New Roman" w:hAnsi="Palatino" w:cs="Calibri"/>
                <w:szCs w:val="16"/>
              </w:rPr>
              <w:t xml:space="preserve"> but are not felt to fit with the clinical phenotype.</w:t>
            </w:r>
          </w:p>
        </w:tc>
        <w:tc>
          <w:tcPr>
            <w:tcW w:w="224" w:type="pct"/>
            <w:vMerge w:val="restart"/>
            <w:tcBorders>
              <w:top w:val="nil"/>
              <w:bottom w:val="single" w:sz="8" w:space="0" w:color="000000"/>
            </w:tcBorders>
            <w:shd w:val="clear" w:color="auto" w:fill="FFF2CC" w:themeFill="accent4" w:themeFillTint="33"/>
            <w:vAlign w:val="center"/>
            <w:hideMark/>
          </w:tcPr>
          <w:p w14:paraId="0051136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5</w:t>
            </w:r>
          </w:p>
        </w:tc>
        <w:tc>
          <w:tcPr>
            <w:tcW w:w="224" w:type="pct"/>
            <w:vMerge w:val="restart"/>
            <w:tcBorders>
              <w:top w:val="nil"/>
              <w:bottom w:val="single" w:sz="8" w:space="0" w:color="000000"/>
            </w:tcBorders>
            <w:shd w:val="clear" w:color="auto" w:fill="FFF2CC" w:themeFill="accent4" w:themeFillTint="33"/>
            <w:vAlign w:val="center"/>
            <w:hideMark/>
          </w:tcPr>
          <w:p w14:paraId="4161BC2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3</w:t>
            </w:r>
          </w:p>
        </w:tc>
        <w:tc>
          <w:tcPr>
            <w:tcW w:w="492" w:type="pct"/>
            <w:vMerge w:val="restart"/>
            <w:tcBorders>
              <w:top w:val="single" w:sz="8" w:space="0" w:color="000000"/>
              <w:bottom w:val="single" w:sz="4" w:space="0" w:color="auto"/>
            </w:tcBorders>
            <w:shd w:val="clear" w:color="auto" w:fill="FBE4D5" w:themeFill="accent2" w:themeFillTint="33"/>
            <w:vAlign w:val="center"/>
            <w:hideMark/>
          </w:tcPr>
          <w:p w14:paraId="5D7C1E0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b/>
                <w:bCs/>
                <w:szCs w:val="16"/>
              </w:rPr>
              <w:t>VUS:</w:t>
            </w:r>
            <w:r w:rsidRPr="00D372FF">
              <w:rPr>
                <w:rFonts w:ascii="Palatino" w:eastAsia="Times New Roman" w:hAnsi="Palatino" w:cs="Calibri"/>
                <w:i/>
                <w:iCs/>
                <w:szCs w:val="16"/>
              </w:rPr>
              <w:t xml:space="preserve"> SDCCAG8</w:t>
            </w:r>
            <w:r w:rsidRPr="00D372FF">
              <w:rPr>
                <w:rFonts w:ascii="Palatino" w:eastAsia="Times New Roman" w:hAnsi="Palatino" w:cs="Calibri"/>
                <w:szCs w:val="16"/>
              </w:rPr>
              <w:t>: 14:92449109:A&gt;C,  c.1552A&gt;G, p.Arg518Gly (missense).</w:t>
            </w:r>
          </w:p>
          <w:p w14:paraId="7D994B7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b/>
                <w:bCs/>
                <w:szCs w:val="16"/>
              </w:rPr>
              <w:t>Pathogenic:</w:t>
            </w:r>
            <w:r w:rsidRPr="00D372FF">
              <w:rPr>
                <w:rFonts w:ascii="Palatino" w:eastAsia="Times New Roman" w:hAnsi="Palatino" w:cs="Calibri"/>
                <w:i/>
                <w:iCs/>
                <w:szCs w:val="16"/>
              </w:rPr>
              <w:t xml:space="preserve"> SDCCAG8</w:t>
            </w:r>
            <w:r w:rsidRPr="00D372FF">
              <w:rPr>
                <w:rFonts w:ascii="Palatino" w:eastAsia="Times New Roman" w:hAnsi="Palatino" w:cs="Calibri"/>
                <w:szCs w:val="16"/>
              </w:rPr>
              <w:t>: 1:243341070:TG&gt;T, c.1255del, p.Glu419ArgfsTer43 (frameshift).</w:t>
            </w:r>
          </w:p>
        </w:tc>
        <w:tc>
          <w:tcPr>
            <w:tcW w:w="247" w:type="pct"/>
            <w:vMerge w:val="restart"/>
            <w:tcBorders>
              <w:top w:val="single" w:sz="8" w:space="0" w:color="000000"/>
              <w:bottom w:val="single" w:sz="4" w:space="0" w:color="auto"/>
            </w:tcBorders>
            <w:shd w:val="clear" w:color="auto" w:fill="FBE4D5" w:themeFill="accent2" w:themeFillTint="33"/>
            <w:vAlign w:val="center"/>
            <w:hideMark/>
          </w:tcPr>
          <w:p w14:paraId="7CF0C1E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24</w:t>
            </w:r>
          </w:p>
        </w:tc>
        <w:tc>
          <w:tcPr>
            <w:tcW w:w="259" w:type="pct"/>
            <w:vMerge w:val="restart"/>
            <w:tcBorders>
              <w:top w:val="single" w:sz="8" w:space="0" w:color="000000"/>
            </w:tcBorders>
            <w:shd w:val="clear" w:color="auto" w:fill="F7CAAC" w:themeFill="accent2" w:themeFillTint="66"/>
            <w:noWrap/>
            <w:vAlign w:val="center"/>
            <w:hideMark/>
          </w:tcPr>
          <w:p w14:paraId="3B4CE68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ZNF91</w:t>
            </w:r>
          </w:p>
          <w:p w14:paraId="1034E13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r w:rsidRPr="00D372FF">
              <w:rPr>
                <w:rFonts w:ascii="Palatino" w:eastAsia="Times New Roman" w:hAnsi="Palatino" w:cs="Calibri"/>
                <w:i/>
                <w:iCs/>
                <w:szCs w:val="16"/>
              </w:rPr>
              <w:t>ZNF91</w:t>
            </w:r>
          </w:p>
          <w:p w14:paraId="57B11E2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 </w:t>
            </w:r>
          </w:p>
        </w:tc>
        <w:tc>
          <w:tcPr>
            <w:tcW w:w="308" w:type="pct"/>
            <w:vMerge w:val="restart"/>
            <w:tcBorders>
              <w:top w:val="single" w:sz="8" w:space="0" w:color="000000"/>
              <w:bottom w:val="single" w:sz="4" w:space="0" w:color="auto"/>
            </w:tcBorders>
            <w:shd w:val="clear" w:color="auto" w:fill="F7CAAC" w:themeFill="accent2" w:themeFillTint="66"/>
            <w:noWrap/>
            <w:vAlign w:val="center"/>
            <w:hideMark/>
          </w:tcPr>
          <w:p w14:paraId="40DF6F5A" w14:textId="77777777" w:rsidR="00C369B2" w:rsidRPr="00D372FF" w:rsidRDefault="00C369B2" w:rsidP="00C34963">
            <w:pPr>
              <w:autoSpaceDE w:val="0"/>
              <w:autoSpaceDN w:val="0"/>
              <w:adjustRightInd w:val="0"/>
              <w:snapToGrid w:val="0"/>
              <w:spacing w:line="240" w:lineRule="auto"/>
              <w:jc w:val="center"/>
              <w:rPr>
                <w:rFonts w:ascii="Palatino" w:hAnsi="Palatino" w:cs="Calibri"/>
                <w:color w:val="000000" w:themeColor="text1"/>
                <w:szCs w:val="16"/>
              </w:rPr>
            </w:pPr>
            <w:r w:rsidRPr="00D372FF">
              <w:rPr>
                <w:rFonts w:ascii="Palatino" w:hAnsi="Palatino" w:cs="Calibri"/>
                <w:color w:val="000000" w:themeColor="text1"/>
                <w:szCs w:val="16"/>
              </w:rPr>
              <w:t xml:space="preserve">1. </w:t>
            </w:r>
            <w:r w:rsidRPr="00D372FF">
              <w:rPr>
                <w:rFonts w:ascii="Palatino" w:hAnsi="Palatino" w:cs="Calibri"/>
                <w:i/>
                <w:iCs/>
                <w:color w:val="000000" w:themeColor="text1"/>
                <w:szCs w:val="16"/>
              </w:rPr>
              <w:t>RIN3</w:t>
            </w:r>
            <w:r w:rsidRPr="00D372FF">
              <w:rPr>
                <w:rFonts w:ascii="Palatino" w:hAnsi="Palatino" w:cs="Calibri"/>
                <w:color w:val="000000" w:themeColor="text1"/>
                <w:szCs w:val="16"/>
              </w:rPr>
              <w:br/>
              <w:t xml:space="preserve">2. </w:t>
            </w:r>
            <w:r w:rsidRPr="00D372FF">
              <w:rPr>
                <w:rFonts w:ascii="Palatino" w:hAnsi="Palatino" w:cs="Calibri"/>
                <w:i/>
                <w:iCs/>
                <w:color w:val="000000" w:themeColor="text1"/>
                <w:szCs w:val="16"/>
              </w:rPr>
              <w:t>ERAP2</w:t>
            </w:r>
            <w:r w:rsidRPr="00D372FF">
              <w:rPr>
                <w:rFonts w:ascii="Palatino" w:hAnsi="Palatino" w:cs="Calibri"/>
                <w:color w:val="000000" w:themeColor="text1"/>
                <w:szCs w:val="16"/>
              </w:rPr>
              <w:br/>
              <w:t xml:space="preserve">3. </w:t>
            </w:r>
            <w:r w:rsidRPr="00D372FF">
              <w:rPr>
                <w:rFonts w:ascii="Palatino" w:hAnsi="Palatino" w:cs="Calibri"/>
                <w:i/>
                <w:iCs/>
                <w:color w:val="000000" w:themeColor="text1"/>
                <w:szCs w:val="16"/>
              </w:rPr>
              <w:t>ZNF91</w:t>
            </w:r>
          </w:p>
          <w:p w14:paraId="56BFA2B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color w:val="000000" w:themeColor="text1"/>
                <w:szCs w:val="16"/>
              </w:rPr>
            </w:pPr>
          </w:p>
        </w:tc>
        <w:tc>
          <w:tcPr>
            <w:tcW w:w="1139" w:type="pct"/>
            <w:vMerge w:val="restart"/>
            <w:tcBorders>
              <w:top w:val="single" w:sz="8" w:space="0" w:color="000000"/>
              <w:bottom w:val="single" w:sz="4" w:space="0" w:color="auto"/>
            </w:tcBorders>
            <w:shd w:val="clear" w:color="auto" w:fill="F7CAAC" w:themeFill="accent2" w:themeFillTint="66"/>
            <w:vAlign w:val="center"/>
            <w:hideMark/>
          </w:tcPr>
          <w:p w14:paraId="10D22A3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szCs w:val="16"/>
              </w:rPr>
              <w:t>None</w:t>
            </w:r>
          </w:p>
        </w:tc>
        <w:tc>
          <w:tcPr>
            <w:tcW w:w="578" w:type="pct"/>
            <w:gridSpan w:val="2"/>
            <w:vMerge w:val="restart"/>
            <w:tcBorders>
              <w:top w:val="single" w:sz="8" w:space="0" w:color="000000"/>
              <w:bottom w:val="single" w:sz="4" w:space="0" w:color="auto"/>
            </w:tcBorders>
            <w:shd w:val="clear" w:color="auto" w:fill="F7CAAC" w:themeFill="accent2" w:themeFillTint="66"/>
            <w:noWrap/>
            <w:vAlign w:val="center"/>
            <w:hideMark/>
          </w:tcPr>
          <w:p w14:paraId="69AA2A6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r w:rsidRPr="00D372FF">
              <w:rPr>
                <w:rFonts w:ascii="Palatino" w:eastAsia="Times New Roman" w:hAnsi="Palatino" w:cs="Calibri"/>
                <w:i/>
                <w:iCs/>
                <w:szCs w:val="16"/>
              </w:rPr>
              <w:t>ZNF91</w:t>
            </w:r>
            <w:r w:rsidRPr="00D372FF">
              <w:rPr>
                <w:rFonts w:ascii="Palatino" w:eastAsia="Times New Roman" w:hAnsi="Palatino" w:cs="Calibri"/>
                <w:szCs w:val="16"/>
              </w:rPr>
              <w:t xml:space="preserve"> variant discounted as no established disease association</w:t>
            </w:r>
          </w:p>
        </w:tc>
      </w:tr>
      <w:tr w:rsidR="00C34963" w:rsidRPr="00A76F86" w14:paraId="0374F82B" w14:textId="77777777" w:rsidTr="00C34963">
        <w:trPr>
          <w:gridAfter w:val="1"/>
          <w:wAfter w:w="65" w:type="pct"/>
          <w:jc w:val="center"/>
        </w:trPr>
        <w:tc>
          <w:tcPr>
            <w:tcW w:w="249" w:type="pct"/>
            <w:vMerge/>
            <w:tcBorders>
              <w:top w:val="nil"/>
              <w:bottom w:val="single" w:sz="8" w:space="0" w:color="000000"/>
            </w:tcBorders>
            <w:shd w:val="clear" w:color="auto" w:fill="E2EFD9" w:themeFill="accent6" w:themeFillTint="33"/>
            <w:vAlign w:val="center"/>
            <w:hideMark/>
          </w:tcPr>
          <w:p w14:paraId="027747F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168" w:type="pct"/>
            <w:vMerge/>
            <w:tcBorders>
              <w:top w:val="nil"/>
              <w:bottom w:val="single" w:sz="8" w:space="0" w:color="000000"/>
            </w:tcBorders>
            <w:shd w:val="clear" w:color="auto" w:fill="E2EFD9" w:themeFill="accent6" w:themeFillTint="33"/>
            <w:vAlign w:val="center"/>
            <w:hideMark/>
          </w:tcPr>
          <w:p w14:paraId="3510BC5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490" w:type="pct"/>
            <w:tcBorders>
              <w:top w:val="nil"/>
              <w:bottom w:val="nil"/>
            </w:tcBorders>
            <w:shd w:val="clear" w:color="auto" w:fill="FFF2CC" w:themeFill="accent4" w:themeFillTint="33"/>
            <w:vAlign w:val="center"/>
            <w:hideMark/>
          </w:tcPr>
          <w:p w14:paraId="5E16989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VUS:</w:t>
            </w:r>
            <w:r w:rsidRPr="00D372FF">
              <w:rPr>
                <w:rFonts w:ascii="Palatino" w:eastAsia="Times New Roman" w:hAnsi="Palatino" w:cs="Calibri"/>
                <w:i/>
                <w:iCs/>
                <w:szCs w:val="16"/>
              </w:rPr>
              <w:t xml:space="preserve"> SDCCAG8</w:t>
            </w:r>
            <w:r w:rsidRPr="00D372FF">
              <w:rPr>
                <w:rFonts w:ascii="Palatino" w:eastAsia="Times New Roman" w:hAnsi="Palatino" w:cs="Calibri"/>
                <w:szCs w:val="16"/>
              </w:rPr>
              <w:t>: 14:92449109:A&gt;C,  c.1552A&gt;G, p.Arg518Gly (missense).</w:t>
            </w:r>
          </w:p>
        </w:tc>
        <w:tc>
          <w:tcPr>
            <w:tcW w:w="558" w:type="pct"/>
            <w:vMerge/>
            <w:tcBorders>
              <w:top w:val="nil"/>
              <w:bottom w:val="single" w:sz="8" w:space="0" w:color="000000"/>
            </w:tcBorders>
            <w:shd w:val="clear" w:color="auto" w:fill="FFF2CC" w:themeFill="accent4" w:themeFillTint="33"/>
            <w:vAlign w:val="center"/>
            <w:hideMark/>
          </w:tcPr>
          <w:p w14:paraId="23E7FBA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p>
        </w:tc>
        <w:tc>
          <w:tcPr>
            <w:tcW w:w="224" w:type="pct"/>
            <w:vMerge/>
            <w:tcBorders>
              <w:top w:val="nil"/>
              <w:bottom w:val="single" w:sz="8" w:space="0" w:color="000000"/>
            </w:tcBorders>
            <w:shd w:val="clear" w:color="auto" w:fill="FFF2CC" w:themeFill="accent4" w:themeFillTint="33"/>
            <w:vAlign w:val="center"/>
            <w:hideMark/>
          </w:tcPr>
          <w:p w14:paraId="15ADC44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24" w:type="pct"/>
            <w:vMerge/>
            <w:tcBorders>
              <w:top w:val="nil"/>
              <w:bottom w:val="single" w:sz="8" w:space="0" w:color="000000"/>
            </w:tcBorders>
            <w:shd w:val="clear" w:color="auto" w:fill="FFF2CC" w:themeFill="accent4" w:themeFillTint="33"/>
            <w:vAlign w:val="center"/>
            <w:hideMark/>
          </w:tcPr>
          <w:p w14:paraId="464FC1B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492" w:type="pct"/>
            <w:vMerge/>
            <w:tcBorders>
              <w:top w:val="single" w:sz="4" w:space="0" w:color="auto"/>
              <w:bottom w:val="single" w:sz="4" w:space="0" w:color="auto"/>
            </w:tcBorders>
            <w:shd w:val="clear" w:color="auto" w:fill="FBE4D5" w:themeFill="accent2" w:themeFillTint="33"/>
            <w:vAlign w:val="center"/>
            <w:hideMark/>
          </w:tcPr>
          <w:p w14:paraId="7CC869B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47" w:type="pct"/>
            <w:vMerge/>
            <w:tcBorders>
              <w:top w:val="single" w:sz="4" w:space="0" w:color="auto"/>
              <w:bottom w:val="single" w:sz="4" w:space="0" w:color="auto"/>
            </w:tcBorders>
            <w:shd w:val="clear" w:color="auto" w:fill="FBE4D5" w:themeFill="accent2" w:themeFillTint="33"/>
            <w:vAlign w:val="center"/>
            <w:hideMark/>
          </w:tcPr>
          <w:p w14:paraId="2F8C8D9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59" w:type="pct"/>
            <w:vMerge/>
            <w:shd w:val="clear" w:color="auto" w:fill="F7CAAC" w:themeFill="accent2" w:themeFillTint="66"/>
            <w:noWrap/>
            <w:vAlign w:val="center"/>
            <w:hideMark/>
          </w:tcPr>
          <w:p w14:paraId="3E1F9F5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308" w:type="pct"/>
            <w:vMerge/>
            <w:tcBorders>
              <w:top w:val="single" w:sz="4" w:space="0" w:color="auto"/>
              <w:bottom w:val="single" w:sz="4" w:space="0" w:color="auto"/>
            </w:tcBorders>
            <w:shd w:val="clear" w:color="auto" w:fill="F7CAAC" w:themeFill="accent2" w:themeFillTint="66"/>
            <w:vAlign w:val="center"/>
            <w:hideMark/>
          </w:tcPr>
          <w:p w14:paraId="5E31624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1139" w:type="pct"/>
            <w:vMerge/>
            <w:tcBorders>
              <w:top w:val="single" w:sz="4" w:space="0" w:color="auto"/>
              <w:bottom w:val="single" w:sz="4" w:space="0" w:color="auto"/>
            </w:tcBorders>
            <w:shd w:val="clear" w:color="auto" w:fill="F7CAAC" w:themeFill="accent2" w:themeFillTint="66"/>
            <w:vAlign w:val="center"/>
            <w:hideMark/>
          </w:tcPr>
          <w:p w14:paraId="279490D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578" w:type="pct"/>
            <w:gridSpan w:val="2"/>
            <w:vMerge/>
            <w:tcBorders>
              <w:top w:val="single" w:sz="4" w:space="0" w:color="auto"/>
              <w:bottom w:val="single" w:sz="4" w:space="0" w:color="auto"/>
            </w:tcBorders>
            <w:shd w:val="clear" w:color="auto" w:fill="F7CAAC" w:themeFill="accent2" w:themeFillTint="66"/>
            <w:vAlign w:val="center"/>
            <w:hideMark/>
          </w:tcPr>
          <w:p w14:paraId="0986624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r>
      <w:tr w:rsidR="00C34963" w:rsidRPr="00A76F86" w14:paraId="5B3CF0AE" w14:textId="77777777" w:rsidTr="00C34963">
        <w:trPr>
          <w:gridAfter w:val="1"/>
          <w:wAfter w:w="65" w:type="pct"/>
          <w:jc w:val="center"/>
        </w:trPr>
        <w:tc>
          <w:tcPr>
            <w:tcW w:w="249" w:type="pct"/>
            <w:vMerge/>
            <w:tcBorders>
              <w:top w:val="nil"/>
              <w:bottom w:val="single" w:sz="8" w:space="0" w:color="000000"/>
            </w:tcBorders>
            <w:shd w:val="clear" w:color="auto" w:fill="E2EFD9" w:themeFill="accent6" w:themeFillTint="33"/>
            <w:vAlign w:val="center"/>
            <w:hideMark/>
          </w:tcPr>
          <w:p w14:paraId="396129D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168" w:type="pct"/>
            <w:vMerge/>
            <w:tcBorders>
              <w:top w:val="nil"/>
              <w:bottom w:val="single" w:sz="8" w:space="0" w:color="000000"/>
            </w:tcBorders>
            <w:shd w:val="clear" w:color="auto" w:fill="E2EFD9" w:themeFill="accent6" w:themeFillTint="33"/>
            <w:vAlign w:val="center"/>
            <w:hideMark/>
          </w:tcPr>
          <w:p w14:paraId="5F8EFAF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490" w:type="pct"/>
            <w:tcBorders>
              <w:top w:val="nil"/>
              <w:bottom w:val="single" w:sz="8" w:space="0" w:color="auto"/>
            </w:tcBorders>
            <w:shd w:val="clear" w:color="auto" w:fill="FFF2CC" w:themeFill="accent4" w:themeFillTint="33"/>
            <w:vAlign w:val="center"/>
            <w:hideMark/>
          </w:tcPr>
          <w:p w14:paraId="0B3FAC9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b/>
                <w:bCs/>
                <w:szCs w:val="16"/>
              </w:rPr>
              <w:t>Pathogenic:</w:t>
            </w:r>
            <w:r w:rsidRPr="00D372FF">
              <w:rPr>
                <w:rFonts w:ascii="Palatino" w:eastAsia="Times New Roman" w:hAnsi="Palatino" w:cs="Calibri"/>
                <w:i/>
                <w:iCs/>
                <w:szCs w:val="16"/>
              </w:rPr>
              <w:t xml:space="preserve"> SDCCAG8</w:t>
            </w:r>
            <w:r w:rsidRPr="00D372FF">
              <w:rPr>
                <w:rFonts w:ascii="Palatino" w:eastAsia="Times New Roman" w:hAnsi="Palatino" w:cs="Calibri"/>
                <w:szCs w:val="16"/>
              </w:rPr>
              <w:t>: 1:243341070:TG&gt;T, c.1255del, p.Glu419ArgfsTer43 (frameshift).</w:t>
            </w:r>
          </w:p>
          <w:p w14:paraId="24CD70F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6"/>
              </w:rPr>
            </w:pPr>
            <w:r w:rsidRPr="00D372FF">
              <w:rPr>
                <w:rFonts w:ascii="Palatino" w:eastAsia="Times New Roman" w:hAnsi="Palatino" w:cs="Calibri"/>
                <w:szCs w:val="16"/>
              </w:rPr>
              <w:t xml:space="preserve"> </w:t>
            </w:r>
          </w:p>
        </w:tc>
        <w:tc>
          <w:tcPr>
            <w:tcW w:w="558" w:type="pct"/>
            <w:vMerge/>
            <w:tcBorders>
              <w:top w:val="nil"/>
              <w:bottom w:val="single" w:sz="8" w:space="0" w:color="000000"/>
            </w:tcBorders>
            <w:shd w:val="clear" w:color="auto" w:fill="FFF2CC" w:themeFill="accent4" w:themeFillTint="33"/>
            <w:vAlign w:val="center"/>
            <w:hideMark/>
          </w:tcPr>
          <w:p w14:paraId="7874094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6"/>
              </w:rPr>
            </w:pPr>
          </w:p>
        </w:tc>
        <w:tc>
          <w:tcPr>
            <w:tcW w:w="224" w:type="pct"/>
            <w:vMerge/>
            <w:tcBorders>
              <w:top w:val="nil"/>
              <w:bottom w:val="single" w:sz="8" w:space="0" w:color="000000"/>
            </w:tcBorders>
            <w:shd w:val="clear" w:color="auto" w:fill="FFF2CC" w:themeFill="accent4" w:themeFillTint="33"/>
            <w:vAlign w:val="center"/>
            <w:hideMark/>
          </w:tcPr>
          <w:p w14:paraId="1694B63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24" w:type="pct"/>
            <w:vMerge/>
            <w:tcBorders>
              <w:top w:val="nil"/>
              <w:bottom w:val="single" w:sz="8" w:space="0" w:color="000000"/>
            </w:tcBorders>
            <w:shd w:val="clear" w:color="auto" w:fill="FFF2CC" w:themeFill="accent4" w:themeFillTint="33"/>
            <w:vAlign w:val="center"/>
            <w:hideMark/>
          </w:tcPr>
          <w:p w14:paraId="621E681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492" w:type="pct"/>
            <w:vMerge/>
            <w:tcBorders>
              <w:top w:val="single" w:sz="4" w:space="0" w:color="auto"/>
              <w:bottom w:val="single" w:sz="8" w:space="0" w:color="000000"/>
            </w:tcBorders>
            <w:shd w:val="clear" w:color="auto" w:fill="FBE4D5" w:themeFill="accent2" w:themeFillTint="33"/>
            <w:vAlign w:val="center"/>
            <w:hideMark/>
          </w:tcPr>
          <w:p w14:paraId="438B2E1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47" w:type="pct"/>
            <w:vMerge/>
            <w:tcBorders>
              <w:top w:val="single" w:sz="4" w:space="0" w:color="auto"/>
              <w:bottom w:val="single" w:sz="8" w:space="0" w:color="000000"/>
            </w:tcBorders>
            <w:shd w:val="clear" w:color="auto" w:fill="FBE4D5" w:themeFill="accent2" w:themeFillTint="33"/>
            <w:vAlign w:val="center"/>
            <w:hideMark/>
          </w:tcPr>
          <w:p w14:paraId="4D7400F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259" w:type="pct"/>
            <w:vMerge/>
            <w:tcBorders>
              <w:bottom w:val="single" w:sz="8" w:space="0" w:color="auto"/>
            </w:tcBorders>
            <w:shd w:val="clear" w:color="auto" w:fill="F7CAAC" w:themeFill="accent2" w:themeFillTint="66"/>
            <w:noWrap/>
            <w:vAlign w:val="center"/>
            <w:hideMark/>
          </w:tcPr>
          <w:p w14:paraId="76570BE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308" w:type="pct"/>
            <w:vMerge/>
            <w:tcBorders>
              <w:top w:val="single" w:sz="4" w:space="0" w:color="auto"/>
              <w:bottom w:val="single" w:sz="8" w:space="0" w:color="000000"/>
            </w:tcBorders>
            <w:shd w:val="clear" w:color="auto" w:fill="F7CAAC" w:themeFill="accent2" w:themeFillTint="66"/>
            <w:vAlign w:val="center"/>
            <w:hideMark/>
          </w:tcPr>
          <w:p w14:paraId="047091E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1139" w:type="pct"/>
            <w:vMerge/>
            <w:tcBorders>
              <w:top w:val="single" w:sz="4" w:space="0" w:color="auto"/>
              <w:bottom w:val="single" w:sz="8" w:space="0" w:color="000000"/>
            </w:tcBorders>
            <w:shd w:val="clear" w:color="auto" w:fill="F7CAAC" w:themeFill="accent2" w:themeFillTint="66"/>
            <w:vAlign w:val="center"/>
            <w:hideMark/>
          </w:tcPr>
          <w:p w14:paraId="6D99536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578" w:type="pct"/>
            <w:gridSpan w:val="2"/>
            <w:vMerge/>
            <w:tcBorders>
              <w:top w:val="single" w:sz="4" w:space="0" w:color="auto"/>
              <w:bottom w:val="single" w:sz="8" w:space="0" w:color="000000"/>
            </w:tcBorders>
            <w:shd w:val="clear" w:color="auto" w:fill="F7CAAC" w:themeFill="accent2" w:themeFillTint="66"/>
            <w:vAlign w:val="center"/>
            <w:hideMark/>
          </w:tcPr>
          <w:p w14:paraId="2E21A17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r>
      <w:tr w:rsidR="00C34963" w:rsidRPr="00A76F86" w14:paraId="617644BA" w14:textId="77777777" w:rsidTr="00C34963">
        <w:trPr>
          <w:jc w:val="center"/>
        </w:trPr>
        <w:tc>
          <w:tcPr>
            <w:tcW w:w="249" w:type="pct"/>
            <w:tcBorders>
              <w:top w:val="nil"/>
              <w:left w:val="nil"/>
              <w:bottom w:val="nil"/>
              <w:right w:val="nil"/>
            </w:tcBorders>
            <w:shd w:val="clear" w:color="auto" w:fill="auto"/>
            <w:noWrap/>
            <w:vAlign w:val="center"/>
            <w:hideMark/>
          </w:tcPr>
          <w:p w14:paraId="4BEA2CD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6"/>
              </w:rPr>
            </w:pPr>
          </w:p>
        </w:tc>
        <w:tc>
          <w:tcPr>
            <w:tcW w:w="168" w:type="pct"/>
            <w:tcBorders>
              <w:top w:val="nil"/>
              <w:left w:val="nil"/>
              <w:bottom w:val="nil"/>
              <w:right w:val="nil"/>
            </w:tcBorders>
            <w:shd w:val="clear" w:color="auto" w:fill="auto"/>
            <w:noWrap/>
            <w:vAlign w:val="center"/>
            <w:hideMark/>
          </w:tcPr>
          <w:p w14:paraId="71C7D21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490" w:type="pct"/>
            <w:tcBorders>
              <w:top w:val="nil"/>
              <w:left w:val="nil"/>
              <w:bottom w:val="nil"/>
              <w:right w:val="nil"/>
            </w:tcBorders>
            <w:shd w:val="clear" w:color="auto" w:fill="auto"/>
            <w:noWrap/>
            <w:vAlign w:val="center"/>
            <w:hideMark/>
          </w:tcPr>
          <w:p w14:paraId="19D43C0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558" w:type="pct"/>
            <w:tcBorders>
              <w:top w:val="nil"/>
              <w:left w:val="nil"/>
              <w:bottom w:val="nil"/>
              <w:right w:val="nil"/>
            </w:tcBorders>
            <w:shd w:val="clear" w:color="auto" w:fill="auto"/>
            <w:noWrap/>
            <w:vAlign w:val="center"/>
            <w:hideMark/>
          </w:tcPr>
          <w:p w14:paraId="7E0F0FA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224" w:type="pct"/>
            <w:tcBorders>
              <w:top w:val="nil"/>
              <w:left w:val="nil"/>
              <w:bottom w:val="nil"/>
              <w:right w:val="nil"/>
            </w:tcBorders>
            <w:shd w:val="clear" w:color="auto" w:fill="auto"/>
            <w:noWrap/>
            <w:vAlign w:val="center"/>
            <w:hideMark/>
          </w:tcPr>
          <w:p w14:paraId="22D7C42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224" w:type="pct"/>
            <w:tcBorders>
              <w:top w:val="nil"/>
              <w:left w:val="nil"/>
              <w:bottom w:val="nil"/>
              <w:right w:val="nil"/>
            </w:tcBorders>
            <w:shd w:val="clear" w:color="auto" w:fill="auto"/>
            <w:noWrap/>
            <w:vAlign w:val="center"/>
            <w:hideMark/>
          </w:tcPr>
          <w:p w14:paraId="4A8D8B7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492" w:type="pct"/>
            <w:tcBorders>
              <w:top w:val="nil"/>
              <w:left w:val="nil"/>
              <w:bottom w:val="nil"/>
              <w:right w:val="nil"/>
            </w:tcBorders>
            <w:shd w:val="clear" w:color="auto" w:fill="auto"/>
            <w:noWrap/>
            <w:vAlign w:val="center"/>
            <w:hideMark/>
          </w:tcPr>
          <w:p w14:paraId="332B8ED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247" w:type="pct"/>
            <w:tcBorders>
              <w:top w:val="nil"/>
              <w:left w:val="nil"/>
              <w:bottom w:val="nil"/>
              <w:right w:val="nil"/>
            </w:tcBorders>
            <w:shd w:val="clear" w:color="auto" w:fill="auto"/>
            <w:noWrap/>
            <w:vAlign w:val="center"/>
            <w:hideMark/>
          </w:tcPr>
          <w:p w14:paraId="2913ED0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259" w:type="pct"/>
            <w:tcBorders>
              <w:top w:val="nil"/>
              <w:left w:val="nil"/>
              <w:bottom w:val="nil"/>
              <w:right w:val="nil"/>
            </w:tcBorders>
            <w:shd w:val="clear" w:color="auto" w:fill="auto"/>
            <w:noWrap/>
            <w:vAlign w:val="center"/>
            <w:hideMark/>
          </w:tcPr>
          <w:p w14:paraId="7C79095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308" w:type="pct"/>
            <w:tcBorders>
              <w:top w:val="nil"/>
              <w:left w:val="nil"/>
              <w:bottom w:val="nil"/>
              <w:right w:val="nil"/>
            </w:tcBorders>
            <w:shd w:val="clear" w:color="auto" w:fill="auto"/>
            <w:noWrap/>
            <w:vAlign w:val="center"/>
            <w:hideMark/>
          </w:tcPr>
          <w:p w14:paraId="4A68731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1139" w:type="pct"/>
            <w:tcBorders>
              <w:top w:val="nil"/>
              <w:left w:val="nil"/>
              <w:bottom w:val="nil"/>
              <w:right w:val="nil"/>
            </w:tcBorders>
            <w:shd w:val="clear" w:color="auto" w:fill="auto"/>
            <w:noWrap/>
            <w:vAlign w:val="center"/>
            <w:hideMark/>
          </w:tcPr>
          <w:p w14:paraId="24136E5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442" w:type="pct"/>
            <w:tcBorders>
              <w:top w:val="nil"/>
              <w:left w:val="nil"/>
              <w:bottom w:val="nil"/>
              <w:right w:val="nil"/>
            </w:tcBorders>
            <w:shd w:val="clear" w:color="auto" w:fill="auto"/>
            <w:noWrap/>
            <w:vAlign w:val="center"/>
            <w:hideMark/>
          </w:tcPr>
          <w:p w14:paraId="187D535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136" w:type="pct"/>
            <w:tcBorders>
              <w:top w:val="nil"/>
              <w:left w:val="nil"/>
              <w:bottom w:val="nil"/>
              <w:right w:val="nil"/>
            </w:tcBorders>
            <w:shd w:val="clear" w:color="auto" w:fill="auto"/>
            <w:vAlign w:val="center"/>
            <w:hideMark/>
          </w:tcPr>
          <w:p w14:paraId="1AF389A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65" w:type="pct"/>
            <w:tcBorders>
              <w:top w:val="nil"/>
              <w:left w:val="nil"/>
              <w:bottom w:val="nil"/>
              <w:right w:val="nil"/>
            </w:tcBorders>
            <w:shd w:val="clear" w:color="auto" w:fill="auto"/>
            <w:noWrap/>
            <w:vAlign w:val="center"/>
            <w:hideMark/>
          </w:tcPr>
          <w:p w14:paraId="0BF56D7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r>
      <w:tr w:rsidR="00C34963" w:rsidRPr="00A76F86" w14:paraId="0A0BDE00" w14:textId="77777777" w:rsidTr="00C34963">
        <w:trPr>
          <w:jc w:val="center"/>
        </w:trPr>
        <w:tc>
          <w:tcPr>
            <w:tcW w:w="249" w:type="pct"/>
            <w:tcBorders>
              <w:top w:val="nil"/>
              <w:left w:val="nil"/>
              <w:bottom w:val="single" w:sz="8" w:space="0" w:color="auto"/>
              <w:right w:val="nil"/>
            </w:tcBorders>
            <w:shd w:val="clear" w:color="auto" w:fill="auto"/>
            <w:noWrap/>
            <w:vAlign w:val="center"/>
            <w:hideMark/>
          </w:tcPr>
          <w:p w14:paraId="1137782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168" w:type="pct"/>
            <w:tcBorders>
              <w:top w:val="nil"/>
              <w:left w:val="nil"/>
              <w:bottom w:val="single" w:sz="8" w:space="0" w:color="auto"/>
              <w:right w:val="nil"/>
            </w:tcBorders>
            <w:shd w:val="clear" w:color="auto" w:fill="auto"/>
            <w:noWrap/>
            <w:vAlign w:val="center"/>
            <w:hideMark/>
          </w:tcPr>
          <w:p w14:paraId="1808345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490" w:type="pct"/>
            <w:tcBorders>
              <w:top w:val="nil"/>
              <w:left w:val="nil"/>
              <w:bottom w:val="single" w:sz="8" w:space="0" w:color="auto"/>
              <w:right w:val="nil"/>
            </w:tcBorders>
            <w:shd w:val="clear" w:color="auto" w:fill="auto"/>
            <w:noWrap/>
            <w:vAlign w:val="center"/>
            <w:hideMark/>
          </w:tcPr>
          <w:p w14:paraId="0DCC1FA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558" w:type="pct"/>
            <w:tcBorders>
              <w:top w:val="nil"/>
              <w:left w:val="nil"/>
              <w:bottom w:val="single" w:sz="8" w:space="0" w:color="auto"/>
              <w:right w:val="nil"/>
            </w:tcBorders>
            <w:shd w:val="clear" w:color="auto" w:fill="auto"/>
            <w:noWrap/>
            <w:vAlign w:val="center"/>
            <w:hideMark/>
          </w:tcPr>
          <w:p w14:paraId="6AE833A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224" w:type="pct"/>
            <w:tcBorders>
              <w:top w:val="nil"/>
              <w:left w:val="nil"/>
              <w:bottom w:val="single" w:sz="8" w:space="0" w:color="auto"/>
              <w:right w:val="nil"/>
            </w:tcBorders>
            <w:shd w:val="clear" w:color="auto" w:fill="auto"/>
            <w:noWrap/>
            <w:vAlign w:val="center"/>
            <w:hideMark/>
          </w:tcPr>
          <w:p w14:paraId="69122E2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224" w:type="pct"/>
            <w:tcBorders>
              <w:top w:val="nil"/>
              <w:left w:val="nil"/>
              <w:bottom w:val="single" w:sz="8" w:space="0" w:color="auto"/>
              <w:right w:val="nil"/>
            </w:tcBorders>
            <w:shd w:val="clear" w:color="auto" w:fill="auto"/>
            <w:noWrap/>
            <w:vAlign w:val="center"/>
            <w:hideMark/>
          </w:tcPr>
          <w:p w14:paraId="7982BAF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492" w:type="pct"/>
            <w:tcBorders>
              <w:top w:val="nil"/>
              <w:left w:val="nil"/>
              <w:bottom w:val="single" w:sz="8" w:space="0" w:color="auto"/>
              <w:right w:val="nil"/>
            </w:tcBorders>
            <w:shd w:val="clear" w:color="auto" w:fill="auto"/>
            <w:noWrap/>
            <w:vAlign w:val="center"/>
            <w:hideMark/>
          </w:tcPr>
          <w:p w14:paraId="274C1D5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247" w:type="pct"/>
            <w:tcBorders>
              <w:top w:val="nil"/>
              <w:left w:val="nil"/>
              <w:bottom w:val="single" w:sz="8" w:space="0" w:color="auto"/>
              <w:right w:val="nil"/>
            </w:tcBorders>
            <w:shd w:val="clear" w:color="auto" w:fill="auto"/>
            <w:noWrap/>
            <w:vAlign w:val="center"/>
            <w:hideMark/>
          </w:tcPr>
          <w:p w14:paraId="2E0DF9F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259" w:type="pct"/>
            <w:tcBorders>
              <w:top w:val="nil"/>
              <w:left w:val="nil"/>
              <w:bottom w:val="single" w:sz="8" w:space="0" w:color="auto"/>
              <w:right w:val="nil"/>
            </w:tcBorders>
            <w:shd w:val="clear" w:color="auto" w:fill="auto"/>
            <w:noWrap/>
            <w:vAlign w:val="center"/>
            <w:hideMark/>
          </w:tcPr>
          <w:p w14:paraId="693AE8B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308" w:type="pct"/>
            <w:tcBorders>
              <w:top w:val="nil"/>
              <w:left w:val="nil"/>
              <w:bottom w:val="single" w:sz="8" w:space="0" w:color="auto"/>
              <w:right w:val="nil"/>
            </w:tcBorders>
            <w:shd w:val="clear" w:color="auto" w:fill="auto"/>
            <w:noWrap/>
            <w:vAlign w:val="center"/>
            <w:hideMark/>
          </w:tcPr>
          <w:p w14:paraId="13FDD37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1139" w:type="pct"/>
            <w:tcBorders>
              <w:top w:val="nil"/>
              <w:left w:val="nil"/>
              <w:bottom w:val="single" w:sz="8" w:space="0" w:color="auto"/>
              <w:right w:val="nil"/>
            </w:tcBorders>
            <w:shd w:val="clear" w:color="auto" w:fill="auto"/>
            <w:noWrap/>
            <w:vAlign w:val="center"/>
            <w:hideMark/>
          </w:tcPr>
          <w:p w14:paraId="0BA5B40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442" w:type="pct"/>
            <w:tcBorders>
              <w:top w:val="nil"/>
              <w:left w:val="nil"/>
              <w:bottom w:val="single" w:sz="8" w:space="0" w:color="auto"/>
              <w:right w:val="nil"/>
            </w:tcBorders>
            <w:shd w:val="clear" w:color="auto" w:fill="auto"/>
            <w:noWrap/>
            <w:vAlign w:val="center"/>
            <w:hideMark/>
          </w:tcPr>
          <w:p w14:paraId="6EF739F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136" w:type="pct"/>
            <w:tcBorders>
              <w:top w:val="nil"/>
              <w:left w:val="nil"/>
              <w:bottom w:val="single" w:sz="8" w:space="0" w:color="auto"/>
              <w:right w:val="nil"/>
            </w:tcBorders>
            <w:shd w:val="clear" w:color="auto" w:fill="auto"/>
            <w:vAlign w:val="center"/>
            <w:hideMark/>
          </w:tcPr>
          <w:p w14:paraId="1D76B98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c>
          <w:tcPr>
            <w:tcW w:w="65" w:type="pct"/>
            <w:tcBorders>
              <w:top w:val="nil"/>
              <w:left w:val="nil"/>
              <w:bottom w:val="single" w:sz="8" w:space="0" w:color="auto"/>
              <w:right w:val="nil"/>
            </w:tcBorders>
            <w:shd w:val="clear" w:color="auto" w:fill="auto"/>
            <w:noWrap/>
            <w:vAlign w:val="center"/>
            <w:hideMark/>
          </w:tcPr>
          <w:p w14:paraId="6EB7538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rPr>
            </w:pPr>
          </w:p>
        </w:tc>
      </w:tr>
    </w:tbl>
    <w:p w14:paraId="1AA4E210" w14:textId="1B6F0366" w:rsidR="00C369B2" w:rsidRPr="00C34963" w:rsidRDefault="00C369B2" w:rsidP="00C34963">
      <w:pPr>
        <w:pStyle w:val="MDPI43tablefooter"/>
        <w:spacing w:after="240"/>
      </w:pPr>
      <w:r w:rsidRPr="00C34963">
        <w:t>FamID – Family ID; MME – matchmaker exchange; NA – not applicable; ProID – Proband ID; VUS – variant of uncertain significance.</w:t>
      </w:r>
    </w:p>
    <w:p w14:paraId="42813CBB" w14:textId="7E2F76D1" w:rsidR="00C369B2" w:rsidRPr="00C34963" w:rsidRDefault="00C34963" w:rsidP="00C34963">
      <w:pPr>
        <w:pStyle w:val="MDPI41tablecaption"/>
        <w:jc w:val="both"/>
      </w:pPr>
      <w:r w:rsidRPr="00C34963">
        <w:rPr>
          <w:b/>
          <w:bCs/>
        </w:rPr>
        <w:t xml:space="preserve">Table 4. </w:t>
      </w:r>
      <w:r w:rsidR="00C369B2" w:rsidRPr="00C34963">
        <w:t xml:space="preserve">| Details of 14 variants reported by the research exome study meeting </w:t>
      </w:r>
      <w:proofErr w:type="spellStart"/>
      <w:r w:rsidR="00C369B2" w:rsidRPr="00C34963">
        <w:t>prioritisation</w:t>
      </w:r>
      <w:proofErr w:type="spellEnd"/>
      <w:r w:rsidR="00C369B2" w:rsidRPr="00C34963">
        <w:t xml:space="preserve"> criteria</w:t>
      </w:r>
      <w:r>
        <w:t>.</w:t>
      </w:r>
    </w:p>
    <w:tbl>
      <w:tblPr>
        <w:tblW w:w="10465" w:type="dxa"/>
        <w:jc w:val="center"/>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987"/>
        <w:gridCol w:w="453"/>
        <w:gridCol w:w="626"/>
        <w:gridCol w:w="444"/>
        <w:gridCol w:w="257"/>
        <w:gridCol w:w="289"/>
        <w:gridCol w:w="1499"/>
        <w:gridCol w:w="906"/>
        <w:gridCol w:w="362"/>
        <w:gridCol w:w="327"/>
        <w:gridCol w:w="448"/>
        <w:gridCol w:w="887"/>
        <w:gridCol w:w="276"/>
        <w:gridCol w:w="890"/>
        <w:gridCol w:w="324"/>
        <w:gridCol w:w="722"/>
        <w:gridCol w:w="324"/>
        <w:gridCol w:w="444"/>
      </w:tblGrid>
      <w:tr w:rsidR="00C34963" w:rsidRPr="00A76F86" w14:paraId="734EBC8E" w14:textId="77777777" w:rsidTr="00C34963">
        <w:trPr>
          <w:jc w:val="center"/>
        </w:trPr>
        <w:tc>
          <w:tcPr>
            <w:tcW w:w="471" w:type="pct"/>
            <w:shd w:val="clear" w:color="auto" w:fill="auto"/>
            <w:noWrap/>
            <w:vAlign w:val="center"/>
            <w:hideMark/>
          </w:tcPr>
          <w:p w14:paraId="73039F4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Variant</w:t>
            </w:r>
          </w:p>
        </w:tc>
        <w:tc>
          <w:tcPr>
            <w:tcW w:w="216" w:type="pct"/>
            <w:shd w:val="clear" w:color="auto" w:fill="auto"/>
            <w:noWrap/>
            <w:vAlign w:val="center"/>
            <w:hideMark/>
          </w:tcPr>
          <w:p w14:paraId="6D01923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Gene</w:t>
            </w:r>
          </w:p>
        </w:tc>
        <w:tc>
          <w:tcPr>
            <w:tcW w:w="299" w:type="pct"/>
            <w:shd w:val="clear" w:color="auto" w:fill="auto"/>
            <w:noWrap/>
            <w:vAlign w:val="center"/>
            <w:hideMark/>
          </w:tcPr>
          <w:p w14:paraId="705285A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Consequence</w:t>
            </w:r>
          </w:p>
        </w:tc>
        <w:tc>
          <w:tcPr>
            <w:tcW w:w="212" w:type="pct"/>
            <w:shd w:val="clear" w:color="auto" w:fill="auto"/>
            <w:noWrap/>
            <w:vAlign w:val="center"/>
            <w:hideMark/>
          </w:tcPr>
          <w:p w14:paraId="28DED48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gnomAD</w:t>
            </w:r>
          </w:p>
        </w:tc>
        <w:tc>
          <w:tcPr>
            <w:tcW w:w="123" w:type="pct"/>
            <w:shd w:val="clear" w:color="auto" w:fill="auto"/>
            <w:noWrap/>
            <w:vAlign w:val="center"/>
            <w:hideMark/>
          </w:tcPr>
          <w:p w14:paraId="078D009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cadd</w:t>
            </w:r>
          </w:p>
        </w:tc>
        <w:tc>
          <w:tcPr>
            <w:tcW w:w="138" w:type="pct"/>
            <w:shd w:val="clear" w:color="auto" w:fill="auto"/>
            <w:noWrap/>
            <w:vAlign w:val="center"/>
            <w:hideMark/>
          </w:tcPr>
          <w:p w14:paraId="475B57E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revel</w:t>
            </w:r>
          </w:p>
        </w:tc>
        <w:tc>
          <w:tcPr>
            <w:tcW w:w="716" w:type="pct"/>
            <w:shd w:val="clear" w:color="auto" w:fill="auto"/>
            <w:noWrap/>
            <w:vAlign w:val="center"/>
            <w:hideMark/>
          </w:tcPr>
          <w:p w14:paraId="1647E64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hgvsc</w:t>
            </w:r>
          </w:p>
        </w:tc>
        <w:tc>
          <w:tcPr>
            <w:tcW w:w="433" w:type="pct"/>
            <w:shd w:val="clear" w:color="auto" w:fill="auto"/>
            <w:noWrap/>
            <w:vAlign w:val="center"/>
            <w:hideMark/>
          </w:tcPr>
          <w:p w14:paraId="5F58FAF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hgvsp</w:t>
            </w:r>
          </w:p>
        </w:tc>
        <w:tc>
          <w:tcPr>
            <w:tcW w:w="173" w:type="pct"/>
            <w:shd w:val="clear" w:color="auto" w:fill="auto"/>
            <w:noWrap/>
            <w:vAlign w:val="center"/>
            <w:hideMark/>
          </w:tcPr>
          <w:p w14:paraId="73A0CE2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ClinVar</w:t>
            </w:r>
          </w:p>
        </w:tc>
        <w:tc>
          <w:tcPr>
            <w:tcW w:w="156" w:type="pct"/>
            <w:shd w:val="clear" w:color="auto" w:fill="auto"/>
            <w:noWrap/>
            <w:vAlign w:val="center"/>
            <w:hideMark/>
          </w:tcPr>
          <w:p w14:paraId="7B1110F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ACMG</w:t>
            </w:r>
          </w:p>
        </w:tc>
        <w:tc>
          <w:tcPr>
            <w:tcW w:w="214" w:type="pct"/>
            <w:shd w:val="clear" w:color="auto" w:fill="auto"/>
            <w:noWrap/>
            <w:vAlign w:val="center"/>
            <w:hideMark/>
          </w:tcPr>
          <w:p w14:paraId="58C3F40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FamID</w:t>
            </w:r>
          </w:p>
        </w:tc>
        <w:tc>
          <w:tcPr>
            <w:tcW w:w="424" w:type="pct"/>
            <w:shd w:val="clear" w:color="auto" w:fill="auto"/>
            <w:noWrap/>
            <w:vAlign w:val="center"/>
            <w:hideMark/>
          </w:tcPr>
          <w:p w14:paraId="70764BF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ProbandID</w:t>
            </w:r>
          </w:p>
        </w:tc>
        <w:tc>
          <w:tcPr>
            <w:tcW w:w="132" w:type="pct"/>
            <w:shd w:val="clear" w:color="auto" w:fill="auto"/>
            <w:noWrap/>
            <w:vAlign w:val="center"/>
            <w:hideMark/>
          </w:tcPr>
          <w:p w14:paraId="054E551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P_AC</w:t>
            </w:r>
          </w:p>
        </w:tc>
        <w:tc>
          <w:tcPr>
            <w:tcW w:w="425" w:type="pct"/>
            <w:shd w:val="clear" w:color="auto" w:fill="auto"/>
            <w:noWrap/>
            <w:vAlign w:val="center"/>
            <w:hideMark/>
          </w:tcPr>
          <w:p w14:paraId="2923637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Sample_2</w:t>
            </w:r>
          </w:p>
        </w:tc>
        <w:tc>
          <w:tcPr>
            <w:tcW w:w="155" w:type="pct"/>
            <w:shd w:val="clear" w:color="auto" w:fill="auto"/>
            <w:noWrap/>
            <w:vAlign w:val="center"/>
            <w:hideMark/>
          </w:tcPr>
          <w:p w14:paraId="4DAACB3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S2_AC</w:t>
            </w:r>
          </w:p>
        </w:tc>
        <w:tc>
          <w:tcPr>
            <w:tcW w:w="345" w:type="pct"/>
            <w:shd w:val="clear" w:color="auto" w:fill="auto"/>
            <w:noWrap/>
            <w:vAlign w:val="center"/>
            <w:hideMark/>
          </w:tcPr>
          <w:p w14:paraId="2C426BF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Sample_3</w:t>
            </w:r>
          </w:p>
        </w:tc>
        <w:tc>
          <w:tcPr>
            <w:tcW w:w="155" w:type="pct"/>
            <w:shd w:val="clear" w:color="auto" w:fill="auto"/>
            <w:noWrap/>
            <w:vAlign w:val="center"/>
            <w:hideMark/>
          </w:tcPr>
          <w:p w14:paraId="0B35006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S3_AC</w:t>
            </w:r>
          </w:p>
        </w:tc>
        <w:tc>
          <w:tcPr>
            <w:tcW w:w="212" w:type="pct"/>
            <w:vAlign w:val="center"/>
          </w:tcPr>
          <w:p w14:paraId="0B5C69A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Returned by GMS?</w:t>
            </w:r>
          </w:p>
        </w:tc>
      </w:tr>
      <w:tr w:rsidR="00C369B2" w:rsidRPr="00A76F86" w14:paraId="09D7D4C0" w14:textId="77777777" w:rsidTr="00C34963">
        <w:trPr>
          <w:jc w:val="center"/>
        </w:trPr>
        <w:tc>
          <w:tcPr>
            <w:tcW w:w="471" w:type="pct"/>
            <w:shd w:val="clear" w:color="000000" w:fill="DAEEF3"/>
            <w:noWrap/>
            <w:vAlign w:val="center"/>
            <w:hideMark/>
          </w:tcPr>
          <w:p w14:paraId="2EA481F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13:30462666:CT:C</w:t>
            </w:r>
          </w:p>
        </w:tc>
        <w:tc>
          <w:tcPr>
            <w:tcW w:w="216" w:type="pct"/>
            <w:shd w:val="clear" w:color="000000" w:fill="DAEEF3"/>
            <w:noWrap/>
            <w:vAlign w:val="center"/>
            <w:hideMark/>
          </w:tcPr>
          <w:p w14:paraId="781A5CE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5"/>
              </w:rPr>
            </w:pPr>
            <w:r w:rsidRPr="00D372FF">
              <w:rPr>
                <w:rFonts w:ascii="Palatino" w:eastAsia="Times New Roman" w:hAnsi="Palatino" w:cs="Calibri"/>
                <w:i/>
                <w:iCs/>
                <w:szCs w:val="15"/>
              </w:rPr>
              <w:t>HMGB1</w:t>
            </w:r>
          </w:p>
        </w:tc>
        <w:tc>
          <w:tcPr>
            <w:tcW w:w="299" w:type="pct"/>
            <w:shd w:val="clear" w:color="000000" w:fill="DAEEF3"/>
            <w:noWrap/>
            <w:vAlign w:val="center"/>
            <w:hideMark/>
          </w:tcPr>
          <w:p w14:paraId="266B265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frameshift</w:t>
            </w:r>
          </w:p>
        </w:tc>
        <w:tc>
          <w:tcPr>
            <w:tcW w:w="212" w:type="pct"/>
            <w:shd w:val="clear" w:color="000000" w:fill="DAEEF3"/>
            <w:noWrap/>
            <w:vAlign w:val="center"/>
            <w:hideMark/>
          </w:tcPr>
          <w:p w14:paraId="77ABC82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123" w:type="pct"/>
            <w:shd w:val="clear" w:color="000000" w:fill="DAEEF3"/>
            <w:noWrap/>
            <w:vAlign w:val="center"/>
            <w:hideMark/>
          </w:tcPr>
          <w:p w14:paraId="142B52F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38</w:t>
            </w:r>
          </w:p>
        </w:tc>
        <w:tc>
          <w:tcPr>
            <w:tcW w:w="138" w:type="pct"/>
            <w:shd w:val="clear" w:color="000000" w:fill="DAEEF3"/>
            <w:noWrap/>
            <w:vAlign w:val="center"/>
            <w:hideMark/>
          </w:tcPr>
          <w:p w14:paraId="5D1BC2C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716" w:type="pct"/>
            <w:shd w:val="clear" w:color="000000" w:fill="DAEEF3"/>
            <w:noWrap/>
            <w:vAlign w:val="center"/>
            <w:hideMark/>
          </w:tcPr>
          <w:p w14:paraId="0D0CF4D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ENST00000341423.9:c.342del</w:t>
            </w:r>
          </w:p>
        </w:tc>
        <w:tc>
          <w:tcPr>
            <w:tcW w:w="433" w:type="pct"/>
            <w:shd w:val="clear" w:color="000000" w:fill="DAEEF3"/>
            <w:noWrap/>
            <w:vAlign w:val="center"/>
            <w:hideMark/>
          </w:tcPr>
          <w:p w14:paraId="451A733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p.Gly115GlufsTer37</w:t>
            </w:r>
          </w:p>
        </w:tc>
        <w:tc>
          <w:tcPr>
            <w:tcW w:w="173" w:type="pct"/>
            <w:shd w:val="clear" w:color="000000" w:fill="DAEEF3"/>
            <w:noWrap/>
            <w:vAlign w:val="center"/>
            <w:hideMark/>
          </w:tcPr>
          <w:p w14:paraId="22C2CFE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156" w:type="pct"/>
            <w:shd w:val="clear" w:color="000000" w:fill="DAEEF3"/>
            <w:noWrap/>
            <w:vAlign w:val="center"/>
            <w:hideMark/>
          </w:tcPr>
          <w:p w14:paraId="26AEE9B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VUS</w:t>
            </w:r>
          </w:p>
        </w:tc>
        <w:tc>
          <w:tcPr>
            <w:tcW w:w="214" w:type="pct"/>
            <w:shd w:val="clear" w:color="000000" w:fill="DAEEF3"/>
            <w:noWrap/>
            <w:vAlign w:val="center"/>
            <w:hideMark/>
          </w:tcPr>
          <w:p w14:paraId="1F48398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FAM_1</w:t>
            </w:r>
          </w:p>
        </w:tc>
        <w:tc>
          <w:tcPr>
            <w:tcW w:w="424" w:type="pct"/>
            <w:shd w:val="clear" w:color="000000" w:fill="DAEEF3"/>
            <w:noWrap/>
            <w:vAlign w:val="center"/>
            <w:hideMark/>
          </w:tcPr>
          <w:p w14:paraId="30D34D5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132" w:type="pct"/>
            <w:shd w:val="clear" w:color="000000" w:fill="DAEEF3"/>
            <w:noWrap/>
            <w:vAlign w:val="center"/>
            <w:hideMark/>
          </w:tcPr>
          <w:p w14:paraId="354B4BB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425" w:type="pct"/>
            <w:shd w:val="clear" w:color="000000" w:fill="DAEEF3"/>
            <w:noWrap/>
            <w:vAlign w:val="center"/>
            <w:hideMark/>
          </w:tcPr>
          <w:p w14:paraId="24A4730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w:t>
            </w:r>
          </w:p>
        </w:tc>
        <w:tc>
          <w:tcPr>
            <w:tcW w:w="155" w:type="pct"/>
            <w:shd w:val="clear" w:color="000000" w:fill="DAEEF3"/>
            <w:noWrap/>
            <w:vAlign w:val="center"/>
            <w:hideMark/>
          </w:tcPr>
          <w:p w14:paraId="53DE0C0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345" w:type="pct"/>
            <w:shd w:val="clear" w:color="000000" w:fill="DAEEF3"/>
            <w:noWrap/>
            <w:vAlign w:val="center"/>
            <w:hideMark/>
          </w:tcPr>
          <w:p w14:paraId="087FD6F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3</w:t>
            </w:r>
          </w:p>
        </w:tc>
        <w:tc>
          <w:tcPr>
            <w:tcW w:w="155" w:type="pct"/>
            <w:shd w:val="clear" w:color="000000" w:fill="DAEEF3"/>
            <w:noWrap/>
            <w:vAlign w:val="center"/>
            <w:hideMark/>
          </w:tcPr>
          <w:p w14:paraId="2B6574B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212" w:type="pct"/>
            <w:shd w:val="clear" w:color="000000" w:fill="DAEEF3"/>
            <w:vAlign w:val="center"/>
          </w:tcPr>
          <w:p w14:paraId="6E3BDE9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Yes</w:t>
            </w:r>
          </w:p>
        </w:tc>
      </w:tr>
      <w:tr w:rsidR="00C369B2" w:rsidRPr="00A76F86" w14:paraId="4F1C05FB" w14:textId="77777777" w:rsidTr="00C34963">
        <w:trPr>
          <w:jc w:val="center"/>
        </w:trPr>
        <w:tc>
          <w:tcPr>
            <w:tcW w:w="471" w:type="pct"/>
            <w:shd w:val="clear" w:color="000000" w:fill="E4DFEC"/>
            <w:noWrap/>
            <w:vAlign w:val="center"/>
            <w:hideMark/>
          </w:tcPr>
          <w:p w14:paraId="380987B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7:1480876:G:C</w:t>
            </w:r>
          </w:p>
        </w:tc>
        <w:tc>
          <w:tcPr>
            <w:tcW w:w="216" w:type="pct"/>
            <w:shd w:val="clear" w:color="000000" w:fill="E4DFEC"/>
            <w:noWrap/>
            <w:vAlign w:val="center"/>
            <w:hideMark/>
          </w:tcPr>
          <w:p w14:paraId="60A859A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5"/>
              </w:rPr>
            </w:pPr>
            <w:r w:rsidRPr="00D372FF">
              <w:rPr>
                <w:rFonts w:ascii="Palatino" w:eastAsia="Times New Roman" w:hAnsi="Palatino" w:cs="Calibri"/>
                <w:i/>
                <w:iCs/>
                <w:szCs w:val="15"/>
              </w:rPr>
              <w:t>INTS1</w:t>
            </w:r>
          </w:p>
        </w:tc>
        <w:tc>
          <w:tcPr>
            <w:tcW w:w="299" w:type="pct"/>
            <w:shd w:val="clear" w:color="000000" w:fill="E4DFEC"/>
            <w:noWrap/>
            <w:vAlign w:val="center"/>
            <w:hideMark/>
          </w:tcPr>
          <w:p w14:paraId="35839A1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missense</w:t>
            </w:r>
          </w:p>
        </w:tc>
        <w:tc>
          <w:tcPr>
            <w:tcW w:w="212" w:type="pct"/>
            <w:shd w:val="clear" w:color="000000" w:fill="E4DFEC"/>
            <w:noWrap/>
            <w:vAlign w:val="center"/>
            <w:hideMark/>
          </w:tcPr>
          <w:p w14:paraId="14BBDA2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5.56</w:t>
            </w:r>
            <w:r w:rsidRPr="00D372FF">
              <w:rPr>
                <w:rFonts w:ascii="Palatino" w:eastAsia="Times New Roman" w:hAnsi="Palatino" w:cs="Calibri"/>
                <w:szCs w:val="15"/>
                <w:vertAlign w:val="superscript"/>
              </w:rPr>
              <w:t>-4</w:t>
            </w:r>
          </w:p>
        </w:tc>
        <w:tc>
          <w:tcPr>
            <w:tcW w:w="123" w:type="pct"/>
            <w:shd w:val="clear" w:color="000000" w:fill="E4DFEC"/>
            <w:noWrap/>
            <w:vAlign w:val="center"/>
            <w:hideMark/>
          </w:tcPr>
          <w:p w14:paraId="05ABA8B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23.5</w:t>
            </w:r>
          </w:p>
        </w:tc>
        <w:tc>
          <w:tcPr>
            <w:tcW w:w="138" w:type="pct"/>
            <w:shd w:val="clear" w:color="000000" w:fill="E4DFEC"/>
            <w:noWrap/>
            <w:vAlign w:val="center"/>
            <w:hideMark/>
          </w:tcPr>
          <w:p w14:paraId="2574129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0.243</w:t>
            </w:r>
          </w:p>
        </w:tc>
        <w:tc>
          <w:tcPr>
            <w:tcW w:w="716" w:type="pct"/>
            <w:shd w:val="clear" w:color="000000" w:fill="E4DFEC"/>
            <w:noWrap/>
            <w:vAlign w:val="center"/>
            <w:hideMark/>
          </w:tcPr>
          <w:p w14:paraId="70FA788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ENST00000404767.7:c.3908C&gt;G</w:t>
            </w:r>
          </w:p>
        </w:tc>
        <w:tc>
          <w:tcPr>
            <w:tcW w:w="433" w:type="pct"/>
            <w:shd w:val="clear" w:color="000000" w:fill="E4DFEC"/>
            <w:noWrap/>
            <w:vAlign w:val="center"/>
            <w:hideMark/>
          </w:tcPr>
          <w:p w14:paraId="53EEEA6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p.Thr1303Ser</w:t>
            </w:r>
          </w:p>
        </w:tc>
        <w:tc>
          <w:tcPr>
            <w:tcW w:w="173" w:type="pct"/>
            <w:shd w:val="clear" w:color="000000" w:fill="E4DFEC"/>
            <w:noWrap/>
            <w:vAlign w:val="center"/>
            <w:hideMark/>
          </w:tcPr>
          <w:p w14:paraId="0FA3219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156" w:type="pct"/>
            <w:shd w:val="clear" w:color="000000" w:fill="E4DFEC"/>
            <w:noWrap/>
            <w:vAlign w:val="center"/>
            <w:hideMark/>
          </w:tcPr>
          <w:p w14:paraId="004CBC8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VUS</w:t>
            </w:r>
          </w:p>
        </w:tc>
        <w:tc>
          <w:tcPr>
            <w:tcW w:w="214" w:type="pct"/>
            <w:shd w:val="clear" w:color="000000" w:fill="E4DFEC"/>
            <w:noWrap/>
            <w:vAlign w:val="center"/>
            <w:hideMark/>
          </w:tcPr>
          <w:p w14:paraId="1AEA627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FAM_2</w:t>
            </w:r>
          </w:p>
        </w:tc>
        <w:tc>
          <w:tcPr>
            <w:tcW w:w="424" w:type="pct"/>
            <w:shd w:val="clear" w:color="000000" w:fill="E4DFEC"/>
            <w:noWrap/>
            <w:vAlign w:val="center"/>
            <w:hideMark/>
          </w:tcPr>
          <w:p w14:paraId="2CD1132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4</w:t>
            </w:r>
          </w:p>
        </w:tc>
        <w:tc>
          <w:tcPr>
            <w:tcW w:w="132" w:type="pct"/>
            <w:shd w:val="clear" w:color="000000" w:fill="E4DFEC"/>
            <w:noWrap/>
            <w:vAlign w:val="center"/>
            <w:hideMark/>
          </w:tcPr>
          <w:p w14:paraId="6BD89AC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425" w:type="pct"/>
            <w:shd w:val="clear" w:color="000000" w:fill="E4DFEC"/>
            <w:noWrap/>
            <w:vAlign w:val="center"/>
            <w:hideMark/>
          </w:tcPr>
          <w:p w14:paraId="6FB7B04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5</w:t>
            </w:r>
          </w:p>
        </w:tc>
        <w:tc>
          <w:tcPr>
            <w:tcW w:w="155" w:type="pct"/>
            <w:shd w:val="clear" w:color="000000" w:fill="E4DFEC"/>
            <w:noWrap/>
            <w:vAlign w:val="center"/>
            <w:hideMark/>
          </w:tcPr>
          <w:p w14:paraId="74F316F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345" w:type="pct"/>
            <w:shd w:val="clear" w:color="000000" w:fill="E4DFEC"/>
            <w:noWrap/>
            <w:vAlign w:val="center"/>
            <w:hideMark/>
          </w:tcPr>
          <w:p w14:paraId="2CC50D5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6</w:t>
            </w:r>
          </w:p>
        </w:tc>
        <w:tc>
          <w:tcPr>
            <w:tcW w:w="155" w:type="pct"/>
            <w:shd w:val="clear" w:color="000000" w:fill="E4DFEC"/>
            <w:noWrap/>
            <w:vAlign w:val="center"/>
            <w:hideMark/>
          </w:tcPr>
          <w:p w14:paraId="1E9CEBE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212" w:type="pct"/>
            <w:shd w:val="clear" w:color="000000" w:fill="E4DFEC"/>
            <w:vAlign w:val="center"/>
          </w:tcPr>
          <w:p w14:paraId="051343C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No</w:t>
            </w:r>
          </w:p>
        </w:tc>
      </w:tr>
      <w:tr w:rsidR="00C369B2" w:rsidRPr="00A76F86" w14:paraId="5335D966" w14:textId="77777777" w:rsidTr="00C34963">
        <w:trPr>
          <w:jc w:val="center"/>
        </w:trPr>
        <w:tc>
          <w:tcPr>
            <w:tcW w:w="471" w:type="pct"/>
            <w:shd w:val="clear" w:color="000000" w:fill="E4DFEC"/>
            <w:noWrap/>
            <w:vAlign w:val="center"/>
            <w:hideMark/>
          </w:tcPr>
          <w:p w14:paraId="011E3C1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7:1497193:C:G</w:t>
            </w:r>
          </w:p>
        </w:tc>
        <w:tc>
          <w:tcPr>
            <w:tcW w:w="216" w:type="pct"/>
            <w:shd w:val="clear" w:color="000000" w:fill="E4DFEC"/>
            <w:noWrap/>
            <w:vAlign w:val="center"/>
            <w:hideMark/>
          </w:tcPr>
          <w:p w14:paraId="7FF4D46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5"/>
              </w:rPr>
            </w:pPr>
            <w:r w:rsidRPr="00D372FF">
              <w:rPr>
                <w:rFonts w:ascii="Palatino" w:eastAsia="Times New Roman" w:hAnsi="Palatino" w:cs="Calibri"/>
                <w:i/>
                <w:iCs/>
                <w:szCs w:val="15"/>
              </w:rPr>
              <w:t>INTS1</w:t>
            </w:r>
          </w:p>
        </w:tc>
        <w:tc>
          <w:tcPr>
            <w:tcW w:w="299" w:type="pct"/>
            <w:shd w:val="clear" w:color="000000" w:fill="E4DFEC"/>
            <w:noWrap/>
            <w:vAlign w:val="center"/>
            <w:hideMark/>
          </w:tcPr>
          <w:p w14:paraId="6E85C2F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missense</w:t>
            </w:r>
          </w:p>
        </w:tc>
        <w:tc>
          <w:tcPr>
            <w:tcW w:w="212" w:type="pct"/>
            <w:shd w:val="clear" w:color="000000" w:fill="E4DFEC"/>
            <w:noWrap/>
            <w:vAlign w:val="center"/>
            <w:hideMark/>
          </w:tcPr>
          <w:p w14:paraId="1C958F0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7.76</w:t>
            </w:r>
            <w:r w:rsidRPr="00D372FF">
              <w:rPr>
                <w:rFonts w:ascii="Palatino" w:eastAsia="Times New Roman" w:hAnsi="Palatino" w:cs="Calibri"/>
                <w:szCs w:val="15"/>
                <w:vertAlign w:val="superscript"/>
              </w:rPr>
              <w:t>-5</w:t>
            </w:r>
          </w:p>
        </w:tc>
        <w:tc>
          <w:tcPr>
            <w:tcW w:w="123" w:type="pct"/>
            <w:shd w:val="clear" w:color="000000" w:fill="E4DFEC"/>
            <w:noWrap/>
            <w:vAlign w:val="center"/>
            <w:hideMark/>
          </w:tcPr>
          <w:p w14:paraId="309C6E1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24</w:t>
            </w:r>
          </w:p>
        </w:tc>
        <w:tc>
          <w:tcPr>
            <w:tcW w:w="138" w:type="pct"/>
            <w:shd w:val="clear" w:color="000000" w:fill="E4DFEC"/>
            <w:noWrap/>
            <w:vAlign w:val="center"/>
            <w:hideMark/>
          </w:tcPr>
          <w:p w14:paraId="7C380F7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0.315</w:t>
            </w:r>
          </w:p>
        </w:tc>
        <w:tc>
          <w:tcPr>
            <w:tcW w:w="716" w:type="pct"/>
            <w:shd w:val="clear" w:color="000000" w:fill="E4DFEC"/>
            <w:noWrap/>
            <w:vAlign w:val="center"/>
            <w:hideMark/>
          </w:tcPr>
          <w:p w14:paraId="0DB6416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ENST00000404767.7:c.1547G&gt;C</w:t>
            </w:r>
          </w:p>
        </w:tc>
        <w:tc>
          <w:tcPr>
            <w:tcW w:w="433" w:type="pct"/>
            <w:shd w:val="clear" w:color="000000" w:fill="E4DFEC"/>
            <w:noWrap/>
            <w:vAlign w:val="center"/>
            <w:hideMark/>
          </w:tcPr>
          <w:p w14:paraId="23F7683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p.Cys516Ser</w:t>
            </w:r>
          </w:p>
        </w:tc>
        <w:tc>
          <w:tcPr>
            <w:tcW w:w="173" w:type="pct"/>
            <w:shd w:val="clear" w:color="000000" w:fill="E4DFEC"/>
            <w:noWrap/>
            <w:vAlign w:val="center"/>
            <w:hideMark/>
          </w:tcPr>
          <w:p w14:paraId="65665D2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156" w:type="pct"/>
            <w:shd w:val="clear" w:color="000000" w:fill="E4DFEC"/>
            <w:noWrap/>
            <w:vAlign w:val="center"/>
            <w:hideMark/>
          </w:tcPr>
          <w:p w14:paraId="2311549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VUS</w:t>
            </w:r>
          </w:p>
        </w:tc>
        <w:tc>
          <w:tcPr>
            <w:tcW w:w="214" w:type="pct"/>
            <w:shd w:val="clear" w:color="000000" w:fill="E4DFEC"/>
            <w:noWrap/>
            <w:vAlign w:val="center"/>
            <w:hideMark/>
          </w:tcPr>
          <w:p w14:paraId="6AE755D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FAM_2</w:t>
            </w:r>
          </w:p>
        </w:tc>
        <w:tc>
          <w:tcPr>
            <w:tcW w:w="424" w:type="pct"/>
            <w:shd w:val="clear" w:color="000000" w:fill="E4DFEC"/>
            <w:noWrap/>
            <w:vAlign w:val="center"/>
            <w:hideMark/>
          </w:tcPr>
          <w:p w14:paraId="47D4CDE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4</w:t>
            </w:r>
          </w:p>
        </w:tc>
        <w:tc>
          <w:tcPr>
            <w:tcW w:w="132" w:type="pct"/>
            <w:shd w:val="clear" w:color="000000" w:fill="E4DFEC"/>
            <w:noWrap/>
            <w:vAlign w:val="center"/>
            <w:hideMark/>
          </w:tcPr>
          <w:p w14:paraId="49ECFF8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425" w:type="pct"/>
            <w:shd w:val="clear" w:color="000000" w:fill="E4DFEC"/>
            <w:noWrap/>
            <w:vAlign w:val="center"/>
            <w:hideMark/>
          </w:tcPr>
          <w:p w14:paraId="241480C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5</w:t>
            </w:r>
          </w:p>
        </w:tc>
        <w:tc>
          <w:tcPr>
            <w:tcW w:w="155" w:type="pct"/>
            <w:shd w:val="clear" w:color="000000" w:fill="E4DFEC"/>
            <w:noWrap/>
            <w:vAlign w:val="center"/>
            <w:hideMark/>
          </w:tcPr>
          <w:p w14:paraId="419CB00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345" w:type="pct"/>
            <w:shd w:val="clear" w:color="000000" w:fill="E4DFEC"/>
            <w:noWrap/>
            <w:vAlign w:val="center"/>
            <w:hideMark/>
          </w:tcPr>
          <w:p w14:paraId="331ABC3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6</w:t>
            </w:r>
          </w:p>
        </w:tc>
        <w:tc>
          <w:tcPr>
            <w:tcW w:w="155" w:type="pct"/>
            <w:shd w:val="clear" w:color="000000" w:fill="E4DFEC"/>
            <w:noWrap/>
            <w:vAlign w:val="center"/>
            <w:hideMark/>
          </w:tcPr>
          <w:p w14:paraId="23B252A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212" w:type="pct"/>
            <w:shd w:val="clear" w:color="000000" w:fill="E4DFEC"/>
            <w:vAlign w:val="center"/>
          </w:tcPr>
          <w:p w14:paraId="0B18D87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No</w:t>
            </w:r>
          </w:p>
        </w:tc>
      </w:tr>
      <w:tr w:rsidR="00C34963" w:rsidRPr="00A76F86" w14:paraId="2837D8F3" w14:textId="77777777" w:rsidTr="00C34963">
        <w:trPr>
          <w:jc w:val="center"/>
        </w:trPr>
        <w:tc>
          <w:tcPr>
            <w:tcW w:w="471" w:type="pct"/>
            <w:shd w:val="clear" w:color="auto" w:fill="auto"/>
            <w:noWrap/>
            <w:vAlign w:val="center"/>
            <w:hideMark/>
          </w:tcPr>
          <w:p w14:paraId="53E1FB6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2:28776944:C:G</w:t>
            </w:r>
          </w:p>
        </w:tc>
        <w:tc>
          <w:tcPr>
            <w:tcW w:w="216" w:type="pct"/>
            <w:shd w:val="clear" w:color="auto" w:fill="auto"/>
            <w:noWrap/>
            <w:vAlign w:val="center"/>
            <w:hideMark/>
          </w:tcPr>
          <w:p w14:paraId="1F76F7C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i/>
                <w:iCs/>
                <w:szCs w:val="15"/>
              </w:rPr>
            </w:pPr>
            <w:r w:rsidRPr="00D372FF">
              <w:rPr>
                <w:rFonts w:ascii="Palatino" w:eastAsia="Times New Roman" w:hAnsi="Palatino" w:cs="Calibri"/>
                <w:b/>
                <w:bCs/>
                <w:i/>
                <w:iCs/>
                <w:szCs w:val="15"/>
              </w:rPr>
              <w:t>PPP1CB</w:t>
            </w:r>
          </w:p>
        </w:tc>
        <w:tc>
          <w:tcPr>
            <w:tcW w:w="299" w:type="pct"/>
            <w:shd w:val="clear" w:color="auto" w:fill="auto"/>
            <w:noWrap/>
            <w:vAlign w:val="center"/>
            <w:hideMark/>
          </w:tcPr>
          <w:p w14:paraId="320CB18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missense</w:t>
            </w:r>
          </w:p>
        </w:tc>
        <w:tc>
          <w:tcPr>
            <w:tcW w:w="212" w:type="pct"/>
            <w:shd w:val="clear" w:color="auto" w:fill="auto"/>
            <w:noWrap/>
            <w:vAlign w:val="center"/>
            <w:hideMark/>
          </w:tcPr>
          <w:p w14:paraId="2C03B49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0</w:t>
            </w:r>
          </w:p>
        </w:tc>
        <w:tc>
          <w:tcPr>
            <w:tcW w:w="123" w:type="pct"/>
            <w:shd w:val="clear" w:color="auto" w:fill="auto"/>
            <w:noWrap/>
            <w:vAlign w:val="center"/>
            <w:hideMark/>
          </w:tcPr>
          <w:p w14:paraId="25345E0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26.7</w:t>
            </w:r>
          </w:p>
        </w:tc>
        <w:tc>
          <w:tcPr>
            <w:tcW w:w="138" w:type="pct"/>
            <w:shd w:val="clear" w:color="auto" w:fill="auto"/>
            <w:noWrap/>
            <w:vAlign w:val="center"/>
            <w:hideMark/>
          </w:tcPr>
          <w:p w14:paraId="6506E89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0.438</w:t>
            </w:r>
          </w:p>
        </w:tc>
        <w:tc>
          <w:tcPr>
            <w:tcW w:w="716" w:type="pct"/>
            <w:shd w:val="clear" w:color="auto" w:fill="auto"/>
            <w:noWrap/>
            <w:vAlign w:val="center"/>
            <w:hideMark/>
          </w:tcPr>
          <w:p w14:paraId="551694D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ENST00000395366.2:c.146C&gt;G</w:t>
            </w:r>
          </w:p>
        </w:tc>
        <w:tc>
          <w:tcPr>
            <w:tcW w:w="433" w:type="pct"/>
            <w:shd w:val="clear" w:color="auto" w:fill="auto"/>
            <w:noWrap/>
            <w:vAlign w:val="center"/>
            <w:hideMark/>
          </w:tcPr>
          <w:p w14:paraId="5E59ED9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p.Pro49Arg</w:t>
            </w:r>
          </w:p>
        </w:tc>
        <w:tc>
          <w:tcPr>
            <w:tcW w:w="173" w:type="pct"/>
            <w:shd w:val="clear" w:color="auto" w:fill="auto"/>
            <w:noWrap/>
            <w:vAlign w:val="center"/>
            <w:hideMark/>
          </w:tcPr>
          <w:p w14:paraId="3AFC13F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P</w:t>
            </w:r>
          </w:p>
        </w:tc>
        <w:tc>
          <w:tcPr>
            <w:tcW w:w="156" w:type="pct"/>
            <w:shd w:val="clear" w:color="auto" w:fill="auto"/>
            <w:noWrap/>
            <w:vAlign w:val="center"/>
            <w:hideMark/>
          </w:tcPr>
          <w:p w14:paraId="7395E1D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P</w:t>
            </w:r>
          </w:p>
        </w:tc>
        <w:tc>
          <w:tcPr>
            <w:tcW w:w="214" w:type="pct"/>
            <w:shd w:val="clear" w:color="auto" w:fill="auto"/>
            <w:noWrap/>
            <w:vAlign w:val="center"/>
            <w:hideMark/>
          </w:tcPr>
          <w:p w14:paraId="5805AE0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FAM_3</w:t>
            </w:r>
          </w:p>
        </w:tc>
        <w:tc>
          <w:tcPr>
            <w:tcW w:w="424" w:type="pct"/>
            <w:shd w:val="clear" w:color="auto" w:fill="auto"/>
            <w:noWrap/>
            <w:vAlign w:val="center"/>
            <w:hideMark/>
          </w:tcPr>
          <w:p w14:paraId="6CF3045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7</w:t>
            </w:r>
          </w:p>
        </w:tc>
        <w:tc>
          <w:tcPr>
            <w:tcW w:w="132" w:type="pct"/>
            <w:shd w:val="clear" w:color="auto" w:fill="auto"/>
            <w:noWrap/>
            <w:vAlign w:val="center"/>
            <w:hideMark/>
          </w:tcPr>
          <w:p w14:paraId="41FB1CE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1</w:t>
            </w:r>
          </w:p>
        </w:tc>
        <w:tc>
          <w:tcPr>
            <w:tcW w:w="425" w:type="pct"/>
            <w:shd w:val="clear" w:color="auto" w:fill="auto"/>
            <w:noWrap/>
            <w:vAlign w:val="center"/>
            <w:hideMark/>
          </w:tcPr>
          <w:p w14:paraId="598FCD7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8</w:t>
            </w:r>
          </w:p>
        </w:tc>
        <w:tc>
          <w:tcPr>
            <w:tcW w:w="155" w:type="pct"/>
            <w:shd w:val="clear" w:color="auto" w:fill="auto"/>
            <w:noWrap/>
            <w:vAlign w:val="center"/>
            <w:hideMark/>
          </w:tcPr>
          <w:p w14:paraId="7CCA0D0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0</w:t>
            </w:r>
          </w:p>
        </w:tc>
        <w:tc>
          <w:tcPr>
            <w:tcW w:w="345" w:type="pct"/>
            <w:shd w:val="clear" w:color="auto" w:fill="auto"/>
            <w:noWrap/>
            <w:vAlign w:val="center"/>
            <w:hideMark/>
          </w:tcPr>
          <w:p w14:paraId="6E625AE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9</w:t>
            </w:r>
          </w:p>
        </w:tc>
        <w:tc>
          <w:tcPr>
            <w:tcW w:w="155" w:type="pct"/>
            <w:shd w:val="clear" w:color="auto" w:fill="auto"/>
            <w:noWrap/>
            <w:vAlign w:val="center"/>
            <w:hideMark/>
          </w:tcPr>
          <w:p w14:paraId="4E45FA8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0</w:t>
            </w:r>
          </w:p>
        </w:tc>
        <w:tc>
          <w:tcPr>
            <w:tcW w:w="212" w:type="pct"/>
            <w:vAlign w:val="center"/>
          </w:tcPr>
          <w:p w14:paraId="6DA9DAB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Yes</w:t>
            </w:r>
          </w:p>
        </w:tc>
      </w:tr>
      <w:tr w:rsidR="00C369B2" w:rsidRPr="00A76F86" w14:paraId="324E8ED7" w14:textId="77777777" w:rsidTr="00C34963">
        <w:trPr>
          <w:jc w:val="center"/>
        </w:trPr>
        <w:tc>
          <w:tcPr>
            <w:tcW w:w="471" w:type="pct"/>
            <w:shd w:val="clear" w:color="000000" w:fill="EBF1DE"/>
            <w:noWrap/>
            <w:vAlign w:val="center"/>
            <w:hideMark/>
          </w:tcPr>
          <w:p w14:paraId="018AA68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1:31731030:G:A</w:t>
            </w:r>
          </w:p>
        </w:tc>
        <w:tc>
          <w:tcPr>
            <w:tcW w:w="216" w:type="pct"/>
            <w:shd w:val="clear" w:color="000000" w:fill="EBF1DE"/>
            <w:noWrap/>
            <w:vAlign w:val="center"/>
            <w:hideMark/>
          </w:tcPr>
          <w:p w14:paraId="3F23C1D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5"/>
              </w:rPr>
            </w:pPr>
            <w:r w:rsidRPr="00D372FF">
              <w:rPr>
                <w:rFonts w:ascii="Palatino" w:eastAsia="Times New Roman" w:hAnsi="Palatino" w:cs="Calibri"/>
                <w:i/>
                <w:iCs/>
                <w:szCs w:val="15"/>
              </w:rPr>
              <w:t>ADGRB2</w:t>
            </w:r>
          </w:p>
        </w:tc>
        <w:tc>
          <w:tcPr>
            <w:tcW w:w="299" w:type="pct"/>
            <w:shd w:val="clear" w:color="000000" w:fill="EBF1DE"/>
            <w:noWrap/>
            <w:vAlign w:val="center"/>
            <w:hideMark/>
          </w:tcPr>
          <w:p w14:paraId="59CF45E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stop_gained</w:t>
            </w:r>
          </w:p>
        </w:tc>
        <w:tc>
          <w:tcPr>
            <w:tcW w:w="212" w:type="pct"/>
            <w:shd w:val="clear" w:color="000000" w:fill="EBF1DE"/>
            <w:noWrap/>
            <w:vAlign w:val="center"/>
            <w:hideMark/>
          </w:tcPr>
          <w:p w14:paraId="7FBA294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123" w:type="pct"/>
            <w:shd w:val="clear" w:color="000000" w:fill="EBF1DE"/>
            <w:noWrap/>
            <w:vAlign w:val="center"/>
            <w:hideMark/>
          </w:tcPr>
          <w:p w14:paraId="23CD772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38</w:t>
            </w:r>
          </w:p>
        </w:tc>
        <w:tc>
          <w:tcPr>
            <w:tcW w:w="138" w:type="pct"/>
            <w:shd w:val="clear" w:color="000000" w:fill="EBF1DE"/>
            <w:noWrap/>
            <w:vAlign w:val="center"/>
            <w:hideMark/>
          </w:tcPr>
          <w:p w14:paraId="1C6028F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716" w:type="pct"/>
            <w:shd w:val="clear" w:color="000000" w:fill="EBF1DE"/>
            <w:noWrap/>
            <w:vAlign w:val="center"/>
            <w:hideMark/>
          </w:tcPr>
          <w:p w14:paraId="301189B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ENST00000373655.6:c.4150C&gt;T</w:t>
            </w:r>
          </w:p>
        </w:tc>
        <w:tc>
          <w:tcPr>
            <w:tcW w:w="433" w:type="pct"/>
            <w:shd w:val="clear" w:color="000000" w:fill="EBF1DE"/>
            <w:noWrap/>
            <w:vAlign w:val="center"/>
            <w:hideMark/>
          </w:tcPr>
          <w:p w14:paraId="2BDD0B7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p.Arg1384Ter</w:t>
            </w:r>
          </w:p>
        </w:tc>
        <w:tc>
          <w:tcPr>
            <w:tcW w:w="173" w:type="pct"/>
            <w:shd w:val="clear" w:color="000000" w:fill="EBF1DE"/>
            <w:noWrap/>
            <w:vAlign w:val="center"/>
            <w:hideMark/>
          </w:tcPr>
          <w:p w14:paraId="5A0DDA3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156" w:type="pct"/>
            <w:shd w:val="clear" w:color="000000" w:fill="EBF1DE"/>
            <w:noWrap/>
            <w:vAlign w:val="center"/>
            <w:hideMark/>
          </w:tcPr>
          <w:p w14:paraId="6078CE0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VUS</w:t>
            </w:r>
          </w:p>
        </w:tc>
        <w:tc>
          <w:tcPr>
            <w:tcW w:w="214" w:type="pct"/>
            <w:shd w:val="clear" w:color="000000" w:fill="EBF1DE"/>
            <w:noWrap/>
            <w:vAlign w:val="center"/>
            <w:hideMark/>
          </w:tcPr>
          <w:p w14:paraId="1585249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FAM_4</w:t>
            </w:r>
          </w:p>
        </w:tc>
        <w:tc>
          <w:tcPr>
            <w:tcW w:w="424" w:type="pct"/>
            <w:shd w:val="clear" w:color="000000" w:fill="EBF1DE"/>
            <w:noWrap/>
            <w:vAlign w:val="center"/>
            <w:hideMark/>
          </w:tcPr>
          <w:p w14:paraId="2FDA396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13</w:t>
            </w:r>
          </w:p>
        </w:tc>
        <w:tc>
          <w:tcPr>
            <w:tcW w:w="132" w:type="pct"/>
            <w:shd w:val="clear" w:color="000000" w:fill="EBF1DE"/>
            <w:noWrap/>
            <w:vAlign w:val="center"/>
            <w:hideMark/>
          </w:tcPr>
          <w:p w14:paraId="61D82DB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425" w:type="pct"/>
            <w:shd w:val="clear" w:color="000000" w:fill="EBF1DE"/>
            <w:noWrap/>
            <w:vAlign w:val="center"/>
            <w:hideMark/>
          </w:tcPr>
          <w:p w14:paraId="3D5F439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11</w:t>
            </w:r>
          </w:p>
        </w:tc>
        <w:tc>
          <w:tcPr>
            <w:tcW w:w="155" w:type="pct"/>
            <w:shd w:val="clear" w:color="000000" w:fill="EBF1DE"/>
            <w:noWrap/>
            <w:vAlign w:val="center"/>
            <w:hideMark/>
          </w:tcPr>
          <w:p w14:paraId="0AAFC2F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345" w:type="pct"/>
            <w:shd w:val="clear" w:color="000000" w:fill="EBF1DE"/>
            <w:noWrap/>
            <w:vAlign w:val="center"/>
            <w:hideMark/>
          </w:tcPr>
          <w:p w14:paraId="13D7DE9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13</w:t>
            </w:r>
          </w:p>
        </w:tc>
        <w:tc>
          <w:tcPr>
            <w:tcW w:w="155" w:type="pct"/>
            <w:shd w:val="clear" w:color="000000" w:fill="EBF1DE"/>
            <w:noWrap/>
            <w:vAlign w:val="center"/>
            <w:hideMark/>
          </w:tcPr>
          <w:p w14:paraId="5B8324A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212" w:type="pct"/>
            <w:shd w:val="clear" w:color="000000" w:fill="EBF1DE"/>
            <w:vAlign w:val="center"/>
          </w:tcPr>
          <w:p w14:paraId="5122777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No</w:t>
            </w:r>
          </w:p>
        </w:tc>
      </w:tr>
      <w:tr w:rsidR="00C369B2" w:rsidRPr="00A76F86" w14:paraId="72759178" w14:textId="77777777" w:rsidTr="00C34963">
        <w:trPr>
          <w:jc w:val="center"/>
        </w:trPr>
        <w:tc>
          <w:tcPr>
            <w:tcW w:w="471" w:type="pct"/>
            <w:shd w:val="clear" w:color="000000" w:fill="EBF1DE"/>
            <w:noWrap/>
            <w:vAlign w:val="center"/>
            <w:hideMark/>
          </w:tcPr>
          <w:p w14:paraId="0ACA89D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1:31731030:G:A</w:t>
            </w:r>
          </w:p>
        </w:tc>
        <w:tc>
          <w:tcPr>
            <w:tcW w:w="216" w:type="pct"/>
            <w:shd w:val="clear" w:color="000000" w:fill="EBF1DE"/>
            <w:noWrap/>
            <w:vAlign w:val="center"/>
            <w:hideMark/>
          </w:tcPr>
          <w:p w14:paraId="1716349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5"/>
              </w:rPr>
            </w:pPr>
            <w:r w:rsidRPr="00D372FF">
              <w:rPr>
                <w:rFonts w:ascii="Palatino" w:eastAsia="Times New Roman" w:hAnsi="Palatino" w:cs="Calibri"/>
                <w:i/>
                <w:iCs/>
                <w:szCs w:val="15"/>
              </w:rPr>
              <w:t>ADGRB2</w:t>
            </w:r>
          </w:p>
        </w:tc>
        <w:tc>
          <w:tcPr>
            <w:tcW w:w="299" w:type="pct"/>
            <w:shd w:val="clear" w:color="000000" w:fill="EBF1DE"/>
            <w:noWrap/>
            <w:vAlign w:val="center"/>
            <w:hideMark/>
          </w:tcPr>
          <w:p w14:paraId="49EBCBD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stop_gained</w:t>
            </w:r>
          </w:p>
        </w:tc>
        <w:tc>
          <w:tcPr>
            <w:tcW w:w="212" w:type="pct"/>
            <w:shd w:val="clear" w:color="000000" w:fill="EBF1DE"/>
            <w:noWrap/>
            <w:vAlign w:val="center"/>
            <w:hideMark/>
          </w:tcPr>
          <w:p w14:paraId="75F7A1D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123" w:type="pct"/>
            <w:shd w:val="clear" w:color="000000" w:fill="EBF1DE"/>
            <w:noWrap/>
            <w:vAlign w:val="center"/>
            <w:hideMark/>
          </w:tcPr>
          <w:p w14:paraId="380796E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38</w:t>
            </w:r>
          </w:p>
        </w:tc>
        <w:tc>
          <w:tcPr>
            <w:tcW w:w="138" w:type="pct"/>
            <w:shd w:val="clear" w:color="000000" w:fill="EBF1DE"/>
            <w:noWrap/>
            <w:vAlign w:val="center"/>
            <w:hideMark/>
          </w:tcPr>
          <w:p w14:paraId="163617B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716" w:type="pct"/>
            <w:shd w:val="clear" w:color="000000" w:fill="EBF1DE"/>
            <w:noWrap/>
            <w:vAlign w:val="center"/>
            <w:hideMark/>
          </w:tcPr>
          <w:p w14:paraId="343930A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ENST00000373655.6:c.4150C&gt;T</w:t>
            </w:r>
          </w:p>
        </w:tc>
        <w:tc>
          <w:tcPr>
            <w:tcW w:w="433" w:type="pct"/>
            <w:shd w:val="clear" w:color="000000" w:fill="EBF1DE"/>
            <w:noWrap/>
            <w:vAlign w:val="center"/>
            <w:hideMark/>
          </w:tcPr>
          <w:p w14:paraId="110C811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p.Arg1384Ter</w:t>
            </w:r>
          </w:p>
        </w:tc>
        <w:tc>
          <w:tcPr>
            <w:tcW w:w="173" w:type="pct"/>
            <w:shd w:val="clear" w:color="000000" w:fill="EBF1DE"/>
            <w:noWrap/>
            <w:vAlign w:val="center"/>
            <w:hideMark/>
          </w:tcPr>
          <w:p w14:paraId="27C0091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156" w:type="pct"/>
            <w:shd w:val="clear" w:color="000000" w:fill="EBF1DE"/>
            <w:noWrap/>
            <w:vAlign w:val="center"/>
            <w:hideMark/>
          </w:tcPr>
          <w:p w14:paraId="0D29C61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VUS</w:t>
            </w:r>
          </w:p>
        </w:tc>
        <w:tc>
          <w:tcPr>
            <w:tcW w:w="214" w:type="pct"/>
            <w:shd w:val="clear" w:color="000000" w:fill="EBF1DE"/>
            <w:noWrap/>
            <w:vAlign w:val="center"/>
            <w:hideMark/>
          </w:tcPr>
          <w:p w14:paraId="16A1618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FAM_4</w:t>
            </w:r>
          </w:p>
        </w:tc>
        <w:tc>
          <w:tcPr>
            <w:tcW w:w="424" w:type="pct"/>
            <w:shd w:val="clear" w:color="000000" w:fill="EBF1DE"/>
            <w:noWrap/>
            <w:vAlign w:val="center"/>
            <w:hideMark/>
          </w:tcPr>
          <w:p w14:paraId="48277DF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10</w:t>
            </w:r>
          </w:p>
        </w:tc>
        <w:tc>
          <w:tcPr>
            <w:tcW w:w="132" w:type="pct"/>
            <w:shd w:val="clear" w:color="000000" w:fill="EBF1DE"/>
            <w:noWrap/>
            <w:vAlign w:val="center"/>
            <w:hideMark/>
          </w:tcPr>
          <w:p w14:paraId="2E1750B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425" w:type="pct"/>
            <w:shd w:val="clear" w:color="000000" w:fill="EBF1DE"/>
            <w:noWrap/>
            <w:vAlign w:val="center"/>
            <w:hideMark/>
          </w:tcPr>
          <w:p w14:paraId="4F80E90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11</w:t>
            </w:r>
          </w:p>
        </w:tc>
        <w:tc>
          <w:tcPr>
            <w:tcW w:w="155" w:type="pct"/>
            <w:shd w:val="clear" w:color="000000" w:fill="EBF1DE"/>
            <w:noWrap/>
            <w:vAlign w:val="center"/>
            <w:hideMark/>
          </w:tcPr>
          <w:p w14:paraId="1F789C3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345" w:type="pct"/>
            <w:shd w:val="clear" w:color="000000" w:fill="EBF1DE"/>
            <w:noWrap/>
            <w:vAlign w:val="center"/>
            <w:hideMark/>
          </w:tcPr>
          <w:p w14:paraId="710EC32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13</w:t>
            </w:r>
          </w:p>
        </w:tc>
        <w:tc>
          <w:tcPr>
            <w:tcW w:w="155" w:type="pct"/>
            <w:shd w:val="clear" w:color="000000" w:fill="EBF1DE"/>
            <w:noWrap/>
            <w:vAlign w:val="center"/>
            <w:hideMark/>
          </w:tcPr>
          <w:p w14:paraId="5E62683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212" w:type="pct"/>
            <w:shd w:val="clear" w:color="000000" w:fill="EBF1DE"/>
            <w:vAlign w:val="center"/>
          </w:tcPr>
          <w:p w14:paraId="0045024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No</w:t>
            </w:r>
          </w:p>
        </w:tc>
      </w:tr>
      <w:tr w:rsidR="00C34963" w:rsidRPr="00A76F86" w14:paraId="7FC359DE" w14:textId="77777777" w:rsidTr="00C34963">
        <w:trPr>
          <w:jc w:val="center"/>
        </w:trPr>
        <w:tc>
          <w:tcPr>
            <w:tcW w:w="471" w:type="pct"/>
            <w:shd w:val="clear" w:color="auto" w:fill="auto"/>
            <w:noWrap/>
            <w:vAlign w:val="center"/>
            <w:hideMark/>
          </w:tcPr>
          <w:p w14:paraId="235A987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13:114325034:C:T</w:t>
            </w:r>
          </w:p>
        </w:tc>
        <w:tc>
          <w:tcPr>
            <w:tcW w:w="216" w:type="pct"/>
            <w:shd w:val="clear" w:color="auto" w:fill="auto"/>
            <w:noWrap/>
            <w:vAlign w:val="center"/>
            <w:hideMark/>
          </w:tcPr>
          <w:p w14:paraId="6597D66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i/>
                <w:iCs/>
                <w:szCs w:val="15"/>
              </w:rPr>
            </w:pPr>
            <w:r w:rsidRPr="00D372FF">
              <w:rPr>
                <w:rFonts w:ascii="Palatino" w:eastAsia="Times New Roman" w:hAnsi="Palatino" w:cs="Calibri"/>
                <w:b/>
                <w:bCs/>
                <w:i/>
                <w:iCs/>
                <w:szCs w:val="15"/>
              </w:rPr>
              <w:t>CHAMP1</w:t>
            </w:r>
          </w:p>
        </w:tc>
        <w:tc>
          <w:tcPr>
            <w:tcW w:w="299" w:type="pct"/>
            <w:shd w:val="clear" w:color="auto" w:fill="auto"/>
            <w:noWrap/>
            <w:vAlign w:val="center"/>
            <w:hideMark/>
          </w:tcPr>
          <w:p w14:paraId="0D0A4BE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stop_gained</w:t>
            </w:r>
          </w:p>
        </w:tc>
        <w:tc>
          <w:tcPr>
            <w:tcW w:w="212" w:type="pct"/>
            <w:shd w:val="clear" w:color="auto" w:fill="auto"/>
            <w:noWrap/>
            <w:vAlign w:val="center"/>
            <w:hideMark/>
          </w:tcPr>
          <w:p w14:paraId="5F0F704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0</w:t>
            </w:r>
          </w:p>
        </w:tc>
        <w:tc>
          <w:tcPr>
            <w:tcW w:w="123" w:type="pct"/>
            <w:shd w:val="clear" w:color="auto" w:fill="auto"/>
            <w:noWrap/>
            <w:vAlign w:val="center"/>
            <w:hideMark/>
          </w:tcPr>
          <w:p w14:paraId="6E5341E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35</w:t>
            </w:r>
          </w:p>
        </w:tc>
        <w:tc>
          <w:tcPr>
            <w:tcW w:w="138" w:type="pct"/>
            <w:shd w:val="clear" w:color="auto" w:fill="auto"/>
            <w:noWrap/>
            <w:vAlign w:val="center"/>
            <w:hideMark/>
          </w:tcPr>
          <w:p w14:paraId="0B156E7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 </w:t>
            </w:r>
          </w:p>
        </w:tc>
        <w:tc>
          <w:tcPr>
            <w:tcW w:w="716" w:type="pct"/>
            <w:shd w:val="clear" w:color="auto" w:fill="auto"/>
            <w:noWrap/>
            <w:vAlign w:val="center"/>
            <w:hideMark/>
          </w:tcPr>
          <w:p w14:paraId="503C138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ENST00000643483.1:c.1192C&gt;T</w:t>
            </w:r>
          </w:p>
        </w:tc>
        <w:tc>
          <w:tcPr>
            <w:tcW w:w="433" w:type="pct"/>
            <w:shd w:val="clear" w:color="auto" w:fill="auto"/>
            <w:noWrap/>
            <w:vAlign w:val="center"/>
            <w:hideMark/>
          </w:tcPr>
          <w:p w14:paraId="2BC5769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p.Arg398Ter</w:t>
            </w:r>
          </w:p>
        </w:tc>
        <w:tc>
          <w:tcPr>
            <w:tcW w:w="173" w:type="pct"/>
            <w:shd w:val="clear" w:color="auto" w:fill="auto"/>
            <w:noWrap/>
            <w:vAlign w:val="center"/>
            <w:hideMark/>
          </w:tcPr>
          <w:p w14:paraId="516324D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P</w:t>
            </w:r>
          </w:p>
        </w:tc>
        <w:tc>
          <w:tcPr>
            <w:tcW w:w="156" w:type="pct"/>
            <w:shd w:val="clear" w:color="auto" w:fill="auto"/>
            <w:noWrap/>
            <w:vAlign w:val="center"/>
            <w:hideMark/>
          </w:tcPr>
          <w:p w14:paraId="63894FD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P</w:t>
            </w:r>
          </w:p>
        </w:tc>
        <w:tc>
          <w:tcPr>
            <w:tcW w:w="214" w:type="pct"/>
            <w:shd w:val="clear" w:color="auto" w:fill="auto"/>
            <w:noWrap/>
            <w:vAlign w:val="center"/>
            <w:hideMark/>
          </w:tcPr>
          <w:p w14:paraId="25C85E4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FAM_6</w:t>
            </w:r>
          </w:p>
        </w:tc>
        <w:tc>
          <w:tcPr>
            <w:tcW w:w="424" w:type="pct"/>
            <w:shd w:val="clear" w:color="auto" w:fill="auto"/>
            <w:noWrap/>
            <w:vAlign w:val="center"/>
            <w:hideMark/>
          </w:tcPr>
          <w:p w14:paraId="12D63AC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17</w:t>
            </w:r>
          </w:p>
        </w:tc>
        <w:tc>
          <w:tcPr>
            <w:tcW w:w="132" w:type="pct"/>
            <w:shd w:val="clear" w:color="auto" w:fill="auto"/>
            <w:noWrap/>
            <w:vAlign w:val="center"/>
            <w:hideMark/>
          </w:tcPr>
          <w:p w14:paraId="3F992AA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1</w:t>
            </w:r>
          </w:p>
        </w:tc>
        <w:tc>
          <w:tcPr>
            <w:tcW w:w="425" w:type="pct"/>
            <w:shd w:val="clear" w:color="auto" w:fill="auto"/>
            <w:noWrap/>
            <w:vAlign w:val="center"/>
            <w:hideMark/>
          </w:tcPr>
          <w:p w14:paraId="7206EE8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18</w:t>
            </w:r>
          </w:p>
        </w:tc>
        <w:tc>
          <w:tcPr>
            <w:tcW w:w="155" w:type="pct"/>
            <w:shd w:val="clear" w:color="auto" w:fill="auto"/>
            <w:noWrap/>
            <w:vAlign w:val="center"/>
            <w:hideMark/>
          </w:tcPr>
          <w:p w14:paraId="0EF9E6B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0</w:t>
            </w:r>
          </w:p>
        </w:tc>
        <w:tc>
          <w:tcPr>
            <w:tcW w:w="345" w:type="pct"/>
            <w:shd w:val="clear" w:color="auto" w:fill="auto"/>
            <w:noWrap/>
            <w:vAlign w:val="center"/>
            <w:hideMark/>
          </w:tcPr>
          <w:p w14:paraId="2415F34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19</w:t>
            </w:r>
          </w:p>
        </w:tc>
        <w:tc>
          <w:tcPr>
            <w:tcW w:w="155" w:type="pct"/>
            <w:shd w:val="clear" w:color="auto" w:fill="auto"/>
            <w:noWrap/>
            <w:vAlign w:val="center"/>
            <w:hideMark/>
          </w:tcPr>
          <w:p w14:paraId="7923702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0</w:t>
            </w:r>
          </w:p>
        </w:tc>
        <w:tc>
          <w:tcPr>
            <w:tcW w:w="212" w:type="pct"/>
            <w:vAlign w:val="center"/>
          </w:tcPr>
          <w:p w14:paraId="5F92047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Yes</w:t>
            </w:r>
          </w:p>
        </w:tc>
      </w:tr>
      <w:tr w:rsidR="00C34963" w:rsidRPr="00A76F86" w14:paraId="6D52AEAE" w14:textId="77777777" w:rsidTr="00C34963">
        <w:trPr>
          <w:jc w:val="center"/>
        </w:trPr>
        <w:tc>
          <w:tcPr>
            <w:tcW w:w="471" w:type="pct"/>
            <w:shd w:val="clear" w:color="auto" w:fill="auto"/>
            <w:noWrap/>
            <w:vAlign w:val="center"/>
            <w:hideMark/>
          </w:tcPr>
          <w:p w14:paraId="045BA2C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11:17413408:G:A</w:t>
            </w:r>
          </w:p>
        </w:tc>
        <w:tc>
          <w:tcPr>
            <w:tcW w:w="216" w:type="pct"/>
            <w:shd w:val="clear" w:color="auto" w:fill="auto"/>
            <w:noWrap/>
            <w:vAlign w:val="center"/>
            <w:hideMark/>
          </w:tcPr>
          <w:p w14:paraId="4A8022A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i/>
                <w:iCs/>
                <w:szCs w:val="15"/>
              </w:rPr>
            </w:pPr>
            <w:r w:rsidRPr="00D372FF">
              <w:rPr>
                <w:rFonts w:ascii="Palatino" w:eastAsia="Times New Roman" w:hAnsi="Palatino" w:cs="Calibri"/>
                <w:b/>
                <w:bCs/>
                <w:i/>
                <w:iCs/>
                <w:szCs w:val="15"/>
              </w:rPr>
              <w:t>ABCC8</w:t>
            </w:r>
          </w:p>
        </w:tc>
        <w:tc>
          <w:tcPr>
            <w:tcW w:w="299" w:type="pct"/>
            <w:shd w:val="clear" w:color="auto" w:fill="auto"/>
            <w:noWrap/>
            <w:vAlign w:val="center"/>
            <w:hideMark/>
          </w:tcPr>
          <w:p w14:paraId="30BD43C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stop_gained</w:t>
            </w:r>
          </w:p>
        </w:tc>
        <w:tc>
          <w:tcPr>
            <w:tcW w:w="212" w:type="pct"/>
            <w:shd w:val="clear" w:color="auto" w:fill="auto"/>
            <w:noWrap/>
            <w:vAlign w:val="center"/>
            <w:hideMark/>
          </w:tcPr>
          <w:p w14:paraId="67DDA8C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0</w:t>
            </w:r>
          </w:p>
        </w:tc>
        <w:tc>
          <w:tcPr>
            <w:tcW w:w="123" w:type="pct"/>
            <w:shd w:val="clear" w:color="auto" w:fill="auto"/>
            <w:noWrap/>
            <w:vAlign w:val="center"/>
            <w:hideMark/>
          </w:tcPr>
          <w:p w14:paraId="3DA05CF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43</w:t>
            </w:r>
          </w:p>
        </w:tc>
        <w:tc>
          <w:tcPr>
            <w:tcW w:w="138" w:type="pct"/>
            <w:shd w:val="clear" w:color="auto" w:fill="auto"/>
            <w:noWrap/>
            <w:vAlign w:val="center"/>
            <w:hideMark/>
          </w:tcPr>
          <w:p w14:paraId="4C1C446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 </w:t>
            </w:r>
          </w:p>
        </w:tc>
        <w:tc>
          <w:tcPr>
            <w:tcW w:w="716" w:type="pct"/>
            <w:shd w:val="clear" w:color="auto" w:fill="auto"/>
            <w:noWrap/>
            <w:vAlign w:val="center"/>
            <w:hideMark/>
          </w:tcPr>
          <w:p w14:paraId="737A06B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ENST00000302539.9:c.2464C&gt;T</w:t>
            </w:r>
          </w:p>
        </w:tc>
        <w:tc>
          <w:tcPr>
            <w:tcW w:w="433" w:type="pct"/>
            <w:shd w:val="clear" w:color="auto" w:fill="auto"/>
            <w:noWrap/>
            <w:vAlign w:val="center"/>
            <w:hideMark/>
          </w:tcPr>
          <w:p w14:paraId="2B60F47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p.Gln822Ter</w:t>
            </w:r>
          </w:p>
        </w:tc>
        <w:tc>
          <w:tcPr>
            <w:tcW w:w="173" w:type="pct"/>
            <w:shd w:val="clear" w:color="auto" w:fill="auto"/>
            <w:noWrap/>
            <w:vAlign w:val="center"/>
            <w:hideMark/>
          </w:tcPr>
          <w:p w14:paraId="418EA26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 </w:t>
            </w:r>
          </w:p>
        </w:tc>
        <w:tc>
          <w:tcPr>
            <w:tcW w:w="156" w:type="pct"/>
            <w:shd w:val="clear" w:color="auto" w:fill="auto"/>
            <w:noWrap/>
            <w:vAlign w:val="center"/>
            <w:hideMark/>
          </w:tcPr>
          <w:p w14:paraId="17F89C2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LP</w:t>
            </w:r>
          </w:p>
        </w:tc>
        <w:tc>
          <w:tcPr>
            <w:tcW w:w="214" w:type="pct"/>
            <w:shd w:val="clear" w:color="auto" w:fill="auto"/>
            <w:noWrap/>
            <w:vAlign w:val="center"/>
            <w:hideMark/>
          </w:tcPr>
          <w:p w14:paraId="378BB5D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FAM_5</w:t>
            </w:r>
          </w:p>
        </w:tc>
        <w:tc>
          <w:tcPr>
            <w:tcW w:w="424" w:type="pct"/>
            <w:shd w:val="clear" w:color="auto" w:fill="auto"/>
            <w:noWrap/>
            <w:vAlign w:val="center"/>
            <w:hideMark/>
          </w:tcPr>
          <w:p w14:paraId="05CB2CD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14</w:t>
            </w:r>
          </w:p>
        </w:tc>
        <w:tc>
          <w:tcPr>
            <w:tcW w:w="132" w:type="pct"/>
            <w:shd w:val="clear" w:color="auto" w:fill="auto"/>
            <w:noWrap/>
            <w:vAlign w:val="center"/>
            <w:hideMark/>
          </w:tcPr>
          <w:p w14:paraId="5E839E4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1</w:t>
            </w:r>
          </w:p>
        </w:tc>
        <w:tc>
          <w:tcPr>
            <w:tcW w:w="425" w:type="pct"/>
            <w:shd w:val="clear" w:color="auto" w:fill="auto"/>
            <w:noWrap/>
            <w:vAlign w:val="center"/>
            <w:hideMark/>
          </w:tcPr>
          <w:p w14:paraId="7A5CCF4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15</w:t>
            </w:r>
          </w:p>
        </w:tc>
        <w:tc>
          <w:tcPr>
            <w:tcW w:w="155" w:type="pct"/>
            <w:shd w:val="clear" w:color="auto" w:fill="auto"/>
            <w:noWrap/>
            <w:vAlign w:val="center"/>
            <w:hideMark/>
          </w:tcPr>
          <w:p w14:paraId="5588D8C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0</w:t>
            </w:r>
          </w:p>
        </w:tc>
        <w:tc>
          <w:tcPr>
            <w:tcW w:w="345" w:type="pct"/>
            <w:shd w:val="clear" w:color="auto" w:fill="auto"/>
            <w:noWrap/>
            <w:vAlign w:val="center"/>
            <w:hideMark/>
          </w:tcPr>
          <w:p w14:paraId="7DF1C34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19</w:t>
            </w:r>
          </w:p>
        </w:tc>
        <w:tc>
          <w:tcPr>
            <w:tcW w:w="155" w:type="pct"/>
            <w:shd w:val="clear" w:color="auto" w:fill="auto"/>
            <w:noWrap/>
            <w:vAlign w:val="center"/>
            <w:hideMark/>
          </w:tcPr>
          <w:p w14:paraId="3EDD6B5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 1</w:t>
            </w:r>
          </w:p>
        </w:tc>
        <w:tc>
          <w:tcPr>
            <w:tcW w:w="212" w:type="pct"/>
            <w:vAlign w:val="center"/>
          </w:tcPr>
          <w:p w14:paraId="4F6B957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b/>
                <w:bCs/>
                <w:szCs w:val="15"/>
              </w:rPr>
            </w:pPr>
            <w:r w:rsidRPr="00D372FF">
              <w:rPr>
                <w:rFonts w:ascii="Palatino" w:eastAsia="Times New Roman" w:hAnsi="Palatino" w:cs="Calibri"/>
                <w:b/>
                <w:bCs/>
                <w:szCs w:val="15"/>
              </w:rPr>
              <w:t>No</w:t>
            </w:r>
          </w:p>
        </w:tc>
      </w:tr>
      <w:tr w:rsidR="00C369B2" w:rsidRPr="00A76F86" w14:paraId="5CAC517F" w14:textId="77777777" w:rsidTr="00C34963">
        <w:trPr>
          <w:jc w:val="center"/>
        </w:trPr>
        <w:tc>
          <w:tcPr>
            <w:tcW w:w="471" w:type="pct"/>
            <w:shd w:val="clear" w:color="000000" w:fill="FDE9D9"/>
            <w:noWrap/>
            <w:vAlign w:val="center"/>
            <w:hideMark/>
          </w:tcPr>
          <w:p w14:paraId="180433F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lastRenderedPageBreak/>
              <w:t>16:71951734:T:G</w:t>
            </w:r>
          </w:p>
        </w:tc>
        <w:tc>
          <w:tcPr>
            <w:tcW w:w="216" w:type="pct"/>
            <w:shd w:val="clear" w:color="000000" w:fill="FDE9D9"/>
            <w:noWrap/>
            <w:vAlign w:val="center"/>
            <w:hideMark/>
          </w:tcPr>
          <w:p w14:paraId="744B1E3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5"/>
              </w:rPr>
            </w:pPr>
            <w:r w:rsidRPr="00D372FF">
              <w:rPr>
                <w:rFonts w:ascii="Palatino" w:eastAsia="Times New Roman" w:hAnsi="Palatino" w:cs="Calibri"/>
                <w:i/>
                <w:iCs/>
                <w:szCs w:val="15"/>
              </w:rPr>
              <w:t>PKD1L3</w:t>
            </w:r>
          </w:p>
        </w:tc>
        <w:tc>
          <w:tcPr>
            <w:tcW w:w="299" w:type="pct"/>
            <w:shd w:val="clear" w:color="000000" w:fill="FDE9D9"/>
            <w:noWrap/>
            <w:vAlign w:val="center"/>
            <w:hideMark/>
          </w:tcPr>
          <w:p w14:paraId="00D4063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missense</w:t>
            </w:r>
          </w:p>
        </w:tc>
        <w:tc>
          <w:tcPr>
            <w:tcW w:w="212" w:type="pct"/>
            <w:shd w:val="clear" w:color="000000" w:fill="FDE9D9"/>
            <w:noWrap/>
            <w:vAlign w:val="center"/>
            <w:hideMark/>
          </w:tcPr>
          <w:p w14:paraId="61004A9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5.09</w:t>
            </w:r>
            <w:r w:rsidRPr="00D372FF">
              <w:rPr>
                <w:rFonts w:ascii="Palatino" w:eastAsia="Times New Roman" w:hAnsi="Palatino" w:cs="Calibri"/>
                <w:szCs w:val="15"/>
                <w:vertAlign w:val="superscript"/>
              </w:rPr>
              <w:t>-4</w:t>
            </w:r>
          </w:p>
        </w:tc>
        <w:tc>
          <w:tcPr>
            <w:tcW w:w="123" w:type="pct"/>
            <w:shd w:val="clear" w:color="000000" w:fill="FDE9D9"/>
            <w:noWrap/>
            <w:vAlign w:val="center"/>
            <w:hideMark/>
          </w:tcPr>
          <w:p w14:paraId="633998E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23.1</w:t>
            </w:r>
          </w:p>
        </w:tc>
        <w:tc>
          <w:tcPr>
            <w:tcW w:w="138" w:type="pct"/>
            <w:shd w:val="clear" w:color="000000" w:fill="FDE9D9"/>
            <w:noWrap/>
            <w:vAlign w:val="center"/>
            <w:hideMark/>
          </w:tcPr>
          <w:p w14:paraId="33ABE7B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716" w:type="pct"/>
            <w:shd w:val="clear" w:color="000000" w:fill="FDE9D9"/>
            <w:noWrap/>
            <w:vAlign w:val="center"/>
            <w:hideMark/>
          </w:tcPr>
          <w:p w14:paraId="64E5B68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ENST00000620267.1:c.3020A&gt;C</w:t>
            </w:r>
          </w:p>
        </w:tc>
        <w:tc>
          <w:tcPr>
            <w:tcW w:w="433" w:type="pct"/>
            <w:shd w:val="clear" w:color="000000" w:fill="FDE9D9"/>
            <w:noWrap/>
            <w:vAlign w:val="center"/>
            <w:hideMark/>
          </w:tcPr>
          <w:p w14:paraId="5B98C28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p.Glu1007Ala</w:t>
            </w:r>
          </w:p>
        </w:tc>
        <w:tc>
          <w:tcPr>
            <w:tcW w:w="173" w:type="pct"/>
            <w:shd w:val="clear" w:color="000000" w:fill="FDE9D9"/>
            <w:noWrap/>
            <w:vAlign w:val="center"/>
            <w:hideMark/>
          </w:tcPr>
          <w:p w14:paraId="0E6B41D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156" w:type="pct"/>
            <w:shd w:val="clear" w:color="000000" w:fill="FDE9D9"/>
            <w:noWrap/>
            <w:vAlign w:val="center"/>
            <w:hideMark/>
          </w:tcPr>
          <w:p w14:paraId="43CA4AB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VUS</w:t>
            </w:r>
          </w:p>
        </w:tc>
        <w:tc>
          <w:tcPr>
            <w:tcW w:w="214" w:type="pct"/>
            <w:shd w:val="clear" w:color="000000" w:fill="FDE9D9"/>
            <w:noWrap/>
            <w:vAlign w:val="center"/>
            <w:hideMark/>
          </w:tcPr>
          <w:p w14:paraId="42A15EB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FAM_7</w:t>
            </w:r>
          </w:p>
        </w:tc>
        <w:tc>
          <w:tcPr>
            <w:tcW w:w="424" w:type="pct"/>
            <w:shd w:val="clear" w:color="000000" w:fill="FDE9D9"/>
            <w:noWrap/>
            <w:vAlign w:val="center"/>
            <w:hideMark/>
          </w:tcPr>
          <w:p w14:paraId="43BB859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20</w:t>
            </w:r>
          </w:p>
        </w:tc>
        <w:tc>
          <w:tcPr>
            <w:tcW w:w="132" w:type="pct"/>
            <w:shd w:val="clear" w:color="000000" w:fill="FDE9D9"/>
            <w:noWrap/>
            <w:vAlign w:val="center"/>
            <w:hideMark/>
          </w:tcPr>
          <w:p w14:paraId="0C000BE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425" w:type="pct"/>
            <w:shd w:val="clear" w:color="000000" w:fill="FDE9D9"/>
            <w:noWrap/>
            <w:vAlign w:val="center"/>
            <w:hideMark/>
          </w:tcPr>
          <w:p w14:paraId="78D4886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21</w:t>
            </w:r>
          </w:p>
        </w:tc>
        <w:tc>
          <w:tcPr>
            <w:tcW w:w="155" w:type="pct"/>
            <w:shd w:val="clear" w:color="000000" w:fill="FDE9D9"/>
            <w:noWrap/>
            <w:vAlign w:val="center"/>
            <w:hideMark/>
          </w:tcPr>
          <w:p w14:paraId="0C81FD8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345" w:type="pct"/>
            <w:shd w:val="clear" w:color="000000" w:fill="FDE9D9"/>
            <w:noWrap/>
            <w:vAlign w:val="center"/>
            <w:hideMark/>
          </w:tcPr>
          <w:p w14:paraId="71E83F1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22</w:t>
            </w:r>
          </w:p>
        </w:tc>
        <w:tc>
          <w:tcPr>
            <w:tcW w:w="155" w:type="pct"/>
            <w:shd w:val="clear" w:color="000000" w:fill="FDE9D9"/>
            <w:noWrap/>
            <w:vAlign w:val="center"/>
            <w:hideMark/>
          </w:tcPr>
          <w:p w14:paraId="75C8684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212" w:type="pct"/>
            <w:shd w:val="clear" w:color="000000" w:fill="FDE9D9"/>
            <w:vAlign w:val="center"/>
          </w:tcPr>
          <w:p w14:paraId="24549A3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No</w:t>
            </w:r>
          </w:p>
        </w:tc>
      </w:tr>
      <w:tr w:rsidR="00C369B2" w:rsidRPr="00A76F86" w14:paraId="355E65E2" w14:textId="77777777" w:rsidTr="00C34963">
        <w:trPr>
          <w:jc w:val="center"/>
        </w:trPr>
        <w:tc>
          <w:tcPr>
            <w:tcW w:w="471" w:type="pct"/>
            <w:shd w:val="clear" w:color="000000" w:fill="FDE9D9"/>
            <w:noWrap/>
            <w:vAlign w:val="center"/>
            <w:hideMark/>
          </w:tcPr>
          <w:p w14:paraId="59BF4D1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16:71973386:C:T</w:t>
            </w:r>
          </w:p>
        </w:tc>
        <w:tc>
          <w:tcPr>
            <w:tcW w:w="216" w:type="pct"/>
            <w:shd w:val="clear" w:color="000000" w:fill="FDE9D9"/>
            <w:noWrap/>
            <w:vAlign w:val="center"/>
            <w:hideMark/>
          </w:tcPr>
          <w:p w14:paraId="1AFDC1B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5"/>
              </w:rPr>
            </w:pPr>
            <w:r w:rsidRPr="00D372FF">
              <w:rPr>
                <w:rFonts w:ascii="Palatino" w:eastAsia="Times New Roman" w:hAnsi="Palatino" w:cs="Calibri"/>
                <w:i/>
                <w:iCs/>
                <w:szCs w:val="15"/>
              </w:rPr>
              <w:t>PKD1L3</w:t>
            </w:r>
          </w:p>
        </w:tc>
        <w:tc>
          <w:tcPr>
            <w:tcW w:w="299" w:type="pct"/>
            <w:shd w:val="clear" w:color="000000" w:fill="FDE9D9"/>
            <w:noWrap/>
            <w:vAlign w:val="center"/>
            <w:hideMark/>
          </w:tcPr>
          <w:p w14:paraId="13FDC9E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missense</w:t>
            </w:r>
          </w:p>
        </w:tc>
        <w:tc>
          <w:tcPr>
            <w:tcW w:w="212" w:type="pct"/>
            <w:shd w:val="clear" w:color="000000" w:fill="FDE9D9"/>
            <w:noWrap/>
            <w:vAlign w:val="center"/>
            <w:hideMark/>
          </w:tcPr>
          <w:p w14:paraId="0A37416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1.02</w:t>
            </w:r>
            <w:r w:rsidRPr="00D372FF">
              <w:rPr>
                <w:rFonts w:ascii="Palatino" w:eastAsia="Times New Roman" w:hAnsi="Palatino" w:cs="Calibri"/>
                <w:szCs w:val="15"/>
                <w:vertAlign w:val="superscript"/>
              </w:rPr>
              <w:t>-4</w:t>
            </w:r>
          </w:p>
        </w:tc>
        <w:tc>
          <w:tcPr>
            <w:tcW w:w="123" w:type="pct"/>
            <w:shd w:val="clear" w:color="000000" w:fill="FDE9D9"/>
            <w:noWrap/>
            <w:vAlign w:val="center"/>
            <w:hideMark/>
          </w:tcPr>
          <w:p w14:paraId="04D5569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22</w:t>
            </w:r>
          </w:p>
        </w:tc>
        <w:tc>
          <w:tcPr>
            <w:tcW w:w="138" w:type="pct"/>
            <w:shd w:val="clear" w:color="000000" w:fill="FDE9D9"/>
            <w:noWrap/>
            <w:vAlign w:val="center"/>
            <w:hideMark/>
          </w:tcPr>
          <w:p w14:paraId="076721C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716" w:type="pct"/>
            <w:shd w:val="clear" w:color="000000" w:fill="FDE9D9"/>
            <w:noWrap/>
            <w:vAlign w:val="center"/>
            <w:hideMark/>
          </w:tcPr>
          <w:p w14:paraId="1A881AC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ENST00000620267.1:c.1891G&gt;A</w:t>
            </w:r>
          </w:p>
        </w:tc>
        <w:tc>
          <w:tcPr>
            <w:tcW w:w="433" w:type="pct"/>
            <w:shd w:val="clear" w:color="000000" w:fill="FDE9D9"/>
            <w:noWrap/>
            <w:vAlign w:val="center"/>
            <w:hideMark/>
          </w:tcPr>
          <w:p w14:paraId="7278EAD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p.Ala631Thr</w:t>
            </w:r>
          </w:p>
        </w:tc>
        <w:tc>
          <w:tcPr>
            <w:tcW w:w="173" w:type="pct"/>
            <w:shd w:val="clear" w:color="000000" w:fill="FDE9D9"/>
            <w:noWrap/>
            <w:vAlign w:val="center"/>
            <w:hideMark/>
          </w:tcPr>
          <w:p w14:paraId="23D5EEB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156" w:type="pct"/>
            <w:shd w:val="clear" w:color="000000" w:fill="FDE9D9"/>
            <w:noWrap/>
            <w:vAlign w:val="center"/>
            <w:hideMark/>
          </w:tcPr>
          <w:p w14:paraId="61335D0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VUS</w:t>
            </w:r>
          </w:p>
        </w:tc>
        <w:tc>
          <w:tcPr>
            <w:tcW w:w="214" w:type="pct"/>
            <w:shd w:val="clear" w:color="000000" w:fill="FDE9D9"/>
            <w:noWrap/>
            <w:vAlign w:val="center"/>
            <w:hideMark/>
          </w:tcPr>
          <w:p w14:paraId="0A840BF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FAM_7</w:t>
            </w:r>
          </w:p>
        </w:tc>
        <w:tc>
          <w:tcPr>
            <w:tcW w:w="424" w:type="pct"/>
            <w:shd w:val="clear" w:color="000000" w:fill="FDE9D9"/>
            <w:noWrap/>
            <w:vAlign w:val="center"/>
            <w:hideMark/>
          </w:tcPr>
          <w:p w14:paraId="06CBCE5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20</w:t>
            </w:r>
          </w:p>
        </w:tc>
        <w:tc>
          <w:tcPr>
            <w:tcW w:w="132" w:type="pct"/>
            <w:shd w:val="clear" w:color="000000" w:fill="FDE9D9"/>
            <w:noWrap/>
            <w:vAlign w:val="center"/>
            <w:hideMark/>
          </w:tcPr>
          <w:p w14:paraId="53B7774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425" w:type="pct"/>
            <w:shd w:val="clear" w:color="000000" w:fill="FDE9D9"/>
            <w:noWrap/>
            <w:vAlign w:val="center"/>
            <w:hideMark/>
          </w:tcPr>
          <w:p w14:paraId="4067EE4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21</w:t>
            </w:r>
          </w:p>
        </w:tc>
        <w:tc>
          <w:tcPr>
            <w:tcW w:w="155" w:type="pct"/>
            <w:shd w:val="clear" w:color="000000" w:fill="FDE9D9"/>
            <w:noWrap/>
            <w:vAlign w:val="center"/>
            <w:hideMark/>
          </w:tcPr>
          <w:p w14:paraId="6E2D13E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345" w:type="pct"/>
            <w:shd w:val="clear" w:color="000000" w:fill="FDE9D9"/>
            <w:noWrap/>
            <w:vAlign w:val="center"/>
            <w:hideMark/>
          </w:tcPr>
          <w:p w14:paraId="526247C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22</w:t>
            </w:r>
          </w:p>
        </w:tc>
        <w:tc>
          <w:tcPr>
            <w:tcW w:w="155" w:type="pct"/>
            <w:shd w:val="clear" w:color="000000" w:fill="FDE9D9"/>
            <w:noWrap/>
            <w:vAlign w:val="center"/>
            <w:hideMark/>
          </w:tcPr>
          <w:p w14:paraId="1F68B80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212" w:type="pct"/>
            <w:shd w:val="clear" w:color="000000" w:fill="FDE9D9"/>
            <w:vAlign w:val="center"/>
          </w:tcPr>
          <w:p w14:paraId="0F68750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No</w:t>
            </w:r>
          </w:p>
        </w:tc>
      </w:tr>
      <w:tr w:rsidR="00C369B2" w:rsidRPr="00A76F86" w14:paraId="26E66FA4" w14:textId="77777777" w:rsidTr="00C34963">
        <w:trPr>
          <w:jc w:val="center"/>
        </w:trPr>
        <w:tc>
          <w:tcPr>
            <w:tcW w:w="471" w:type="pct"/>
            <w:shd w:val="clear" w:color="000000" w:fill="FDE9D9"/>
            <w:noWrap/>
            <w:vAlign w:val="center"/>
            <w:hideMark/>
          </w:tcPr>
          <w:p w14:paraId="01776ED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9:77020700:A:G</w:t>
            </w:r>
          </w:p>
        </w:tc>
        <w:tc>
          <w:tcPr>
            <w:tcW w:w="216" w:type="pct"/>
            <w:shd w:val="clear" w:color="000000" w:fill="FDE9D9"/>
            <w:noWrap/>
            <w:vAlign w:val="center"/>
            <w:hideMark/>
          </w:tcPr>
          <w:p w14:paraId="5DE4CD0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FOXB2</w:t>
            </w:r>
          </w:p>
        </w:tc>
        <w:tc>
          <w:tcPr>
            <w:tcW w:w="299" w:type="pct"/>
            <w:shd w:val="clear" w:color="000000" w:fill="FDE9D9"/>
            <w:noWrap/>
            <w:vAlign w:val="center"/>
            <w:hideMark/>
          </w:tcPr>
          <w:p w14:paraId="2D998C76"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missense</w:t>
            </w:r>
          </w:p>
        </w:tc>
        <w:tc>
          <w:tcPr>
            <w:tcW w:w="212" w:type="pct"/>
            <w:shd w:val="clear" w:color="000000" w:fill="FDE9D9"/>
            <w:noWrap/>
            <w:vAlign w:val="center"/>
            <w:hideMark/>
          </w:tcPr>
          <w:p w14:paraId="76AE5BC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123" w:type="pct"/>
            <w:shd w:val="clear" w:color="000000" w:fill="FDE9D9"/>
            <w:noWrap/>
            <w:vAlign w:val="center"/>
            <w:hideMark/>
          </w:tcPr>
          <w:p w14:paraId="1A0434D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25.3</w:t>
            </w:r>
          </w:p>
        </w:tc>
        <w:tc>
          <w:tcPr>
            <w:tcW w:w="138" w:type="pct"/>
            <w:shd w:val="clear" w:color="000000" w:fill="FDE9D9"/>
            <w:noWrap/>
            <w:vAlign w:val="center"/>
            <w:hideMark/>
          </w:tcPr>
          <w:p w14:paraId="2E6B071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0.534</w:t>
            </w:r>
          </w:p>
        </w:tc>
        <w:tc>
          <w:tcPr>
            <w:tcW w:w="716" w:type="pct"/>
            <w:shd w:val="clear" w:color="000000" w:fill="FDE9D9"/>
            <w:noWrap/>
            <w:vAlign w:val="center"/>
            <w:hideMark/>
          </w:tcPr>
          <w:p w14:paraId="5AFB32E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ENST00000376708.1:c.1046A&gt;G</w:t>
            </w:r>
          </w:p>
        </w:tc>
        <w:tc>
          <w:tcPr>
            <w:tcW w:w="433" w:type="pct"/>
            <w:shd w:val="clear" w:color="000000" w:fill="FDE9D9"/>
            <w:noWrap/>
            <w:vAlign w:val="center"/>
            <w:hideMark/>
          </w:tcPr>
          <w:p w14:paraId="71DBA67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p.Lys349Arg</w:t>
            </w:r>
          </w:p>
        </w:tc>
        <w:tc>
          <w:tcPr>
            <w:tcW w:w="173" w:type="pct"/>
            <w:shd w:val="clear" w:color="000000" w:fill="FDE9D9"/>
            <w:noWrap/>
            <w:vAlign w:val="center"/>
            <w:hideMark/>
          </w:tcPr>
          <w:p w14:paraId="128D52E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156" w:type="pct"/>
            <w:shd w:val="clear" w:color="000000" w:fill="FDE9D9"/>
            <w:noWrap/>
            <w:vAlign w:val="center"/>
            <w:hideMark/>
          </w:tcPr>
          <w:p w14:paraId="52B272E9"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VUS</w:t>
            </w:r>
          </w:p>
        </w:tc>
        <w:tc>
          <w:tcPr>
            <w:tcW w:w="214" w:type="pct"/>
            <w:shd w:val="clear" w:color="000000" w:fill="FDE9D9"/>
            <w:noWrap/>
            <w:vAlign w:val="center"/>
            <w:hideMark/>
          </w:tcPr>
          <w:p w14:paraId="22EF2C5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FAM_7</w:t>
            </w:r>
          </w:p>
        </w:tc>
        <w:tc>
          <w:tcPr>
            <w:tcW w:w="424" w:type="pct"/>
            <w:shd w:val="clear" w:color="000000" w:fill="FDE9D9"/>
            <w:noWrap/>
            <w:vAlign w:val="center"/>
            <w:hideMark/>
          </w:tcPr>
          <w:p w14:paraId="4C83C07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20</w:t>
            </w:r>
          </w:p>
        </w:tc>
        <w:tc>
          <w:tcPr>
            <w:tcW w:w="132" w:type="pct"/>
            <w:shd w:val="clear" w:color="000000" w:fill="FDE9D9"/>
            <w:noWrap/>
            <w:vAlign w:val="center"/>
            <w:hideMark/>
          </w:tcPr>
          <w:p w14:paraId="757B996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425" w:type="pct"/>
            <w:shd w:val="clear" w:color="000000" w:fill="FDE9D9"/>
            <w:noWrap/>
            <w:vAlign w:val="center"/>
            <w:hideMark/>
          </w:tcPr>
          <w:p w14:paraId="21B8EE2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21</w:t>
            </w:r>
          </w:p>
        </w:tc>
        <w:tc>
          <w:tcPr>
            <w:tcW w:w="155" w:type="pct"/>
            <w:shd w:val="clear" w:color="000000" w:fill="FDE9D9"/>
            <w:noWrap/>
            <w:vAlign w:val="center"/>
            <w:hideMark/>
          </w:tcPr>
          <w:p w14:paraId="4E94C04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345" w:type="pct"/>
            <w:shd w:val="clear" w:color="000000" w:fill="FDE9D9"/>
            <w:noWrap/>
            <w:vAlign w:val="center"/>
            <w:hideMark/>
          </w:tcPr>
          <w:p w14:paraId="3BA2596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22</w:t>
            </w:r>
          </w:p>
        </w:tc>
        <w:tc>
          <w:tcPr>
            <w:tcW w:w="155" w:type="pct"/>
            <w:shd w:val="clear" w:color="000000" w:fill="FDE9D9"/>
            <w:noWrap/>
            <w:vAlign w:val="center"/>
            <w:hideMark/>
          </w:tcPr>
          <w:p w14:paraId="5E4BF7C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212" w:type="pct"/>
            <w:shd w:val="clear" w:color="000000" w:fill="FDE9D9"/>
            <w:vAlign w:val="center"/>
          </w:tcPr>
          <w:p w14:paraId="236CFB0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No</w:t>
            </w:r>
          </w:p>
        </w:tc>
      </w:tr>
      <w:tr w:rsidR="00C369B2" w:rsidRPr="00A76F86" w14:paraId="7166957A" w14:textId="77777777" w:rsidTr="00C34963">
        <w:trPr>
          <w:jc w:val="center"/>
        </w:trPr>
        <w:tc>
          <w:tcPr>
            <w:tcW w:w="471" w:type="pct"/>
            <w:shd w:val="clear" w:color="000000" w:fill="F2F2F2"/>
            <w:noWrap/>
            <w:vAlign w:val="center"/>
            <w:hideMark/>
          </w:tcPr>
          <w:p w14:paraId="7155C05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19:23361341:G:C</w:t>
            </w:r>
          </w:p>
        </w:tc>
        <w:tc>
          <w:tcPr>
            <w:tcW w:w="216" w:type="pct"/>
            <w:shd w:val="clear" w:color="000000" w:fill="F2F2F2"/>
            <w:noWrap/>
            <w:vAlign w:val="center"/>
            <w:hideMark/>
          </w:tcPr>
          <w:p w14:paraId="01C0BAA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5"/>
              </w:rPr>
            </w:pPr>
            <w:r w:rsidRPr="00D372FF">
              <w:rPr>
                <w:rFonts w:ascii="Palatino" w:eastAsia="Times New Roman" w:hAnsi="Palatino" w:cs="Calibri"/>
                <w:i/>
                <w:iCs/>
                <w:szCs w:val="15"/>
              </w:rPr>
              <w:t>ZNF91</w:t>
            </w:r>
          </w:p>
        </w:tc>
        <w:tc>
          <w:tcPr>
            <w:tcW w:w="299" w:type="pct"/>
            <w:shd w:val="clear" w:color="000000" w:fill="F2F2F2"/>
            <w:noWrap/>
            <w:vAlign w:val="center"/>
            <w:hideMark/>
          </w:tcPr>
          <w:p w14:paraId="59C6361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stop_gained</w:t>
            </w:r>
          </w:p>
        </w:tc>
        <w:tc>
          <w:tcPr>
            <w:tcW w:w="212" w:type="pct"/>
            <w:shd w:val="clear" w:color="000000" w:fill="F2F2F2"/>
            <w:noWrap/>
            <w:vAlign w:val="center"/>
            <w:hideMark/>
          </w:tcPr>
          <w:p w14:paraId="2415255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123" w:type="pct"/>
            <w:shd w:val="clear" w:color="000000" w:fill="F2F2F2"/>
            <w:noWrap/>
            <w:vAlign w:val="center"/>
            <w:hideMark/>
          </w:tcPr>
          <w:p w14:paraId="5A471C9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32</w:t>
            </w:r>
          </w:p>
        </w:tc>
        <w:tc>
          <w:tcPr>
            <w:tcW w:w="138" w:type="pct"/>
            <w:shd w:val="clear" w:color="000000" w:fill="F2F2F2"/>
            <w:noWrap/>
            <w:vAlign w:val="center"/>
            <w:hideMark/>
          </w:tcPr>
          <w:p w14:paraId="752031A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716" w:type="pct"/>
            <w:shd w:val="clear" w:color="000000" w:fill="F2F2F2"/>
            <w:noWrap/>
            <w:vAlign w:val="center"/>
            <w:hideMark/>
          </w:tcPr>
          <w:p w14:paraId="6F1DD65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ENST00000300619.11:c.1638C&gt;G</w:t>
            </w:r>
          </w:p>
        </w:tc>
        <w:tc>
          <w:tcPr>
            <w:tcW w:w="433" w:type="pct"/>
            <w:shd w:val="clear" w:color="000000" w:fill="F2F2F2"/>
            <w:noWrap/>
            <w:vAlign w:val="center"/>
            <w:hideMark/>
          </w:tcPr>
          <w:p w14:paraId="66B4BF6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p.Tyr546Ter</w:t>
            </w:r>
          </w:p>
        </w:tc>
        <w:tc>
          <w:tcPr>
            <w:tcW w:w="173" w:type="pct"/>
            <w:shd w:val="clear" w:color="000000" w:fill="F2F2F2"/>
            <w:noWrap/>
            <w:vAlign w:val="center"/>
            <w:hideMark/>
          </w:tcPr>
          <w:p w14:paraId="3F20306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156" w:type="pct"/>
            <w:shd w:val="clear" w:color="000000" w:fill="F2F2F2"/>
            <w:noWrap/>
            <w:vAlign w:val="center"/>
            <w:hideMark/>
          </w:tcPr>
          <w:p w14:paraId="50EECD8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VUS</w:t>
            </w:r>
          </w:p>
        </w:tc>
        <w:tc>
          <w:tcPr>
            <w:tcW w:w="214" w:type="pct"/>
            <w:shd w:val="clear" w:color="000000" w:fill="F2F2F2"/>
            <w:noWrap/>
            <w:vAlign w:val="center"/>
            <w:hideMark/>
          </w:tcPr>
          <w:p w14:paraId="744F2DD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FAM_8</w:t>
            </w:r>
          </w:p>
        </w:tc>
        <w:tc>
          <w:tcPr>
            <w:tcW w:w="424" w:type="pct"/>
            <w:shd w:val="clear" w:color="000000" w:fill="F2F2F2"/>
            <w:noWrap/>
            <w:vAlign w:val="center"/>
            <w:hideMark/>
          </w:tcPr>
          <w:p w14:paraId="1C9DCE9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23</w:t>
            </w:r>
          </w:p>
        </w:tc>
        <w:tc>
          <w:tcPr>
            <w:tcW w:w="132" w:type="pct"/>
            <w:shd w:val="clear" w:color="000000" w:fill="F2F2F2"/>
            <w:noWrap/>
            <w:vAlign w:val="center"/>
            <w:hideMark/>
          </w:tcPr>
          <w:p w14:paraId="6D0A857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425" w:type="pct"/>
            <w:shd w:val="clear" w:color="000000" w:fill="F2F2F2"/>
            <w:noWrap/>
            <w:vAlign w:val="center"/>
            <w:hideMark/>
          </w:tcPr>
          <w:p w14:paraId="47AFED1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24</w:t>
            </w:r>
          </w:p>
        </w:tc>
        <w:tc>
          <w:tcPr>
            <w:tcW w:w="155" w:type="pct"/>
            <w:shd w:val="clear" w:color="000000" w:fill="F2F2F2"/>
            <w:noWrap/>
            <w:vAlign w:val="center"/>
            <w:hideMark/>
          </w:tcPr>
          <w:p w14:paraId="43268B4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345" w:type="pct"/>
            <w:shd w:val="clear" w:color="000000" w:fill="F2F2F2"/>
            <w:noWrap/>
            <w:vAlign w:val="center"/>
            <w:hideMark/>
          </w:tcPr>
          <w:p w14:paraId="38BAF8E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25</w:t>
            </w:r>
          </w:p>
        </w:tc>
        <w:tc>
          <w:tcPr>
            <w:tcW w:w="155" w:type="pct"/>
            <w:shd w:val="clear" w:color="000000" w:fill="F2F2F2"/>
            <w:noWrap/>
            <w:vAlign w:val="center"/>
            <w:hideMark/>
          </w:tcPr>
          <w:p w14:paraId="77EC111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212" w:type="pct"/>
            <w:shd w:val="clear" w:color="000000" w:fill="F2F2F2"/>
            <w:vAlign w:val="center"/>
          </w:tcPr>
          <w:p w14:paraId="365837E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No</w:t>
            </w:r>
          </w:p>
        </w:tc>
      </w:tr>
      <w:tr w:rsidR="00C369B2" w:rsidRPr="00A76F86" w14:paraId="32089C8C" w14:textId="77777777" w:rsidTr="00C34963">
        <w:trPr>
          <w:jc w:val="center"/>
        </w:trPr>
        <w:tc>
          <w:tcPr>
            <w:tcW w:w="471" w:type="pct"/>
            <w:shd w:val="clear" w:color="000000" w:fill="F2F2F2"/>
            <w:noWrap/>
            <w:vAlign w:val="center"/>
            <w:hideMark/>
          </w:tcPr>
          <w:p w14:paraId="0781585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1:243341070:TG:T</w:t>
            </w:r>
          </w:p>
        </w:tc>
        <w:tc>
          <w:tcPr>
            <w:tcW w:w="216" w:type="pct"/>
            <w:shd w:val="clear" w:color="000000" w:fill="F2F2F2"/>
            <w:noWrap/>
            <w:vAlign w:val="center"/>
            <w:hideMark/>
          </w:tcPr>
          <w:p w14:paraId="0827C91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5"/>
              </w:rPr>
            </w:pPr>
            <w:r w:rsidRPr="00D372FF">
              <w:rPr>
                <w:rFonts w:ascii="Palatino" w:eastAsia="Times New Roman" w:hAnsi="Palatino" w:cs="Calibri"/>
                <w:i/>
                <w:iCs/>
                <w:szCs w:val="15"/>
              </w:rPr>
              <w:t>SDCCAG8</w:t>
            </w:r>
          </w:p>
        </w:tc>
        <w:tc>
          <w:tcPr>
            <w:tcW w:w="299" w:type="pct"/>
            <w:shd w:val="clear" w:color="000000" w:fill="F2F2F2"/>
            <w:noWrap/>
            <w:vAlign w:val="center"/>
            <w:hideMark/>
          </w:tcPr>
          <w:p w14:paraId="795B5BD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frameshift</w:t>
            </w:r>
          </w:p>
        </w:tc>
        <w:tc>
          <w:tcPr>
            <w:tcW w:w="212" w:type="pct"/>
            <w:shd w:val="clear" w:color="000000" w:fill="F2F2F2"/>
            <w:noWrap/>
            <w:vAlign w:val="center"/>
            <w:hideMark/>
          </w:tcPr>
          <w:p w14:paraId="40E0109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123" w:type="pct"/>
            <w:shd w:val="clear" w:color="000000" w:fill="F2F2F2"/>
            <w:noWrap/>
            <w:vAlign w:val="center"/>
            <w:hideMark/>
          </w:tcPr>
          <w:p w14:paraId="6EE85813"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26</w:t>
            </w:r>
          </w:p>
        </w:tc>
        <w:tc>
          <w:tcPr>
            <w:tcW w:w="138" w:type="pct"/>
            <w:shd w:val="clear" w:color="000000" w:fill="F2F2F2"/>
            <w:noWrap/>
            <w:vAlign w:val="center"/>
            <w:hideMark/>
          </w:tcPr>
          <w:p w14:paraId="6287C31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716" w:type="pct"/>
            <w:shd w:val="clear" w:color="000000" w:fill="F2F2F2"/>
            <w:noWrap/>
            <w:vAlign w:val="center"/>
            <w:hideMark/>
          </w:tcPr>
          <w:p w14:paraId="0D5442A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ENST00000366541.7:c.1255del</w:t>
            </w:r>
          </w:p>
        </w:tc>
        <w:tc>
          <w:tcPr>
            <w:tcW w:w="433" w:type="pct"/>
            <w:shd w:val="clear" w:color="000000" w:fill="F2F2F2"/>
            <w:noWrap/>
            <w:vAlign w:val="center"/>
            <w:hideMark/>
          </w:tcPr>
          <w:p w14:paraId="748E508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p.Glu419ArgfsTer43</w:t>
            </w:r>
          </w:p>
        </w:tc>
        <w:tc>
          <w:tcPr>
            <w:tcW w:w="173" w:type="pct"/>
            <w:shd w:val="clear" w:color="000000" w:fill="F2F2F2"/>
            <w:noWrap/>
            <w:vAlign w:val="center"/>
            <w:hideMark/>
          </w:tcPr>
          <w:p w14:paraId="12B3D33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 </w:t>
            </w:r>
          </w:p>
        </w:tc>
        <w:tc>
          <w:tcPr>
            <w:tcW w:w="156" w:type="pct"/>
            <w:shd w:val="clear" w:color="000000" w:fill="F2F2F2"/>
            <w:noWrap/>
            <w:vAlign w:val="center"/>
            <w:hideMark/>
          </w:tcPr>
          <w:p w14:paraId="17BA90D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P</w:t>
            </w:r>
          </w:p>
        </w:tc>
        <w:tc>
          <w:tcPr>
            <w:tcW w:w="214" w:type="pct"/>
            <w:shd w:val="clear" w:color="000000" w:fill="F2F2F2"/>
            <w:noWrap/>
            <w:vAlign w:val="center"/>
            <w:hideMark/>
          </w:tcPr>
          <w:p w14:paraId="6B525F5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FAM_8</w:t>
            </w:r>
          </w:p>
        </w:tc>
        <w:tc>
          <w:tcPr>
            <w:tcW w:w="424" w:type="pct"/>
            <w:shd w:val="clear" w:color="000000" w:fill="F2F2F2"/>
            <w:noWrap/>
            <w:vAlign w:val="center"/>
            <w:hideMark/>
          </w:tcPr>
          <w:p w14:paraId="522170E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23</w:t>
            </w:r>
          </w:p>
        </w:tc>
        <w:tc>
          <w:tcPr>
            <w:tcW w:w="132" w:type="pct"/>
            <w:shd w:val="clear" w:color="000000" w:fill="F2F2F2"/>
            <w:noWrap/>
            <w:vAlign w:val="center"/>
            <w:hideMark/>
          </w:tcPr>
          <w:p w14:paraId="67F4A94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425" w:type="pct"/>
            <w:shd w:val="clear" w:color="000000" w:fill="F2F2F2"/>
            <w:noWrap/>
            <w:vAlign w:val="center"/>
            <w:hideMark/>
          </w:tcPr>
          <w:p w14:paraId="300EE97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24</w:t>
            </w:r>
          </w:p>
        </w:tc>
        <w:tc>
          <w:tcPr>
            <w:tcW w:w="155" w:type="pct"/>
            <w:shd w:val="clear" w:color="000000" w:fill="F2F2F2"/>
            <w:noWrap/>
            <w:vAlign w:val="center"/>
            <w:hideMark/>
          </w:tcPr>
          <w:p w14:paraId="471EC6C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345" w:type="pct"/>
            <w:shd w:val="clear" w:color="000000" w:fill="F2F2F2"/>
            <w:noWrap/>
            <w:vAlign w:val="center"/>
            <w:hideMark/>
          </w:tcPr>
          <w:p w14:paraId="02BBBC2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25</w:t>
            </w:r>
          </w:p>
        </w:tc>
        <w:tc>
          <w:tcPr>
            <w:tcW w:w="155" w:type="pct"/>
            <w:shd w:val="clear" w:color="000000" w:fill="F2F2F2"/>
            <w:noWrap/>
            <w:vAlign w:val="center"/>
            <w:hideMark/>
          </w:tcPr>
          <w:p w14:paraId="772CBB3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212" w:type="pct"/>
            <w:shd w:val="clear" w:color="000000" w:fill="F2F2F2"/>
            <w:vAlign w:val="center"/>
          </w:tcPr>
          <w:p w14:paraId="0A17118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Yes</w:t>
            </w:r>
          </w:p>
        </w:tc>
      </w:tr>
      <w:tr w:rsidR="00C369B2" w:rsidRPr="00A76F86" w14:paraId="7946B282" w14:textId="77777777" w:rsidTr="00C34963">
        <w:trPr>
          <w:jc w:val="center"/>
        </w:trPr>
        <w:tc>
          <w:tcPr>
            <w:tcW w:w="471" w:type="pct"/>
            <w:shd w:val="clear" w:color="000000" w:fill="F2F2F2"/>
            <w:noWrap/>
            <w:vAlign w:val="center"/>
            <w:hideMark/>
          </w:tcPr>
          <w:p w14:paraId="0F6A704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1:243378799:A:G</w:t>
            </w:r>
          </w:p>
        </w:tc>
        <w:tc>
          <w:tcPr>
            <w:tcW w:w="216" w:type="pct"/>
            <w:shd w:val="clear" w:color="000000" w:fill="F2F2F2"/>
            <w:noWrap/>
            <w:vAlign w:val="center"/>
            <w:hideMark/>
          </w:tcPr>
          <w:p w14:paraId="0162A10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i/>
                <w:iCs/>
                <w:szCs w:val="15"/>
              </w:rPr>
            </w:pPr>
            <w:r w:rsidRPr="00D372FF">
              <w:rPr>
                <w:rFonts w:ascii="Palatino" w:eastAsia="Times New Roman" w:hAnsi="Palatino" w:cs="Calibri"/>
                <w:i/>
                <w:iCs/>
                <w:szCs w:val="15"/>
              </w:rPr>
              <w:t>SDCCAG8</w:t>
            </w:r>
          </w:p>
        </w:tc>
        <w:tc>
          <w:tcPr>
            <w:tcW w:w="299" w:type="pct"/>
            <w:shd w:val="clear" w:color="000000" w:fill="F2F2F2"/>
            <w:noWrap/>
            <w:vAlign w:val="center"/>
            <w:hideMark/>
          </w:tcPr>
          <w:p w14:paraId="3FC82A5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missense</w:t>
            </w:r>
          </w:p>
        </w:tc>
        <w:tc>
          <w:tcPr>
            <w:tcW w:w="212" w:type="pct"/>
            <w:shd w:val="clear" w:color="000000" w:fill="F2F2F2"/>
            <w:noWrap/>
            <w:vAlign w:val="center"/>
            <w:hideMark/>
          </w:tcPr>
          <w:p w14:paraId="7D0DFAB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9.55</w:t>
            </w:r>
            <w:r w:rsidRPr="00D372FF">
              <w:rPr>
                <w:rFonts w:ascii="Palatino" w:eastAsia="Times New Roman" w:hAnsi="Palatino" w:cs="Calibri"/>
                <w:szCs w:val="15"/>
                <w:vertAlign w:val="superscript"/>
              </w:rPr>
              <w:t>-5</w:t>
            </w:r>
          </w:p>
        </w:tc>
        <w:tc>
          <w:tcPr>
            <w:tcW w:w="123" w:type="pct"/>
            <w:shd w:val="clear" w:color="000000" w:fill="F2F2F2"/>
            <w:noWrap/>
            <w:vAlign w:val="center"/>
            <w:hideMark/>
          </w:tcPr>
          <w:p w14:paraId="1C57337E"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22.2</w:t>
            </w:r>
          </w:p>
        </w:tc>
        <w:tc>
          <w:tcPr>
            <w:tcW w:w="138" w:type="pct"/>
            <w:shd w:val="clear" w:color="000000" w:fill="F2F2F2"/>
            <w:noWrap/>
            <w:vAlign w:val="center"/>
            <w:hideMark/>
          </w:tcPr>
          <w:p w14:paraId="585F1E7F"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0.195</w:t>
            </w:r>
          </w:p>
        </w:tc>
        <w:tc>
          <w:tcPr>
            <w:tcW w:w="716" w:type="pct"/>
            <w:shd w:val="clear" w:color="000000" w:fill="F2F2F2"/>
            <w:noWrap/>
            <w:vAlign w:val="center"/>
            <w:hideMark/>
          </w:tcPr>
          <w:p w14:paraId="5421D10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ENST00000366541.7:c.1552A&gt;G</w:t>
            </w:r>
          </w:p>
        </w:tc>
        <w:tc>
          <w:tcPr>
            <w:tcW w:w="433" w:type="pct"/>
            <w:shd w:val="clear" w:color="000000" w:fill="F2F2F2"/>
            <w:noWrap/>
            <w:vAlign w:val="center"/>
            <w:hideMark/>
          </w:tcPr>
          <w:p w14:paraId="305D63D8"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p.Arg518Gly</w:t>
            </w:r>
          </w:p>
        </w:tc>
        <w:tc>
          <w:tcPr>
            <w:tcW w:w="173" w:type="pct"/>
            <w:shd w:val="clear" w:color="000000" w:fill="F2F2F2"/>
            <w:noWrap/>
            <w:vAlign w:val="center"/>
            <w:hideMark/>
          </w:tcPr>
          <w:p w14:paraId="09CC2EF0"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VUS</w:t>
            </w:r>
          </w:p>
        </w:tc>
        <w:tc>
          <w:tcPr>
            <w:tcW w:w="156" w:type="pct"/>
            <w:shd w:val="clear" w:color="000000" w:fill="F2F2F2"/>
            <w:noWrap/>
            <w:vAlign w:val="center"/>
            <w:hideMark/>
          </w:tcPr>
          <w:p w14:paraId="79315C04"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VUS</w:t>
            </w:r>
          </w:p>
        </w:tc>
        <w:tc>
          <w:tcPr>
            <w:tcW w:w="214" w:type="pct"/>
            <w:shd w:val="clear" w:color="000000" w:fill="F2F2F2"/>
            <w:noWrap/>
            <w:vAlign w:val="center"/>
            <w:hideMark/>
          </w:tcPr>
          <w:p w14:paraId="75A3F372"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FAM_8</w:t>
            </w:r>
          </w:p>
        </w:tc>
        <w:tc>
          <w:tcPr>
            <w:tcW w:w="424" w:type="pct"/>
            <w:shd w:val="clear" w:color="000000" w:fill="F2F2F2"/>
            <w:noWrap/>
            <w:vAlign w:val="center"/>
            <w:hideMark/>
          </w:tcPr>
          <w:p w14:paraId="2DBF4F21"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23</w:t>
            </w:r>
          </w:p>
        </w:tc>
        <w:tc>
          <w:tcPr>
            <w:tcW w:w="132" w:type="pct"/>
            <w:shd w:val="clear" w:color="000000" w:fill="F2F2F2"/>
            <w:noWrap/>
            <w:vAlign w:val="center"/>
            <w:hideMark/>
          </w:tcPr>
          <w:p w14:paraId="1F4B826D"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425" w:type="pct"/>
            <w:shd w:val="clear" w:color="000000" w:fill="F2F2F2"/>
            <w:noWrap/>
            <w:vAlign w:val="center"/>
            <w:hideMark/>
          </w:tcPr>
          <w:p w14:paraId="2ED7567B"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24</w:t>
            </w:r>
          </w:p>
        </w:tc>
        <w:tc>
          <w:tcPr>
            <w:tcW w:w="155" w:type="pct"/>
            <w:shd w:val="clear" w:color="000000" w:fill="F2F2F2"/>
            <w:noWrap/>
            <w:vAlign w:val="center"/>
            <w:hideMark/>
          </w:tcPr>
          <w:p w14:paraId="161D8015"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0</w:t>
            </w:r>
          </w:p>
        </w:tc>
        <w:tc>
          <w:tcPr>
            <w:tcW w:w="345" w:type="pct"/>
            <w:shd w:val="clear" w:color="000000" w:fill="F2F2F2"/>
            <w:noWrap/>
            <w:vAlign w:val="center"/>
            <w:hideMark/>
          </w:tcPr>
          <w:p w14:paraId="04C75F7A"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25</w:t>
            </w:r>
          </w:p>
        </w:tc>
        <w:tc>
          <w:tcPr>
            <w:tcW w:w="155" w:type="pct"/>
            <w:shd w:val="clear" w:color="000000" w:fill="F2F2F2"/>
            <w:noWrap/>
            <w:vAlign w:val="center"/>
            <w:hideMark/>
          </w:tcPr>
          <w:p w14:paraId="6FA6877C"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1</w:t>
            </w:r>
          </w:p>
        </w:tc>
        <w:tc>
          <w:tcPr>
            <w:tcW w:w="212" w:type="pct"/>
            <w:shd w:val="clear" w:color="000000" w:fill="F2F2F2"/>
            <w:vAlign w:val="center"/>
          </w:tcPr>
          <w:p w14:paraId="62A89AC7" w14:textId="77777777" w:rsidR="00C369B2" w:rsidRPr="00D372FF" w:rsidRDefault="00C369B2" w:rsidP="00C34963">
            <w:pPr>
              <w:autoSpaceDE w:val="0"/>
              <w:autoSpaceDN w:val="0"/>
              <w:adjustRightInd w:val="0"/>
              <w:snapToGrid w:val="0"/>
              <w:spacing w:line="240" w:lineRule="auto"/>
              <w:jc w:val="center"/>
              <w:rPr>
                <w:rFonts w:ascii="Palatino" w:eastAsia="Times New Roman" w:hAnsi="Palatino" w:cs="Calibri"/>
                <w:szCs w:val="15"/>
              </w:rPr>
            </w:pPr>
            <w:r w:rsidRPr="00D372FF">
              <w:rPr>
                <w:rFonts w:ascii="Palatino" w:eastAsia="Times New Roman" w:hAnsi="Palatino" w:cs="Calibri"/>
                <w:szCs w:val="15"/>
              </w:rPr>
              <w:t>Yes</w:t>
            </w:r>
          </w:p>
        </w:tc>
      </w:tr>
    </w:tbl>
    <w:p w14:paraId="283B2CD9" w14:textId="7DEE2975" w:rsidR="00C369B2" w:rsidRPr="00C34963" w:rsidRDefault="00C369B2" w:rsidP="00C34963">
      <w:pPr>
        <w:pStyle w:val="MDPI43tablefooter"/>
        <w:spacing w:after="240"/>
        <w:rPr>
          <w:sz w:val="20"/>
          <w:szCs w:val="20"/>
          <w:u w:val="single"/>
        </w:rPr>
      </w:pPr>
      <w:r w:rsidRPr="00C34963">
        <w:t>Families separated by colour. FamID – Family ID; hgvsc – HGVS coding consequence; hgvsp – HGVS protein consequence; LP – likely pathogenic; P – pathogenic; P_AC – proband allele count; S2_AC – sample2 allele count; S3_AC – sample3 allele count; VUS – variant of uncertain significance. Sample_2 and sample_3 refers to parental DNA.</w:t>
      </w:r>
      <w:r w:rsidRPr="00C34963">
        <w:rPr>
          <w:sz w:val="20"/>
          <w:szCs w:val="20"/>
          <w:u w:val="single"/>
        </w:rPr>
        <w:t>Comparison between exome study and GMS clinical genome results</w:t>
      </w:r>
      <w:r w:rsidR="00C34963">
        <w:rPr>
          <w:sz w:val="20"/>
          <w:szCs w:val="20"/>
          <w:u w:val="single"/>
        </w:rPr>
        <w:t>.</w:t>
      </w:r>
    </w:p>
    <w:p w14:paraId="013451FC" w14:textId="77777777" w:rsidR="00C369B2" w:rsidRPr="00C34963" w:rsidRDefault="00C369B2" w:rsidP="00C34963">
      <w:pPr>
        <w:pStyle w:val="MDPI31text"/>
      </w:pPr>
      <w:r w:rsidRPr="00C34963">
        <w:t>On average, more HPO terms were recorded in the research exome study compared to the GMS genome (</w:t>
      </w:r>
      <w:r w:rsidRPr="00C34963">
        <w:rPr>
          <w:b/>
          <w:bCs/>
        </w:rPr>
        <w:t>Table 1</w:t>
      </w:r>
      <w:r w:rsidRPr="00C34963">
        <w:t xml:space="preserve"> and </w:t>
      </w:r>
      <w:r w:rsidRPr="00C34963">
        <w:rPr>
          <w:b/>
          <w:bCs/>
        </w:rPr>
        <w:t>Figure 4</w:t>
      </w:r>
      <w:r w:rsidRPr="00C34963">
        <w:t>) although this was not statistically significant (p-value = 0.1, Wilcox signed rank test).</w:t>
      </w:r>
    </w:p>
    <w:p w14:paraId="4F39D928" w14:textId="77777777" w:rsidR="00C369B2" w:rsidRPr="00C34963" w:rsidRDefault="00C369B2" w:rsidP="00C34963">
      <w:pPr>
        <w:pStyle w:val="MDPI31text"/>
      </w:pPr>
      <w:r w:rsidRPr="00C34963">
        <w:t>When comparing the 8 families who underwent parallel research exome and GMS clinical genome sequencing, we removed one family (FAM_4) from analysis as the mother was not sequenced in the research study but was sequenced by the GMS. There was no statistical difference between the number of variants (excluding CNVs) assessed by the GMS panel-based strategy and the HiPPo method (p-value = 0.35, Wilcoxon signed rank test), although HiPPo identified more reportable variants (</w:t>
      </w:r>
      <w:r w:rsidRPr="00C34963">
        <w:rPr>
          <w:b/>
          <w:bCs/>
        </w:rPr>
        <w:t>Table 4</w:t>
      </w:r>
      <w:r w:rsidRPr="00C34963">
        <w:t>), of which 6 variants in 5 unique genes have been taken forward as candidates to MME. Three of these variants were identified but discounted by the GMS as disease gene discovery is outside of the remit of clinical reporting. However, when restricting the HiPPo analysis to GenCC strong and definitive genes, there was a statistical difference between groups (p-value = 0.022, Wilcoxon signed rank test), with the research study assessing fewer variants overall (</w:t>
      </w:r>
      <w:r w:rsidRPr="00C34963">
        <w:rPr>
          <w:b/>
          <w:bCs/>
        </w:rPr>
        <w:t>Figure 4</w:t>
      </w:r>
      <w:r w:rsidRPr="00C34963">
        <w:t xml:space="preserve">) yet still identifying an additional pathogenic variant in </w:t>
      </w:r>
      <w:r w:rsidRPr="00C34963">
        <w:rPr>
          <w:i/>
          <w:iCs/>
        </w:rPr>
        <w:t xml:space="preserve">ABCC8 </w:t>
      </w:r>
      <w:r w:rsidRPr="00C34963">
        <w:t xml:space="preserve">that did not pass filtering thresholds by the GMS. </w:t>
      </w:r>
    </w:p>
    <w:p w14:paraId="66F7DE8F" w14:textId="77777777" w:rsidR="00C34963" w:rsidRDefault="00C34963" w:rsidP="00C34963">
      <w:pPr>
        <w:pStyle w:val="MDPI31text"/>
      </w:pPr>
      <w:r w:rsidRPr="00C34963">
        <w:rPr>
          <w:b/>
        </w:rPr>
        <w:t xml:space="preserve">Table 3. </w:t>
      </w:r>
      <w:r w:rsidR="00C369B2" w:rsidRPr="00C34963">
        <w:t>[7.31%]) compared with the panel-based GMS strategy (2/63 [3.17%]), although the result was not significant (p value = 0.39, Fisher’s exact test). When limiting HiPPo analysis to GenCC disease genes, the diagnostic rate per variant assessed improved further to 3/15 (20%) (</w:t>
      </w:r>
      <w:r w:rsidR="00C369B2" w:rsidRPr="00C34963">
        <w:rPr>
          <w:b/>
          <w:bCs/>
        </w:rPr>
        <w:t>Figure 4</w:t>
      </w:r>
      <w:r w:rsidR="00C369B2" w:rsidRPr="00C34963">
        <w:t>); p value = 0.06. The reportable variant rate per number of variants assessed was higher for the HiPPo approach when limited to GenCC disease genes (12/15 [80.0%]) compared with the panel-based GMS strategy (5/63 [7.93%]).</w:t>
      </w:r>
    </w:p>
    <w:p w14:paraId="3171299A" w14:textId="0DC55919" w:rsidR="00C34963" w:rsidRDefault="00C369B2" w:rsidP="00C34963">
      <w:pPr>
        <w:pStyle w:val="MDPI52figure"/>
        <w:rPr>
          <w:b/>
          <w:bCs/>
        </w:rPr>
      </w:pPr>
      <w:r w:rsidRPr="00C34963">
        <w:rPr>
          <w:noProof/>
        </w:rPr>
        <w:lastRenderedPageBreak/>
        <w:drawing>
          <wp:inline distT="0" distB="0" distL="0" distR="0" wp14:anchorId="5B9472C8" wp14:editId="52802448">
            <wp:extent cx="6972928" cy="4564685"/>
            <wp:effectExtent l="0" t="0" r="0" b="7620"/>
            <wp:docPr id="857283805" name="Picture 1" descr="A picture containing diagram, technical drawing, pla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83805" name="Picture 1" descr="A picture containing diagram, technical drawing, plan, text&#10;&#10;Description automatically generated"/>
                    <pic:cNvPicPr/>
                  </pic:nvPicPr>
                  <pic:blipFill>
                    <a:blip r:embed="rId13"/>
                    <a:stretch>
                      <a:fillRect/>
                    </a:stretch>
                  </pic:blipFill>
                  <pic:spPr>
                    <a:xfrm>
                      <a:off x="0" y="0"/>
                      <a:ext cx="6974990" cy="4566035"/>
                    </a:xfrm>
                    <a:prstGeom prst="rect">
                      <a:avLst/>
                    </a:prstGeom>
                  </pic:spPr>
                </pic:pic>
              </a:graphicData>
            </a:graphic>
          </wp:inline>
        </w:drawing>
      </w:r>
      <w:r w:rsidRPr="00C34963">
        <w:rPr>
          <w:szCs w:val="18"/>
        </w:rPr>
        <w:t xml:space="preserve"> </w:t>
      </w:r>
      <w:r w:rsidRPr="00C34963">
        <w:rPr>
          <w:szCs w:val="18"/>
        </w:rPr>
        <w:br/>
      </w:r>
    </w:p>
    <w:p w14:paraId="251D2E21" w14:textId="40591CA2" w:rsidR="00C369B2" w:rsidRPr="00C34963" w:rsidRDefault="00C34963" w:rsidP="00C34963">
      <w:pPr>
        <w:pStyle w:val="MDPI51figurecaption"/>
        <w:jc w:val="both"/>
      </w:pPr>
      <w:r w:rsidRPr="00C34963">
        <w:rPr>
          <w:b/>
          <w:bCs/>
        </w:rPr>
        <w:t xml:space="preserve">Figure 4. </w:t>
      </w:r>
      <w:r w:rsidRPr="00C34963">
        <w:t>| Comparison of results between the research exome and clinical genome (NHS) sequencing</w:t>
      </w:r>
      <w:r>
        <w:t xml:space="preserve">. </w:t>
      </w:r>
      <w:r w:rsidR="00C369B2" w:rsidRPr="00C34963">
        <w:t>(a) Number of HPO terms recorded between the exome and genome studies. (b) Number of variants assessed by the NHS reporting laboratory following GMS genome sequencing versus number of variants passing HiPPo filtering (in any gene) in the exome study. (c) Number of variants assessed by the NHS reporting laboratory following GMS genome sequencing versus the number of filtered HiPPo variants in GenCC disease genes assessed by the exome study. (d) Plot showing the diagnostic rate per variant assessed and the reported variant rate per variant assessed for the HiPPo research approach, HiPPo restricted to GenCC disease genes approach, and the GMS panel-based filtering strategy.</w:t>
      </w:r>
    </w:p>
    <w:p w14:paraId="112C672A" w14:textId="366D71D9" w:rsidR="00C369B2" w:rsidRPr="00C34963" w:rsidRDefault="00C34963" w:rsidP="00C34963">
      <w:pPr>
        <w:pStyle w:val="MDPI21heading1"/>
      </w:pPr>
      <w:r>
        <w:t xml:space="preserve">4. </w:t>
      </w:r>
      <w:r w:rsidR="00C369B2" w:rsidRPr="00C34963">
        <w:t>Discussion</w:t>
      </w:r>
    </w:p>
    <w:p w14:paraId="6F7E5FD7" w14:textId="77777777" w:rsidR="00C369B2" w:rsidRPr="00C34963" w:rsidRDefault="00C369B2" w:rsidP="00C34963">
      <w:pPr>
        <w:pStyle w:val="MDPI31text"/>
      </w:pPr>
      <w:r w:rsidRPr="00C34963">
        <w:t xml:space="preserve">Genome sequencing is available as a clinical test on the NHS through the GMS. Following sequencing, data are filtered by a pre-selected gene panel chosen by the referring clinician, in addition to CNVs overlapping the panel applied, </w:t>
      </w:r>
      <w:r w:rsidRPr="00C34963">
        <w:rPr>
          <w:i/>
          <w:iCs/>
        </w:rPr>
        <w:t>de novo</w:t>
      </w:r>
      <w:r w:rsidRPr="00C34963">
        <w:t xml:space="preserve"> variants, and Exomiser</w:t>
      </w:r>
      <w:r w:rsidRPr="00C34963">
        <w:fldChar w:fldCharType="begin"/>
      </w:r>
      <w:r w:rsidRPr="00C34963">
        <w:instrText xml:space="preserve"> ADDIN EN.CITE &lt;EndNote&gt;&lt;Cite&gt;&lt;Author&gt;Smedley&lt;/Author&gt;&lt;Year&gt;2015&lt;/Year&gt;&lt;RecNum&gt;178&lt;/RecNum&gt;&lt;DisplayText&gt;(6)&lt;/DisplayText&gt;&lt;record&gt;&lt;rec-number&gt;178&lt;/rec-number&gt;&lt;foreign-keys&gt;&lt;key app="EN" db-id="d0vstffei2ze5sew5fwxp0dq9zxs5pvvsxpv" timestamp="1598243424"&gt;178&lt;/key&gt;&lt;/foreign-keys&gt;&lt;ref-type name="Journal Article"&gt;17&lt;/ref-type&gt;&lt;contributors&gt;&lt;authors&gt;&lt;author&gt;Smedley, Damian&lt;/author&gt;&lt;author&gt;Jacobsen, Julius OB&lt;/author&gt;&lt;author&gt;Jäger, Marten&lt;/author&gt;&lt;author&gt;Köhler, Sebastian&lt;/author&gt;&lt;author&gt;Holtgrewe, Manuel&lt;/author&gt;&lt;author&gt;Schubach, Max&lt;/author&gt;&lt;author&gt;Siragusa, Enrico&lt;/author&gt;&lt;author&gt;Zemojtel, Tomasz&lt;/author&gt;&lt;author&gt;Buske, Orion J&lt;/author&gt;&lt;author&gt;Washington, Nicole L&lt;/author&gt;&lt;/authors&gt;&lt;/contributors&gt;&lt;titles&gt;&lt;title&gt;Next-generation diagnostics and disease-gene discovery with the Exomiser&lt;/title&gt;&lt;secondary-title&gt;Nature protocols&lt;/secondary-title&gt;&lt;/titles&gt;&lt;periodical&gt;&lt;full-title&gt;Nature protocols&lt;/full-title&gt;&lt;/periodical&gt;&lt;pages&gt;2004-2015&lt;/pages&gt;&lt;volume&gt;10&lt;/volume&gt;&lt;number&gt;12&lt;/number&gt;&lt;dates&gt;&lt;year&gt;2015&lt;/year&gt;&lt;/dates&gt;&lt;isbn&gt;1750-2799&lt;/isbn&gt;&lt;urls&gt;&lt;/urls&gt;&lt;/record&gt;&lt;/Cite&gt;&lt;/EndNote&gt;</w:instrText>
      </w:r>
      <w:r w:rsidRPr="00C34963">
        <w:fldChar w:fldCharType="separate"/>
      </w:r>
      <w:r w:rsidRPr="00C34963">
        <w:rPr>
          <w:noProof/>
        </w:rPr>
        <w:t>(6)</w:t>
      </w:r>
      <w:r w:rsidRPr="00C34963">
        <w:fldChar w:fldCharType="end"/>
      </w:r>
      <w:r w:rsidRPr="00C34963">
        <w:t xml:space="preserve"> top 3 ranked variants. This predominantly ‘panel-based’ approach attempts to minimise noise and efficiently identify pathogenic variants in disease-relevant genes. </w:t>
      </w:r>
    </w:p>
    <w:p w14:paraId="671AC410" w14:textId="1FB56A8D" w:rsidR="00C369B2" w:rsidRPr="00C34963" w:rsidRDefault="00C369B2" w:rsidP="00C34963">
      <w:pPr>
        <w:pStyle w:val="MDPI31text"/>
      </w:pPr>
      <w:r w:rsidRPr="00C34963">
        <w:t>However, panel-based strategies are not without limitations. PanelApp</w:t>
      </w:r>
      <w:r w:rsidRPr="00C34963">
        <w:fldChar w:fldCharType="begin"/>
      </w:r>
      <w:r w:rsidRPr="00C34963">
        <w:instrText xml:space="preserve"> ADDIN EN.CITE &lt;EndNote&gt;&lt;Cite&gt;&lt;Author&gt;Martin&lt;/Author&gt;&lt;Year&gt;2019&lt;/Year&gt;&lt;RecNum&gt;1070&lt;/RecNum&gt;&lt;DisplayText&gt;(4)&lt;/DisplayText&gt;&lt;record&gt;&lt;rec-number&gt;1070&lt;/rec-number&gt;&lt;foreign-keys&gt;&lt;key app="EN" db-id="d0vstffei2ze5sew5fwxp0dq9zxs5pvvsxpv" timestamp="1618530630"&gt;1070&lt;/key&gt;&lt;/foreign-keys&gt;&lt;ref-type name="Journal Article"&gt;17&lt;/ref-type&gt;&lt;contributors&gt;&lt;authors&gt;&lt;author&gt;Martin, Antonio Rueda&lt;/author&gt;&lt;author&gt;Williams, Eleanor&lt;/author&gt;&lt;author&gt;Foulger, Rebecca E&lt;/author&gt;&lt;author&gt;Leigh, Sarah&lt;/author&gt;&lt;author&gt;Daugherty, Louise C&lt;/author&gt;&lt;author&gt;Niblock, Olivia&lt;/author&gt;&lt;author&gt;Leong, Ivone US&lt;/author&gt;&lt;author&gt;Smith, Katherine R&lt;/author&gt;&lt;author&gt;Gerasimenko, Oleg&lt;/author&gt;&lt;author&gt;Haraldsdottir, Eik&lt;/author&gt;&lt;/authors&gt;&lt;/contributors&gt;&lt;titles&gt;&lt;title&gt;PanelApp crowdsources expert knowledge to establish consensus diagnostic gene panels&lt;/title&gt;&lt;secondary-title&gt;Nature genetics&lt;/secondary-title&gt;&lt;/titles&gt;&lt;periodical&gt;&lt;full-title&gt;Nature genetics&lt;/full-title&gt;&lt;/periodical&gt;&lt;pages&gt;1560-1565&lt;/pages&gt;&lt;volume&gt;51&lt;/volume&gt;&lt;number&gt;11&lt;/number&gt;&lt;dates&gt;&lt;year&gt;2019&lt;/year&gt;&lt;/dates&gt;&lt;isbn&gt;1546-1718&lt;/isbn&gt;&lt;urls&gt;&lt;/urls&gt;&lt;/record&gt;&lt;/Cite&gt;&lt;/EndNote&gt;</w:instrText>
      </w:r>
      <w:r w:rsidRPr="00C34963">
        <w:fldChar w:fldCharType="separate"/>
      </w:r>
      <w:r w:rsidRPr="00C34963">
        <w:rPr>
          <w:noProof/>
        </w:rPr>
        <w:t>(4)</w:t>
      </w:r>
      <w:r w:rsidRPr="00C34963">
        <w:fldChar w:fldCharType="end"/>
      </w:r>
      <w:r w:rsidRPr="00C34963">
        <w:t xml:space="preserve"> is open-source but gene reviews and updates of the approved gene content relies on volunteer efforts and comes with a significant lag time. Panels represent a snapshot in time and their application is contingent on clinicians selecting the optimal gene panel(s) with variable levels of genetics training. This is particularly problematic for clinicians in non-genetics specialties lacking adequate familiarity with gene panel selection. If the “wrong” panel is chosen, pathogenic variants can easily be missed. With only 20% of rare disease patients receiving a diagnosis through the 100,000 Genomes Project</w:t>
      </w:r>
      <w:r w:rsidRPr="00C34963">
        <w:fldChar w:fldCharType="begin"/>
      </w:r>
      <w:r w:rsidRPr="00C34963">
        <w:instrText xml:space="preserve"> ADDIN EN.CITE &lt;EndNote&gt;&lt;Cite&gt;&lt;Author&gt;100&lt;/Author&gt;&lt;Year&gt;2021&lt;/Year&gt;&lt;RecNum&gt;1133&lt;/RecNum&gt;&lt;DisplayText&gt;(1)&lt;/DisplayText&gt;&lt;record&gt;&lt;rec-number&gt;1133&lt;/rec-number&gt;&lt;foreign-keys&gt;&lt;key app="EN" db-id="d0vstffei2ze5sew5fwxp0dq9zxs5pvvsxpv" timestamp="1637753022"&gt;1133&lt;/key&gt;&lt;/foreign-keys&gt;&lt;ref-type name="Journal Article"&gt;17&lt;/ref-type&gt;&lt;contributors&gt;&lt;authors&gt;&lt;author&gt;100,000 Genomes Project Pilot Investigators&lt;/author&gt;&lt;/authors&gt;&lt;/contributors&gt;&lt;titles&gt;&lt;title&gt;100,000 Genomes Pilot on Rare-Disease Diagnosis in Health Care—Preliminary Report&lt;/title&gt;&lt;secondary-title&gt;New England Journal of Medicine&lt;/secondary-title&gt;&lt;/titles&gt;&lt;periodical&gt;&lt;full-title&gt;New England Journal of Medicine&lt;/full-title&gt;&lt;/periodical&gt;&lt;pages&gt;1868-1880&lt;/pages&gt;&lt;volume&gt;385&lt;/volume&gt;&lt;number&gt;20&lt;/number&gt;&lt;dates&gt;&lt;year&gt;2021&lt;/year&gt;&lt;/dates&gt;&lt;isbn&gt;0028-4793&lt;/isbn&gt;&lt;urls&gt;&lt;/urls&gt;&lt;/record&gt;&lt;/Cite&gt;&lt;/EndNote&gt;</w:instrText>
      </w:r>
      <w:r w:rsidRPr="00C34963">
        <w:fldChar w:fldCharType="separate"/>
      </w:r>
      <w:r w:rsidRPr="00C34963">
        <w:rPr>
          <w:noProof/>
        </w:rPr>
        <w:t>(1)</w:t>
      </w:r>
      <w:r w:rsidRPr="00C34963">
        <w:fldChar w:fldCharType="end"/>
      </w:r>
      <w:r w:rsidRPr="00C34963">
        <w:t xml:space="preserve"> (the precursor to the UK’s </w:t>
      </w:r>
      <w:r w:rsidRPr="00C34963">
        <w:lastRenderedPageBreak/>
        <w:t>GMS), there is clear need to investigate variants beyond a limited gene list but without significantly increasing the number of variants for review.</w:t>
      </w:r>
    </w:p>
    <w:p w14:paraId="08E09140" w14:textId="77777777" w:rsidR="00C369B2" w:rsidRPr="00C34963" w:rsidRDefault="00C369B2" w:rsidP="00C34963">
      <w:pPr>
        <w:pStyle w:val="MDPI31text"/>
      </w:pPr>
      <w:r w:rsidRPr="00C34963">
        <w:t xml:space="preserve">This study compares the GMS’ data analysis filtering strategy using genome sequencing to a gene-agnostic HiPPo approach targeting variants with high pathogenic potential as applied to exome sequencing in a research setting. 24 individuals from 8 families underwent parallel clinical genome and research exome sequencing, providing an opportunity to compare different filtering approaches. With many factors influencing differences between the research and NHS studies, such as different technical pipelines, targeted capture, and timescales, the fairest comparison of efficiency of the two approaches was the number of variants that required review following filtering and the corresponding diagnostic rates. On average the research exome study reviewed fewer variants than the GMS yet identified more diagnostic variants, although this was not statistically significant (p-value = 0.35). The number of reportable variants per variant assessed was higher for HiPPo (29.3%) versus the GMS (7.9%), however the threshold for what constituted a reportable variant differed between the research exome and the GMS genome strategies. The research exome reported on variants that would not be reportable in the current NHS setting, notably variants in novel disease genes and variants of uncertain significance, although it is worth noting that some international diagnostic labs do report variants in novel genes. However, when restricting the exome HiPPo filtering approach to GenCC disease genes (genes strongly associated with disease that would be reportable in the NHS setting), statistically fewer variants required assessment when compared with the GMS’ panel-based approach (Wilcoxon signed rank p-value = 0.022). Despite this, more pathogenic variants were identified; including a pathogenic variant in </w:t>
      </w:r>
      <w:r w:rsidRPr="00C34963">
        <w:rPr>
          <w:i/>
          <w:iCs/>
        </w:rPr>
        <w:t>ABCC8</w:t>
      </w:r>
      <w:r w:rsidRPr="00C34963">
        <w:t xml:space="preserve"> representing a partial diagnosis which was missed by the GMS as it was not on the selected gene panel. For the 8 families undergoing parallel exome and genome sequencing, the GenCC disease gene HiPPo analysis strategy identified 15 variants that required further assessment, compared with 41 variants for the GMS approach. Overall, the diagnostic rate per number of variants assessed between the GenCC disease gene HiPPo analysis and the GMS’ panel-based approach was 3/15 [20%] vs 2/63 [3%] respectively. Although our sample size is modest, there is a strong argument that genotype-to-phenotype methods, focused on variants with high pathogenic potential in known disease genes could prove more effective and less resource-intensive than panel-based approaches, despite covering a wider range of the genome. Indeed, in the GMS, very few Tier 2 variants are actually reported, meaning that Tier 1 + HiPPo may be </w:t>
      </w:r>
      <w:proofErr w:type="gramStart"/>
      <w:r w:rsidRPr="00C34963">
        <w:t>prove</w:t>
      </w:r>
      <w:proofErr w:type="gramEnd"/>
      <w:r w:rsidRPr="00C34963">
        <w:t xml:space="preserve"> an efficient alternative strategy and could also be used to prioritise the interpretation of gene agnostic variants and/or determine which should be reported and/or taken to multidisciplinary team meetings. There is also a further argument that genome sequencing is not being optimally utilised by the NHS due to resource limitations and that exome sequencing may prove similarly effective; however, this comparison is beyond the scope of this limited study, whereby no pathogenic CNVs were identified, and a time-cost-analysis could not be fairly undertaken. </w:t>
      </w:r>
    </w:p>
    <w:p w14:paraId="2A310C42" w14:textId="77777777" w:rsidR="00C369B2" w:rsidRPr="00C34963" w:rsidRDefault="00C369B2" w:rsidP="00C34963">
      <w:pPr>
        <w:pStyle w:val="MDPI31text"/>
      </w:pPr>
      <w:r w:rsidRPr="00C34963">
        <w:t>The number of HPO terms did not vary significantly between those selected for the research study versus those submitted by clinicians working in the NHS (p-value = 0.1) (</w:t>
      </w:r>
      <w:r w:rsidRPr="00C34963">
        <w:rPr>
          <w:b/>
          <w:bCs/>
        </w:rPr>
        <w:t>Table 1</w:t>
      </w:r>
      <w:r w:rsidRPr="00C34963">
        <w:t xml:space="preserve">). A recent study by Kingsmore </w:t>
      </w:r>
      <w:r w:rsidRPr="00C34963">
        <w:rPr>
          <w:i/>
          <w:iCs/>
        </w:rPr>
        <w:t>et al</w:t>
      </w:r>
      <w:r w:rsidRPr="00C34963">
        <w:t>.</w:t>
      </w:r>
      <w:r w:rsidRPr="00C34963">
        <w:fldChar w:fldCharType="begin"/>
      </w:r>
      <w:r w:rsidRPr="00C34963">
        <w:instrText xml:space="preserve"> ADDIN EN.CITE &lt;EndNote&gt;&lt;Cite&gt;&lt;Author&gt;Peterson&lt;/Author&gt;&lt;Year&gt;2022&lt;/Year&gt;&lt;RecNum&gt;1209&lt;/RecNum&gt;&lt;DisplayText&gt;(31)&lt;/DisplayText&gt;&lt;record&gt;&lt;rec-number&gt;1209&lt;/rec-number&gt;&lt;foreign-keys&gt;&lt;key app="EN" db-id="d0vstffei2ze5sew5fwxp0dq9zxs5pvvsxpv" timestamp="1673665678"&gt;1209&lt;/key&gt;&lt;/foreign-keys&gt;&lt;ref-type name="Journal Article"&gt;17&lt;/ref-type&gt;&lt;contributors&gt;&lt;authors&gt;&lt;author&gt;Peterson, Bennet Dell&lt;/author&gt;&lt;author&gt;Hernandez, Edgar Javier&lt;/author&gt;&lt;author&gt;Hobbs, Charlotte&lt;/author&gt;&lt;author&gt;Jenkins, Sabrina Malone&lt;/author&gt;&lt;author&gt;Moore, Marvin B&lt;/author&gt;&lt;author&gt;Juarez, Edwin R&lt;/author&gt;&lt;author&gt;Zoucha, Samuel&lt;/author&gt;&lt;author&gt;Kobayashi, Erica Sanford&lt;/author&gt;&lt;author&gt;Bainbridge, Matthew&lt;/author&gt;&lt;author&gt;Oriol, Albert&lt;/author&gt;&lt;/authors&gt;&lt;/contributors&gt;&lt;titles&gt;&lt;title&gt;Automated Prioritization of Sick Newborns for Rapid Whole Genome Sequencing Using Clinical Natural Language Processing and Machine Learning&lt;/title&gt;&lt;secondary-title&gt;medRxiv&lt;/secondary-title&gt;&lt;/titles&gt;&lt;periodical&gt;&lt;full-title&gt;medRxiv&lt;/full-title&gt;&lt;/periodical&gt;&lt;dates&gt;&lt;year&gt;2022&lt;/year&gt;&lt;/dates&gt;&lt;urls&gt;&lt;/urls&gt;&lt;/record&gt;&lt;/Cite&gt;&lt;/EndNote&gt;</w:instrText>
      </w:r>
      <w:r w:rsidRPr="00C34963">
        <w:fldChar w:fldCharType="separate"/>
      </w:r>
      <w:r w:rsidRPr="00C34963">
        <w:rPr>
          <w:noProof/>
        </w:rPr>
        <w:t>(31)</w:t>
      </w:r>
      <w:r w:rsidRPr="00C34963">
        <w:fldChar w:fldCharType="end"/>
      </w:r>
      <w:r w:rsidRPr="00C34963">
        <w:t xml:space="preserve"> showed that more HPO terms may not increase diagnostic yield, but that a more focused list of key terms may support analysis more effectively.</w:t>
      </w:r>
    </w:p>
    <w:p w14:paraId="36B008CF" w14:textId="77777777" w:rsidR="00C369B2" w:rsidRPr="00C34963" w:rsidRDefault="00C369B2" w:rsidP="00C34963">
      <w:pPr>
        <w:pStyle w:val="MDPI31text"/>
      </w:pPr>
      <w:r w:rsidRPr="00C34963">
        <w:t>In total, HiPPo identified 3 diagnoses (compared with 2 diagnoses by the GMS) and a further 10 unique variants of interest in 7 unique genes, of which 3 genes were discounted by the GMS (</w:t>
      </w:r>
      <w:r w:rsidRPr="00C34963">
        <w:rPr>
          <w:b/>
          <w:bCs/>
        </w:rPr>
        <w:t>Table 4</w:t>
      </w:r>
      <w:r w:rsidRPr="00C34963">
        <w:t xml:space="preserve">) as they did not meet the threshold for clinical reporting. In FAM_2_4, HiPPo identified compound heterozygous variants in </w:t>
      </w:r>
      <w:r w:rsidRPr="00C34963">
        <w:rPr>
          <w:i/>
          <w:iCs/>
        </w:rPr>
        <w:t>INTS1</w:t>
      </w:r>
      <w:r w:rsidRPr="00C34963">
        <w:t xml:space="preserve"> (7:1480876G:C and 7:1497193:</w:t>
      </w:r>
      <w:proofErr w:type="gramStart"/>
      <w:r w:rsidRPr="00C34963">
        <w:t>C:G</w:t>
      </w:r>
      <w:proofErr w:type="gramEnd"/>
      <w:r w:rsidRPr="00C34963">
        <w:t xml:space="preserve">), a disease gene associated with an autosomal recessive disorder (MIM: </w:t>
      </w:r>
      <w:r w:rsidRPr="00C34963">
        <w:rPr>
          <w:shd w:val="clear" w:color="auto" w:fill="FFFFFF"/>
        </w:rPr>
        <w:t>618571</w:t>
      </w:r>
      <w:r w:rsidRPr="00C34963">
        <w:t xml:space="preserve">) presenting with cataracts, poor growth, developmental delay, and dysmorphic facies. Whilst FAM_2_4 shares some features with the </w:t>
      </w:r>
      <w:r w:rsidRPr="00C34963">
        <w:rPr>
          <w:i/>
          <w:iCs/>
        </w:rPr>
        <w:t>INTS1</w:t>
      </w:r>
      <w:r w:rsidRPr="00C34963">
        <w:t xml:space="preserve"> related syndrome, he does not have cataracts and is large (with his weight tracking along the 99</w:t>
      </w:r>
      <w:r w:rsidRPr="00C34963">
        <w:rPr>
          <w:vertAlign w:val="superscript"/>
        </w:rPr>
        <w:t>th</w:t>
      </w:r>
      <w:r w:rsidRPr="00C34963">
        <w:t xml:space="preserve"> percentile) opposed to being small. These variants are being reviewed by his clinical team.</w:t>
      </w:r>
    </w:p>
    <w:p w14:paraId="1A4EB5F5" w14:textId="77777777" w:rsidR="00C369B2" w:rsidRPr="00C34963" w:rsidRDefault="00C369B2" w:rsidP="00C34963">
      <w:pPr>
        <w:pStyle w:val="MDPI31text"/>
      </w:pPr>
      <w:r w:rsidRPr="00C34963">
        <w:lastRenderedPageBreak/>
        <w:t xml:space="preserve">In FAM_8_23, both HiPPo and the GMS identified compound heterozygous variants (one pathogenic and one VUS) in </w:t>
      </w:r>
      <w:r w:rsidRPr="00C34963">
        <w:rPr>
          <w:i/>
          <w:iCs/>
        </w:rPr>
        <w:t>SDCCAG8</w:t>
      </w:r>
      <w:r w:rsidRPr="00C34963">
        <w:t xml:space="preserve"> (1:243341070:</w:t>
      </w:r>
      <w:proofErr w:type="gramStart"/>
      <w:r w:rsidRPr="00C34963">
        <w:t>TG:T</w:t>
      </w:r>
      <w:proofErr w:type="gramEnd"/>
      <w:r w:rsidRPr="00C34963">
        <w:t xml:space="preserve"> and 1:243378799:A:G), a disease gene associated with an autosomal recessive retinal-renal ciliopathy (MIM: 615993 and MIM: 613615). These variants have been discussed at length with the clinical team and are not felt to explain the nephrotic phenotype. On renal biopsy, the patient had immature glomerular development diffuse foot process effacement on electron microscopy which is inconsistent with a retinal-renal ciliopathy. Furthermore, there were additional inconsistent features including microcephaly, cerebellopontine hypoplasia and functional asplenia. In the same individual, we identified a </w:t>
      </w:r>
      <w:r w:rsidRPr="00C34963">
        <w:rPr>
          <w:i/>
          <w:iCs/>
        </w:rPr>
        <w:t>de novo</w:t>
      </w:r>
      <w:r w:rsidRPr="00C34963">
        <w:t xml:space="preserve"> variant in </w:t>
      </w:r>
      <w:r w:rsidRPr="00C34963">
        <w:rPr>
          <w:i/>
          <w:iCs/>
        </w:rPr>
        <w:t>ZNF91</w:t>
      </w:r>
      <w:r w:rsidRPr="00C34963">
        <w:t>. Through MME, we are collaborating with a group performing functional studies on this gene, whereby they also have a patient with microcephaly and nephrotic syndrome.</w:t>
      </w:r>
    </w:p>
    <w:p w14:paraId="58A739CA" w14:textId="0A7C513D" w:rsidR="00C369B2" w:rsidRPr="00C34963" w:rsidRDefault="00C369B2" w:rsidP="00C34963">
      <w:pPr>
        <w:pStyle w:val="MDPI31text"/>
      </w:pPr>
      <w:r w:rsidRPr="00C34963">
        <w:t xml:space="preserve">In total, we submitted 6 variants in 5 novel genes to MME from the exome study, which is beyond the remit of the NHS diagnostic capacity. We had no matches for </w:t>
      </w:r>
      <w:r w:rsidRPr="00C34963">
        <w:rPr>
          <w:i/>
          <w:iCs/>
        </w:rPr>
        <w:t>PKD1L3</w:t>
      </w:r>
      <w:r w:rsidRPr="00C34963">
        <w:t xml:space="preserve"> and </w:t>
      </w:r>
      <w:r w:rsidRPr="00C34963">
        <w:rPr>
          <w:i/>
          <w:iCs/>
        </w:rPr>
        <w:t>FOXB2.</w:t>
      </w:r>
      <w:r w:rsidRPr="00C34963">
        <w:t xml:space="preserve"> In addition to </w:t>
      </w:r>
      <w:r w:rsidRPr="00C34963">
        <w:rPr>
          <w:i/>
          <w:iCs/>
        </w:rPr>
        <w:t>ZNF91</w:t>
      </w:r>
      <w:r w:rsidRPr="00C34963">
        <w:t xml:space="preserve"> (as described above in FAM_9_26), we matched with collaborators working on </w:t>
      </w:r>
      <w:r w:rsidRPr="00C34963">
        <w:rPr>
          <w:i/>
          <w:iCs/>
        </w:rPr>
        <w:t xml:space="preserve">HMGB1 </w:t>
      </w:r>
      <w:r w:rsidRPr="00C34963">
        <w:t>(</w:t>
      </w:r>
      <w:r w:rsidRPr="00C34963">
        <w:rPr>
          <w:i/>
          <w:iCs/>
        </w:rPr>
        <w:t>de novo</w:t>
      </w:r>
      <w:r w:rsidRPr="00C34963">
        <w:t xml:space="preserve"> variant found in FAM_1_1) and </w:t>
      </w:r>
      <w:r w:rsidRPr="00C34963">
        <w:rPr>
          <w:i/>
          <w:iCs/>
        </w:rPr>
        <w:t>ADGRB2</w:t>
      </w:r>
      <w:r w:rsidRPr="00C34963">
        <w:t xml:space="preserve"> (</w:t>
      </w:r>
      <w:r w:rsidRPr="00C34963">
        <w:rPr>
          <w:i/>
          <w:iCs/>
        </w:rPr>
        <w:t>de novo</w:t>
      </w:r>
      <w:r w:rsidRPr="00C34963">
        <w:t xml:space="preserve"> variant found in monozygotic twin sisters FAM_4_13 and FAM_4_10). In 2021, a paper was published on </w:t>
      </w:r>
      <w:r w:rsidRPr="00C34963">
        <w:rPr>
          <w:i/>
          <w:iCs/>
        </w:rPr>
        <w:t>HMGB1</w:t>
      </w:r>
      <w:r w:rsidRPr="00C34963">
        <w:t xml:space="preserve"> predicted loss-of-function variants in 6 patients.</w:t>
      </w:r>
      <w:r w:rsidRPr="00C34963">
        <w:fldChar w:fldCharType="begin"/>
      </w:r>
      <w:r w:rsidRPr="00C34963">
        <w:instrText xml:space="preserve"> ADDIN EN.CITE &lt;EndNote&gt;&lt;Cite&gt;&lt;Author&gt;Uguen&lt;/Author&gt;&lt;Year&gt;2021&lt;/Year&gt;&lt;RecNum&gt;1210&lt;/RecNum&gt;&lt;DisplayText&gt;(32)&lt;/DisplayText&gt;&lt;record&gt;&lt;rec-number&gt;1210&lt;/rec-number&gt;&lt;foreign-keys&gt;&lt;key app="EN" db-id="d0vstffei2ze5sew5fwxp0dq9zxs5pvvsxpv" timestamp="1673665871"&gt;1210&lt;/key&gt;&lt;/foreign-keys&gt;&lt;ref-type name="Journal Article"&gt;17&lt;/ref-type&gt;&lt;contributors&gt;&lt;authors&gt;&lt;author&gt;Uguen, Kévin&lt;/author&gt;&lt;author&gt;Krysiak, Kilannin&lt;/author&gt;&lt;author&gt;Audebert‐Bellanger, Séverine&lt;/author&gt;&lt;author&gt;Redon, Sylvia&lt;/author&gt;&lt;author&gt;Benech, Caroline&lt;/author&gt;&lt;author&gt;Viora‐Dupont, Eléonore&lt;/author&gt;&lt;author&gt;Tran Mau‐Them, Frederic&lt;/author&gt;&lt;author&gt;Rondeau, Sophie&lt;/author&gt;&lt;author&gt;Elsharkawi, Ibrahim&lt;/author&gt;&lt;author&gt;Granadillo, Jorge L&lt;/author&gt;&lt;/authors&gt;&lt;/contributors&gt;&lt;titles&gt;&lt;title&gt;Heterozygous HMGB1 loss‐of‐function variants are associated with developmental delay and microcephaly&lt;/title&gt;&lt;secondary-title&gt;Clinical genetics&lt;/secondary-title&gt;&lt;/titles&gt;&lt;periodical&gt;&lt;full-title&gt;Clinical Genetics&lt;/full-title&gt;&lt;/periodical&gt;&lt;pages&gt;386-395&lt;/pages&gt;&lt;volume&gt;100&lt;/volume&gt;&lt;number&gt;4&lt;/number&gt;&lt;dates&gt;&lt;year&gt;2021&lt;/year&gt;&lt;/dates&gt;&lt;isbn&gt;0009-9163&lt;/isbn&gt;&lt;urls&gt;&lt;/urls&gt;&lt;/record&gt;&lt;/Cite&gt;&lt;/EndNote&gt;</w:instrText>
      </w:r>
      <w:r w:rsidRPr="00C34963">
        <w:fldChar w:fldCharType="separate"/>
      </w:r>
      <w:r w:rsidRPr="00C34963">
        <w:rPr>
          <w:noProof/>
        </w:rPr>
        <w:t>(32)</w:t>
      </w:r>
      <w:r w:rsidRPr="00C34963">
        <w:fldChar w:fldCharType="end"/>
      </w:r>
      <w:r w:rsidRPr="00C34963">
        <w:t xml:space="preserve"> Common features </w:t>
      </w:r>
      <w:r w:rsidRPr="00C34963">
        <w:rPr>
          <w:color w:val="212121"/>
          <w:shd w:val="clear" w:color="auto" w:fill="FFFFFF"/>
        </w:rPr>
        <w:t xml:space="preserve">included developmental delay, language delay, microcephaly, obesity and dysmorphic features, some of which overlap with </w:t>
      </w:r>
      <w:r w:rsidRPr="00C34963">
        <w:t xml:space="preserve">FAM_1_1. This variant has been returned to the patient’s clinician and we have put them directly in touch with the authors of the 2021 </w:t>
      </w:r>
      <w:proofErr w:type="gramStart"/>
      <w:r w:rsidRPr="00C34963">
        <w:t>paper</w:t>
      </w:r>
      <w:r w:rsidR="0011466D">
        <w:t>(</w:t>
      </w:r>
      <w:proofErr w:type="gramEnd"/>
      <w:r w:rsidR="0011466D">
        <w:t>32)</w:t>
      </w:r>
      <w:r w:rsidRPr="00C34963">
        <w:t xml:space="preserve"> for an ongoing collaboration. Whilst the </w:t>
      </w:r>
      <w:r w:rsidRPr="00C34963">
        <w:rPr>
          <w:i/>
          <w:iCs/>
        </w:rPr>
        <w:t xml:space="preserve">HMGB1 </w:t>
      </w:r>
      <w:r w:rsidRPr="00C34963">
        <w:t xml:space="preserve">variant was also reported as a VUS through the GMS, there is no time provision for clinicians to consider and follow up any unreported novel candidates. Furthermore, most </w:t>
      </w:r>
      <w:r w:rsidRPr="00C34963">
        <w:rPr>
          <w:i/>
          <w:iCs/>
        </w:rPr>
        <w:t>de novo</w:t>
      </w:r>
      <w:r w:rsidRPr="00C34963">
        <w:t xml:space="preserve"> candidates in novel genes are disregarded by the GMS and so are seldom investigated further. That said, anonymised patient data are eventually deposited in the Genomics England Research Environment, meaning that novel variants may be identified and later investigated through research.</w:t>
      </w:r>
    </w:p>
    <w:p w14:paraId="2260E6A8" w14:textId="77777777" w:rsidR="00C369B2" w:rsidRPr="00C34963" w:rsidRDefault="00C369B2" w:rsidP="00C34963">
      <w:pPr>
        <w:pStyle w:val="MDPI31text"/>
      </w:pPr>
      <w:r w:rsidRPr="00C34963">
        <w:t xml:space="preserve">In 2017, a paper was published in Human Mutation describing a missense variant in </w:t>
      </w:r>
      <w:r w:rsidRPr="00C34963">
        <w:rPr>
          <w:i/>
          <w:iCs/>
        </w:rPr>
        <w:t xml:space="preserve">ADGRB2 </w:t>
      </w:r>
      <w:r w:rsidRPr="00C34963">
        <w:t xml:space="preserve">in a patient presenting with developmental delay and progressive spastic paraparesis; features shared with identical twins FAM_4_13 and FAM_4_10 harbouring a </w:t>
      </w:r>
      <w:r w:rsidRPr="00C34963">
        <w:rPr>
          <w:i/>
          <w:iCs/>
        </w:rPr>
        <w:t>de novo</w:t>
      </w:r>
      <w:r w:rsidRPr="00C34963">
        <w:t xml:space="preserve"> pLoF in the same gene.</w:t>
      </w:r>
      <w:r w:rsidRPr="00C34963">
        <w:fldChar w:fldCharType="begin"/>
      </w:r>
      <w:r w:rsidRPr="00C34963">
        <w:instrText xml:space="preserve"> ADDIN EN.CITE &lt;EndNote&gt;&lt;Cite&gt;&lt;Author&gt;Purcell&lt;/Author&gt;&lt;Year&gt;2017&lt;/Year&gt;&lt;RecNum&gt;1211&lt;/RecNum&gt;&lt;DisplayText&gt;(33)&lt;/DisplayText&gt;&lt;record&gt;&lt;rec-number&gt;1211&lt;/rec-number&gt;&lt;foreign-keys&gt;&lt;key app="EN" db-id="d0vstffei2ze5sew5fwxp0dq9zxs5pvvsxpv" timestamp="1673666025"&gt;1211&lt;/key&gt;&lt;/foreign-keys&gt;&lt;ref-type name="Journal Article"&gt;17&lt;/ref-type&gt;&lt;contributors&gt;&lt;authors&gt;&lt;author&gt;Purcell, Ryan H&lt;/author&gt;&lt;author&gt;Toro, Camilo&lt;/author&gt;&lt;author&gt;Gahl, William A&lt;/author&gt;&lt;author&gt;Hall, Randy A&lt;/author&gt;&lt;/authors&gt;&lt;/contributors&gt;&lt;titles&gt;&lt;title&gt;A disease‐associated mutation in the adhesion GPCR BAI2 (ADGRB2) increases receptor signaling activity&lt;/title&gt;&lt;secondary-title&gt;Human mutation&lt;/secondary-title&gt;&lt;/titles&gt;&lt;periodical&gt;&lt;full-title&gt;Human mutation&lt;/full-title&gt;&lt;/periodical&gt;&lt;pages&gt;1751-1760&lt;/pages&gt;&lt;volume&gt;38&lt;/volume&gt;&lt;number&gt;12&lt;/number&gt;&lt;dates&gt;&lt;year&gt;2017&lt;/year&gt;&lt;/dates&gt;&lt;isbn&gt;1059-7794&lt;/isbn&gt;&lt;urls&gt;&lt;/urls&gt;&lt;/record&gt;&lt;/Cite&gt;&lt;/EndNote&gt;</w:instrText>
      </w:r>
      <w:r w:rsidRPr="00C34963">
        <w:fldChar w:fldCharType="separate"/>
      </w:r>
      <w:r w:rsidRPr="00C34963">
        <w:rPr>
          <w:noProof/>
        </w:rPr>
        <w:t>(33)</w:t>
      </w:r>
      <w:r w:rsidRPr="00C34963">
        <w:fldChar w:fldCharType="end"/>
      </w:r>
      <w:r w:rsidRPr="00C34963">
        <w:t xml:space="preserve"> The authors showed that their specific variant demonstrated gain of function. We have contacted the authors of the paper and are now directly working with them to model our variant </w:t>
      </w:r>
      <w:r w:rsidRPr="00C34963">
        <w:rPr>
          <w:i/>
          <w:iCs/>
        </w:rPr>
        <w:t>in vitro</w:t>
      </w:r>
      <w:r w:rsidRPr="00C34963">
        <w:t xml:space="preserve"> and </w:t>
      </w:r>
      <w:r w:rsidRPr="00C34963">
        <w:rPr>
          <w:i/>
          <w:iCs/>
        </w:rPr>
        <w:t>in vivo.</w:t>
      </w:r>
    </w:p>
    <w:p w14:paraId="7A7D8090" w14:textId="77777777" w:rsidR="00C369B2" w:rsidRPr="00C34963" w:rsidRDefault="00C369B2" w:rsidP="00C34963">
      <w:pPr>
        <w:pStyle w:val="MDPI22heading2"/>
        <w:spacing w:before="240"/>
      </w:pPr>
      <w:r w:rsidRPr="00C34963">
        <w:t>Limitations</w:t>
      </w:r>
    </w:p>
    <w:p w14:paraId="3BBA03BB" w14:textId="3B7F69CA" w:rsidR="00C369B2" w:rsidRPr="00C34963" w:rsidRDefault="00C369B2" w:rsidP="00C34963">
      <w:pPr>
        <w:pStyle w:val="MDPI31text"/>
      </w:pPr>
      <w:r w:rsidRPr="00C34963">
        <w:t xml:space="preserve">This study is small, representing 25 individuals from 8 families, of which 24 participants received parallel exome and genome sequencing, enabling us to compare two different filtering strategies. Inevitably a larger study is needed to test the value of gene-agnostic approaches utilising pathogenicity scores compared with gene panel approaches. This is not currently possible within the NHS as </w:t>
      </w:r>
      <w:r w:rsidRPr="00C34963">
        <w:rPr>
          <w:color w:val="000000" w:themeColor="text1"/>
        </w:rPr>
        <w:t xml:space="preserve">we do not have routine access to data that would enable a direct comparison, such as: the clinical panels selected for scrutiny; the tiered variants returned to the diagnostic laboratories; nor the final clinical report. For the current study this was only possible because we had local patient research consent to access these specific data from the GMS systems. </w:t>
      </w:r>
      <w:r w:rsidRPr="00C34963">
        <w:t xml:space="preserve">We are mindful that we compared an exome with a genome, however QC was excellent, and the panel-based strategy of the GMS essentially limits data analysis to </w:t>
      </w:r>
      <w:proofErr w:type="spellStart"/>
      <w:r w:rsidRPr="00C34963">
        <w:t>exonic</w:t>
      </w:r>
      <w:proofErr w:type="spellEnd"/>
      <w:r w:rsidRPr="00C34963">
        <w:t xml:space="preserve"> regions.</w:t>
      </w:r>
      <w:r w:rsidR="00D85B9A">
        <w:t xml:space="preserve"> We were further mindful that the two arms of the study used different technical pipelines i.e. DRAGEN vs GATK</w:t>
      </w:r>
      <w:r w:rsidR="000D1ABF">
        <w:t xml:space="preserve"> and</w:t>
      </w:r>
      <w:r w:rsidR="00BA1286">
        <w:t xml:space="preserve"> tool versions may </w:t>
      </w:r>
      <w:r w:rsidR="000D1ABF">
        <w:t xml:space="preserve">further </w:t>
      </w:r>
      <w:r w:rsidR="00BA1286">
        <w:t>contribute to differences in performance of filtering strategies.</w:t>
      </w:r>
    </w:p>
    <w:p w14:paraId="6A2DFAAB" w14:textId="77777777" w:rsidR="00C369B2" w:rsidRPr="00C34963" w:rsidRDefault="00C369B2" w:rsidP="00C34963">
      <w:pPr>
        <w:pStyle w:val="MDPI31text"/>
      </w:pPr>
      <w:r w:rsidRPr="00C34963">
        <w:t>Data analysed in a research setting is not comparable with data analysed for diagnostic purposes as the threshold for variant follow-up and investigation differs in a clinical setting, with inconsistency in reporting on novel discoveries. It is important not to conflate a potential novel discovery identified in the research setting with a ‘missed’ diagnosis. That said, the research exome picked up a pathogenic variant missed by the GMS due to being outside the applied gene panels.</w:t>
      </w:r>
    </w:p>
    <w:p w14:paraId="00F654E1" w14:textId="77777777" w:rsidR="00C369B2" w:rsidRPr="00C34963" w:rsidRDefault="00C369B2" w:rsidP="00C34963">
      <w:pPr>
        <w:pStyle w:val="MDPI31text"/>
      </w:pPr>
      <w:r w:rsidRPr="00C34963">
        <w:lastRenderedPageBreak/>
        <w:t xml:space="preserve">Our study was further biased by predominantly neurodevelopmental phenotypes, due to the nature of intellectual disability (ID) being overrepresented in referrals for GMS genome sequencing. The biggest bias with ID is enrichment for </w:t>
      </w:r>
      <w:r w:rsidRPr="00C34963">
        <w:rPr>
          <w:i/>
          <w:iCs/>
        </w:rPr>
        <w:t>de novo</w:t>
      </w:r>
      <w:r w:rsidRPr="00C34963">
        <w:t xml:space="preserve"> variants in this type of disorder, although both the GMS filtering approach and HiPPo assess </w:t>
      </w:r>
      <w:r w:rsidRPr="00C34963">
        <w:rPr>
          <w:i/>
          <w:iCs/>
        </w:rPr>
        <w:t>de novo</w:t>
      </w:r>
      <w:r w:rsidRPr="00C34963">
        <w:t xml:space="preserve"> variants, so we would not expect the performance to drastically change.</w:t>
      </w:r>
    </w:p>
    <w:p w14:paraId="0522FEA7" w14:textId="77777777" w:rsidR="00C369B2" w:rsidRPr="00C34963" w:rsidRDefault="00C369B2" w:rsidP="00C34963">
      <w:pPr>
        <w:pStyle w:val="MDPI31text"/>
      </w:pPr>
      <w:r w:rsidRPr="00C34963">
        <w:t xml:space="preserve">No pathogenic variants were identified by GMS clinical genome sequencing that were not captured by the research exome, although a larger sample size is needed to test the diagnostic uplift gained from structural variants detected using genome sequencing versus potential missed diagnoses from using panel-based approaches.   </w:t>
      </w:r>
    </w:p>
    <w:p w14:paraId="2A900804" w14:textId="5825F7F6" w:rsidR="00C369B2" w:rsidRPr="00C34963" w:rsidRDefault="00C34963" w:rsidP="00C34963">
      <w:pPr>
        <w:pStyle w:val="MDPI21heading1"/>
      </w:pPr>
      <w:r>
        <w:t xml:space="preserve">5. </w:t>
      </w:r>
      <w:r w:rsidR="00C369B2" w:rsidRPr="00C34963">
        <w:t xml:space="preserve">Conclusion </w:t>
      </w:r>
    </w:p>
    <w:p w14:paraId="72903B07" w14:textId="77777777" w:rsidR="00C369B2" w:rsidRPr="00C34963" w:rsidRDefault="00C369B2" w:rsidP="00C34963">
      <w:pPr>
        <w:pStyle w:val="MDPI31text"/>
        <w:rPr>
          <w:rFonts w:ascii="Calibri" w:hAnsi="Calibri" w:cs="Calibri"/>
          <w:color w:val="000000" w:themeColor="text1"/>
        </w:rPr>
      </w:pPr>
      <w:r w:rsidRPr="00C34963">
        <w:t xml:space="preserve">This study compared a gene agnostic filtering strategy called HiPPo as applied to research exome data with a gene panel-based analysis strategy applied to genome sequencing data. Despite HiPPo being pan-exomic, a similar number of variants were assessed per patient to the panel-based strategy of the GMS and more variants of interest were identified; this includes a pathogenic variant in </w:t>
      </w:r>
      <w:r w:rsidRPr="00C34963">
        <w:rPr>
          <w:i/>
          <w:iCs/>
        </w:rPr>
        <w:t>ACDCC8</w:t>
      </w:r>
      <w:r w:rsidRPr="00C34963">
        <w:t xml:space="preserve"> and </w:t>
      </w:r>
      <w:r w:rsidRPr="00C34963">
        <w:rPr>
          <w:i/>
          <w:iCs/>
        </w:rPr>
        <w:t>de novo</w:t>
      </w:r>
      <w:r w:rsidRPr="00C34963">
        <w:t xml:space="preserve"> variants in 3 novel genes, whereby case series and functional experiments are underway, which highlights the added potential that research studies can offer. When restricting HiPPo to GenCC disease genes, statistically fewer variants required assessment to identify the same diagnoses as identified by the GMS (20% vs 3% respectively), representing a greater diagnostic yield per variant assessed. </w:t>
      </w:r>
      <w:r w:rsidRPr="00C34963">
        <w:rPr>
          <w:rFonts w:ascii="Calibri" w:hAnsi="Calibri" w:cs="Calibri"/>
        </w:rPr>
        <w:t xml:space="preserve">This preliminary work suggests that panel-based approaches are limited and that they could be improved by incorporating specific variant prioritisation metrics. </w:t>
      </w:r>
      <w:r w:rsidRPr="00C34963">
        <w:rPr>
          <w:rFonts w:ascii="Calibri" w:hAnsi="Calibri" w:cs="Calibri"/>
          <w:color w:val="000000" w:themeColor="text1"/>
        </w:rPr>
        <w:t>Despite the limited sample size, we believe our study is an invaluable first step in demonstrating proof of concept that alternative analytical strategies have value for genome sequencing within the NHS.</w:t>
      </w:r>
    </w:p>
    <w:p w14:paraId="766C28EA" w14:textId="271AFB64" w:rsidR="00C34963" w:rsidRPr="00C34963" w:rsidRDefault="00C34963" w:rsidP="00C34963">
      <w:pPr>
        <w:pStyle w:val="MDPI62BackMatter"/>
        <w:spacing w:before="240"/>
        <w:rPr>
          <w:b/>
          <w:bCs/>
        </w:rPr>
      </w:pPr>
      <w:r w:rsidRPr="00C34963">
        <w:rPr>
          <w:b/>
          <w:bCs/>
        </w:rPr>
        <w:t xml:space="preserve">Supplementary Data: </w:t>
      </w:r>
      <w:r w:rsidRPr="00C34963">
        <w:rPr>
          <w:u w:val="single"/>
        </w:rPr>
        <w:t>Supplementary Table 1:</w:t>
      </w:r>
      <w:r w:rsidRPr="00C34963">
        <w:t xml:space="preserve"> DNA concentration and volume available for samples consented for research exome sequencing</w:t>
      </w:r>
      <w:r>
        <w:rPr>
          <w:b/>
          <w:bCs/>
        </w:rPr>
        <w:t xml:space="preserve">. </w:t>
      </w:r>
      <w:r w:rsidRPr="00C34963">
        <w:rPr>
          <w:u w:val="single"/>
        </w:rPr>
        <w:t>Supplementary Table 2:</w:t>
      </w:r>
      <w:r w:rsidRPr="00C34963">
        <w:t xml:space="preserve"> All HiPPo filtered variants following research exome sequencing of 27 individuals in 9 </w:t>
      </w:r>
      <w:proofErr w:type="gramStart"/>
      <w:r w:rsidRPr="00C34963">
        <w:t>families</w:t>
      </w:r>
      <w:proofErr w:type="gramEnd"/>
    </w:p>
    <w:p w14:paraId="48A19417" w14:textId="212D410B" w:rsidR="00C34963" w:rsidRPr="00C34963" w:rsidRDefault="00C34963" w:rsidP="00C34963">
      <w:pPr>
        <w:pStyle w:val="MDPI62BackMatter"/>
        <w:rPr>
          <w:b/>
          <w:bCs/>
          <w:color w:val="000000" w:themeColor="text1"/>
        </w:rPr>
      </w:pPr>
      <w:r w:rsidRPr="00C34963">
        <w:rPr>
          <w:b/>
          <w:bCs/>
          <w:color w:val="000000" w:themeColor="text1"/>
        </w:rPr>
        <w:t xml:space="preserve">Ethics and consent: </w:t>
      </w:r>
      <w:r w:rsidRPr="00C34963">
        <w:t>Study participants were recruited to the study ‘</w:t>
      </w:r>
      <w:r w:rsidRPr="00C34963">
        <w:rPr>
          <w:i/>
          <w:iCs/>
        </w:rPr>
        <w:t>Use of NGS technologies for resolving clinical phenotypes</w:t>
      </w:r>
      <w:r w:rsidRPr="00C34963">
        <w:t>’ (IRAS: 212945). Ethics committee of Yorkshire and The Humber – Leeds East Research Ethics Committee gave </w:t>
      </w:r>
      <w:r w:rsidRPr="00C34963">
        <w:rPr>
          <w:i/>
          <w:iCs/>
          <w:u w:val="single"/>
          <w:bdr w:val="none" w:sz="0" w:space="0" w:color="auto" w:frame="1"/>
        </w:rPr>
        <w:t>ethical</w:t>
      </w:r>
      <w:r w:rsidRPr="00C34963">
        <w:t xml:space="preserve"> approval for this work. Research Ethics Committee reference number: </w:t>
      </w:r>
      <w:bookmarkStart w:id="2" w:name="OLE_LINK1"/>
      <w:r w:rsidRPr="00C34963">
        <w:t>17/YH/0069</w:t>
      </w:r>
      <w:bookmarkEnd w:id="2"/>
      <w:r w:rsidRPr="00C34963">
        <w:t>. The sponsor for the study is University Hospital of Southampton NHS Foundation Trust (Protocol number: RHM NEU0302). All patients consented for the data herein to be shared.</w:t>
      </w:r>
    </w:p>
    <w:p w14:paraId="79BB1882" w14:textId="5618A3B4" w:rsidR="00C34963" w:rsidRPr="00C34963" w:rsidRDefault="00C34963" w:rsidP="00C34963">
      <w:pPr>
        <w:pStyle w:val="MDPI62BackMatter"/>
      </w:pPr>
      <w:r w:rsidRPr="00C34963">
        <w:rPr>
          <w:b/>
          <w:bCs/>
        </w:rPr>
        <w:t xml:space="preserve">Competing interests: </w:t>
      </w:r>
      <w:r w:rsidRPr="00C34963">
        <w:t>No competing interest or conflicts to declare</w:t>
      </w:r>
    </w:p>
    <w:p w14:paraId="647F1811" w14:textId="2554ADA6" w:rsidR="00C34963" w:rsidRPr="00C34963" w:rsidRDefault="00C34963" w:rsidP="00C34963">
      <w:pPr>
        <w:pStyle w:val="MDPI62BackMatter"/>
        <w:rPr>
          <w:b/>
          <w:bCs/>
        </w:rPr>
      </w:pPr>
      <w:r w:rsidRPr="00C34963">
        <w:rPr>
          <w:b/>
          <w:bCs/>
        </w:rPr>
        <w:t>Funding:</w:t>
      </w:r>
      <w:r>
        <w:rPr>
          <w:b/>
          <w:bCs/>
        </w:rPr>
        <w:t xml:space="preserve"> </w:t>
      </w:r>
      <w:r w:rsidRPr="00C34963">
        <w:rPr>
          <w:shd w:val="clear" w:color="auto" w:fill="FFFFFF"/>
        </w:rPr>
        <w:t>EGS was supported by the Kerkut Charitable Trust, Foulkes Fellowship, and University of Southampton’s Presidential Scholarship Award; HLR and AO’D-L and sequencing were supported by the National Human Genome Research Institute (NHGRI) grant U01HG011755</w:t>
      </w:r>
      <w:r w:rsidRPr="00C34963" w:rsidDel="00030FB1">
        <w:rPr>
          <w:shd w:val="clear" w:color="auto" w:fill="FFFFFF"/>
        </w:rPr>
        <w:t xml:space="preserve"> </w:t>
      </w:r>
      <w:r w:rsidRPr="00C34963">
        <w:rPr>
          <w:shd w:val="clear" w:color="auto" w:fill="FFFFFF"/>
        </w:rPr>
        <w:t xml:space="preserve">as part of the GREGoR consortium and HR by NHGRI R01HG009141. </w:t>
      </w:r>
      <w:r w:rsidRPr="00C34963">
        <w:t>DB was generously supported by a National Institute of Health Research (NIHR) Research Professorship RP-2016-07-011.</w:t>
      </w:r>
    </w:p>
    <w:p w14:paraId="7ACB42F4" w14:textId="77777777" w:rsidR="00C34963" w:rsidRPr="00C34963" w:rsidRDefault="00C34963" w:rsidP="00C34963"/>
    <w:p w14:paraId="78399745" w14:textId="43A689F5" w:rsidR="00C369B2" w:rsidRPr="00C34963" w:rsidRDefault="00C369B2" w:rsidP="00C34963">
      <w:pPr>
        <w:pStyle w:val="MDPI21heading1"/>
        <w:ind w:left="0"/>
      </w:pPr>
      <w:r w:rsidRPr="00C34963">
        <w:t>References</w:t>
      </w:r>
    </w:p>
    <w:bookmarkStart w:id="3" w:name="noRef"/>
    <w:bookmarkEnd w:id="3"/>
    <w:p w14:paraId="546D33D7"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sz w:val="18"/>
          <w:szCs w:val="20"/>
        </w:rPr>
        <w:fldChar w:fldCharType="begin"/>
      </w:r>
      <w:r w:rsidRPr="002D444B">
        <w:rPr>
          <w:sz w:val="18"/>
          <w:szCs w:val="20"/>
        </w:rPr>
        <w:instrText xml:space="preserve"> ADDIN EN.REFLIST </w:instrText>
      </w:r>
      <w:r w:rsidRPr="00C34963">
        <w:rPr>
          <w:sz w:val="18"/>
          <w:szCs w:val="20"/>
        </w:rPr>
        <w:fldChar w:fldCharType="separate"/>
      </w:r>
      <w:r w:rsidRPr="00C34963">
        <w:rPr>
          <w:noProof/>
          <w:sz w:val="18"/>
          <w:szCs w:val="20"/>
        </w:rPr>
        <w:t>1.</w:t>
      </w:r>
      <w:r w:rsidRPr="00C34963">
        <w:rPr>
          <w:noProof/>
          <w:sz w:val="18"/>
          <w:szCs w:val="20"/>
        </w:rPr>
        <w:tab/>
        <w:t>100 GPPI. 100,000 Genomes Pilot on Rare-Disease Diagnosis in Health Care—Preliminary Report. New England Journal of Medicine. 2021;385(20):1868-80.</w:t>
      </w:r>
    </w:p>
    <w:p w14:paraId="7C6AB005"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2.</w:t>
      </w:r>
      <w:r w:rsidRPr="00C34963">
        <w:rPr>
          <w:noProof/>
          <w:sz w:val="18"/>
          <w:szCs w:val="20"/>
        </w:rPr>
        <w:tab/>
        <w:t>Seaby EG, Ennis S. Challenges in the diagnosis and discovery of rare genetic disorders using contemporary sequencing technologies. Briefings in Functional Genomics. 2020.</w:t>
      </w:r>
    </w:p>
    <w:p w14:paraId="23EFA5C1"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3.</w:t>
      </w:r>
      <w:r w:rsidRPr="00C34963">
        <w:rPr>
          <w:noProof/>
          <w:sz w:val="18"/>
          <w:szCs w:val="20"/>
        </w:rPr>
        <w:tab/>
        <w:t>Seaby EG, Smedley D, Taylor Tavares AL, Brittain H, van Jaarsveld RH, Baralle D, et al. A gene-to-patient approach uplifts novel disease gene discovery and identifies 18 putative novel disease genes. Genetics in Medicine.</w:t>
      </w:r>
    </w:p>
    <w:p w14:paraId="3BB6B35B"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4.</w:t>
      </w:r>
      <w:r w:rsidRPr="00C34963">
        <w:rPr>
          <w:noProof/>
          <w:sz w:val="18"/>
          <w:szCs w:val="20"/>
        </w:rPr>
        <w:tab/>
        <w:t>Martin AR, Williams E, Foulger RE, Leigh S, Daugherty LC, Niblock O, et al. PanelApp crowdsources expert knowledge to establish consensus diagnostic gene panels. Nature genetics. 2019;51(11):1560-5.</w:t>
      </w:r>
    </w:p>
    <w:p w14:paraId="6B0B8685"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5.</w:t>
      </w:r>
      <w:r w:rsidRPr="00C34963">
        <w:rPr>
          <w:noProof/>
          <w:sz w:val="18"/>
          <w:szCs w:val="20"/>
        </w:rPr>
        <w:tab/>
        <w:t>Turnbull C, Scott RH, Thomas E, Jones L, Murugaesu N, Pretty FB, et al. The 100 000 Genomes Project: bringing whole genome sequencing to the NHS. Bmj. 2018;361:k1687.</w:t>
      </w:r>
    </w:p>
    <w:p w14:paraId="34347BB4"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lastRenderedPageBreak/>
        <w:t>6.</w:t>
      </w:r>
      <w:r w:rsidRPr="00C34963">
        <w:rPr>
          <w:noProof/>
          <w:sz w:val="18"/>
          <w:szCs w:val="20"/>
        </w:rPr>
        <w:tab/>
        <w:t>Smedley D, Jacobsen JO, Jäger M, Köhler S, Holtgrewe M, Schubach M, et al. Next-generation diagnostics and disease-gene discovery with the Exomiser. Nature protocols. 2015;10(12):2004-15.</w:t>
      </w:r>
    </w:p>
    <w:p w14:paraId="5C7A64B5"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7.</w:t>
      </w:r>
      <w:r w:rsidRPr="00C34963">
        <w:rPr>
          <w:noProof/>
          <w:sz w:val="18"/>
          <w:szCs w:val="20"/>
        </w:rPr>
        <w:tab/>
        <w:t>Lelieveld SH, Spielmann M, Mundlos S, Veltman JA, Gilissen C. Comparison of exome and genome sequencing technologies for the complete capture of protein‐coding regions. Human mutation. 2015;36(8):815-22.</w:t>
      </w:r>
    </w:p>
    <w:p w14:paraId="5E76560F"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8.</w:t>
      </w:r>
      <w:r w:rsidRPr="00C34963">
        <w:rPr>
          <w:noProof/>
          <w:sz w:val="18"/>
          <w:szCs w:val="20"/>
        </w:rPr>
        <w:tab/>
        <w:t>Rehm HL. Time to make rare disease diagnosis accessible to all. Nature Medicine. 2022;28(2):241-2.</w:t>
      </w:r>
    </w:p>
    <w:p w14:paraId="7CD06346"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9.</w:t>
      </w:r>
      <w:r w:rsidRPr="00C34963">
        <w:rPr>
          <w:noProof/>
          <w:sz w:val="18"/>
          <w:szCs w:val="20"/>
        </w:rPr>
        <w:tab/>
        <w:t>Kircher M, Witten DM, Jain P, O'Roak BJ, Cooper GM, Shendure J. A general framework for estimating the relative pathogenicity of human genetic variants. Nat Genet. 2014;46(3):310-5.</w:t>
      </w:r>
    </w:p>
    <w:p w14:paraId="617D6EDC"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10.</w:t>
      </w:r>
      <w:r w:rsidRPr="00C34963">
        <w:rPr>
          <w:noProof/>
          <w:sz w:val="18"/>
          <w:szCs w:val="20"/>
        </w:rPr>
        <w:tab/>
        <w:t>Ioannidis NM, Rothstein JH, Pejaver V, Middha S, McDonnell SK, Baheti S, et al. REVEL: an ensemble method for predicting the pathogenicity of rare missense variants. The American Journal of Human Genetics. 2016;99(4):877-85.</w:t>
      </w:r>
    </w:p>
    <w:p w14:paraId="2412E6A2"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11.</w:t>
      </w:r>
      <w:r w:rsidRPr="00C34963">
        <w:rPr>
          <w:noProof/>
          <w:sz w:val="18"/>
          <w:szCs w:val="20"/>
        </w:rPr>
        <w:tab/>
        <w:t>Jaganathan K, Panagiotopoulou SK, McRae JF, Darbandi SF, Knowles D, Li YI, et al. Predicting splicing from primary sequence with deep learning. Cell. 2019;176(3):535-48. e24.</w:t>
      </w:r>
    </w:p>
    <w:p w14:paraId="0426A03C"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12.</w:t>
      </w:r>
      <w:r w:rsidRPr="00C34963">
        <w:rPr>
          <w:noProof/>
          <w:sz w:val="18"/>
          <w:szCs w:val="20"/>
        </w:rPr>
        <w:tab/>
        <w:t>Landrum MJ, Lee JM, Riley GR, Jang W, Rubinstein WS, Church DM, et al. ClinVar: public archive of relationships among sequence variation and human phenotype. Nucleic acids research. 2014;42(D1):D980-D5.</w:t>
      </w:r>
    </w:p>
    <w:p w14:paraId="58DDC6EE"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13.</w:t>
      </w:r>
      <w:r w:rsidRPr="00C34963">
        <w:rPr>
          <w:noProof/>
          <w:sz w:val="18"/>
          <w:szCs w:val="20"/>
        </w:rPr>
        <w:tab/>
        <w:t>Bamshad MJ, Shendure JA, Valle D, Hamosh A, Lupski JR, Gibbs RA, et al. The Centers for Mendelian Genomics: A new large-scale initiative to identify the genes underlying rare Mendelian conditions. American Journal of Medical Genetics Part A. 2012;158A(7):1523-5.</w:t>
      </w:r>
    </w:p>
    <w:p w14:paraId="4F258DF3"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14.</w:t>
      </w:r>
      <w:r w:rsidRPr="00C34963">
        <w:rPr>
          <w:noProof/>
          <w:sz w:val="18"/>
          <w:szCs w:val="20"/>
        </w:rPr>
        <w:tab/>
        <w:t>McKenna A, Hanna M, Banks E, Sivachenko A, Cibulskis K, Kernytsky A, et al. The Genome Analysis Toolkit: a MapReduce framework for analyzing next-generation DNA sequencing data. Genome research. 2010;20(9):1297-303.</w:t>
      </w:r>
    </w:p>
    <w:p w14:paraId="6EC375EC"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15.</w:t>
      </w:r>
      <w:r w:rsidRPr="00C34963">
        <w:rPr>
          <w:noProof/>
          <w:sz w:val="18"/>
          <w:szCs w:val="20"/>
        </w:rPr>
        <w:tab/>
        <w:t>Pais LS, Snow H, Weisburd B, Zhang S, Baxter SM, DiTroia S, et al. seqr: A web‐based analysis and collaboration tool for rare disease genomics. Human Mutation. 2022.</w:t>
      </w:r>
    </w:p>
    <w:p w14:paraId="5B8FC5FC"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16.</w:t>
      </w:r>
      <w:r w:rsidRPr="00C34963">
        <w:rPr>
          <w:noProof/>
          <w:sz w:val="18"/>
          <w:szCs w:val="20"/>
        </w:rPr>
        <w:tab/>
        <w:t>DiStefano MT, Goehringer S, Babb L, Alkuraya FS, Amberger J, Amin M, et al. The Gene Curation Coalition: A global effort to harmonize gene-disease evidence resources. Genet Med. 2022.</w:t>
      </w:r>
    </w:p>
    <w:p w14:paraId="35AB3A13"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17.</w:t>
      </w:r>
      <w:r w:rsidRPr="00C34963">
        <w:rPr>
          <w:noProof/>
          <w:sz w:val="18"/>
          <w:szCs w:val="20"/>
        </w:rPr>
        <w:tab/>
        <w:t>Richards S, Aziz N, Bale S, Bick D, Das S, Gastier-Foster J, et al. Standards and guidelines for the interpretation of sequence variants: a joint consensus recommendation of the American College of Medical Genetics and Genomics and the Association for Molecular Pathology. Genet Med. 2015;17(5):405-24.</w:t>
      </w:r>
    </w:p>
    <w:p w14:paraId="04DFC977"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18.</w:t>
      </w:r>
      <w:r w:rsidRPr="00C34963">
        <w:rPr>
          <w:noProof/>
          <w:sz w:val="18"/>
          <w:szCs w:val="20"/>
        </w:rPr>
        <w:tab/>
        <w:t>Azzariti DR, Hamosh A. Genomic Data Sharing for Novel Mendelian Disease Gene Discovery: The Matchmaker Exchange. Annual Review of Genomics and Human Genetics. 2020;21(1):null.</w:t>
      </w:r>
    </w:p>
    <w:p w14:paraId="1840968D"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19.</w:t>
      </w:r>
      <w:r w:rsidRPr="00C34963">
        <w:rPr>
          <w:noProof/>
          <w:sz w:val="18"/>
          <w:szCs w:val="20"/>
        </w:rPr>
        <w:tab/>
        <w:t>Philippakis AA, Azzariti DR, Beltran S, Brookes AJ, Brownstein CA, Brudno M, et al. The Matchmaker Exchange: a platform for rare disease gene discovery. Human mutation. 2015;36(10):915-21.</w:t>
      </w:r>
    </w:p>
    <w:p w14:paraId="00DC5B2B"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20.</w:t>
      </w:r>
      <w:r w:rsidRPr="00C34963">
        <w:rPr>
          <w:noProof/>
          <w:sz w:val="18"/>
          <w:szCs w:val="20"/>
        </w:rPr>
        <w:tab/>
        <w:t>Buske OJ, Schiettecatte F, Hutton B, Dumitriu S, Misyura A, Huang L, et al. The Matchmaker Exchange API: automating patient matching through the exchange of structured phenotypic and genotypic profiles. Hum Mutat. 2015;36(10):922-7.</w:t>
      </w:r>
    </w:p>
    <w:p w14:paraId="20A24016"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21.</w:t>
      </w:r>
      <w:r w:rsidRPr="00C34963">
        <w:rPr>
          <w:noProof/>
          <w:sz w:val="18"/>
          <w:szCs w:val="20"/>
        </w:rPr>
        <w:tab/>
        <w:t>Amberger JS, Bocchini CA, Schiettecatte F, Scott AF, Hamosh A. OMIM. org: Online Mendelian Inheritance in Man (OMIM®), an online catalog of human genes and genetic disorders. Nucleic acids research. 2015;43(D1):D789-D98.</w:t>
      </w:r>
    </w:p>
    <w:p w14:paraId="0B816011"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22.</w:t>
      </w:r>
      <w:r w:rsidRPr="00C34963">
        <w:rPr>
          <w:noProof/>
          <w:sz w:val="18"/>
          <w:szCs w:val="20"/>
        </w:rPr>
        <w:tab/>
        <w:t>Lonsdale J, Thomas J, Salvatore M, Phillips R, Lo E, Shad S, et al. The genotype-tissue expression (GTEx) project. Nature genetics. 2013;45(6):580.</w:t>
      </w:r>
    </w:p>
    <w:p w14:paraId="7D4F2382"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23.</w:t>
      </w:r>
      <w:r w:rsidRPr="00C34963">
        <w:rPr>
          <w:noProof/>
          <w:sz w:val="18"/>
          <w:szCs w:val="20"/>
        </w:rPr>
        <w:tab/>
        <w:t>Cummings BB, Karczewski KJ, Kosmicki JA, Seaby EG, Watts NA, Singer-Berk M, et al. Transcript expression-aware annotation improves rare variant discovery and interpretation. bioRxiv. 2019:554444.</w:t>
      </w:r>
    </w:p>
    <w:p w14:paraId="601224AE"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24.</w:t>
      </w:r>
      <w:r w:rsidRPr="00C34963">
        <w:rPr>
          <w:noProof/>
          <w:sz w:val="18"/>
          <w:szCs w:val="20"/>
        </w:rPr>
        <w:tab/>
        <w:t>Mungall CJ, McMurry JA, Köhler S, Balhoff JP, Borromeo C, Brush M, et al. The Monarch Initiative: an integrative data and analytic platform connecting phenotypes to genotypes across species. Nucleic acids research. 2017;45(D1):D712-D22.</w:t>
      </w:r>
    </w:p>
    <w:p w14:paraId="3315FF67"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25.</w:t>
      </w:r>
      <w:r w:rsidRPr="00C34963">
        <w:rPr>
          <w:noProof/>
          <w:sz w:val="18"/>
          <w:szCs w:val="20"/>
        </w:rPr>
        <w:tab/>
        <w:t>McLaren W, Gil L, Hunt SE, Riat HS, Ritchie GR, Thormann A, et al. The ensembl variant effect predictor. Genome biology. 2016;17(1):1-14.</w:t>
      </w:r>
    </w:p>
    <w:p w14:paraId="6DF3E43D"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26.</w:t>
      </w:r>
      <w:r w:rsidRPr="00C34963">
        <w:rPr>
          <w:noProof/>
          <w:sz w:val="18"/>
          <w:szCs w:val="20"/>
        </w:rPr>
        <w:tab/>
        <w:t>Karczewski KJ, Francioli LC, Tiao G, Cummings BB, Alföldi J, Wang Q, et al. The mutational constraint spectrum quantified from variation in 141,456 humans. Nature. 2020;581(7809):434-43.</w:t>
      </w:r>
    </w:p>
    <w:p w14:paraId="4087DF7D"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27.</w:t>
      </w:r>
      <w:r w:rsidRPr="00C34963">
        <w:rPr>
          <w:noProof/>
          <w:sz w:val="18"/>
          <w:szCs w:val="20"/>
        </w:rPr>
        <w:tab/>
        <w:t>Robinson JT, Thorvaldsdóttir H, Winckler W, Guttman M, Lander ES, Getz G, et al. Integrative genomics viewer. Nature Biotechnology. 2011;29(1):24-6.</w:t>
      </w:r>
    </w:p>
    <w:p w14:paraId="37958478"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28.</w:t>
      </w:r>
      <w:r w:rsidRPr="00C34963">
        <w:rPr>
          <w:noProof/>
          <w:sz w:val="18"/>
          <w:szCs w:val="20"/>
        </w:rPr>
        <w:tab/>
        <w:t>Ellard S, Baple EL, Owens M, Eccles DM, Abbs S, Deans ZC, et al. ACGS best practice guidelines for variant classification 2019. ACGS Guidelines. 2019.</w:t>
      </w:r>
    </w:p>
    <w:p w14:paraId="7E07C30F"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29.</w:t>
      </w:r>
      <w:r w:rsidRPr="00C34963">
        <w:rPr>
          <w:noProof/>
          <w:sz w:val="18"/>
          <w:szCs w:val="20"/>
        </w:rPr>
        <w:tab/>
        <w:t>Robinson PN, Köhler S, Bauer S, Seelow D, Horn D, Mundlos S. The Human Phenotype Ontology: a tool for annotating and analyzing human hereditary disease. The American Journal of Human Genetics. 2008;83(5):610-5.</w:t>
      </w:r>
    </w:p>
    <w:p w14:paraId="0AD323FE"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30.</w:t>
      </w:r>
      <w:r w:rsidRPr="00C34963">
        <w:rPr>
          <w:noProof/>
          <w:sz w:val="18"/>
          <w:szCs w:val="20"/>
        </w:rPr>
        <w:tab/>
        <w:t>Rehm HL, Berg JS, Brooks LD, Bustamante CD, Evans JP, Landrum MJ, et al. ClinGen—the clinical genome resource. New England Journal of Medicine. 2015;372(23):2235-42.</w:t>
      </w:r>
    </w:p>
    <w:p w14:paraId="61187F65"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31.</w:t>
      </w:r>
      <w:r w:rsidRPr="00C34963">
        <w:rPr>
          <w:noProof/>
          <w:sz w:val="18"/>
          <w:szCs w:val="20"/>
        </w:rPr>
        <w:tab/>
        <w:t>Peterson BD, Hernandez EJ, Hobbs C, Jenkins SM, Moore MB, Juarez ER, et al. Automated Prioritization of Sick Newborns for Rapid Whole Genome Sequencing Using Clinical Natural Language Processing and Machine Learning. medRxiv. 2022.</w:t>
      </w:r>
    </w:p>
    <w:p w14:paraId="03DC2168"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32.</w:t>
      </w:r>
      <w:r w:rsidRPr="00C34963">
        <w:rPr>
          <w:noProof/>
          <w:sz w:val="18"/>
          <w:szCs w:val="20"/>
        </w:rPr>
        <w:tab/>
        <w:t>Uguen K, Krysiak K, Audebert‐Bellanger S, Redon S, Benech C, Viora‐Dupont E, et al. Heterozygous HMGB1 loss‐of‐function variants are associated with developmental delay and microcephaly. Clinical genetics. 2021;100(4):386-95.</w:t>
      </w:r>
    </w:p>
    <w:p w14:paraId="2EFA52D9" w14:textId="77777777" w:rsidR="00C369B2" w:rsidRPr="00C34963" w:rsidRDefault="00C369B2" w:rsidP="00C34963">
      <w:pPr>
        <w:pStyle w:val="EndNoteBibliography"/>
        <w:adjustRightInd w:val="0"/>
        <w:snapToGrid w:val="0"/>
        <w:spacing w:after="0" w:line="228" w:lineRule="auto"/>
        <w:ind w:left="425" w:hanging="425"/>
        <w:jc w:val="both"/>
        <w:rPr>
          <w:noProof/>
          <w:sz w:val="18"/>
          <w:szCs w:val="20"/>
        </w:rPr>
      </w:pPr>
      <w:r w:rsidRPr="00C34963">
        <w:rPr>
          <w:noProof/>
          <w:sz w:val="18"/>
          <w:szCs w:val="20"/>
        </w:rPr>
        <w:t>33.</w:t>
      </w:r>
      <w:r w:rsidRPr="00C34963">
        <w:rPr>
          <w:noProof/>
          <w:sz w:val="18"/>
          <w:szCs w:val="20"/>
        </w:rPr>
        <w:tab/>
        <w:t>Purcell RH, Toro C, Gahl WA, Hall RA. A disease‐associated mutation in the adhesion GPCR BAI2 (ADGRB2) increases receptor signaling activity. Human mutation. 2017;38(12):1751-60.</w:t>
      </w:r>
    </w:p>
    <w:p w14:paraId="54490DEC" w14:textId="77777777" w:rsidR="00C369B2" w:rsidRPr="00C34963" w:rsidRDefault="00C369B2" w:rsidP="002D444B">
      <w:pPr>
        <w:adjustRightInd w:val="0"/>
        <w:snapToGrid w:val="0"/>
        <w:spacing w:line="228" w:lineRule="auto"/>
        <w:rPr>
          <w:sz w:val="18"/>
        </w:rPr>
      </w:pPr>
      <w:r w:rsidRPr="00C34963">
        <w:rPr>
          <w:sz w:val="18"/>
        </w:rPr>
        <w:fldChar w:fldCharType="end"/>
      </w:r>
    </w:p>
    <w:sectPr w:rsidR="00C369B2" w:rsidRPr="00C34963" w:rsidSect="00C34963">
      <w:headerReference w:type="even" r:id="rId14"/>
      <w:headerReference w:type="default" r:id="rId15"/>
      <w:footerReference w:type="default" r:id="rId16"/>
      <w:headerReference w:type="first" r:id="rId17"/>
      <w:footerReference w:type="first" r:id="rId18"/>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CD44D" w14:textId="77777777" w:rsidR="00046260" w:rsidRDefault="00046260">
      <w:pPr>
        <w:spacing w:line="240" w:lineRule="auto"/>
      </w:pPr>
      <w:r>
        <w:separator/>
      </w:r>
    </w:p>
  </w:endnote>
  <w:endnote w:type="continuationSeparator" w:id="0">
    <w:p w14:paraId="0646176D" w14:textId="77777777" w:rsidR="00046260" w:rsidRDefault="000462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alatino">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755EE" w14:textId="77777777" w:rsidR="00E26BA8" w:rsidRPr="00E945DF" w:rsidRDefault="00E26BA8" w:rsidP="00E26BA8">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4FB9" w14:textId="77777777" w:rsidR="00EA1824" w:rsidRDefault="00EA1824" w:rsidP="00F61FFA">
    <w:pPr>
      <w:pBdr>
        <w:top w:val="single" w:sz="4" w:space="0" w:color="000000"/>
      </w:pBdr>
      <w:tabs>
        <w:tab w:val="right" w:pos="8844"/>
      </w:tabs>
      <w:adjustRightInd w:val="0"/>
      <w:snapToGrid w:val="0"/>
      <w:spacing w:before="480" w:line="100" w:lineRule="exact"/>
      <w:jc w:val="left"/>
      <w:rPr>
        <w:i/>
        <w:sz w:val="16"/>
        <w:szCs w:val="16"/>
      </w:rPr>
    </w:pPr>
  </w:p>
  <w:p w14:paraId="30E512A6" w14:textId="77777777" w:rsidR="00E26BA8" w:rsidRPr="00372FCD" w:rsidRDefault="00E26BA8" w:rsidP="00FD1E1D">
    <w:pPr>
      <w:tabs>
        <w:tab w:val="right" w:pos="10466"/>
      </w:tabs>
      <w:adjustRightInd w:val="0"/>
      <w:snapToGrid w:val="0"/>
      <w:spacing w:line="240" w:lineRule="auto"/>
      <w:rPr>
        <w:sz w:val="16"/>
        <w:szCs w:val="16"/>
        <w:lang w:val="fr-CH"/>
      </w:rPr>
    </w:pPr>
    <w:r w:rsidRPr="006A5E1E">
      <w:rPr>
        <w:i/>
        <w:sz w:val="16"/>
        <w:szCs w:val="16"/>
      </w:rPr>
      <w:t>Healthcare</w:t>
    </w:r>
    <w:r>
      <w:rPr>
        <w:i/>
        <w:sz w:val="16"/>
        <w:szCs w:val="16"/>
      </w:rPr>
      <w:t xml:space="preserve"> </w:t>
    </w:r>
    <w:r w:rsidR="002F683B">
      <w:rPr>
        <w:b/>
        <w:bCs/>
        <w:iCs/>
        <w:sz w:val="16"/>
        <w:szCs w:val="16"/>
      </w:rPr>
      <w:t>2022</w:t>
    </w:r>
    <w:r w:rsidR="0076191F" w:rsidRPr="0076191F">
      <w:rPr>
        <w:bCs/>
        <w:iCs/>
        <w:sz w:val="16"/>
        <w:szCs w:val="16"/>
      </w:rPr>
      <w:t>,</w:t>
    </w:r>
    <w:r w:rsidR="002F683B">
      <w:rPr>
        <w:bCs/>
        <w:i/>
        <w:iCs/>
        <w:sz w:val="16"/>
        <w:szCs w:val="16"/>
      </w:rPr>
      <w:t xml:space="preserve"> 10</w:t>
    </w:r>
    <w:r w:rsidR="0076191F" w:rsidRPr="0076191F">
      <w:rPr>
        <w:bCs/>
        <w:iCs/>
        <w:sz w:val="16"/>
        <w:szCs w:val="16"/>
      </w:rPr>
      <w:t xml:space="preserve">, </w:t>
    </w:r>
    <w:r w:rsidR="008E7760">
      <w:rPr>
        <w:bCs/>
        <w:iCs/>
        <w:sz w:val="16"/>
        <w:szCs w:val="16"/>
      </w:rPr>
      <w:t>x</w:t>
    </w:r>
    <w:r w:rsidR="00EA1824">
      <w:rPr>
        <w:bCs/>
        <w:iCs/>
        <w:sz w:val="16"/>
        <w:szCs w:val="16"/>
      </w:rPr>
      <w:t>. https://doi.org/10.3390/xxxxx</w:t>
    </w:r>
    <w:r w:rsidR="00FD1E1D" w:rsidRPr="00372FCD">
      <w:rPr>
        <w:sz w:val="16"/>
        <w:szCs w:val="16"/>
        <w:lang w:val="fr-CH"/>
      </w:rPr>
      <w:tab/>
    </w:r>
    <w:r w:rsidRPr="00372FCD">
      <w:rPr>
        <w:sz w:val="16"/>
        <w:szCs w:val="16"/>
        <w:lang w:val="fr-CH"/>
      </w:rPr>
      <w:t>www.mdpi.com/journal/</w:t>
    </w:r>
    <w:r w:rsidRPr="006A5E1E">
      <w:rPr>
        <w:sz w:val="16"/>
        <w:szCs w:val="16"/>
      </w:rPr>
      <w:t>healthcare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4D6ED" w14:textId="77777777" w:rsidR="00046260" w:rsidRDefault="00046260">
      <w:pPr>
        <w:spacing w:line="240" w:lineRule="auto"/>
      </w:pPr>
      <w:r>
        <w:separator/>
      </w:r>
    </w:p>
  </w:footnote>
  <w:footnote w:type="continuationSeparator" w:id="0">
    <w:p w14:paraId="15D8BB27" w14:textId="77777777" w:rsidR="00046260" w:rsidRDefault="000462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6C63" w14:textId="77777777" w:rsidR="00E26BA8" w:rsidRDefault="00E26BA8" w:rsidP="00E26BA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8592" w14:textId="77777777" w:rsidR="00EA1824" w:rsidRDefault="00E26BA8" w:rsidP="00FD1E1D">
    <w:pPr>
      <w:tabs>
        <w:tab w:val="right" w:pos="10466"/>
      </w:tabs>
      <w:adjustRightInd w:val="0"/>
      <w:snapToGrid w:val="0"/>
      <w:spacing w:line="240" w:lineRule="auto"/>
      <w:rPr>
        <w:sz w:val="16"/>
      </w:rPr>
    </w:pPr>
    <w:r>
      <w:rPr>
        <w:i/>
        <w:sz w:val="16"/>
      </w:rPr>
      <w:t xml:space="preserve">Healthcare </w:t>
    </w:r>
    <w:r w:rsidR="002F683B">
      <w:rPr>
        <w:b/>
        <w:sz w:val="16"/>
      </w:rPr>
      <w:t>2022</w:t>
    </w:r>
    <w:r w:rsidR="0076191F" w:rsidRPr="0076191F">
      <w:rPr>
        <w:sz w:val="16"/>
      </w:rPr>
      <w:t>,</w:t>
    </w:r>
    <w:r w:rsidR="002F683B">
      <w:rPr>
        <w:i/>
        <w:sz w:val="16"/>
      </w:rPr>
      <w:t xml:space="preserve"> 10</w:t>
    </w:r>
    <w:r w:rsidR="008E7760">
      <w:rPr>
        <w:sz w:val="16"/>
      </w:rPr>
      <w:t>, x FOR PEER REVIEW</w:t>
    </w:r>
    <w:r w:rsidR="00FD1E1D">
      <w:rPr>
        <w:sz w:val="16"/>
      </w:rPr>
      <w:tab/>
    </w:r>
    <w:r w:rsidR="008E7760">
      <w:rPr>
        <w:sz w:val="16"/>
      </w:rPr>
      <w:fldChar w:fldCharType="begin"/>
    </w:r>
    <w:r w:rsidR="008E7760">
      <w:rPr>
        <w:sz w:val="16"/>
      </w:rPr>
      <w:instrText xml:space="preserve"> PAGE   \* MERGEFORMAT </w:instrText>
    </w:r>
    <w:r w:rsidR="008E7760">
      <w:rPr>
        <w:sz w:val="16"/>
      </w:rPr>
      <w:fldChar w:fldCharType="separate"/>
    </w:r>
    <w:r w:rsidR="00665E14">
      <w:rPr>
        <w:sz w:val="16"/>
      </w:rPr>
      <w:t>5</w:t>
    </w:r>
    <w:r w:rsidR="008E7760">
      <w:rPr>
        <w:sz w:val="16"/>
      </w:rPr>
      <w:fldChar w:fldCharType="end"/>
    </w:r>
    <w:r w:rsidR="008E7760">
      <w:rPr>
        <w:sz w:val="16"/>
      </w:rPr>
      <w:t xml:space="preserve"> of </w:t>
    </w:r>
    <w:r w:rsidR="008E7760">
      <w:rPr>
        <w:sz w:val="16"/>
      </w:rPr>
      <w:fldChar w:fldCharType="begin"/>
    </w:r>
    <w:r w:rsidR="008E7760">
      <w:rPr>
        <w:sz w:val="16"/>
      </w:rPr>
      <w:instrText xml:space="preserve"> NUMPAGES   \* MERGEFORMAT </w:instrText>
    </w:r>
    <w:r w:rsidR="008E7760">
      <w:rPr>
        <w:sz w:val="16"/>
      </w:rPr>
      <w:fldChar w:fldCharType="separate"/>
    </w:r>
    <w:r w:rsidR="00665E14">
      <w:rPr>
        <w:sz w:val="16"/>
      </w:rPr>
      <w:t>5</w:t>
    </w:r>
    <w:r w:rsidR="008E7760">
      <w:rPr>
        <w:sz w:val="16"/>
      </w:rPr>
      <w:fldChar w:fldCharType="end"/>
    </w:r>
  </w:p>
  <w:p w14:paraId="5B0DE152" w14:textId="77777777" w:rsidR="00E26BA8" w:rsidRPr="00235A17" w:rsidRDefault="00E26BA8" w:rsidP="00F61FFA">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EA1824" w:rsidRPr="00FD1E1D" w14:paraId="0B17E068" w14:textId="77777777" w:rsidTr="00FD1E1D">
      <w:trPr>
        <w:trHeight w:val="686"/>
      </w:trPr>
      <w:tc>
        <w:tcPr>
          <w:tcW w:w="3679" w:type="dxa"/>
          <w:shd w:val="clear" w:color="auto" w:fill="auto"/>
          <w:vAlign w:val="center"/>
        </w:tcPr>
        <w:p w14:paraId="64F7E42E" w14:textId="77777777" w:rsidR="00EA1824" w:rsidRPr="003C3BD5" w:rsidRDefault="00807017" w:rsidP="00FD1E1D">
          <w:pPr>
            <w:pStyle w:val="Header"/>
            <w:pBdr>
              <w:bottom w:val="none" w:sz="0" w:space="0" w:color="auto"/>
            </w:pBdr>
            <w:jc w:val="left"/>
            <w:rPr>
              <w:rFonts w:eastAsia="DengXian"/>
              <w:b/>
              <w:bCs/>
            </w:rPr>
          </w:pPr>
          <w:r w:rsidRPr="003C3BD5">
            <w:rPr>
              <w:rFonts w:eastAsia="DengXian"/>
              <w:b/>
              <w:bCs/>
            </w:rPr>
            <w:drawing>
              <wp:inline distT="0" distB="0" distL="0" distR="0" wp14:anchorId="5EC60EBC" wp14:editId="6F303383">
                <wp:extent cx="1759585" cy="436245"/>
                <wp:effectExtent l="0" t="0" r="0" b="0"/>
                <wp:docPr id="1" name="Picture 3" descr="C:\Users\home\AppData\Local\Temp\HZ$D.082.3317\healthca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17\healthcare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9585" cy="436245"/>
                        </a:xfrm>
                        <a:prstGeom prst="rect">
                          <a:avLst/>
                        </a:prstGeom>
                        <a:noFill/>
                        <a:ln>
                          <a:noFill/>
                        </a:ln>
                      </pic:spPr>
                    </pic:pic>
                  </a:graphicData>
                </a:graphic>
              </wp:inline>
            </w:drawing>
          </w:r>
        </w:p>
      </w:tc>
      <w:tc>
        <w:tcPr>
          <w:tcW w:w="4535" w:type="dxa"/>
          <w:shd w:val="clear" w:color="auto" w:fill="auto"/>
          <w:vAlign w:val="center"/>
        </w:tcPr>
        <w:p w14:paraId="14F9A73C" w14:textId="77777777" w:rsidR="00EA1824" w:rsidRPr="003C3BD5" w:rsidRDefault="00EA1824" w:rsidP="00FD1E1D">
          <w:pPr>
            <w:pStyle w:val="Header"/>
            <w:pBdr>
              <w:bottom w:val="none" w:sz="0" w:space="0" w:color="auto"/>
            </w:pBdr>
            <w:rPr>
              <w:rFonts w:eastAsia="DengXian"/>
              <w:b/>
              <w:bCs/>
            </w:rPr>
          </w:pPr>
        </w:p>
      </w:tc>
      <w:tc>
        <w:tcPr>
          <w:tcW w:w="2273" w:type="dxa"/>
          <w:shd w:val="clear" w:color="auto" w:fill="auto"/>
          <w:vAlign w:val="center"/>
        </w:tcPr>
        <w:p w14:paraId="48915933" w14:textId="77777777" w:rsidR="00EA1824" w:rsidRPr="003C3BD5" w:rsidRDefault="00807017" w:rsidP="00FD1E1D">
          <w:pPr>
            <w:pStyle w:val="Header"/>
            <w:pBdr>
              <w:bottom w:val="none" w:sz="0" w:space="0" w:color="auto"/>
            </w:pBdr>
            <w:jc w:val="right"/>
            <w:rPr>
              <w:rFonts w:eastAsia="DengXian"/>
              <w:b/>
              <w:bCs/>
            </w:rPr>
          </w:pPr>
          <w:r w:rsidRPr="003C3BD5">
            <w:rPr>
              <w:rFonts w:eastAsia="DengXian"/>
              <w:b/>
              <w:bCs/>
            </w:rPr>
            <w:drawing>
              <wp:inline distT="0" distB="0" distL="0" distR="0" wp14:anchorId="2735140A" wp14:editId="3A4E8964">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2E08B852" w14:textId="77777777" w:rsidR="00E26BA8" w:rsidRPr="00EA1824" w:rsidRDefault="00E26BA8" w:rsidP="00F61FFA">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105"/>
    <w:multiLevelType w:val="hybridMultilevel"/>
    <w:tmpl w:val="5F4E8C10"/>
    <w:lvl w:ilvl="0" w:tplc="E54417F4">
      <w:start w:val="1"/>
      <w:numFmt w:val="decimal"/>
      <w:lvlRestart w:val="0"/>
      <w:pStyle w:val="MDPI71FootNotes"/>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93565"/>
    <w:multiLevelType w:val="hybridMultilevel"/>
    <w:tmpl w:val="EB04B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498AB2DE"/>
    <w:lvl w:ilvl="0" w:tplc="E5B8461A">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B2F87C2A"/>
    <w:lvl w:ilvl="0" w:tplc="3CEEF2E0">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AC92C44"/>
    <w:multiLevelType w:val="singleLevel"/>
    <w:tmpl w:val="4CA4C254"/>
    <w:lvl w:ilvl="0">
      <w:start w:val="1"/>
      <w:numFmt w:val="decimal"/>
      <w:lvlRestart w:val="0"/>
      <w:lvlText w:val="%1."/>
      <w:lvlJc w:val="left"/>
      <w:pPr>
        <w:ind w:left="288" w:hanging="288"/>
      </w:pPr>
      <w:rPr>
        <w:b w:val="0"/>
        <w:i w:val="0"/>
        <w:sz w:val="18"/>
        <w:vertAlign w:val="superscript"/>
      </w:rPr>
    </w:lvl>
  </w:abstractNum>
  <w:abstractNum w:abstractNumId="5" w15:restartNumberingAfterBreak="0">
    <w:nsid w:val="54075B53"/>
    <w:multiLevelType w:val="hybridMultilevel"/>
    <w:tmpl w:val="2E6088F0"/>
    <w:lvl w:ilvl="0" w:tplc="283CF912">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6" w15:restartNumberingAfterBreak="0">
    <w:nsid w:val="5A9E39FB"/>
    <w:multiLevelType w:val="hybridMultilevel"/>
    <w:tmpl w:val="97CAD098"/>
    <w:lvl w:ilvl="0" w:tplc="B29C96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A247A7"/>
    <w:multiLevelType w:val="hybridMultilevel"/>
    <w:tmpl w:val="06BCA358"/>
    <w:lvl w:ilvl="0" w:tplc="B3543A7C">
      <w:numFmt w:val="bullet"/>
      <w:lvlText w:val=""/>
      <w:lvlJc w:val="left"/>
      <w:pPr>
        <w:ind w:left="720" w:hanging="360"/>
      </w:pPr>
      <w:rPr>
        <w:rFonts w:ascii="Symbol" w:eastAsia="SimSun" w:hAnsi="Symbol" w:cs="Times New Roman" w:hint="default"/>
        <w:b/>
        <w:color w:val="00000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A95629"/>
    <w:multiLevelType w:val="hybridMultilevel"/>
    <w:tmpl w:val="AC2A6036"/>
    <w:lvl w:ilvl="0" w:tplc="A6ACAF60">
      <w:numFmt w:val="bullet"/>
      <w:lvlText w:val=""/>
      <w:lvlJc w:val="left"/>
      <w:pPr>
        <w:ind w:left="720" w:hanging="360"/>
      </w:pPr>
      <w:rPr>
        <w:rFonts w:ascii="Symbol" w:eastAsia="SimSun" w:hAnsi="Symbol" w:cs="Times New Roman" w:hint="default"/>
        <w:b/>
        <w:color w:val="00000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6118575">
    <w:abstractNumId w:val="6"/>
  </w:num>
  <w:num w:numId="2" w16cid:durableId="367028450">
    <w:abstractNumId w:val="1"/>
  </w:num>
  <w:num w:numId="3" w16cid:durableId="682585947">
    <w:abstractNumId w:val="5"/>
  </w:num>
  <w:num w:numId="4" w16cid:durableId="904144375">
    <w:abstractNumId w:val="3"/>
  </w:num>
  <w:num w:numId="5" w16cid:durableId="1039629884">
    <w:abstractNumId w:val="2"/>
  </w:num>
  <w:num w:numId="6" w16cid:durableId="1000936271">
    <w:abstractNumId w:val="0"/>
  </w:num>
  <w:num w:numId="7" w16cid:durableId="891384800">
    <w:abstractNumId w:val="4"/>
  </w:num>
  <w:num w:numId="8" w16cid:durableId="1379160865">
    <w:abstractNumId w:val="8"/>
  </w:num>
  <w:num w:numId="9" w16cid:durableId="144129441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9B2"/>
    <w:rsid w:val="00021EDA"/>
    <w:rsid w:val="00030B16"/>
    <w:rsid w:val="00032BAE"/>
    <w:rsid w:val="0004132E"/>
    <w:rsid w:val="00045432"/>
    <w:rsid w:val="00046260"/>
    <w:rsid w:val="00084BFD"/>
    <w:rsid w:val="00086CD1"/>
    <w:rsid w:val="000A170D"/>
    <w:rsid w:val="000A41A2"/>
    <w:rsid w:val="000C49EA"/>
    <w:rsid w:val="000D16B6"/>
    <w:rsid w:val="000D1ABF"/>
    <w:rsid w:val="000D56EE"/>
    <w:rsid w:val="000F697F"/>
    <w:rsid w:val="0011466D"/>
    <w:rsid w:val="00114874"/>
    <w:rsid w:val="00116033"/>
    <w:rsid w:val="00130A36"/>
    <w:rsid w:val="00132048"/>
    <w:rsid w:val="001479CF"/>
    <w:rsid w:val="001641A5"/>
    <w:rsid w:val="00171D0C"/>
    <w:rsid w:val="00180BF4"/>
    <w:rsid w:val="001825A3"/>
    <w:rsid w:val="001E2AEB"/>
    <w:rsid w:val="00205DD7"/>
    <w:rsid w:val="00221372"/>
    <w:rsid w:val="002319D8"/>
    <w:rsid w:val="00233B36"/>
    <w:rsid w:val="00242B2B"/>
    <w:rsid w:val="00245F32"/>
    <w:rsid w:val="00276346"/>
    <w:rsid w:val="00284F33"/>
    <w:rsid w:val="00292104"/>
    <w:rsid w:val="002A04FC"/>
    <w:rsid w:val="002D444B"/>
    <w:rsid w:val="002E1301"/>
    <w:rsid w:val="002F683B"/>
    <w:rsid w:val="003002C2"/>
    <w:rsid w:val="00323AEF"/>
    <w:rsid w:val="00326141"/>
    <w:rsid w:val="00344DF1"/>
    <w:rsid w:val="00347263"/>
    <w:rsid w:val="0036584E"/>
    <w:rsid w:val="00375C2F"/>
    <w:rsid w:val="00377F51"/>
    <w:rsid w:val="003A0844"/>
    <w:rsid w:val="003A6265"/>
    <w:rsid w:val="003C3BD5"/>
    <w:rsid w:val="003D2219"/>
    <w:rsid w:val="00401D30"/>
    <w:rsid w:val="004044C2"/>
    <w:rsid w:val="004121A5"/>
    <w:rsid w:val="00421ED3"/>
    <w:rsid w:val="00430030"/>
    <w:rsid w:val="004759EE"/>
    <w:rsid w:val="004916F1"/>
    <w:rsid w:val="004A2EE9"/>
    <w:rsid w:val="004B0F9E"/>
    <w:rsid w:val="004C3DC8"/>
    <w:rsid w:val="004F4C16"/>
    <w:rsid w:val="00521290"/>
    <w:rsid w:val="0053259C"/>
    <w:rsid w:val="00557828"/>
    <w:rsid w:val="005625E8"/>
    <w:rsid w:val="00565920"/>
    <w:rsid w:val="00566A94"/>
    <w:rsid w:val="0057727A"/>
    <w:rsid w:val="005B7279"/>
    <w:rsid w:val="006300BE"/>
    <w:rsid w:val="006447E0"/>
    <w:rsid w:val="00655524"/>
    <w:rsid w:val="00657BCA"/>
    <w:rsid w:val="00661F4D"/>
    <w:rsid w:val="00662FD2"/>
    <w:rsid w:val="00665E14"/>
    <w:rsid w:val="00666939"/>
    <w:rsid w:val="00692393"/>
    <w:rsid w:val="006E2392"/>
    <w:rsid w:val="00704284"/>
    <w:rsid w:val="0071753E"/>
    <w:rsid w:val="00732E7D"/>
    <w:rsid w:val="00742CD9"/>
    <w:rsid w:val="0075653F"/>
    <w:rsid w:val="0076191F"/>
    <w:rsid w:val="00774391"/>
    <w:rsid w:val="00792938"/>
    <w:rsid w:val="00797A92"/>
    <w:rsid w:val="007B2DB8"/>
    <w:rsid w:val="007D0EC6"/>
    <w:rsid w:val="007D541F"/>
    <w:rsid w:val="007E6FEB"/>
    <w:rsid w:val="00807017"/>
    <w:rsid w:val="00822D37"/>
    <w:rsid w:val="0082595D"/>
    <w:rsid w:val="00825D51"/>
    <w:rsid w:val="008324A6"/>
    <w:rsid w:val="00842AF2"/>
    <w:rsid w:val="008517D6"/>
    <w:rsid w:val="00873EDA"/>
    <w:rsid w:val="00880D8C"/>
    <w:rsid w:val="008A2DEB"/>
    <w:rsid w:val="008A3923"/>
    <w:rsid w:val="008A47FA"/>
    <w:rsid w:val="008D4BCC"/>
    <w:rsid w:val="008E7563"/>
    <w:rsid w:val="008E7760"/>
    <w:rsid w:val="009044CC"/>
    <w:rsid w:val="00944E6D"/>
    <w:rsid w:val="00945C82"/>
    <w:rsid w:val="00947B9B"/>
    <w:rsid w:val="00975E78"/>
    <w:rsid w:val="00986752"/>
    <w:rsid w:val="00997A4F"/>
    <w:rsid w:val="009B19EE"/>
    <w:rsid w:val="009E05C3"/>
    <w:rsid w:val="009E6154"/>
    <w:rsid w:val="009F70E6"/>
    <w:rsid w:val="00A01DD2"/>
    <w:rsid w:val="00A328BB"/>
    <w:rsid w:val="00A40167"/>
    <w:rsid w:val="00A463F8"/>
    <w:rsid w:val="00A47E69"/>
    <w:rsid w:val="00A73F0A"/>
    <w:rsid w:val="00A76F86"/>
    <w:rsid w:val="00A82616"/>
    <w:rsid w:val="00A8616B"/>
    <w:rsid w:val="00A94E49"/>
    <w:rsid w:val="00A95CA3"/>
    <w:rsid w:val="00B41F33"/>
    <w:rsid w:val="00B450C3"/>
    <w:rsid w:val="00B72234"/>
    <w:rsid w:val="00B7554F"/>
    <w:rsid w:val="00B76AE9"/>
    <w:rsid w:val="00B808F3"/>
    <w:rsid w:val="00B97897"/>
    <w:rsid w:val="00BA1286"/>
    <w:rsid w:val="00BB3873"/>
    <w:rsid w:val="00BD0834"/>
    <w:rsid w:val="00BD4A11"/>
    <w:rsid w:val="00BE7FDF"/>
    <w:rsid w:val="00BF0CF6"/>
    <w:rsid w:val="00BF1863"/>
    <w:rsid w:val="00BF5145"/>
    <w:rsid w:val="00C03A43"/>
    <w:rsid w:val="00C10F6C"/>
    <w:rsid w:val="00C32EA2"/>
    <w:rsid w:val="00C33D80"/>
    <w:rsid w:val="00C34963"/>
    <w:rsid w:val="00C369B2"/>
    <w:rsid w:val="00C466FC"/>
    <w:rsid w:val="00C47096"/>
    <w:rsid w:val="00C61C08"/>
    <w:rsid w:val="00CB06A8"/>
    <w:rsid w:val="00CC515E"/>
    <w:rsid w:val="00CD0A68"/>
    <w:rsid w:val="00CE26C1"/>
    <w:rsid w:val="00CF475D"/>
    <w:rsid w:val="00D372FF"/>
    <w:rsid w:val="00D42F6F"/>
    <w:rsid w:val="00D43500"/>
    <w:rsid w:val="00D4400C"/>
    <w:rsid w:val="00D467F5"/>
    <w:rsid w:val="00D60BD5"/>
    <w:rsid w:val="00D71C7A"/>
    <w:rsid w:val="00D74EC1"/>
    <w:rsid w:val="00D75094"/>
    <w:rsid w:val="00D85B9A"/>
    <w:rsid w:val="00DE38CB"/>
    <w:rsid w:val="00E01939"/>
    <w:rsid w:val="00E0462B"/>
    <w:rsid w:val="00E10575"/>
    <w:rsid w:val="00E12007"/>
    <w:rsid w:val="00E26BA8"/>
    <w:rsid w:val="00E3467A"/>
    <w:rsid w:val="00E4540F"/>
    <w:rsid w:val="00E7040D"/>
    <w:rsid w:val="00E82CF9"/>
    <w:rsid w:val="00E96477"/>
    <w:rsid w:val="00EA1824"/>
    <w:rsid w:val="00F011AA"/>
    <w:rsid w:val="00F363F7"/>
    <w:rsid w:val="00F61FFA"/>
    <w:rsid w:val="00F72EF9"/>
    <w:rsid w:val="00F8565B"/>
    <w:rsid w:val="00F942E6"/>
    <w:rsid w:val="00F94A88"/>
    <w:rsid w:val="00F95061"/>
    <w:rsid w:val="00FC4736"/>
    <w:rsid w:val="00FC75B8"/>
    <w:rsid w:val="00FC7A2B"/>
    <w:rsid w:val="00FD1E1D"/>
    <w:rsid w:val="00FD72FE"/>
    <w:rsid w:val="00FE24FF"/>
    <w:rsid w:val="00FF0CC1"/>
    <w:rsid w:val="00FF0E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0AB2F"/>
  <w15:chartTrackingRefBased/>
  <w15:docId w15:val="{740A448B-6D59-42CA-B335-8CC20F011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A92"/>
    <w:pPr>
      <w:spacing w:line="260" w:lineRule="atLeast"/>
      <w:jc w:val="both"/>
    </w:pPr>
    <w:rPr>
      <w:rFonts w:ascii="Palatino Linotype" w:hAnsi="Palatino Linotype"/>
      <w:noProof/>
      <w:color w:val="000000"/>
    </w:rPr>
  </w:style>
  <w:style w:type="paragraph" w:styleId="Heading1">
    <w:name w:val="heading 1"/>
    <w:basedOn w:val="Normal"/>
    <w:next w:val="Normal"/>
    <w:link w:val="Heading1Char"/>
    <w:uiPriority w:val="9"/>
    <w:qFormat/>
    <w:rsid w:val="00C369B2"/>
    <w:pPr>
      <w:keepNext/>
      <w:keepLines/>
      <w:spacing w:before="360" w:line="240" w:lineRule="auto"/>
      <w:jc w:val="left"/>
      <w:outlineLvl w:val="0"/>
    </w:pPr>
    <w:rPr>
      <w:rFonts w:asciiTheme="majorHAnsi" w:eastAsiaTheme="majorEastAsia" w:hAnsiTheme="majorHAnsi" w:cstheme="majorBidi"/>
      <w:bCs/>
      <w:noProof w:val="0"/>
      <w:color w:val="44546A" w:themeColor="text2"/>
      <w:sz w:val="32"/>
      <w:szCs w:val="28"/>
      <w:lang w:eastAsia="en-US"/>
    </w:rPr>
  </w:style>
  <w:style w:type="paragraph" w:styleId="Heading2">
    <w:name w:val="heading 2"/>
    <w:basedOn w:val="Normal"/>
    <w:next w:val="Normal"/>
    <w:link w:val="Heading2Char"/>
    <w:uiPriority w:val="9"/>
    <w:unhideWhenUsed/>
    <w:qFormat/>
    <w:rsid w:val="00C369B2"/>
    <w:pPr>
      <w:keepNext/>
      <w:keepLines/>
      <w:spacing w:before="120" w:line="240" w:lineRule="auto"/>
      <w:jc w:val="left"/>
      <w:outlineLvl w:val="1"/>
    </w:pPr>
    <w:rPr>
      <w:rFonts w:asciiTheme="majorHAnsi" w:eastAsiaTheme="majorEastAsia" w:hAnsiTheme="majorHAnsi" w:cstheme="majorBidi"/>
      <w:b/>
      <w:bCs/>
      <w:noProof w:val="0"/>
      <w:color w:val="A5A5A5" w:themeColor="accent3"/>
      <w:sz w:val="28"/>
      <w:szCs w:val="26"/>
      <w:lang w:eastAsia="en-US"/>
    </w:rPr>
  </w:style>
  <w:style w:type="paragraph" w:styleId="Heading3">
    <w:name w:val="heading 3"/>
    <w:basedOn w:val="Normal"/>
    <w:next w:val="Normal"/>
    <w:link w:val="Heading3Char"/>
    <w:uiPriority w:val="9"/>
    <w:unhideWhenUsed/>
    <w:qFormat/>
    <w:rsid w:val="00C369B2"/>
    <w:pPr>
      <w:keepNext/>
      <w:keepLines/>
      <w:spacing w:before="20" w:line="240" w:lineRule="auto"/>
      <w:jc w:val="left"/>
      <w:outlineLvl w:val="2"/>
    </w:pPr>
    <w:rPr>
      <w:rFonts w:asciiTheme="minorHAnsi" w:eastAsiaTheme="majorEastAsia" w:hAnsiTheme="minorHAnsi" w:cstheme="majorBidi"/>
      <w:b/>
      <w:bCs/>
      <w:noProof w:val="0"/>
      <w:color w:val="44546A" w:themeColor="text2"/>
      <w:sz w:val="24"/>
      <w:szCs w:val="22"/>
      <w:lang w:eastAsia="en-US"/>
    </w:rPr>
  </w:style>
  <w:style w:type="paragraph" w:styleId="Heading4">
    <w:name w:val="heading 4"/>
    <w:basedOn w:val="Normal"/>
    <w:next w:val="Normal"/>
    <w:link w:val="Heading4Char"/>
    <w:uiPriority w:val="9"/>
    <w:unhideWhenUsed/>
    <w:qFormat/>
    <w:rsid w:val="00C369B2"/>
    <w:pPr>
      <w:keepNext/>
      <w:keepLines/>
      <w:spacing w:before="200" w:line="274" w:lineRule="auto"/>
      <w:jc w:val="left"/>
      <w:outlineLvl w:val="3"/>
    </w:pPr>
    <w:rPr>
      <w:rFonts w:asciiTheme="majorHAnsi" w:eastAsiaTheme="majorEastAsia" w:hAnsiTheme="majorHAnsi" w:cstheme="majorBidi"/>
      <w:b/>
      <w:bCs/>
      <w:i/>
      <w:iCs/>
      <w:noProof w:val="0"/>
      <w:color w:val="262626" w:themeColor="text1" w:themeTint="D9"/>
      <w:sz w:val="22"/>
      <w:szCs w:val="22"/>
      <w:lang w:eastAsia="en-US"/>
    </w:rPr>
  </w:style>
  <w:style w:type="paragraph" w:styleId="Heading5">
    <w:name w:val="heading 5"/>
    <w:basedOn w:val="Normal"/>
    <w:next w:val="Normal"/>
    <w:link w:val="Heading5Char"/>
    <w:uiPriority w:val="9"/>
    <w:semiHidden/>
    <w:unhideWhenUsed/>
    <w:qFormat/>
    <w:rsid w:val="00C369B2"/>
    <w:pPr>
      <w:keepNext/>
      <w:keepLines/>
      <w:spacing w:before="200" w:line="274" w:lineRule="auto"/>
      <w:jc w:val="left"/>
      <w:outlineLvl w:val="4"/>
    </w:pPr>
    <w:rPr>
      <w:rFonts w:asciiTheme="majorHAnsi" w:eastAsiaTheme="majorEastAsia" w:hAnsiTheme="majorHAnsi" w:cstheme="majorBidi"/>
      <w:noProof w:val="0"/>
      <w:sz w:val="22"/>
      <w:szCs w:val="22"/>
      <w:lang w:eastAsia="en-US"/>
    </w:rPr>
  </w:style>
  <w:style w:type="paragraph" w:styleId="Heading6">
    <w:name w:val="heading 6"/>
    <w:basedOn w:val="Normal"/>
    <w:next w:val="Normal"/>
    <w:link w:val="Heading6Char"/>
    <w:uiPriority w:val="9"/>
    <w:semiHidden/>
    <w:unhideWhenUsed/>
    <w:qFormat/>
    <w:rsid w:val="00C369B2"/>
    <w:pPr>
      <w:keepNext/>
      <w:keepLines/>
      <w:spacing w:before="200" w:line="274" w:lineRule="auto"/>
      <w:jc w:val="left"/>
      <w:outlineLvl w:val="5"/>
    </w:pPr>
    <w:rPr>
      <w:rFonts w:asciiTheme="majorHAnsi" w:eastAsiaTheme="majorEastAsia" w:hAnsiTheme="majorHAnsi" w:cstheme="majorBidi"/>
      <w:i/>
      <w:iCs/>
      <w:noProof w:val="0"/>
      <w:color w:val="000000" w:themeColor="text1"/>
      <w:sz w:val="22"/>
      <w:szCs w:val="22"/>
      <w:lang w:eastAsia="en-US"/>
    </w:rPr>
  </w:style>
  <w:style w:type="paragraph" w:styleId="Heading7">
    <w:name w:val="heading 7"/>
    <w:basedOn w:val="Normal"/>
    <w:next w:val="Normal"/>
    <w:link w:val="Heading7Char"/>
    <w:uiPriority w:val="9"/>
    <w:semiHidden/>
    <w:unhideWhenUsed/>
    <w:qFormat/>
    <w:rsid w:val="00C369B2"/>
    <w:pPr>
      <w:keepNext/>
      <w:keepLines/>
      <w:spacing w:before="200" w:line="274" w:lineRule="auto"/>
      <w:jc w:val="left"/>
      <w:outlineLvl w:val="6"/>
    </w:pPr>
    <w:rPr>
      <w:rFonts w:asciiTheme="majorHAnsi" w:eastAsiaTheme="majorEastAsia" w:hAnsiTheme="majorHAnsi" w:cstheme="majorBidi"/>
      <w:i/>
      <w:iCs/>
      <w:noProof w:val="0"/>
      <w:color w:val="44546A" w:themeColor="text2"/>
      <w:sz w:val="22"/>
      <w:szCs w:val="22"/>
      <w:lang w:eastAsia="en-US"/>
    </w:rPr>
  </w:style>
  <w:style w:type="paragraph" w:styleId="Heading8">
    <w:name w:val="heading 8"/>
    <w:basedOn w:val="Normal"/>
    <w:next w:val="Normal"/>
    <w:link w:val="Heading8Char"/>
    <w:uiPriority w:val="9"/>
    <w:semiHidden/>
    <w:unhideWhenUsed/>
    <w:qFormat/>
    <w:rsid w:val="00C369B2"/>
    <w:pPr>
      <w:keepNext/>
      <w:keepLines/>
      <w:spacing w:before="200" w:line="274" w:lineRule="auto"/>
      <w:jc w:val="left"/>
      <w:outlineLvl w:val="7"/>
    </w:pPr>
    <w:rPr>
      <w:rFonts w:asciiTheme="majorHAnsi" w:eastAsiaTheme="majorEastAsia" w:hAnsiTheme="majorHAnsi" w:cstheme="majorBidi"/>
      <w:noProof w:val="0"/>
      <w:lang w:eastAsia="en-US"/>
    </w:rPr>
  </w:style>
  <w:style w:type="paragraph" w:styleId="Heading9">
    <w:name w:val="heading 9"/>
    <w:basedOn w:val="Normal"/>
    <w:next w:val="Normal"/>
    <w:link w:val="Heading9Char"/>
    <w:uiPriority w:val="9"/>
    <w:semiHidden/>
    <w:unhideWhenUsed/>
    <w:qFormat/>
    <w:rsid w:val="00C369B2"/>
    <w:pPr>
      <w:keepNext/>
      <w:keepLines/>
      <w:spacing w:before="200" w:line="274" w:lineRule="auto"/>
      <w:jc w:val="left"/>
      <w:outlineLvl w:val="8"/>
    </w:pPr>
    <w:rPr>
      <w:rFonts w:asciiTheme="majorHAnsi" w:eastAsiaTheme="majorEastAsia" w:hAnsiTheme="majorHAnsi" w:cstheme="majorBidi"/>
      <w:i/>
      <w:iCs/>
      <w:noProof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CE26C1"/>
    <w:pPr>
      <w:adjustRightInd w:val="0"/>
      <w:snapToGrid w:val="0"/>
      <w:spacing w:before="240"/>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12title">
    <w:name w:val="MDPI_1.2_title"/>
    <w:next w:val="Normal"/>
    <w:qFormat/>
    <w:rsid w:val="00CE26C1"/>
    <w:pPr>
      <w:adjustRightInd w:val="0"/>
      <w:snapToGrid w:val="0"/>
      <w:spacing w:after="240" w:line="240" w:lineRule="atLeast"/>
    </w:pPr>
    <w:rPr>
      <w:rFonts w:ascii="Palatino Linotype" w:eastAsia="Times New Roman" w:hAnsi="Palatino Linotype"/>
      <w:b/>
      <w:snapToGrid w:val="0"/>
      <w:color w:val="000000"/>
      <w:kern w:val="2"/>
      <w:sz w:val="36"/>
      <w:lang w:eastAsia="de-DE" w:bidi="en-US"/>
      <w14:ligatures w14:val="standardContextual"/>
    </w:rPr>
  </w:style>
  <w:style w:type="paragraph" w:customStyle="1" w:styleId="MDPI13authornames">
    <w:name w:val="MDPI_1.3_authornames"/>
    <w:next w:val="Normal"/>
    <w:qFormat/>
    <w:rsid w:val="00CE26C1"/>
    <w:pPr>
      <w:adjustRightInd w:val="0"/>
      <w:snapToGrid w:val="0"/>
      <w:spacing w:after="360" w:line="260" w:lineRule="atLeast"/>
    </w:pPr>
    <w:rPr>
      <w:rFonts w:ascii="Palatino Linotype" w:eastAsia="Times New Roman" w:hAnsi="Palatino Linotype"/>
      <w:b/>
      <w:color w:val="000000"/>
      <w:kern w:val="2"/>
      <w:szCs w:val="22"/>
      <w:lang w:eastAsia="de-DE" w:bidi="en-US"/>
      <w14:ligatures w14:val="standardContextual"/>
    </w:rPr>
  </w:style>
  <w:style w:type="paragraph" w:customStyle="1" w:styleId="MDPI14history">
    <w:name w:val="MDPI_1.4_history"/>
    <w:basedOn w:val="Normal"/>
    <w:next w:val="Normal"/>
    <w:qFormat/>
    <w:rsid w:val="00CE26C1"/>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CE26C1"/>
    <w:pPr>
      <w:adjustRightInd w:val="0"/>
      <w:snapToGrid w:val="0"/>
      <w:spacing w:line="200" w:lineRule="atLeast"/>
      <w:ind w:left="2806" w:hanging="198"/>
    </w:pPr>
    <w:rPr>
      <w:rFonts w:ascii="Palatino Linotype" w:eastAsia="Times New Roman" w:hAnsi="Palatino Linotype"/>
      <w:color w:val="000000"/>
      <w:kern w:val="2"/>
      <w:sz w:val="16"/>
      <w:szCs w:val="18"/>
      <w:lang w:eastAsia="de-DE" w:bidi="en-US"/>
      <w14:ligatures w14:val="standardContextual"/>
    </w:rPr>
  </w:style>
  <w:style w:type="paragraph" w:customStyle="1" w:styleId="MDPI17abstract">
    <w:name w:val="MDPI_1.7_abstract"/>
    <w:next w:val="Normal"/>
    <w:qFormat/>
    <w:rsid w:val="00CE26C1"/>
    <w:pPr>
      <w:adjustRightInd w:val="0"/>
      <w:snapToGrid w:val="0"/>
      <w:spacing w:before="240" w:line="260" w:lineRule="atLeast"/>
      <w:ind w:left="2608"/>
      <w:jc w:val="both"/>
    </w:pPr>
    <w:rPr>
      <w:rFonts w:ascii="Palatino Linotype" w:eastAsia="Times New Roman" w:hAnsi="Palatino Linotype"/>
      <w:color w:val="000000"/>
      <w:kern w:val="2"/>
      <w:sz w:val="18"/>
      <w:szCs w:val="22"/>
      <w:lang w:eastAsia="de-DE" w:bidi="en-US"/>
      <w14:ligatures w14:val="standardContextual"/>
    </w:rPr>
  </w:style>
  <w:style w:type="paragraph" w:customStyle="1" w:styleId="MDPI18keywords">
    <w:name w:val="MDPI_1.8_keywords"/>
    <w:next w:val="Normal"/>
    <w:qFormat/>
    <w:rsid w:val="00CE26C1"/>
    <w:pPr>
      <w:adjustRightInd w:val="0"/>
      <w:snapToGrid w:val="0"/>
      <w:spacing w:before="240" w:line="260" w:lineRule="atLeast"/>
      <w:ind w:left="2608"/>
      <w:jc w:val="both"/>
    </w:pPr>
    <w:rPr>
      <w:rFonts w:ascii="Palatino Linotype" w:eastAsia="Times New Roman" w:hAnsi="Palatino Linotype"/>
      <w:snapToGrid w:val="0"/>
      <w:color w:val="000000"/>
      <w:kern w:val="2"/>
      <w:sz w:val="18"/>
      <w:szCs w:val="22"/>
      <w:lang w:eastAsia="de-DE" w:bidi="en-US"/>
      <w14:ligatures w14:val="standardContextual"/>
    </w:rPr>
  </w:style>
  <w:style w:type="paragraph" w:customStyle="1" w:styleId="MDPI19line">
    <w:name w:val="MDPI_1.9_line"/>
    <w:qFormat/>
    <w:rsid w:val="00C34963"/>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eastAsia="de-DE" w:bidi="en-US"/>
      <w14:ligatures w14:val="standardContextual"/>
    </w:rPr>
  </w:style>
  <w:style w:type="table" w:customStyle="1" w:styleId="Mdeck5tablebodythreelines">
    <w:name w:val="M_deck_5_table_body_three_lines"/>
    <w:basedOn w:val="TableNormal"/>
    <w:uiPriority w:val="99"/>
    <w:rsid w:val="00CF475D"/>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797A9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97A9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797A92"/>
    <w:rPr>
      <w:rFonts w:ascii="Palatino Linotype" w:hAnsi="Palatino Linotype"/>
      <w:noProof/>
      <w:color w:val="000000"/>
      <w:szCs w:val="18"/>
    </w:rPr>
  </w:style>
  <w:style w:type="paragraph" w:styleId="Header">
    <w:name w:val="header"/>
    <w:basedOn w:val="Normal"/>
    <w:link w:val="HeaderChar"/>
    <w:uiPriority w:val="99"/>
    <w:rsid w:val="00797A9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797A92"/>
    <w:rPr>
      <w:rFonts w:ascii="Palatino Linotype" w:hAnsi="Palatino Linotype"/>
      <w:noProof/>
      <w:color w:val="000000"/>
      <w:szCs w:val="18"/>
    </w:rPr>
  </w:style>
  <w:style w:type="paragraph" w:customStyle="1" w:styleId="MDPIheaderjournallogo">
    <w:name w:val="MDPI_header_journal_logo"/>
    <w:qFormat/>
    <w:rsid w:val="00CE26C1"/>
    <w:pPr>
      <w:adjustRightInd w:val="0"/>
      <w:snapToGrid w:val="0"/>
      <w:spacing w:line="260" w:lineRule="atLeast"/>
      <w:jc w:val="both"/>
    </w:pPr>
    <w:rPr>
      <w:rFonts w:ascii="Palatino Linotype" w:eastAsia="Times New Roman" w:hAnsi="Palatino Linotype"/>
      <w:i/>
      <w:color w:val="000000"/>
      <w:kern w:val="2"/>
      <w:sz w:val="24"/>
      <w:szCs w:val="22"/>
      <w:lang w:eastAsia="de-CH"/>
      <w14:ligatures w14:val="standardContextual"/>
    </w:rPr>
  </w:style>
  <w:style w:type="paragraph" w:customStyle="1" w:styleId="MDPI32textnoindent">
    <w:name w:val="MDPI_3.2_text_no_indent"/>
    <w:basedOn w:val="MDPI31text"/>
    <w:qFormat/>
    <w:rsid w:val="00CE26C1"/>
    <w:pPr>
      <w:ind w:firstLine="0"/>
    </w:pPr>
  </w:style>
  <w:style w:type="paragraph" w:customStyle="1" w:styleId="MDPI31text">
    <w:name w:val="MDPI_3.1_text"/>
    <w:qFormat/>
    <w:rsid w:val="00CE26C1"/>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3textspaceafter">
    <w:name w:val="MDPI_3.3_text_space_after"/>
    <w:qFormat/>
    <w:rsid w:val="00CE26C1"/>
    <w:pPr>
      <w:adjustRightInd w:val="0"/>
      <w:snapToGrid w:val="0"/>
      <w:spacing w:after="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5textbeforelist">
    <w:name w:val="MDPI_3.5_text_before_list"/>
    <w:qFormat/>
    <w:rsid w:val="00CE26C1"/>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6textafterlist">
    <w:name w:val="MDPI_3.6_text_after_list"/>
    <w:qFormat/>
    <w:rsid w:val="00CE26C1"/>
    <w:pPr>
      <w:adjustRightInd w:val="0"/>
      <w:snapToGrid w:val="0"/>
      <w:spacing w:before="12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7itemize">
    <w:name w:val="MDPI_3.7_itemize"/>
    <w:qFormat/>
    <w:rsid w:val="00CE26C1"/>
    <w:pPr>
      <w:numPr>
        <w:numId w:val="3"/>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8bullet">
    <w:name w:val="MDPI_3.8_bullet"/>
    <w:qFormat/>
    <w:rsid w:val="00CE26C1"/>
    <w:pPr>
      <w:numPr>
        <w:numId w:val="4"/>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9equation">
    <w:name w:val="MDPI_3.9_equation"/>
    <w:qFormat/>
    <w:rsid w:val="00CE26C1"/>
    <w:pPr>
      <w:adjustRightInd w:val="0"/>
      <w:snapToGrid w:val="0"/>
      <w:spacing w:before="120" w:after="120" w:line="260" w:lineRule="atLeast"/>
      <w:ind w:left="709"/>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aequationnumber">
    <w:name w:val="MDPI_3.a_equation_number"/>
    <w:qFormat/>
    <w:rsid w:val="00CE26C1"/>
    <w:pPr>
      <w:spacing w:before="120" w:after="120"/>
      <w:jc w:val="right"/>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41tablecaption">
    <w:name w:val="MDPI_4.1_table_caption"/>
    <w:qFormat/>
    <w:rsid w:val="00CE26C1"/>
    <w:pPr>
      <w:adjustRightInd w:val="0"/>
      <w:snapToGrid w:val="0"/>
      <w:spacing w:before="240" w:after="120" w:line="228" w:lineRule="auto"/>
      <w:ind w:left="2608"/>
    </w:pPr>
    <w:rPr>
      <w:rFonts w:ascii="Palatino Linotype" w:eastAsia="Times New Roman" w:hAnsi="Palatino Linotype" w:cstheme="minorBidi"/>
      <w:color w:val="000000"/>
      <w:kern w:val="2"/>
      <w:sz w:val="18"/>
      <w:szCs w:val="22"/>
      <w:lang w:eastAsia="de-DE" w:bidi="en-US"/>
      <w14:ligatures w14:val="standardContextual"/>
    </w:rPr>
  </w:style>
  <w:style w:type="paragraph" w:customStyle="1" w:styleId="MDPI42tablebody">
    <w:name w:val="MDPI_4.2_table_body"/>
    <w:qFormat/>
    <w:rsid w:val="00CE26C1"/>
    <w:pPr>
      <w:adjustRightInd w:val="0"/>
      <w:snapToGrid w:val="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43tablefooter">
    <w:name w:val="MDPI_4.3_table_footer"/>
    <w:next w:val="MDPI31text"/>
    <w:qFormat/>
    <w:rsid w:val="00CE26C1"/>
    <w:pPr>
      <w:adjustRightInd w:val="0"/>
      <w:snapToGrid w:val="0"/>
      <w:spacing w:line="228" w:lineRule="auto"/>
      <w:ind w:left="2608"/>
      <w:jc w:val="both"/>
    </w:pPr>
    <w:rPr>
      <w:rFonts w:ascii="Palatino Linotype" w:eastAsia="Times New Roman" w:hAnsi="Palatino Linotype" w:cs="Cordia New"/>
      <w:color w:val="000000"/>
      <w:kern w:val="2"/>
      <w:sz w:val="18"/>
      <w:szCs w:val="22"/>
      <w:lang w:eastAsia="de-DE" w:bidi="en-US"/>
      <w14:ligatures w14:val="standardContextual"/>
    </w:rPr>
  </w:style>
  <w:style w:type="paragraph" w:customStyle="1" w:styleId="MDPI51figurecaption">
    <w:name w:val="MDPI_5.1_figure_caption"/>
    <w:qFormat/>
    <w:rsid w:val="00CE26C1"/>
    <w:pPr>
      <w:adjustRightInd w:val="0"/>
      <w:snapToGrid w:val="0"/>
      <w:spacing w:before="120" w:after="240" w:line="228" w:lineRule="auto"/>
      <w:ind w:left="2608"/>
    </w:pPr>
    <w:rPr>
      <w:rFonts w:ascii="Palatino Linotype" w:eastAsia="Times New Roman" w:hAnsi="Palatino Linotype"/>
      <w:color w:val="000000"/>
      <w:kern w:val="2"/>
      <w:sz w:val="18"/>
      <w:lang w:eastAsia="de-DE" w:bidi="en-US"/>
      <w14:ligatures w14:val="standardContextual"/>
    </w:rPr>
  </w:style>
  <w:style w:type="paragraph" w:customStyle="1" w:styleId="MDPI52figure">
    <w:name w:val="MDPI_5.2_figure"/>
    <w:qFormat/>
    <w:rsid w:val="00CE26C1"/>
    <w:pPr>
      <w:adjustRightInd w:val="0"/>
      <w:snapToGrid w:val="0"/>
      <w:spacing w:before="240" w:after="12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23heading3">
    <w:name w:val="MDPI_2.3_heading3"/>
    <w:qFormat/>
    <w:rsid w:val="00CE26C1"/>
    <w:pPr>
      <w:adjustRightInd w:val="0"/>
      <w:snapToGrid w:val="0"/>
      <w:spacing w:before="60" w:after="60" w:line="228" w:lineRule="auto"/>
      <w:ind w:left="2608"/>
      <w:outlineLvl w:val="2"/>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21heading1">
    <w:name w:val="MDPI_2.1_heading1"/>
    <w:qFormat/>
    <w:rsid w:val="00CE26C1"/>
    <w:pPr>
      <w:adjustRightInd w:val="0"/>
      <w:snapToGrid w:val="0"/>
      <w:spacing w:before="240" w:after="60" w:line="228" w:lineRule="auto"/>
      <w:ind w:left="2608"/>
      <w:outlineLvl w:val="0"/>
    </w:pPr>
    <w:rPr>
      <w:rFonts w:ascii="Palatino Linotype" w:eastAsia="Times New Roman" w:hAnsi="Palatino Linotype"/>
      <w:b/>
      <w:snapToGrid w:val="0"/>
      <w:color w:val="000000"/>
      <w:kern w:val="2"/>
      <w:szCs w:val="22"/>
      <w:lang w:eastAsia="de-DE" w:bidi="en-US"/>
      <w14:ligatures w14:val="standardContextual"/>
    </w:rPr>
  </w:style>
  <w:style w:type="paragraph" w:customStyle="1" w:styleId="MDPI22heading2">
    <w:name w:val="MDPI_2.2_heading2"/>
    <w:qFormat/>
    <w:rsid w:val="00CE26C1"/>
    <w:pPr>
      <w:adjustRightInd w:val="0"/>
      <w:snapToGrid w:val="0"/>
      <w:spacing w:before="60" w:after="60" w:line="228" w:lineRule="auto"/>
      <w:ind w:left="2608"/>
      <w:outlineLvl w:val="1"/>
    </w:pPr>
    <w:rPr>
      <w:rFonts w:ascii="Palatino Linotype" w:eastAsia="Times New Roman" w:hAnsi="Palatino Linotype"/>
      <w:i/>
      <w:noProof/>
      <w:snapToGrid w:val="0"/>
      <w:color w:val="000000"/>
      <w:kern w:val="2"/>
      <w:szCs w:val="22"/>
      <w:lang w:eastAsia="de-DE" w:bidi="en-US"/>
      <w14:ligatures w14:val="standardContextual"/>
    </w:rPr>
  </w:style>
  <w:style w:type="paragraph" w:customStyle="1" w:styleId="MDPI71References">
    <w:name w:val="MDPI_7.1_References"/>
    <w:qFormat/>
    <w:rsid w:val="00CE26C1"/>
    <w:pPr>
      <w:numPr>
        <w:numId w:val="5"/>
      </w:numPr>
      <w:adjustRightInd w:val="0"/>
      <w:snapToGrid w:val="0"/>
      <w:spacing w:line="228" w:lineRule="auto"/>
      <w:jc w:val="both"/>
    </w:pPr>
    <w:rPr>
      <w:rFonts w:ascii="Palatino Linotype" w:eastAsia="Times New Roman" w:hAnsi="Palatino Linotype"/>
      <w:color w:val="000000"/>
      <w:kern w:val="2"/>
      <w:sz w:val="18"/>
      <w:lang w:eastAsia="de-DE" w:bidi="en-US"/>
      <w14:ligatures w14:val="standardContextual"/>
    </w:rPr>
  </w:style>
  <w:style w:type="paragraph" w:styleId="BalloonText">
    <w:name w:val="Balloon Text"/>
    <w:basedOn w:val="Normal"/>
    <w:link w:val="BalloonTextChar"/>
    <w:uiPriority w:val="99"/>
    <w:rsid w:val="00797A92"/>
    <w:rPr>
      <w:rFonts w:cs="Tahoma"/>
      <w:szCs w:val="18"/>
    </w:rPr>
  </w:style>
  <w:style w:type="character" w:customStyle="1" w:styleId="BalloonTextChar">
    <w:name w:val="Balloon Text Char"/>
    <w:link w:val="BalloonText"/>
    <w:uiPriority w:val="99"/>
    <w:rsid w:val="00797A92"/>
    <w:rPr>
      <w:rFonts w:ascii="Palatino Linotype" w:hAnsi="Palatino Linotype" w:cs="Tahoma"/>
      <w:noProof/>
      <w:color w:val="000000"/>
      <w:szCs w:val="18"/>
    </w:rPr>
  </w:style>
  <w:style w:type="character" w:styleId="LineNumber">
    <w:name w:val="line number"/>
    <w:uiPriority w:val="99"/>
    <w:rsid w:val="00284F33"/>
    <w:rPr>
      <w:rFonts w:ascii="Palatino Linotype" w:hAnsi="Palatino Linotype"/>
      <w:sz w:val="16"/>
    </w:rPr>
  </w:style>
  <w:style w:type="table" w:customStyle="1" w:styleId="MDPI41threelinetable">
    <w:name w:val="MDPI_4.1_three_line_table"/>
    <w:basedOn w:val="TableNormal"/>
    <w:uiPriority w:val="99"/>
    <w:rsid w:val="00CE26C1"/>
    <w:pPr>
      <w:adjustRightInd w:val="0"/>
      <w:snapToGrid w:val="0"/>
      <w:jc w:val="center"/>
    </w:pPr>
    <w:rPr>
      <w:rFonts w:ascii="Palatino Linotype" w:eastAsiaTheme="minorEastAsia" w:hAnsi="Palatino Linotype"/>
      <w:color w:val="000000"/>
      <w:kern w:val="2"/>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797A92"/>
    <w:rPr>
      <w:color w:val="0000FF"/>
      <w:u w:val="single"/>
    </w:rPr>
  </w:style>
  <w:style w:type="character" w:styleId="UnresolvedMention">
    <w:name w:val="Unresolved Mention"/>
    <w:uiPriority w:val="99"/>
    <w:unhideWhenUsed/>
    <w:rsid w:val="009E05C3"/>
    <w:rPr>
      <w:color w:val="605E5C"/>
      <w:shd w:val="clear" w:color="auto" w:fill="E1DFDD"/>
    </w:rPr>
  </w:style>
  <w:style w:type="table" w:styleId="PlainTable4">
    <w:name w:val="Plain Table 4"/>
    <w:basedOn w:val="TableNormal"/>
    <w:uiPriority w:val="44"/>
    <w:rsid w:val="0076191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CE26C1"/>
    <w:pPr>
      <w:adjustRightInd w:val="0"/>
      <w:snapToGrid w:val="0"/>
      <w:spacing w:before="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81theorem">
    <w:name w:val="MDPI_8.1_theorem"/>
    <w:qFormat/>
    <w:rsid w:val="00CE26C1"/>
    <w:pPr>
      <w:adjustRightInd w:val="0"/>
      <w:snapToGrid w:val="0"/>
      <w:spacing w:line="228" w:lineRule="auto"/>
      <w:ind w:left="2608"/>
      <w:jc w:val="both"/>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82proof">
    <w:name w:val="MDPI_8.2_proof"/>
    <w:qFormat/>
    <w:rsid w:val="00CE26C1"/>
    <w:pPr>
      <w:adjustRightInd w:val="0"/>
      <w:snapToGrid w:val="0"/>
      <w:spacing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61Citation">
    <w:name w:val="MDPI_6.1_Citation"/>
    <w:qFormat/>
    <w:rsid w:val="00CE26C1"/>
    <w:pPr>
      <w:adjustRightInd w:val="0"/>
      <w:snapToGrid w:val="0"/>
      <w:spacing w:line="240" w:lineRule="atLeast"/>
      <w:ind w:right="113"/>
    </w:pPr>
    <w:rPr>
      <w:rFonts w:ascii="Palatino Linotype" w:hAnsi="Palatino Linotype" w:cs="Cordia New"/>
      <w:kern w:val="2"/>
      <w:sz w:val="14"/>
      <w:szCs w:val="22"/>
      <w14:ligatures w14:val="standardContextual"/>
    </w:rPr>
  </w:style>
  <w:style w:type="paragraph" w:customStyle="1" w:styleId="MDPI62BackMatter">
    <w:name w:val="MDPI_6.2_BackMatter"/>
    <w:qFormat/>
    <w:rsid w:val="00CE26C1"/>
    <w:pPr>
      <w:adjustRightInd w:val="0"/>
      <w:snapToGrid w:val="0"/>
      <w:spacing w:after="120" w:line="228" w:lineRule="auto"/>
      <w:ind w:left="2608"/>
      <w:jc w:val="both"/>
    </w:pPr>
    <w:rPr>
      <w:rFonts w:ascii="Palatino Linotype" w:eastAsia="Times New Roman" w:hAnsi="Palatino Linotype"/>
      <w:snapToGrid w:val="0"/>
      <w:color w:val="000000"/>
      <w:kern w:val="2"/>
      <w:sz w:val="18"/>
      <w:lang w:eastAsia="en-US" w:bidi="en-US"/>
      <w14:ligatures w14:val="standardContextual"/>
    </w:rPr>
  </w:style>
  <w:style w:type="paragraph" w:customStyle="1" w:styleId="MDPI63Notes">
    <w:name w:val="MDPI_6.3_Notes"/>
    <w:qFormat/>
    <w:rsid w:val="00CE26C1"/>
    <w:pPr>
      <w:adjustRightInd w:val="0"/>
      <w:snapToGrid w:val="0"/>
      <w:spacing w:before="240" w:line="228" w:lineRule="auto"/>
      <w:jc w:val="both"/>
    </w:pPr>
    <w:rPr>
      <w:rFonts w:ascii="Palatino Linotype" w:hAnsi="Palatino Linotype"/>
      <w:snapToGrid w:val="0"/>
      <w:color w:val="000000"/>
      <w:kern w:val="2"/>
      <w:sz w:val="18"/>
      <w:lang w:eastAsia="en-US" w:bidi="en-US"/>
      <w14:ligatures w14:val="standardContextual"/>
    </w:rPr>
  </w:style>
  <w:style w:type="paragraph" w:customStyle="1" w:styleId="MDPI15academiceditor">
    <w:name w:val="MDPI_1.5_academic_editor"/>
    <w:qFormat/>
    <w:rsid w:val="00CE26C1"/>
    <w:pPr>
      <w:adjustRightInd w:val="0"/>
      <w:snapToGrid w:val="0"/>
      <w:spacing w:before="120" w:line="240" w:lineRule="atLeast"/>
      <w:ind w:right="113"/>
    </w:pPr>
    <w:rPr>
      <w:rFonts w:ascii="Palatino Linotype" w:eastAsia="Times New Roman" w:hAnsi="Palatino Linotype"/>
      <w:color w:val="000000"/>
      <w:kern w:val="2"/>
      <w:sz w:val="14"/>
      <w:szCs w:val="22"/>
      <w:lang w:eastAsia="de-DE" w:bidi="en-US"/>
      <w14:ligatures w14:val="standardContextual"/>
    </w:rPr>
  </w:style>
  <w:style w:type="paragraph" w:customStyle="1" w:styleId="MDPI19classification">
    <w:name w:val="MDPI_1.9_classification"/>
    <w:qFormat/>
    <w:rsid w:val="00CE26C1"/>
    <w:pPr>
      <w:spacing w:before="240" w:line="260" w:lineRule="atLeast"/>
      <w:ind w:left="113"/>
      <w:jc w:val="both"/>
    </w:pPr>
    <w:rPr>
      <w:rFonts w:ascii="Palatino Linotype" w:eastAsia="Times New Roman" w:hAnsi="Palatino Linotype"/>
      <w:b/>
      <w:color w:val="000000"/>
      <w:kern w:val="2"/>
      <w:szCs w:val="22"/>
      <w:lang w:eastAsia="de-DE" w:bidi="en-US"/>
      <w14:ligatures w14:val="standardContextual"/>
    </w:rPr>
  </w:style>
  <w:style w:type="paragraph" w:customStyle="1" w:styleId="MDPI411onetablecaption">
    <w:name w:val="MDPI_4.1.1_one_table_caption"/>
    <w:qFormat/>
    <w:rsid w:val="00CE26C1"/>
    <w:pPr>
      <w:adjustRightInd w:val="0"/>
      <w:snapToGrid w:val="0"/>
      <w:spacing w:before="240" w:after="120" w:line="260" w:lineRule="atLeast"/>
      <w:jc w:val="center"/>
    </w:pPr>
    <w:rPr>
      <w:rFonts w:ascii="Palatino Linotype" w:eastAsiaTheme="minorEastAsia" w:hAnsi="Palatino Linotype" w:cstheme="minorBidi"/>
      <w:noProof/>
      <w:color w:val="000000"/>
      <w:kern w:val="2"/>
      <w:sz w:val="18"/>
      <w:szCs w:val="22"/>
      <w:lang w:bidi="en-US"/>
      <w14:ligatures w14:val="standardContextual"/>
    </w:rPr>
  </w:style>
  <w:style w:type="paragraph" w:customStyle="1" w:styleId="MDPI511onefigurecaption">
    <w:name w:val="MDPI_5.1.1_one_figure_caption"/>
    <w:qFormat/>
    <w:rsid w:val="00CE26C1"/>
    <w:pPr>
      <w:adjustRightInd w:val="0"/>
      <w:snapToGrid w:val="0"/>
      <w:spacing w:before="240" w:after="120" w:line="260" w:lineRule="atLeast"/>
      <w:jc w:val="center"/>
    </w:pPr>
    <w:rPr>
      <w:rFonts w:ascii="Palatino Linotype" w:eastAsiaTheme="minorEastAsia" w:hAnsi="Palatino Linotype"/>
      <w:noProof/>
      <w:color w:val="000000"/>
      <w:kern w:val="2"/>
      <w:sz w:val="18"/>
      <w:lang w:bidi="en-US"/>
      <w14:ligatures w14:val="standardContextual"/>
    </w:rPr>
  </w:style>
  <w:style w:type="paragraph" w:customStyle="1" w:styleId="MDPI72Copyright">
    <w:name w:val="MDPI_7.2_Copyright"/>
    <w:qFormat/>
    <w:rsid w:val="00CE26C1"/>
    <w:pPr>
      <w:adjustRightInd w:val="0"/>
      <w:snapToGrid w:val="0"/>
      <w:spacing w:before="60" w:line="240" w:lineRule="atLeast"/>
      <w:ind w:right="113"/>
      <w:jc w:val="both"/>
    </w:pPr>
    <w:rPr>
      <w:rFonts w:ascii="Palatino Linotype" w:eastAsia="Times New Roman" w:hAnsi="Palatino Linotype"/>
      <w:noProof/>
      <w:snapToGrid w:val="0"/>
      <w:color w:val="000000"/>
      <w:kern w:val="2"/>
      <w:sz w:val="14"/>
      <w:lang w:val="en-GB" w:eastAsia="en-GB"/>
      <w14:ligatures w14:val="standardContextual"/>
    </w:rPr>
  </w:style>
  <w:style w:type="paragraph" w:customStyle="1" w:styleId="MDPI73CopyrightImage">
    <w:name w:val="MDPI_7.3_CopyrightImage"/>
    <w:rsid w:val="00CE26C1"/>
    <w:pPr>
      <w:adjustRightInd w:val="0"/>
      <w:snapToGrid w:val="0"/>
      <w:spacing w:after="100" w:line="260" w:lineRule="atLeast"/>
      <w:jc w:val="right"/>
    </w:pPr>
    <w:rPr>
      <w:rFonts w:ascii="Palatino Linotype" w:eastAsia="Times New Roman" w:hAnsi="Palatino Linotype"/>
      <w:color w:val="000000"/>
      <w:kern w:val="2"/>
      <w:lang w:eastAsia="de-CH"/>
      <w14:ligatures w14:val="standardContextual"/>
    </w:rPr>
  </w:style>
  <w:style w:type="paragraph" w:customStyle="1" w:styleId="MDPIequationFram">
    <w:name w:val="MDPI_equationFram"/>
    <w:qFormat/>
    <w:rsid w:val="00CE26C1"/>
    <w:pPr>
      <w:adjustRightInd w:val="0"/>
      <w:snapToGrid w:val="0"/>
      <w:spacing w:before="120" w:after="120"/>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
    <w:name w:val="MDPI_footer"/>
    <w:qFormat/>
    <w:rsid w:val="00CE26C1"/>
    <w:pPr>
      <w:adjustRightInd w:val="0"/>
      <w:snapToGrid w:val="0"/>
      <w:spacing w:before="120" w:line="260" w:lineRule="atLeast"/>
      <w:jc w:val="center"/>
    </w:pPr>
    <w:rPr>
      <w:rFonts w:ascii="Palatino Linotype" w:eastAsia="Times New Roman" w:hAnsi="Palatino Linotype"/>
      <w:color w:val="000000"/>
      <w:kern w:val="2"/>
      <w:lang w:eastAsia="de-DE"/>
      <w14:ligatures w14:val="standardContextual"/>
    </w:rPr>
  </w:style>
  <w:style w:type="paragraph" w:customStyle="1" w:styleId="MDPIfooterfirstpage">
    <w:name w:val="MDPI_footer_firstpage"/>
    <w:qFormat/>
    <w:rsid w:val="00CE26C1"/>
    <w:pPr>
      <w:tabs>
        <w:tab w:val="right" w:pos="8845"/>
      </w:tabs>
      <w:spacing w:line="160" w:lineRule="exact"/>
    </w:pPr>
    <w:rPr>
      <w:rFonts w:ascii="Palatino Linotype" w:eastAsia="Times New Roman" w:hAnsi="Palatino Linotype"/>
      <w:color w:val="000000"/>
      <w:kern w:val="2"/>
      <w:sz w:val="16"/>
      <w:lang w:eastAsia="de-DE"/>
      <w14:ligatures w14:val="standardContextual"/>
    </w:rPr>
  </w:style>
  <w:style w:type="paragraph" w:customStyle="1" w:styleId="MDPIheader">
    <w:name w:val="MDPI_header"/>
    <w:qFormat/>
    <w:rsid w:val="00CE26C1"/>
    <w:pPr>
      <w:adjustRightInd w:val="0"/>
      <w:snapToGrid w:val="0"/>
      <w:spacing w:after="240" w:line="260" w:lineRule="atLeast"/>
      <w:jc w:val="both"/>
    </w:pPr>
    <w:rPr>
      <w:rFonts w:ascii="Palatino Linotype" w:eastAsia="Times New Roman" w:hAnsi="Palatino Linotype"/>
      <w:iCs/>
      <w:color w:val="000000"/>
      <w:kern w:val="2"/>
      <w:sz w:val="16"/>
      <w:lang w:eastAsia="de-DE"/>
      <w14:ligatures w14:val="standardContextual"/>
    </w:rPr>
  </w:style>
  <w:style w:type="paragraph" w:customStyle="1" w:styleId="MDPIheadercitation">
    <w:name w:val="MDPI_header_citation"/>
    <w:rsid w:val="00CE26C1"/>
    <w:pPr>
      <w:spacing w:after="240"/>
    </w:pPr>
    <w:rPr>
      <w:rFonts w:ascii="Palatino Linotype" w:eastAsia="Times New Roman" w:hAnsi="Palatino Linotype"/>
      <w:snapToGrid w:val="0"/>
      <w:color w:val="000000"/>
      <w:kern w:val="2"/>
      <w:sz w:val="18"/>
      <w:lang w:eastAsia="de-DE" w:bidi="en-US"/>
      <w14:ligatures w14:val="standardContextual"/>
    </w:rPr>
  </w:style>
  <w:style w:type="paragraph" w:customStyle="1" w:styleId="MDPIheadermdpilogo">
    <w:name w:val="MDPI_header_mdpi_logo"/>
    <w:qFormat/>
    <w:rsid w:val="00CE26C1"/>
    <w:pPr>
      <w:adjustRightInd w:val="0"/>
      <w:snapToGrid w:val="0"/>
      <w:spacing w:line="260" w:lineRule="atLeast"/>
      <w:jc w:val="right"/>
    </w:pPr>
    <w:rPr>
      <w:rFonts w:ascii="Palatino Linotype" w:eastAsia="Times New Roman" w:hAnsi="Palatino Linotype"/>
      <w:color w:val="000000"/>
      <w:kern w:val="2"/>
      <w:sz w:val="24"/>
      <w:szCs w:val="22"/>
      <w:lang w:eastAsia="de-CH"/>
      <w14:ligatures w14:val="standardContextual"/>
    </w:rPr>
  </w:style>
  <w:style w:type="table" w:customStyle="1" w:styleId="MDPITable">
    <w:name w:val="MDPI_Table"/>
    <w:basedOn w:val="TableNormal"/>
    <w:uiPriority w:val="99"/>
    <w:rsid w:val="00CE26C1"/>
    <w:rPr>
      <w:rFonts w:ascii="Palatino Linotype" w:hAnsi="Palatino Linotype"/>
      <w:color w:val="000000" w:themeColor="text1"/>
      <w:kern w:val="2"/>
      <w:lang w:val="en-CA" w:eastAsia="en-US"/>
      <w14:ligatures w14:val="standardContextual"/>
    </w:rPr>
    <w:tblPr>
      <w:tblCellMar>
        <w:left w:w="0" w:type="dxa"/>
        <w:right w:w="0" w:type="dxa"/>
      </w:tblCellMar>
    </w:tblPr>
  </w:style>
  <w:style w:type="paragraph" w:customStyle="1" w:styleId="MDPItext">
    <w:name w:val="MDPI_text"/>
    <w:qFormat/>
    <w:rsid w:val="00CE26C1"/>
    <w:pPr>
      <w:spacing w:line="260" w:lineRule="atLeast"/>
      <w:ind w:left="425" w:right="425" w:firstLine="284"/>
      <w:jc w:val="both"/>
    </w:pPr>
    <w:rPr>
      <w:rFonts w:ascii="Times New Roman" w:eastAsia="Times New Roman" w:hAnsi="Times New Roman"/>
      <w:noProof/>
      <w:snapToGrid w:val="0"/>
      <w:color w:val="000000"/>
      <w:kern w:val="2"/>
      <w:sz w:val="22"/>
      <w:szCs w:val="22"/>
      <w:lang w:eastAsia="de-DE" w:bidi="en-US"/>
      <w14:ligatures w14:val="standardContextual"/>
    </w:rPr>
  </w:style>
  <w:style w:type="paragraph" w:customStyle="1" w:styleId="MDPItitle">
    <w:name w:val="MDPI_title"/>
    <w:qFormat/>
    <w:rsid w:val="00CE26C1"/>
    <w:pPr>
      <w:adjustRightInd w:val="0"/>
      <w:snapToGrid w:val="0"/>
      <w:spacing w:after="240" w:line="260" w:lineRule="atLeast"/>
      <w:jc w:val="both"/>
    </w:pPr>
    <w:rPr>
      <w:rFonts w:ascii="Palatino Linotype" w:eastAsia="Times New Roman" w:hAnsi="Palatino Linotype"/>
      <w:b/>
      <w:snapToGrid w:val="0"/>
      <w:color w:val="000000"/>
      <w:kern w:val="2"/>
      <w:sz w:val="36"/>
      <w:lang w:eastAsia="de-DE" w:bidi="en-US"/>
      <w14:ligatures w14:val="standardContextual"/>
    </w:rPr>
  </w:style>
  <w:style w:type="character" w:customStyle="1" w:styleId="apple-converted-space">
    <w:name w:val="apple-converted-space"/>
    <w:rsid w:val="00797A92"/>
  </w:style>
  <w:style w:type="paragraph" w:styleId="Bibliography">
    <w:name w:val="Bibliography"/>
    <w:basedOn w:val="Normal"/>
    <w:next w:val="Normal"/>
    <w:uiPriority w:val="37"/>
    <w:semiHidden/>
    <w:unhideWhenUsed/>
    <w:rsid w:val="00797A92"/>
  </w:style>
  <w:style w:type="paragraph" w:styleId="BodyText">
    <w:name w:val="Body Text"/>
    <w:link w:val="BodyTextChar"/>
    <w:rsid w:val="00797A9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797A92"/>
    <w:rPr>
      <w:rFonts w:ascii="Palatino Linotype" w:hAnsi="Palatino Linotype"/>
      <w:color w:val="000000"/>
      <w:sz w:val="24"/>
      <w:lang w:eastAsia="de-DE"/>
    </w:rPr>
  </w:style>
  <w:style w:type="character" w:styleId="CommentReference">
    <w:name w:val="annotation reference"/>
    <w:uiPriority w:val="99"/>
    <w:rsid w:val="00797A92"/>
    <w:rPr>
      <w:sz w:val="21"/>
      <w:szCs w:val="21"/>
    </w:rPr>
  </w:style>
  <w:style w:type="paragraph" w:styleId="CommentText">
    <w:name w:val="annotation text"/>
    <w:basedOn w:val="Normal"/>
    <w:link w:val="CommentTextChar"/>
    <w:uiPriority w:val="99"/>
    <w:rsid w:val="00797A92"/>
  </w:style>
  <w:style w:type="character" w:customStyle="1" w:styleId="CommentTextChar">
    <w:name w:val="Comment Text Char"/>
    <w:link w:val="CommentText"/>
    <w:uiPriority w:val="99"/>
    <w:rsid w:val="00797A92"/>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797A92"/>
    <w:rPr>
      <w:b/>
      <w:bCs/>
    </w:rPr>
  </w:style>
  <w:style w:type="character" w:customStyle="1" w:styleId="CommentSubjectChar">
    <w:name w:val="Comment Subject Char"/>
    <w:link w:val="CommentSubject"/>
    <w:uiPriority w:val="99"/>
    <w:rsid w:val="00797A92"/>
    <w:rPr>
      <w:rFonts w:ascii="Palatino Linotype" w:hAnsi="Palatino Linotype"/>
      <w:b/>
      <w:bCs/>
      <w:noProof/>
      <w:color w:val="000000"/>
    </w:rPr>
  </w:style>
  <w:style w:type="character" w:styleId="EndnoteReference">
    <w:name w:val="endnote reference"/>
    <w:rsid w:val="00797A92"/>
    <w:rPr>
      <w:vertAlign w:val="superscript"/>
    </w:rPr>
  </w:style>
  <w:style w:type="paragraph" w:styleId="EndnoteText">
    <w:name w:val="endnote text"/>
    <w:basedOn w:val="Normal"/>
    <w:link w:val="EndnoteTextChar"/>
    <w:semiHidden/>
    <w:unhideWhenUsed/>
    <w:rsid w:val="00797A92"/>
    <w:pPr>
      <w:spacing w:line="240" w:lineRule="auto"/>
    </w:pPr>
  </w:style>
  <w:style w:type="character" w:customStyle="1" w:styleId="EndnoteTextChar">
    <w:name w:val="Endnote Text Char"/>
    <w:link w:val="EndnoteText"/>
    <w:semiHidden/>
    <w:rsid w:val="00797A92"/>
    <w:rPr>
      <w:rFonts w:ascii="Palatino Linotype" w:hAnsi="Palatino Linotype"/>
      <w:noProof/>
      <w:color w:val="000000"/>
    </w:rPr>
  </w:style>
  <w:style w:type="character" w:styleId="FollowedHyperlink">
    <w:name w:val="FollowedHyperlink"/>
    <w:uiPriority w:val="99"/>
    <w:rsid w:val="00797A92"/>
    <w:rPr>
      <w:color w:val="954F72"/>
      <w:u w:val="single"/>
    </w:rPr>
  </w:style>
  <w:style w:type="paragraph" w:styleId="FootnoteText">
    <w:name w:val="footnote text"/>
    <w:basedOn w:val="Normal"/>
    <w:link w:val="FootnoteTextChar"/>
    <w:semiHidden/>
    <w:unhideWhenUsed/>
    <w:rsid w:val="00797A92"/>
    <w:pPr>
      <w:spacing w:line="240" w:lineRule="auto"/>
    </w:pPr>
  </w:style>
  <w:style w:type="character" w:customStyle="1" w:styleId="FootnoteTextChar">
    <w:name w:val="Footnote Text Char"/>
    <w:link w:val="FootnoteText"/>
    <w:semiHidden/>
    <w:rsid w:val="00797A92"/>
    <w:rPr>
      <w:rFonts w:ascii="Palatino Linotype" w:hAnsi="Palatino Linotype"/>
      <w:noProof/>
      <w:color w:val="000000"/>
    </w:rPr>
  </w:style>
  <w:style w:type="paragraph" w:styleId="NormalWeb">
    <w:name w:val="Normal (Web)"/>
    <w:basedOn w:val="Normal"/>
    <w:rsid w:val="00797A92"/>
    <w:rPr>
      <w:szCs w:val="24"/>
    </w:rPr>
  </w:style>
  <w:style w:type="paragraph" w:customStyle="1" w:styleId="MsoFootnoteText0">
    <w:name w:val="MsoFootnoteText"/>
    <w:basedOn w:val="NormalWeb"/>
    <w:qFormat/>
    <w:rsid w:val="00797A92"/>
    <w:rPr>
      <w:rFonts w:ascii="Times New Roman" w:hAnsi="Times New Roman"/>
    </w:rPr>
  </w:style>
  <w:style w:type="character" w:styleId="PageNumber">
    <w:name w:val="page number"/>
    <w:uiPriority w:val="99"/>
    <w:rsid w:val="00797A92"/>
  </w:style>
  <w:style w:type="character" w:styleId="PlaceholderText">
    <w:name w:val="Placeholder Text"/>
    <w:uiPriority w:val="99"/>
    <w:semiHidden/>
    <w:rsid w:val="00797A92"/>
    <w:rPr>
      <w:color w:val="808080"/>
    </w:rPr>
  </w:style>
  <w:style w:type="paragraph" w:customStyle="1" w:styleId="MDPI71FootNotes">
    <w:name w:val="MDPI_7.1_FootNotes"/>
    <w:qFormat/>
    <w:rsid w:val="00CE26C1"/>
    <w:pPr>
      <w:numPr>
        <w:numId w:val="6"/>
      </w:numPr>
      <w:adjustRightInd w:val="0"/>
      <w:snapToGrid w:val="0"/>
      <w:spacing w:line="228" w:lineRule="auto"/>
    </w:pPr>
    <w:rPr>
      <w:rFonts w:ascii="Palatino Linotype" w:eastAsiaTheme="minorEastAsia" w:hAnsi="Palatino Linotype"/>
      <w:noProof/>
      <w:color w:val="000000"/>
      <w:kern w:val="2"/>
      <w:sz w:val="18"/>
      <w14:ligatures w14:val="standardContextual"/>
    </w:rPr>
  </w:style>
  <w:style w:type="character" w:customStyle="1" w:styleId="Heading1Char">
    <w:name w:val="Heading 1 Char"/>
    <w:basedOn w:val="DefaultParagraphFont"/>
    <w:link w:val="Heading1"/>
    <w:uiPriority w:val="9"/>
    <w:rsid w:val="00C369B2"/>
    <w:rPr>
      <w:rFonts w:asciiTheme="majorHAnsi" w:eastAsiaTheme="majorEastAsia" w:hAnsiTheme="majorHAnsi" w:cstheme="majorBidi"/>
      <w:bCs/>
      <w:color w:val="44546A" w:themeColor="text2"/>
      <w:sz w:val="32"/>
      <w:szCs w:val="28"/>
      <w:lang w:eastAsia="en-US"/>
    </w:rPr>
  </w:style>
  <w:style w:type="character" w:customStyle="1" w:styleId="Heading2Char">
    <w:name w:val="Heading 2 Char"/>
    <w:basedOn w:val="DefaultParagraphFont"/>
    <w:link w:val="Heading2"/>
    <w:uiPriority w:val="9"/>
    <w:rsid w:val="00C369B2"/>
    <w:rPr>
      <w:rFonts w:asciiTheme="majorHAnsi" w:eastAsiaTheme="majorEastAsia" w:hAnsiTheme="majorHAnsi" w:cstheme="majorBidi"/>
      <w:b/>
      <w:bCs/>
      <w:color w:val="A5A5A5" w:themeColor="accent3"/>
      <w:sz w:val="28"/>
      <w:szCs w:val="26"/>
      <w:lang w:eastAsia="en-US"/>
    </w:rPr>
  </w:style>
  <w:style w:type="character" w:customStyle="1" w:styleId="Heading3Char">
    <w:name w:val="Heading 3 Char"/>
    <w:basedOn w:val="DefaultParagraphFont"/>
    <w:link w:val="Heading3"/>
    <w:uiPriority w:val="9"/>
    <w:rsid w:val="00C369B2"/>
    <w:rPr>
      <w:rFonts w:asciiTheme="minorHAnsi" w:eastAsiaTheme="majorEastAsia" w:hAnsiTheme="minorHAnsi" w:cstheme="majorBidi"/>
      <w:b/>
      <w:bCs/>
      <w:color w:val="44546A" w:themeColor="text2"/>
      <w:sz w:val="24"/>
      <w:szCs w:val="22"/>
      <w:lang w:eastAsia="en-US"/>
    </w:rPr>
  </w:style>
  <w:style w:type="character" w:customStyle="1" w:styleId="Heading4Char">
    <w:name w:val="Heading 4 Char"/>
    <w:basedOn w:val="DefaultParagraphFont"/>
    <w:link w:val="Heading4"/>
    <w:uiPriority w:val="9"/>
    <w:rsid w:val="00C369B2"/>
    <w:rPr>
      <w:rFonts w:asciiTheme="majorHAnsi" w:eastAsiaTheme="majorEastAsia" w:hAnsiTheme="majorHAnsi" w:cstheme="majorBidi"/>
      <w:b/>
      <w:bCs/>
      <w:i/>
      <w:iCs/>
      <w:color w:val="262626" w:themeColor="text1" w:themeTint="D9"/>
      <w:sz w:val="22"/>
      <w:szCs w:val="22"/>
      <w:lang w:eastAsia="en-US"/>
    </w:rPr>
  </w:style>
  <w:style w:type="character" w:customStyle="1" w:styleId="Heading5Char">
    <w:name w:val="Heading 5 Char"/>
    <w:basedOn w:val="DefaultParagraphFont"/>
    <w:link w:val="Heading5"/>
    <w:uiPriority w:val="9"/>
    <w:semiHidden/>
    <w:rsid w:val="00C369B2"/>
    <w:rPr>
      <w:rFonts w:asciiTheme="majorHAnsi" w:eastAsiaTheme="majorEastAsia" w:hAnsiTheme="majorHAnsi" w:cstheme="majorBidi"/>
      <w:color w:val="000000"/>
      <w:sz w:val="22"/>
      <w:szCs w:val="22"/>
      <w:lang w:eastAsia="en-US"/>
    </w:rPr>
  </w:style>
  <w:style w:type="character" w:customStyle="1" w:styleId="Heading6Char">
    <w:name w:val="Heading 6 Char"/>
    <w:basedOn w:val="DefaultParagraphFont"/>
    <w:link w:val="Heading6"/>
    <w:uiPriority w:val="9"/>
    <w:semiHidden/>
    <w:rsid w:val="00C369B2"/>
    <w:rPr>
      <w:rFonts w:asciiTheme="majorHAnsi" w:eastAsiaTheme="majorEastAsia" w:hAnsiTheme="majorHAnsi" w:cstheme="majorBidi"/>
      <w:i/>
      <w:iCs/>
      <w:color w:val="000000" w:themeColor="text1"/>
      <w:sz w:val="22"/>
      <w:szCs w:val="22"/>
      <w:lang w:eastAsia="en-US"/>
    </w:rPr>
  </w:style>
  <w:style w:type="character" w:customStyle="1" w:styleId="Heading7Char">
    <w:name w:val="Heading 7 Char"/>
    <w:basedOn w:val="DefaultParagraphFont"/>
    <w:link w:val="Heading7"/>
    <w:uiPriority w:val="9"/>
    <w:semiHidden/>
    <w:rsid w:val="00C369B2"/>
    <w:rPr>
      <w:rFonts w:asciiTheme="majorHAnsi" w:eastAsiaTheme="majorEastAsia" w:hAnsiTheme="majorHAnsi" w:cstheme="majorBidi"/>
      <w:i/>
      <w:iCs/>
      <w:color w:val="44546A" w:themeColor="text2"/>
      <w:sz w:val="22"/>
      <w:szCs w:val="22"/>
      <w:lang w:eastAsia="en-US"/>
    </w:rPr>
  </w:style>
  <w:style w:type="character" w:customStyle="1" w:styleId="Heading8Char">
    <w:name w:val="Heading 8 Char"/>
    <w:basedOn w:val="DefaultParagraphFont"/>
    <w:link w:val="Heading8"/>
    <w:uiPriority w:val="9"/>
    <w:semiHidden/>
    <w:rsid w:val="00C369B2"/>
    <w:rPr>
      <w:rFonts w:asciiTheme="majorHAnsi" w:eastAsiaTheme="majorEastAsia" w:hAnsiTheme="majorHAnsi" w:cstheme="majorBidi"/>
      <w:color w:val="000000"/>
      <w:lang w:eastAsia="en-US"/>
    </w:rPr>
  </w:style>
  <w:style w:type="character" w:customStyle="1" w:styleId="Heading9Char">
    <w:name w:val="Heading 9 Char"/>
    <w:basedOn w:val="DefaultParagraphFont"/>
    <w:link w:val="Heading9"/>
    <w:uiPriority w:val="9"/>
    <w:semiHidden/>
    <w:rsid w:val="00C369B2"/>
    <w:rPr>
      <w:rFonts w:asciiTheme="majorHAnsi" w:eastAsiaTheme="majorEastAsia" w:hAnsiTheme="majorHAnsi" w:cstheme="majorBidi"/>
      <w:i/>
      <w:iCs/>
      <w:color w:val="000000"/>
      <w:lang w:eastAsia="en-US"/>
    </w:rPr>
  </w:style>
  <w:style w:type="paragraph" w:styleId="ListParagraph">
    <w:name w:val="List Paragraph"/>
    <w:basedOn w:val="Normal"/>
    <w:uiPriority w:val="34"/>
    <w:qFormat/>
    <w:rsid w:val="00C369B2"/>
    <w:pPr>
      <w:spacing w:after="180" w:line="240" w:lineRule="auto"/>
      <w:ind w:left="720" w:hanging="288"/>
      <w:contextualSpacing/>
      <w:jc w:val="left"/>
    </w:pPr>
    <w:rPr>
      <w:rFonts w:asciiTheme="minorHAnsi" w:eastAsiaTheme="minorHAnsi" w:hAnsiTheme="minorHAnsi" w:cstheme="minorBidi"/>
      <w:noProof w:val="0"/>
      <w:color w:val="44546A" w:themeColor="text2"/>
      <w:sz w:val="22"/>
      <w:szCs w:val="22"/>
      <w:lang w:eastAsia="en-US"/>
    </w:rPr>
  </w:style>
  <w:style w:type="paragraph" w:customStyle="1" w:styleId="mb15">
    <w:name w:val="mb15"/>
    <w:basedOn w:val="Normal"/>
    <w:rsid w:val="00C369B2"/>
    <w:pPr>
      <w:spacing w:before="100" w:beforeAutospacing="1" w:after="100" w:afterAutospacing="1" w:line="274" w:lineRule="auto"/>
      <w:jc w:val="left"/>
    </w:pPr>
    <w:rPr>
      <w:rFonts w:asciiTheme="minorHAnsi" w:eastAsiaTheme="minorHAnsi" w:hAnsiTheme="minorHAnsi" w:cstheme="minorBidi"/>
      <w:noProof w:val="0"/>
      <w:color w:val="auto"/>
      <w:sz w:val="22"/>
      <w:szCs w:val="22"/>
      <w:lang w:eastAsia="en-US"/>
    </w:rPr>
  </w:style>
  <w:style w:type="paragraph" w:customStyle="1" w:styleId="mb0">
    <w:name w:val="mb0"/>
    <w:basedOn w:val="Normal"/>
    <w:rsid w:val="00C369B2"/>
    <w:pPr>
      <w:spacing w:before="100" w:beforeAutospacing="1" w:after="100" w:afterAutospacing="1" w:line="274" w:lineRule="auto"/>
      <w:jc w:val="left"/>
    </w:pPr>
    <w:rPr>
      <w:rFonts w:asciiTheme="minorHAnsi" w:eastAsiaTheme="minorHAnsi" w:hAnsiTheme="minorHAnsi" w:cstheme="minorBidi"/>
      <w:noProof w:val="0"/>
      <w:color w:val="auto"/>
      <w:sz w:val="22"/>
      <w:szCs w:val="22"/>
      <w:lang w:eastAsia="en-US"/>
    </w:rPr>
  </w:style>
  <w:style w:type="paragraph" w:customStyle="1" w:styleId="EndNoteBibliographyTitle">
    <w:name w:val="EndNote Bibliography Title"/>
    <w:basedOn w:val="Normal"/>
    <w:link w:val="EndNoteBibliographyTitleChar"/>
    <w:rsid w:val="00C369B2"/>
    <w:pPr>
      <w:spacing w:after="180" w:line="274" w:lineRule="auto"/>
      <w:jc w:val="center"/>
    </w:pPr>
    <w:rPr>
      <w:rFonts w:ascii="Calibri" w:eastAsiaTheme="minorHAnsi" w:hAnsi="Calibri" w:cs="Calibri"/>
      <w:noProof w:val="0"/>
      <w:color w:val="auto"/>
      <w:sz w:val="22"/>
      <w:szCs w:val="22"/>
      <w:lang w:eastAsia="en-US"/>
    </w:rPr>
  </w:style>
  <w:style w:type="character" w:customStyle="1" w:styleId="EndNoteBibliographyTitleChar">
    <w:name w:val="EndNote Bibliography Title Char"/>
    <w:basedOn w:val="DefaultParagraphFont"/>
    <w:link w:val="EndNoteBibliographyTitle"/>
    <w:rsid w:val="00C369B2"/>
    <w:rPr>
      <w:rFonts w:eastAsiaTheme="minorHAnsi" w:cs="Calibri"/>
      <w:sz w:val="22"/>
      <w:szCs w:val="22"/>
      <w:lang w:eastAsia="en-US"/>
    </w:rPr>
  </w:style>
  <w:style w:type="paragraph" w:customStyle="1" w:styleId="EndNoteBibliography">
    <w:name w:val="EndNote Bibliography"/>
    <w:basedOn w:val="Normal"/>
    <w:link w:val="EndNoteBibliographyChar"/>
    <w:rsid w:val="00C369B2"/>
    <w:pPr>
      <w:spacing w:after="180" w:line="240" w:lineRule="auto"/>
      <w:jc w:val="left"/>
    </w:pPr>
    <w:rPr>
      <w:rFonts w:ascii="Calibri" w:eastAsiaTheme="minorHAnsi" w:hAnsi="Calibri" w:cs="Calibri"/>
      <w:noProof w:val="0"/>
      <w:color w:val="auto"/>
      <w:sz w:val="22"/>
      <w:szCs w:val="22"/>
      <w:lang w:eastAsia="en-US"/>
    </w:rPr>
  </w:style>
  <w:style w:type="character" w:customStyle="1" w:styleId="EndNoteBibliographyChar">
    <w:name w:val="EndNote Bibliography Char"/>
    <w:basedOn w:val="DefaultParagraphFont"/>
    <w:link w:val="EndNoteBibliography"/>
    <w:rsid w:val="00C369B2"/>
    <w:rPr>
      <w:rFonts w:eastAsiaTheme="minorHAnsi" w:cs="Calibri"/>
      <w:sz w:val="22"/>
      <w:szCs w:val="22"/>
      <w:lang w:eastAsia="en-US"/>
    </w:rPr>
  </w:style>
  <w:style w:type="character" w:styleId="Strong">
    <w:name w:val="Strong"/>
    <w:basedOn w:val="DefaultParagraphFont"/>
    <w:uiPriority w:val="22"/>
    <w:qFormat/>
    <w:rsid w:val="00C369B2"/>
    <w:rPr>
      <w:b/>
      <w:bCs/>
      <w:color w:val="50637D" w:themeColor="text2" w:themeTint="E6"/>
    </w:rPr>
  </w:style>
  <w:style w:type="paragraph" w:customStyle="1" w:styleId="chapter-para">
    <w:name w:val="chapter-para"/>
    <w:basedOn w:val="Normal"/>
    <w:rsid w:val="00C369B2"/>
    <w:pPr>
      <w:spacing w:before="100" w:beforeAutospacing="1" w:after="100" w:afterAutospacing="1" w:line="274" w:lineRule="auto"/>
      <w:jc w:val="left"/>
    </w:pPr>
    <w:rPr>
      <w:rFonts w:asciiTheme="minorHAnsi" w:eastAsiaTheme="minorHAnsi" w:hAnsiTheme="minorHAnsi" w:cstheme="minorBidi"/>
      <w:noProof w:val="0"/>
      <w:color w:val="auto"/>
      <w:sz w:val="22"/>
      <w:szCs w:val="22"/>
      <w:lang w:eastAsia="en-US"/>
    </w:rPr>
  </w:style>
  <w:style w:type="character" w:customStyle="1" w:styleId="title-text">
    <w:name w:val="title-text"/>
    <w:basedOn w:val="DefaultParagraphFont"/>
    <w:rsid w:val="00C369B2"/>
  </w:style>
  <w:style w:type="character" w:styleId="Emphasis">
    <w:name w:val="Emphasis"/>
    <w:basedOn w:val="DefaultParagraphFont"/>
    <w:uiPriority w:val="20"/>
    <w:qFormat/>
    <w:rsid w:val="00C369B2"/>
    <w:rPr>
      <w:b w:val="0"/>
      <w:i/>
      <w:iCs/>
      <w:color w:val="44546A" w:themeColor="text2"/>
    </w:rPr>
  </w:style>
  <w:style w:type="character" w:customStyle="1" w:styleId="mim-highlighted">
    <w:name w:val="mim-highlighted"/>
    <w:basedOn w:val="DefaultParagraphFont"/>
    <w:rsid w:val="00C369B2"/>
  </w:style>
  <w:style w:type="character" w:customStyle="1" w:styleId="apple-tab-span">
    <w:name w:val="apple-tab-span"/>
    <w:basedOn w:val="DefaultParagraphFont"/>
    <w:rsid w:val="00C369B2"/>
  </w:style>
  <w:style w:type="paragraph" w:styleId="Revision">
    <w:name w:val="Revision"/>
    <w:hidden/>
    <w:uiPriority w:val="99"/>
    <w:semiHidden/>
    <w:rsid w:val="00C369B2"/>
    <w:pPr>
      <w:spacing w:after="200" w:line="276" w:lineRule="auto"/>
    </w:pPr>
    <w:rPr>
      <w:rFonts w:asciiTheme="minorHAnsi" w:eastAsiaTheme="minorHAnsi" w:hAnsiTheme="minorHAnsi" w:cstheme="minorBidi"/>
      <w:sz w:val="22"/>
      <w:szCs w:val="22"/>
      <w:lang w:eastAsia="en-US"/>
    </w:rPr>
  </w:style>
  <w:style w:type="character" w:customStyle="1" w:styleId="inline-comment-marker">
    <w:name w:val="inline-comment-marker"/>
    <w:basedOn w:val="DefaultParagraphFont"/>
    <w:rsid w:val="00C369B2"/>
  </w:style>
  <w:style w:type="character" w:customStyle="1" w:styleId="holder">
    <w:name w:val="holder"/>
    <w:basedOn w:val="DefaultParagraphFont"/>
    <w:rsid w:val="00C369B2"/>
  </w:style>
  <w:style w:type="paragraph" w:customStyle="1" w:styleId="f-body">
    <w:name w:val="f-body"/>
    <w:basedOn w:val="Normal"/>
    <w:rsid w:val="00C369B2"/>
    <w:pPr>
      <w:spacing w:before="100" w:beforeAutospacing="1" w:after="100" w:afterAutospacing="1" w:line="274" w:lineRule="auto"/>
      <w:jc w:val="left"/>
    </w:pPr>
    <w:rPr>
      <w:rFonts w:asciiTheme="minorHAnsi" w:eastAsiaTheme="minorHAnsi" w:hAnsiTheme="minorHAnsi" w:cstheme="minorBidi"/>
      <w:noProof w:val="0"/>
      <w:color w:val="auto"/>
      <w:sz w:val="22"/>
      <w:szCs w:val="22"/>
      <w:lang w:eastAsia="en-US"/>
    </w:rPr>
  </w:style>
  <w:style w:type="paragraph" w:styleId="HTMLPreformatted">
    <w:name w:val="HTML Preformatted"/>
    <w:basedOn w:val="Normal"/>
    <w:link w:val="HTMLPreformattedChar"/>
    <w:uiPriority w:val="99"/>
    <w:semiHidden/>
    <w:unhideWhenUsed/>
    <w:rsid w:val="00C36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80" w:line="274" w:lineRule="auto"/>
      <w:jc w:val="left"/>
    </w:pPr>
    <w:rPr>
      <w:rFonts w:ascii="Courier New" w:eastAsiaTheme="minorHAnsi" w:hAnsi="Courier New" w:cs="Courier New"/>
      <w:noProof w:val="0"/>
      <w:color w:val="auto"/>
      <w:lang w:eastAsia="en-US"/>
    </w:rPr>
  </w:style>
  <w:style w:type="character" w:customStyle="1" w:styleId="HTMLPreformattedChar">
    <w:name w:val="HTML Preformatted Char"/>
    <w:basedOn w:val="DefaultParagraphFont"/>
    <w:link w:val="HTMLPreformatted"/>
    <w:uiPriority w:val="99"/>
    <w:semiHidden/>
    <w:rsid w:val="00C369B2"/>
    <w:rPr>
      <w:rFonts w:ascii="Courier New" w:eastAsiaTheme="minorHAnsi" w:hAnsi="Courier New" w:cs="Courier New"/>
      <w:lang w:eastAsia="en-US"/>
    </w:rPr>
  </w:style>
  <w:style w:type="table" w:styleId="GridTable1Light">
    <w:name w:val="Grid Table 1 Light"/>
    <w:basedOn w:val="TableNormal"/>
    <w:uiPriority w:val="46"/>
    <w:rsid w:val="00C369B2"/>
    <w:pPr>
      <w:spacing w:after="200" w:line="276" w:lineRule="auto"/>
    </w:pPr>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C369B2"/>
    <w:pPr>
      <w:spacing w:after="200" w:line="276" w:lineRule="auto"/>
    </w:pPr>
    <w:rPr>
      <w:rFonts w:asciiTheme="minorHAnsi" w:eastAsiaTheme="minorHAnsi" w:hAnsiTheme="minorHAnsi" w:cstheme="minorBidi"/>
      <w:sz w:val="22"/>
      <w:szCs w:val="22"/>
      <w:lang w:eastAsia="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
    <w:name w:val="Grid Table 2"/>
    <w:basedOn w:val="TableNormal"/>
    <w:uiPriority w:val="47"/>
    <w:rsid w:val="00C369B2"/>
    <w:pPr>
      <w:spacing w:after="200" w:line="276" w:lineRule="auto"/>
    </w:pPr>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3">
    <w:name w:val="Grid Table 1 Light Accent 3"/>
    <w:basedOn w:val="TableNormal"/>
    <w:uiPriority w:val="46"/>
    <w:rsid w:val="00C369B2"/>
    <w:pPr>
      <w:spacing w:after="200" w:line="276" w:lineRule="auto"/>
    </w:pPr>
    <w:rPr>
      <w:rFonts w:asciiTheme="minorHAnsi" w:eastAsiaTheme="minorHAnsi"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C369B2"/>
    <w:pPr>
      <w:spacing w:after="200" w:line="276" w:lineRule="auto"/>
    </w:pPr>
    <w:rPr>
      <w:rFonts w:asciiTheme="minorHAnsi" w:eastAsiaTheme="minorHAnsi" w:hAnsiTheme="minorHAnsi" w:cstheme="minorBidi"/>
      <w:sz w:val="22"/>
      <w:szCs w:val="22"/>
      <w:lang w:eastAsia="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Light">
    <w:name w:val="Grid Table Light"/>
    <w:basedOn w:val="TableNormal"/>
    <w:uiPriority w:val="40"/>
    <w:rsid w:val="00C369B2"/>
    <w:pPr>
      <w:spacing w:after="200" w:line="276" w:lineRule="auto"/>
    </w:pPr>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369B2"/>
    <w:pPr>
      <w:spacing w:after="200" w:line="276"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ratlabel">
    <w:name w:val="stratlabel"/>
    <w:basedOn w:val="DefaultParagraphFont"/>
    <w:rsid w:val="00C369B2"/>
  </w:style>
  <w:style w:type="character" w:customStyle="1" w:styleId="stratn">
    <w:name w:val="stratn"/>
    <w:basedOn w:val="DefaultParagraphFont"/>
    <w:rsid w:val="00C369B2"/>
  </w:style>
  <w:style w:type="character" w:customStyle="1" w:styleId="varlabel">
    <w:name w:val="varlabel"/>
    <w:basedOn w:val="DefaultParagraphFont"/>
    <w:rsid w:val="00C369B2"/>
  </w:style>
  <w:style w:type="character" w:styleId="HTMLCode">
    <w:name w:val="HTML Code"/>
    <w:basedOn w:val="DefaultParagraphFont"/>
    <w:uiPriority w:val="99"/>
    <w:semiHidden/>
    <w:unhideWhenUsed/>
    <w:rsid w:val="00C369B2"/>
    <w:rPr>
      <w:rFonts w:ascii="Courier New" w:eastAsia="Times New Roman" w:hAnsi="Courier New" w:cs="Courier New"/>
      <w:sz w:val="20"/>
      <w:szCs w:val="20"/>
    </w:rPr>
  </w:style>
  <w:style w:type="character" w:customStyle="1" w:styleId="pkg">
    <w:name w:val="pkg"/>
    <w:basedOn w:val="DefaultParagraphFont"/>
    <w:rsid w:val="00C369B2"/>
  </w:style>
  <w:style w:type="paragraph" w:styleId="NoSpacing">
    <w:name w:val="No Spacing"/>
    <w:link w:val="NoSpacingChar"/>
    <w:uiPriority w:val="1"/>
    <w:qFormat/>
    <w:rsid w:val="00C369B2"/>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C369B2"/>
    <w:rPr>
      <w:rFonts w:asciiTheme="minorHAnsi" w:eastAsiaTheme="minorHAnsi" w:hAnsiTheme="minorHAnsi" w:cstheme="minorBidi"/>
      <w:sz w:val="22"/>
      <w:szCs w:val="22"/>
      <w:lang w:eastAsia="en-US"/>
    </w:rPr>
  </w:style>
  <w:style w:type="paragraph" w:styleId="TOCHeading">
    <w:name w:val="TOC Heading"/>
    <w:basedOn w:val="Heading1"/>
    <w:next w:val="Normal"/>
    <w:uiPriority w:val="39"/>
    <w:unhideWhenUsed/>
    <w:qFormat/>
    <w:rsid w:val="00C369B2"/>
    <w:pPr>
      <w:spacing w:before="480" w:line="264" w:lineRule="auto"/>
      <w:outlineLvl w:val="9"/>
    </w:pPr>
    <w:rPr>
      <w:b/>
    </w:rPr>
  </w:style>
  <w:style w:type="paragraph" w:styleId="TOC1">
    <w:name w:val="toc 1"/>
    <w:basedOn w:val="Normal"/>
    <w:next w:val="Normal"/>
    <w:autoRedefine/>
    <w:uiPriority w:val="39"/>
    <w:unhideWhenUsed/>
    <w:rsid w:val="00C369B2"/>
    <w:pPr>
      <w:spacing w:before="120" w:after="180" w:line="274" w:lineRule="auto"/>
      <w:jc w:val="left"/>
    </w:pPr>
    <w:rPr>
      <w:rFonts w:asciiTheme="minorHAnsi" w:eastAsiaTheme="minorHAnsi" w:hAnsiTheme="minorHAnsi" w:cstheme="minorBidi"/>
      <w:b/>
      <w:bCs/>
      <w:i/>
      <w:iCs/>
      <w:noProof w:val="0"/>
      <w:color w:val="auto"/>
      <w:sz w:val="22"/>
      <w:szCs w:val="22"/>
      <w:lang w:eastAsia="en-US"/>
    </w:rPr>
  </w:style>
  <w:style w:type="paragraph" w:styleId="TOC2">
    <w:name w:val="toc 2"/>
    <w:basedOn w:val="Normal"/>
    <w:next w:val="Normal"/>
    <w:autoRedefine/>
    <w:uiPriority w:val="39"/>
    <w:unhideWhenUsed/>
    <w:rsid w:val="00C369B2"/>
    <w:pPr>
      <w:spacing w:before="120" w:after="180" w:line="274" w:lineRule="auto"/>
      <w:ind w:left="240"/>
      <w:jc w:val="left"/>
    </w:pPr>
    <w:rPr>
      <w:rFonts w:asciiTheme="minorHAnsi" w:eastAsiaTheme="minorHAnsi" w:hAnsiTheme="minorHAnsi" w:cstheme="minorBidi"/>
      <w:b/>
      <w:bCs/>
      <w:noProof w:val="0"/>
      <w:color w:val="auto"/>
      <w:sz w:val="22"/>
      <w:szCs w:val="22"/>
      <w:lang w:eastAsia="en-US"/>
    </w:rPr>
  </w:style>
  <w:style w:type="paragraph" w:styleId="TOC3">
    <w:name w:val="toc 3"/>
    <w:basedOn w:val="Normal"/>
    <w:next w:val="Normal"/>
    <w:autoRedefine/>
    <w:uiPriority w:val="39"/>
    <w:semiHidden/>
    <w:unhideWhenUsed/>
    <w:rsid w:val="00C369B2"/>
    <w:pPr>
      <w:spacing w:after="180" w:line="274" w:lineRule="auto"/>
      <w:ind w:left="480"/>
      <w:jc w:val="left"/>
    </w:pPr>
    <w:rPr>
      <w:rFonts w:asciiTheme="minorHAnsi" w:eastAsiaTheme="minorHAnsi" w:hAnsiTheme="minorHAnsi" w:cstheme="minorBidi"/>
      <w:noProof w:val="0"/>
      <w:color w:val="auto"/>
      <w:lang w:eastAsia="en-US"/>
    </w:rPr>
  </w:style>
  <w:style w:type="paragraph" w:styleId="TOC4">
    <w:name w:val="toc 4"/>
    <w:basedOn w:val="Normal"/>
    <w:next w:val="Normal"/>
    <w:autoRedefine/>
    <w:uiPriority w:val="39"/>
    <w:semiHidden/>
    <w:unhideWhenUsed/>
    <w:rsid w:val="00C369B2"/>
    <w:pPr>
      <w:spacing w:after="180" w:line="274" w:lineRule="auto"/>
      <w:ind w:left="720"/>
      <w:jc w:val="left"/>
    </w:pPr>
    <w:rPr>
      <w:rFonts w:asciiTheme="minorHAnsi" w:eastAsiaTheme="minorHAnsi" w:hAnsiTheme="minorHAnsi" w:cstheme="minorBidi"/>
      <w:noProof w:val="0"/>
      <w:color w:val="auto"/>
      <w:lang w:eastAsia="en-US"/>
    </w:rPr>
  </w:style>
  <w:style w:type="paragraph" w:styleId="TOC5">
    <w:name w:val="toc 5"/>
    <w:basedOn w:val="Normal"/>
    <w:next w:val="Normal"/>
    <w:autoRedefine/>
    <w:uiPriority w:val="39"/>
    <w:semiHidden/>
    <w:unhideWhenUsed/>
    <w:rsid w:val="00C369B2"/>
    <w:pPr>
      <w:spacing w:after="180" w:line="274" w:lineRule="auto"/>
      <w:ind w:left="960"/>
      <w:jc w:val="left"/>
    </w:pPr>
    <w:rPr>
      <w:rFonts w:asciiTheme="minorHAnsi" w:eastAsiaTheme="minorHAnsi" w:hAnsiTheme="minorHAnsi" w:cstheme="minorBidi"/>
      <w:noProof w:val="0"/>
      <w:color w:val="auto"/>
      <w:lang w:eastAsia="en-US"/>
    </w:rPr>
  </w:style>
  <w:style w:type="paragraph" w:styleId="TOC6">
    <w:name w:val="toc 6"/>
    <w:basedOn w:val="Normal"/>
    <w:next w:val="Normal"/>
    <w:autoRedefine/>
    <w:uiPriority w:val="39"/>
    <w:semiHidden/>
    <w:unhideWhenUsed/>
    <w:rsid w:val="00C369B2"/>
    <w:pPr>
      <w:spacing w:after="180" w:line="274" w:lineRule="auto"/>
      <w:ind w:left="1200"/>
      <w:jc w:val="left"/>
    </w:pPr>
    <w:rPr>
      <w:rFonts w:asciiTheme="minorHAnsi" w:eastAsiaTheme="minorHAnsi" w:hAnsiTheme="minorHAnsi" w:cstheme="minorBidi"/>
      <w:noProof w:val="0"/>
      <w:color w:val="auto"/>
      <w:lang w:eastAsia="en-US"/>
    </w:rPr>
  </w:style>
  <w:style w:type="paragraph" w:styleId="TOC7">
    <w:name w:val="toc 7"/>
    <w:basedOn w:val="Normal"/>
    <w:next w:val="Normal"/>
    <w:autoRedefine/>
    <w:uiPriority w:val="39"/>
    <w:semiHidden/>
    <w:unhideWhenUsed/>
    <w:rsid w:val="00C369B2"/>
    <w:pPr>
      <w:spacing w:after="180" w:line="274" w:lineRule="auto"/>
      <w:ind w:left="1440"/>
      <w:jc w:val="left"/>
    </w:pPr>
    <w:rPr>
      <w:rFonts w:asciiTheme="minorHAnsi" w:eastAsiaTheme="minorHAnsi" w:hAnsiTheme="minorHAnsi" w:cstheme="minorBidi"/>
      <w:noProof w:val="0"/>
      <w:color w:val="auto"/>
      <w:lang w:eastAsia="en-US"/>
    </w:rPr>
  </w:style>
  <w:style w:type="paragraph" w:styleId="TOC8">
    <w:name w:val="toc 8"/>
    <w:basedOn w:val="Normal"/>
    <w:next w:val="Normal"/>
    <w:autoRedefine/>
    <w:uiPriority w:val="39"/>
    <w:semiHidden/>
    <w:unhideWhenUsed/>
    <w:rsid w:val="00C369B2"/>
    <w:pPr>
      <w:spacing w:after="180" w:line="274" w:lineRule="auto"/>
      <w:ind w:left="1680"/>
      <w:jc w:val="left"/>
    </w:pPr>
    <w:rPr>
      <w:rFonts w:asciiTheme="minorHAnsi" w:eastAsiaTheme="minorHAnsi" w:hAnsiTheme="minorHAnsi" w:cstheme="minorBidi"/>
      <w:noProof w:val="0"/>
      <w:color w:val="auto"/>
      <w:lang w:eastAsia="en-US"/>
    </w:rPr>
  </w:style>
  <w:style w:type="paragraph" w:styleId="TOC9">
    <w:name w:val="toc 9"/>
    <w:basedOn w:val="Normal"/>
    <w:next w:val="Normal"/>
    <w:autoRedefine/>
    <w:uiPriority w:val="39"/>
    <w:semiHidden/>
    <w:unhideWhenUsed/>
    <w:rsid w:val="00C369B2"/>
    <w:pPr>
      <w:spacing w:after="180" w:line="274" w:lineRule="auto"/>
      <w:ind w:left="1920"/>
      <w:jc w:val="left"/>
    </w:pPr>
    <w:rPr>
      <w:rFonts w:asciiTheme="minorHAnsi" w:eastAsiaTheme="minorHAnsi" w:hAnsiTheme="minorHAnsi" w:cstheme="minorBidi"/>
      <w:noProof w:val="0"/>
      <w:color w:val="auto"/>
      <w:lang w:eastAsia="en-US"/>
    </w:rPr>
  </w:style>
  <w:style w:type="paragraph" w:customStyle="1" w:styleId="f-body--sm">
    <w:name w:val="f-body--sm"/>
    <w:basedOn w:val="Normal"/>
    <w:rsid w:val="00C369B2"/>
    <w:pPr>
      <w:spacing w:before="100" w:beforeAutospacing="1" w:after="100" w:afterAutospacing="1" w:line="274" w:lineRule="auto"/>
      <w:jc w:val="left"/>
    </w:pPr>
    <w:rPr>
      <w:rFonts w:asciiTheme="minorHAnsi" w:eastAsiaTheme="minorHAnsi" w:hAnsiTheme="minorHAnsi" w:cstheme="minorBidi"/>
      <w:noProof w:val="0"/>
      <w:color w:val="auto"/>
      <w:sz w:val="22"/>
      <w:szCs w:val="22"/>
      <w:lang w:eastAsia="en-US"/>
    </w:rPr>
  </w:style>
  <w:style w:type="paragraph" w:customStyle="1" w:styleId="Default">
    <w:name w:val="Default"/>
    <w:rsid w:val="00C369B2"/>
    <w:pPr>
      <w:autoSpaceDE w:val="0"/>
      <w:autoSpaceDN w:val="0"/>
      <w:adjustRightInd w:val="0"/>
      <w:spacing w:after="200" w:line="276" w:lineRule="auto"/>
    </w:pPr>
    <w:rPr>
      <w:rFonts w:ascii="Arial" w:eastAsiaTheme="minorHAnsi" w:hAnsi="Arial" w:cs="Arial"/>
      <w:color w:val="000000"/>
      <w:sz w:val="22"/>
      <w:szCs w:val="22"/>
      <w:lang w:eastAsia="en-US"/>
    </w:rPr>
  </w:style>
  <w:style w:type="table" w:styleId="GridTable4-Accent1">
    <w:name w:val="Grid Table 4 Accent 1"/>
    <w:basedOn w:val="TableNormal"/>
    <w:uiPriority w:val="49"/>
    <w:rsid w:val="00C369B2"/>
    <w:pPr>
      <w:spacing w:after="200" w:line="276" w:lineRule="auto"/>
    </w:pPr>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C369B2"/>
    <w:pPr>
      <w:spacing w:after="200" w:line="276" w:lineRule="auto"/>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C369B2"/>
    <w:pPr>
      <w:spacing w:after="200" w:line="276" w:lineRule="auto"/>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5">
    <w:name w:val="Grid Table 4 Accent 5"/>
    <w:basedOn w:val="TableNormal"/>
    <w:uiPriority w:val="49"/>
    <w:rsid w:val="00C369B2"/>
    <w:pPr>
      <w:spacing w:after="200" w:line="276" w:lineRule="auto"/>
    </w:pPr>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
    <w:name w:val="Grid Table 4"/>
    <w:basedOn w:val="TableNormal"/>
    <w:uiPriority w:val="49"/>
    <w:rsid w:val="00C369B2"/>
    <w:pPr>
      <w:spacing w:after="200" w:line="276" w:lineRule="auto"/>
    </w:pPr>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369B2"/>
    <w:pPr>
      <w:spacing w:after="200" w:line="276" w:lineRule="auto"/>
    </w:pPr>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semiHidden/>
    <w:unhideWhenUsed/>
    <w:qFormat/>
    <w:rsid w:val="00C369B2"/>
    <w:pPr>
      <w:spacing w:after="180" w:line="240" w:lineRule="auto"/>
      <w:jc w:val="left"/>
    </w:pPr>
    <w:rPr>
      <w:rFonts w:asciiTheme="minorHAnsi" w:eastAsiaTheme="minorEastAsia" w:hAnsiTheme="minorHAnsi" w:cstheme="minorBidi"/>
      <w:b/>
      <w:bCs/>
      <w:smallCaps/>
      <w:noProof w:val="0"/>
      <w:color w:val="44546A" w:themeColor="text2"/>
      <w:spacing w:val="6"/>
      <w:sz w:val="22"/>
      <w:szCs w:val="18"/>
      <w:lang w:eastAsia="en-US"/>
    </w:rPr>
  </w:style>
  <w:style w:type="paragraph" w:styleId="Title">
    <w:name w:val="Title"/>
    <w:basedOn w:val="Normal"/>
    <w:next w:val="Normal"/>
    <w:link w:val="TitleChar"/>
    <w:uiPriority w:val="10"/>
    <w:qFormat/>
    <w:rsid w:val="00C369B2"/>
    <w:pPr>
      <w:spacing w:after="120" w:line="240" w:lineRule="auto"/>
      <w:contextualSpacing/>
      <w:jc w:val="left"/>
    </w:pPr>
    <w:rPr>
      <w:rFonts w:asciiTheme="majorHAnsi" w:eastAsiaTheme="majorEastAsia" w:hAnsiTheme="majorHAnsi" w:cstheme="majorBidi"/>
      <w:noProof w:val="0"/>
      <w:color w:val="44546A" w:themeColor="text2"/>
      <w:spacing w:val="30"/>
      <w:kern w:val="28"/>
      <w:sz w:val="72"/>
      <w:szCs w:val="52"/>
      <w:lang w:eastAsia="en-US"/>
      <w14:ligatures w14:val="standard"/>
      <w14:numForm w14:val="oldStyle"/>
    </w:rPr>
  </w:style>
  <w:style w:type="character" w:customStyle="1" w:styleId="TitleChar">
    <w:name w:val="Title Char"/>
    <w:basedOn w:val="DefaultParagraphFont"/>
    <w:link w:val="Title"/>
    <w:uiPriority w:val="10"/>
    <w:rsid w:val="00C369B2"/>
    <w:rPr>
      <w:rFonts w:asciiTheme="majorHAnsi" w:eastAsiaTheme="majorEastAsia" w:hAnsiTheme="majorHAnsi" w:cstheme="majorBidi"/>
      <w:color w:val="44546A" w:themeColor="text2"/>
      <w:spacing w:val="30"/>
      <w:kern w:val="28"/>
      <w:sz w:val="72"/>
      <w:szCs w:val="52"/>
      <w:lang w:eastAsia="en-US"/>
      <w14:ligatures w14:val="standard"/>
      <w14:numForm w14:val="oldStyle"/>
    </w:rPr>
  </w:style>
  <w:style w:type="paragraph" w:styleId="Subtitle">
    <w:name w:val="Subtitle"/>
    <w:basedOn w:val="Normal"/>
    <w:next w:val="Normal"/>
    <w:link w:val="SubtitleChar"/>
    <w:uiPriority w:val="11"/>
    <w:qFormat/>
    <w:rsid w:val="00C369B2"/>
    <w:pPr>
      <w:numPr>
        <w:ilvl w:val="1"/>
      </w:numPr>
      <w:spacing w:after="180" w:line="274" w:lineRule="auto"/>
      <w:jc w:val="left"/>
    </w:pPr>
    <w:rPr>
      <w:rFonts w:asciiTheme="minorHAnsi" w:eastAsiaTheme="majorEastAsia" w:hAnsiTheme="minorHAnsi" w:cstheme="majorBidi"/>
      <w:iCs/>
      <w:noProof w:val="0"/>
      <w:color w:val="50637D" w:themeColor="text2" w:themeTint="E6"/>
      <w:sz w:val="32"/>
      <w:szCs w:val="24"/>
      <w:lang w:eastAsia="en-US"/>
      <w14:ligatures w14:val="standard"/>
    </w:rPr>
  </w:style>
  <w:style w:type="character" w:customStyle="1" w:styleId="SubtitleChar">
    <w:name w:val="Subtitle Char"/>
    <w:basedOn w:val="DefaultParagraphFont"/>
    <w:link w:val="Subtitle"/>
    <w:uiPriority w:val="11"/>
    <w:rsid w:val="00C369B2"/>
    <w:rPr>
      <w:rFonts w:asciiTheme="minorHAnsi" w:eastAsiaTheme="majorEastAsia" w:hAnsiTheme="minorHAnsi" w:cstheme="majorBidi"/>
      <w:iCs/>
      <w:color w:val="50637D" w:themeColor="text2" w:themeTint="E6"/>
      <w:sz w:val="32"/>
      <w:szCs w:val="24"/>
      <w:lang w:eastAsia="en-US"/>
      <w14:ligatures w14:val="standard"/>
    </w:rPr>
  </w:style>
  <w:style w:type="paragraph" w:styleId="Quote">
    <w:name w:val="Quote"/>
    <w:basedOn w:val="Normal"/>
    <w:next w:val="Normal"/>
    <w:link w:val="QuoteChar"/>
    <w:uiPriority w:val="29"/>
    <w:qFormat/>
    <w:rsid w:val="00C369B2"/>
    <w:pPr>
      <w:pBdr>
        <w:left w:val="single" w:sz="48" w:space="13" w:color="4472C4" w:themeColor="accent1"/>
      </w:pBdr>
      <w:spacing w:line="360" w:lineRule="auto"/>
      <w:jc w:val="left"/>
    </w:pPr>
    <w:rPr>
      <w:rFonts w:asciiTheme="majorHAnsi" w:eastAsiaTheme="minorEastAsia" w:hAnsiTheme="majorHAnsi" w:cstheme="minorBidi"/>
      <w:b/>
      <w:i/>
      <w:iCs/>
      <w:noProof w:val="0"/>
      <w:color w:val="4472C4" w:themeColor="accent1"/>
      <w:sz w:val="24"/>
      <w:szCs w:val="22"/>
      <w:lang w:eastAsia="en-US"/>
    </w:rPr>
  </w:style>
  <w:style w:type="character" w:customStyle="1" w:styleId="QuoteChar">
    <w:name w:val="Quote Char"/>
    <w:basedOn w:val="DefaultParagraphFont"/>
    <w:link w:val="Quote"/>
    <w:uiPriority w:val="29"/>
    <w:rsid w:val="00C369B2"/>
    <w:rPr>
      <w:rFonts w:asciiTheme="majorHAnsi" w:eastAsiaTheme="minorEastAsia" w:hAnsiTheme="majorHAnsi" w:cstheme="minorBidi"/>
      <w:b/>
      <w:i/>
      <w:iCs/>
      <w:color w:val="4472C4" w:themeColor="accent1"/>
      <w:sz w:val="24"/>
      <w:szCs w:val="22"/>
      <w:lang w:eastAsia="en-US"/>
    </w:rPr>
  </w:style>
  <w:style w:type="paragraph" w:styleId="IntenseQuote">
    <w:name w:val="Intense Quote"/>
    <w:basedOn w:val="Normal"/>
    <w:next w:val="Normal"/>
    <w:link w:val="IntenseQuoteChar"/>
    <w:uiPriority w:val="30"/>
    <w:qFormat/>
    <w:rsid w:val="00C369B2"/>
    <w:pPr>
      <w:pBdr>
        <w:left w:val="single" w:sz="48" w:space="13" w:color="ED7D31" w:themeColor="accent2"/>
      </w:pBdr>
      <w:spacing w:before="240" w:after="120" w:line="300" w:lineRule="auto"/>
      <w:jc w:val="left"/>
    </w:pPr>
    <w:rPr>
      <w:rFonts w:asciiTheme="minorHAnsi" w:eastAsiaTheme="minorEastAsia" w:hAnsiTheme="minorHAnsi" w:cstheme="minorBidi"/>
      <w:b/>
      <w:bCs/>
      <w:i/>
      <w:iCs/>
      <w:noProof w:val="0"/>
      <w:color w:val="ED7D31" w:themeColor="accent2"/>
      <w:sz w:val="26"/>
      <w:szCs w:val="22"/>
      <w:lang w:eastAsia="en-US"/>
      <w14:ligatures w14:val="standard"/>
      <w14:numForm w14:val="oldStyle"/>
    </w:rPr>
  </w:style>
  <w:style w:type="character" w:customStyle="1" w:styleId="IntenseQuoteChar">
    <w:name w:val="Intense Quote Char"/>
    <w:basedOn w:val="DefaultParagraphFont"/>
    <w:link w:val="IntenseQuote"/>
    <w:uiPriority w:val="30"/>
    <w:rsid w:val="00C369B2"/>
    <w:rPr>
      <w:rFonts w:asciiTheme="minorHAnsi" w:eastAsiaTheme="minorEastAsia" w:hAnsiTheme="minorHAnsi" w:cstheme="minorBidi"/>
      <w:b/>
      <w:bCs/>
      <w:i/>
      <w:iCs/>
      <w:color w:val="ED7D31" w:themeColor="accent2"/>
      <w:sz w:val="26"/>
      <w:szCs w:val="22"/>
      <w:lang w:eastAsia="en-US"/>
      <w14:ligatures w14:val="standard"/>
      <w14:numForm w14:val="oldStyle"/>
    </w:rPr>
  </w:style>
  <w:style w:type="character" w:styleId="SubtleEmphasis">
    <w:name w:val="Subtle Emphasis"/>
    <w:basedOn w:val="DefaultParagraphFont"/>
    <w:uiPriority w:val="19"/>
    <w:qFormat/>
    <w:rsid w:val="00C369B2"/>
    <w:rPr>
      <w:i/>
      <w:iCs/>
      <w:color w:val="000000"/>
    </w:rPr>
  </w:style>
  <w:style w:type="character" w:styleId="IntenseEmphasis">
    <w:name w:val="Intense Emphasis"/>
    <w:basedOn w:val="DefaultParagraphFont"/>
    <w:uiPriority w:val="21"/>
    <w:qFormat/>
    <w:rsid w:val="00C369B2"/>
    <w:rPr>
      <w:b/>
      <w:bCs/>
      <w:i/>
      <w:iCs/>
      <w:color w:val="44546A" w:themeColor="text2"/>
    </w:rPr>
  </w:style>
  <w:style w:type="character" w:styleId="SubtleReference">
    <w:name w:val="Subtle Reference"/>
    <w:basedOn w:val="DefaultParagraphFont"/>
    <w:uiPriority w:val="31"/>
    <w:qFormat/>
    <w:rsid w:val="00C369B2"/>
    <w:rPr>
      <w:smallCaps/>
      <w:color w:val="000000"/>
      <w:u w:val="single"/>
    </w:rPr>
  </w:style>
  <w:style w:type="character" w:styleId="IntenseReference">
    <w:name w:val="Intense Reference"/>
    <w:basedOn w:val="DefaultParagraphFont"/>
    <w:uiPriority w:val="32"/>
    <w:qFormat/>
    <w:rsid w:val="00C369B2"/>
    <w:rPr>
      <w:rFonts w:asciiTheme="minorHAnsi" w:hAnsiTheme="minorHAnsi"/>
      <w:b/>
      <w:bCs/>
      <w:smallCaps/>
      <w:color w:val="44546A" w:themeColor="text2"/>
      <w:spacing w:val="5"/>
      <w:sz w:val="22"/>
      <w:u w:val="single"/>
    </w:rPr>
  </w:style>
  <w:style w:type="character" w:styleId="BookTitle">
    <w:name w:val="Book Title"/>
    <w:basedOn w:val="DefaultParagraphFont"/>
    <w:uiPriority w:val="33"/>
    <w:qFormat/>
    <w:rsid w:val="00C369B2"/>
    <w:rPr>
      <w:rFonts w:asciiTheme="majorHAnsi" w:hAnsiTheme="majorHAnsi"/>
      <w:b/>
      <w:bCs/>
      <w:caps w:val="0"/>
      <w:smallCaps/>
      <w:color w:val="44546A" w:themeColor="text2"/>
      <w:spacing w:val="10"/>
      <w:sz w:val="22"/>
    </w:rPr>
  </w:style>
  <w:style w:type="paragraph" w:customStyle="1" w:styleId="PersonalName">
    <w:name w:val="Personal Name"/>
    <w:basedOn w:val="Title"/>
    <w:qFormat/>
    <w:rsid w:val="00C369B2"/>
    <w:rPr>
      <w:b/>
      <w:caps/>
      <w:color w:val="000000"/>
      <w:sz w:val="28"/>
      <w:szCs w:val="28"/>
    </w:rPr>
  </w:style>
  <w:style w:type="table" w:styleId="GridTable4-Accent3">
    <w:name w:val="Grid Table 4 Accent 3"/>
    <w:basedOn w:val="TableNormal"/>
    <w:uiPriority w:val="49"/>
    <w:rsid w:val="00C369B2"/>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C369B2"/>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C369B2"/>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2">
    <w:name w:val="Grid Table 2 Accent 2"/>
    <w:basedOn w:val="TableNormal"/>
    <w:uiPriority w:val="47"/>
    <w:rsid w:val="00C369B2"/>
    <w:rPr>
      <w:rFonts w:asciiTheme="minorHAnsi" w:eastAsiaTheme="minorHAnsi" w:hAnsiTheme="minorHAnsi" w:cstheme="minorBidi"/>
      <w:sz w:val="22"/>
      <w:szCs w:val="22"/>
      <w:lang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C369B2"/>
    <w:rPr>
      <w:rFonts w:asciiTheme="minorHAnsi" w:eastAsiaTheme="minorHAnsi" w:hAnsiTheme="minorHAnsi" w:cstheme="minorBidi"/>
      <w:sz w:val="22"/>
      <w:szCs w:val="22"/>
      <w:lang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5">
    <w:name w:val="Grid Table 1 Light Accent 5"/>
    <w:basedOn w:val="TableNormal"/>
    <w:uiPriority w:val="46"/>
    <w:rsid w:val="00C369B2"/>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6ColourfulAccent4">
    <w:name w:val="Grid Table 6 Colorful Accent 4"/>
    <w:basedOn w:val="TableNormal"/>
    <w:uiPriority w:val="51"/>
    <w:rsid w:val="00C369B2"/>
    <w:rPr>
      <w:rFonts w:asciiTheme="minorHAnsi" w:eastAsiaTheme="minorHAnsi" w:hAnsiTheme="minorHAnsi" w:cstheme="minorBidi"/>
      <w:color w:val="BF8F00" w:themeColor="accent4" w:themeShade="BF"/>
      <w:sz w:val="22"/>
      <w:szCs w:val="22"/>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C369B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C369B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6Colourful">
    <w:name w:val="Grid Table 6 Colorful"/>
    <w:basedOn w:val="TableNormal"/>
    <w:uiPriority w:val="51"/>
    <w:rsid w:val="00C369B2"/>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3">
    <w:name w:val="Grid Table 6 Colorful Accent 3"/>
    <w:basedOn w:val="TableNormal"/>
    <w:uiPriority w:val="51"/>
    <w:rsid w:val="00C369B2"/>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4">
    <w:name w:val="Grid Table 3 Accent 4"/>
    <w:basedOn w:val="TableNormal"/>
    <w:uiPriority w:val="48"/>
    <w:rsid w:val="00C369B2"/>
    <w:rPr>
      <w:rFonts w:asciiTheme="minorHAnsi" w:eastAsiaTheme="minorHAnsi" w:hAnsiTheme="minorHAnsi" w:cstheme="minorBidi"/>
      <w:sz w:val="22"/>
      <w:szCs w:val="22"/>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4-Accent2">
    <w:name w:val="Grid Table 4 Accent 2"/>
    <w:basedOn w:val="TableNormal"/>
    <w:uiPriority w:val="49"/>
    <w:rsid w:val="00C369B2"/>
    <w:rPr>
      <w:rFonts w:asciiTheme="minorHAnsi" w:eastAsiaTheme="minorHAnsi" w:hAnsiTheme="minorHAnsi" w:cstheme="minorBid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5">
    <w:name w:val="Grid Table 2 Accent 5"/>
    <w:basedOn w:val="TableNormal"/>
    <w:uiPriority w:val="47"/>
    <w:rsid w:val="00C369B2"/>
    <w:rPr>
      <w:rFonts w:asciiTheme="minorHAnsi" w:eastAsiaTheme="minorHAnsi" w:hAnsiTheme="minorHAnsi" w:cstheme="minorBidi"/>
      <w:sz w:val="22"/>
      <w:szCs w:val="22"/>
      <w:lang w:eastAsia="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C369B2"/>
    <w:rPr>
      <w:rFonts w:asciiTheme="minorHAnsi" w:eastAsiaTheme="minorHAnsi" w:hAnsiTheme="minorHAnsi" w:cstheme="minorBidi"/>
      <w:sz w:val="22"/>
      <w:szCs w:val="22"/>
      <w:lang w:eastAsia="en-U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2">
    <w:name w:val="Grid Table 1 Light Accent 2"/>
    <w:basedOn w:val="TableNormal"/>
    <w:uiPriority w:val="46"/>
    <w:rsid w:val="00C369B2"/>
    <w:rPr>
      <w:rFonts w:asciiTheme="minorHAnsi" w:eastAsiaTheme="minorHAnsi" w:hAnsiTheme="minorHAnsi" w:cstheme="minorBidi"/>
      <w:sz w:val="22"/>
      <w:szCs w:val="22"/>
      <w:lang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xmsonormal">
    <w:name w:val="x_msonormal"/>
    <w:basedOn w:val="Normal"/>
    <w:rsid w:val="00C369B2"/>
    <w:pPr>
      <w:spacing w:before="100" w:beforeAutospacing="1" w:after="100" w:afterAutospacing="1" w:line="240" w:lineRule="auto"/>
      <w:jc w:val="left"/>
    </w:pPr>
    <w:rPr>
      <w:rFonts w:ascii="Times New Roman" w:eastAsia="Times New Roman" w:hAnsi="Times New Roman"/>
      <w:noProof w:val="0"/>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pp.terra.bio"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qr.broadinstitute.or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healthcar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C:\Users\MDPI\Desktop\Word templates\healthcare-template.dot</Template>
  <TotalTime>1</TotalTime>
  <Pages>19</Pages>
  <Words>14743</Words>
  <Characters>84038</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98584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Eleanor Seaby</cp:lastModifiedBy>
  <cp:revision>2</cp:revision>
  <cp:lastPrinted>2023-11-07T02:44:00Z</cp:lastPrinted>
  <dcterms:created xsi:type="dcterms:W3CDTF">2023-12-13T22:59:00Z</dcterms:created>
  <dcterms:modified xsi:type="dcterms:W3CDTF">2023-12-13T22:59:00Z</dcterms:modified>
</cp:coreProperties>
</file>