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29C21" w14:textId="3ED69F69" w:rsidR="00F90AD1" w:rsidRPr="005A4C9D" w:rsidRDefault="00E207EC">
      <w:pPr>
        <w:rPr>
          <w:rFonts w:ascii="Corbel" w:hAnsi="Corbel"/>
          <w:b/>
          <w:bCs/>
        </w:rPr>
      </w:pPr>
      <w:r w:rsidRPr="005A4C9D">
        <w:rPr>
          <w:rFonts w:ascii="Corbel" w:hAnsi="Corbel"/>
          <w:b/>
          <w:bCs/>
        </w:rPr>
        <w:t>Forms of culture</w:t>
      </w:r>
    </w:p>
    <w:p w14:paraId="1083FD89" w14:textId="4DC47E83" w:rsidR="000A3963" w:rsidRDefault="00541CDD">
      <w:pPr>
        <w:rPr>
          <w:rFonts w:ascii="Corbel" w:hAnsi="Corbel"/>
        </w:rPr>
      </w:pPr>
      <w:r>
        <w:rPr>
          <w:rFonts w:ascii="Corbel" w:hAnsi="Corbel"/>
        </w:rPr>
        <w:t xml:space="preserve">Professor </w:t>
      </w:r>
      <w:r w:rsidR="00161044">
        <w:rPr>
          <w:rFonts w:ascii="Corbel" w:hAnsi="Corbel"/>
        </w:rPr>
        <w:t>Dan Ashton</w:t>
      </w:r>
    </w:p>
    <w:p w14:paraId="0A1E578C" w14:textId="4C487649" w:rsidR="00161044" w:rsidRDefault="00541CDD">
      <w:pPr>
        <w:rPr>
          <w:rFonts w:ascii="Corbel" w:hAnsi="Corbel"/>
        </w:rPr>
      </w:pPr>
      <w:r>
        <w:rPr>
          <w:rFonts w:ascii="Corbel" w:hAnsi="Corbel"/>
        </w:rPr>
        <w:t>Fo</w:t>
      </w:r>
      <w:r w:rsidR="00BC6123">
        <w:rPr>
          <w:rFonts w:ascii="Corbel" w:hAnsi="Corbel"/>
        </w:rPr>
        <w:t xml:space="preserve">r </w:t>
      </w:r>
      <w:r w:rsidR="00BC6123">
        <w:rPr>
          <w:rFonts w:ascii="Corbel" w:hAnsi="Corbel"/>
          <w:i/>
          <w:iCs/>
        </w:rPr>
        <w:t xml:space="preserve">Ordinary Things </w:t>
      </w:r>
      <w:r w:rsidR="00BC6123">
        <w:rPr>
          <w:rFonts w:ascii="Corbel" w:hAnsi="Corbel"/>
        </w:rPr>
        <w:t>(2-25.11.23)</w:t>
      </w:r>
    </w:p>
    <w:p w14:paraId="6802CB7F" w14:textId="0ED03785" w:rsidR="00BC6123" w:rsidRDefault="00BC6123">
      <w:pPr>
        <w:rPr>
          <w:rFonts w:ascii="Corbel" w:hAnsi="Corbel"/>
        </w:rPr>
      </w:pPr>
      <w:hyperlink r:id="rId5" w:history="1">
        <w:r w:rsidRPr="007C3095">
          <w:rPr>
            <w:rStyle w:val="Hyperlink"/>
            <w:rFonts w:ascii="Corbel" w:hAnsi="Corbel"/>
          </w:rPr>
          <w:t>https://www.southampton.ac.uk/wsa/news/events/2023/11/25-ordinary-things.page</w:t>
        </w:r>
      </w:hyperlink>
    </w:p>
    <w:p w14:paraId="6883513C" w14:textId="77777777" w:rsidR="00541CDD" w:rsidRPr="00DC33E4" w:rsidRDefault="00541CDD">
      <w:pPr>
        <w:rPr>
          <w:rFonts w:ascii="Corbel" w:hAnsi="Corbel"/>
        </w:rPr>
      </w:pPr>
    </w:p>
    <w:p w14:paraId="34A2E810" w14:textId="09BBFB7C" w:rsidR="00B72256" w:rsidRPr="00DC33E4" w:rsidRDefault="007E7B75">
      <w:pPr>
        <w:rPr>
          <w:rFonts w:ascii="Corbel" w:hAnsi="Corbel"/>
        </w:rPr>
      </w:pPr>
      <w:r w:rsidRPr="00DC33E4">
        <w:rPr>
          <w:rFonts w:ascii="Corbel" w:hAnsi="Corbel" w:cs="Times New Roman (Body CS)"/>
        </w:rPr>
        <w:t>Forms of culture comprises of two text</w:t>
      </w:r>
      <w:r w:rsidR="00BE09F5" w:rsidRPr="00DC33E4">
        <w:rPr>
          <w:rFonts w:ascii="Corbel" w:hAnsi="Corbel" w:cs="Times New Roman (Body CS)"/>
        </w:rPr>
        <w:t>-</w:t>
      </w:r>
      <w:r w:rsidRPr="00DC33E4">
        <w:rPr>
          <w:rFonts w:ascii="Corbel" w:hAnsi="Corbel" w:cs="Times New Roman (Body CS)"/>
        </w:rPr>
        <w:t>based pieces – “</w:t>
      </w:r>
      <w:r w:rsidR="00B36D87">
        <w:rPr>
          <w:rFonts w:ascii="Corbel" w:hAnsi="Corbel" w:cs="Times New Roman (Body CS)"/>
        </w:rPr>
        <w:t xml:space="preserve">Forms of Culture: </w:t>
      </w:r>
      <w:r w:rsidRPr="00DC33E4">
        <w:rPr>
          <w:rFonts w:ascii="Corbel" w:hAnsi="Corbel" w:cs="Times New Roman (Body CS)"/>
        </w:rPr>
        <w:t>Mix” and “</w:t>
      </w:r>
      <w:r w:rsidR="00B36D87">
        <w:rPr>
          <w:rFonts w:ascii="Corbel" w:hAnsi="Corbel" w:cs="Times New Roman (Body CS)"/>
        </w:rPr>
        <w:t xml:space="preserve">Forms of Culture: </w:t>
      </w:r>
      <w:r w:rsidRPr="00DC33E4">
        <w:rPr>
          <w:rFonts w:ascii="Corbel" w:hAnsi="Corbel" w:cs="Times New Roman (Body CS)"/>
        </w:rPr>
        <w:t xml:space="preserve">Move”. The pieces rework the content of application forms </w:t>
      </w:r>
      <w:r w:rsidR="00CD4B5B">
        <w:rPr>
          <w:rFonts w:ascii="Corbel" w:hAnsi="Corbel" w:cs="Times New Roman (Body CS)"/>
        </w:rPr>
        <w:t>used by</w:t>
      </w:r>
      <w:r w:rsidRPr="00DC33E4">
        <w:rPr>
          <w:rFonts w:ascii="Corbel" w:hAnsi="Corbel" w:cs="Times New Roman (Body CS)"/>
        </w:rPr>
        <w:t xml:space="preserve"> UK-based organisations involved in funding arts and culture. </w:t>
      </w:r>
      <w:r w:rsidRPr="00DC33E4">
        <w:rPr>
          <w:rFonts w:ascii="Corbel" w:hAnsi="Corbel"/>
        </w:rPr>
        <w:t xml:space="preserve">Funding bodies can be public sector, charitable trusts and foundations, and commercial businesses. Funding applicants can be responding to a specific funding call set by the funder or seeking funding for their own projects. </w:t>
      </w:r>
    </w:p>
    <w:p w14:paraId="60E7099E" w14:textId="77777777" w:rsidR="00B72256" w:rsidRPr="00DC33E4" w:rsidRDefault="00B72256">
      <w:pPr>
        <w:rPr>
          <w:rFonts w:ascii="Corbel" w:hAnsi="Corbel"/>
        </w:rPr>
      </w:pPr>
    </w:p>
    <w:p w14:paraId="6CCBBBCD" w14:textId="131F8968" w:rsidR="00B72256" w:rsidRPr="00DC33E4" w:rsidRDefault="007E7B75">
      <w:pPr>
        <w:rPr>
          <w:rFonts w:ascii="Corbel" w:hAnsi="Corbel"/>
        </w:rPr>
      </w:pPr>
      <w:r w:rsidRPr="00DC33E4">
        <w:rPr>
          <w:rFonts w:ascii="Corbel" w:hAnsi="Corbel" w:cs="Times New Roman (Body CS)"/>
        </w:rPr>
        <w:t xml:space="preserve">The funding application form is an ordinary and everyday aspect of the work of arts and cultural practitioners and organisations </w:t>
      </w:r>
      <w:r w:rsidR="005D7383">
        <w:rPr>
          <w:rFonts w:ascii="Corbel" w:hAnsi="Corbel" w:cs="Times New Roman (Body CS)"/>
        </w:rPr>
        <w:t>intended to</w:t>
      </w:r>
      <w:r w:rsidRPr="00DC33E4">
        <w:rPr>
          <w:rFonts w:ascii="Corbel" w:hAnsi="Corbel" w:cs="Times New Roman (Body CS)"/>
        </w:rPr>
        <w:t xml:space="preserve"> </w:t>
      </w:r>
      <w:r w:rsidR="005D7383">
        <w:rPr>
          <w:rFonts w:ascii="Corbel" w:hAnsi="Corbel" w:cs="Times New Roman (Body CS)"/>
        </w:rPr>
        <w:t xml:space="preserve">result in </w:t>
      </w:r>
      <w:r w:rsidRPr="00DC33E4">
        <w:rPr>
          <w:rFonts w:ascii="Corbel" w:hAnsi="Corbel" w:cs="Times New Roman (Body CS)"/>
        </w:rPr>
        <w:t>the funding that then enables programming, projects, events, and so on to be developed and undertaken.</w:t>
      </w:r>
      <w:r w:rsidRPr="00DC33E4">
        <w:rPr>
          <w:rFonts w:ascii="Corbel" w:hAnsi="Corbel"/>
        </w:rPr>
        <w:t xml:space="preserve"> Whilst funding application forms are an ordinary and everyday aspects of working in arts and culture for many, they have also received significant scrutiny. This includes </w:t>
      </w:r>
      <w:r w:rsidR="004B0895" w:rsidRPr="00DC33E4">
        <w:rPr>
          <w:rFonts w:ascii="Corbel" w:hAnsi="Corbel"/>
        </w:rPr>
        <w:t xml:space="preserve">technical and </w:t>
      </w:r>
      <w:r w:rsidRPr="00DC33E4">
        <w:rPr>
          <w:rFonts w:ascii="Corbel" w:hAnsi="Corbel"/>
        </w:rPr>
        <w:t>accessibility challenges</w:t>
      </w:r>
      <w:r w:rsidR="004B0895" w:rsidRPr="00DC33E4">
        <w:rPr>
          <w:rFonts w:ascii="Corbel" w:hAnsi="Corbel"/>
        </w:rPr>
        <w:t xml:space="preserve">, notably for </w:t>
      </w:r>
      <w:r w:rsidRPr="00DC33E4">
        <w:rPr>
          <w:rFonts w:ascii="Corbel" w:hAnsi="Corbel"/>
        </w:rPr>
        <w:t>neurodiverse artists</w:t>
      </w:r>
      <w:r w:rsidR="004B0895" w:rsidRPr="00DC33E4">
        <w:rPr>
          <w:rFonts w:ascii="Corbel" w:hAnsi="Corbel"/>
        </w:rPr>
        <w:t xml:space="preserve">, and </w:t>
      </w:r>
      <w:r w:rsidR="009F7056" w:rsidRPr="00DC33E4">
        <w:rPr>
          <w:rFonts w:ascii="Corbel" w:hAnsi="Corbel"/>
        </w:rPr>
        <w:t>constraints</w:t>
      </w:r>
      <w:r w:rsidR="004B0895" w:rsidRPr="00DC33E4">
        <w:rPr>
          <w:rFonts w:ascii="Corbel" w:hAnsi="Corbel"/>
        </w:rPr>
        <w:t xml:space="preserve"> </w:t>
      </w:r>
      <w:r w:rsidR="005D7383">
        <w:rPr>
          <w:rFonts w:ascii="Corbel" w:hAnsi="Corbel"/>
        </w:rPr>
        <w:t>placed on</w:t>
      </w:r>
      <w:r w:rsidR="004B0895" w:rsidRPr="00DC33E4">
        <w:rPr>
          <w:rFonts w:ascii="Corbel" w:hAnsi="Corbel"/>
        </w:rPr>
        <w:t xml:space="preserve"> how</w:t>
      </w:r>
      <w:r w:rsidR="009F7056" w:rsidRPr="00DC33E4">
        <w:rPr>
          <w:rFonts w:ascii="Corbel" w:hAnsi="Corbel"/>
        </w:rPr>
        <w:t xml:space="preserve"> proposed</w:t>
      </w:r>
      <w:r w:rsidR="004B0895" w:rsidRPr="00DC33E4">
        <w:rPr>
          <w:rFonts w:ascii="Corbel" w:hAnsi="Corbel"/>
        </w:rPr>
        <w:t xml:space="preserve"> </w:t>
      </w:r>
      <w:r w:rsidR="009F7056" w:rsidRPr="00DC33E4">
        <w:rPr>
          <w:rFonts w:ascii="Corbel" w:hAnsi="Corbel"/>
        </w:rPr>
        <w:t>projects can be descr</w:t>
      </w:r>
      <w:r w:rsidR="002611CC" w:rsidRPr="00DC33E4">
        <w:rPr>
          <w:rFonts w:ascii="Corbel" w:hAnsi="Corbel"/>
        </w:rPr>
        <w:t xml:space="preserve">ibed and communicated. </w:t>
      </w:r>
    </w:p>
    <w:p w14:paraId="4DC592FA" w14:textId="77777777" w:rsidR="00B72256" w:rsidRPr="00DC33E4" w:rsidRDefault="00B72256">
      <w:pPr>
        <w:rPr>
          <w:rFonts w:ascii="Corbel" w:hAnsi="Corbel"/>
        </w:rPr>
      </w:pPr>
    </w:p>
    <w:p w14:paraId="40126BB8" w14:textId="16357996" w:rsidR="00F533C8" w:rsidRPr="00DC33E4" w:rsidRDefault="00F533C8">
      <w:pPr>
        <w:rPr>
          <w:rFonts w:ascii="Corbel" w:hAnsi="Corbel"/>
        </w:rPr>
      </w:pPr>
      <w:r w:rsidRPr="00DC33E4">
        <w:rPr>
          <w:rFonts w:ascii="Corbel" w:hAnsi="Corbel"/>
        </w:rPr>
        <w:t xml:space="preserve">“Mix” and “Move” are both participatory pieces which </w:t>
      </w:r>
      <w:r w:rsidR="00344B89" w:rsidRPr="00DC33E4">
        <w:rPr>
          <w:rFonts w:ascii="Corbel" w:hAnsi="Corbel"/>
        </w:rPr>
        <w:t xml:space="preserve">invite </w:t>
      </w:r>
      <w:r w:rsidR="00DC33E4">
        <w:rPr>
          <w:rFonts w:ascii="Corbel" w:hAnsi="Corbel"/>
        </w:rPr>
        <w:t xml:space="preserve">the </w:t>
      </w:r>
      <w:r w:rsidR="00D77B14" w:rsidRPr="00DC33E4">
        <w:rPr>
          <w:rFonts w:ascii="Corbel" w:hAnsi="Corbel"/>
        </w:rPr>
        <w:t>reordering of</w:t>
      </w:r>
      <w:r w:rsidR="00FC1CD2">
        <w:rPr>
          <w:rFonts w:ascii="Corbel" w:hAnsi="Corbel"/>
        </w:rPr>
        <w:t xml:space="preserve"> questions and guidance that</w:t>
      </w:r>
      <w:r w:rsidR="00D77B14" w:rsidRPr="00DC33E4">
        <w:rPr>
          <w:rFonts w:ascii="Corbel" w:hAnsi="Corbel"/>
        </w:rPr>
        <w:t xml:space="preserve"> were previously</w:t>
      </w:r>
      <w:r w:rsidR="00FC1CD2">
        <w:rPr>
          <w:rFonts w:ascii="Corbel" w:hAnsi="Corbel"/>
        </w:rPr>
        <w:t xml:space="preserve"> fixed in place in funding application forms</w:t>
      </w:r>
      <w:r w:rsidR="00D77B14" w:rsidRPr="00DC33E4">
        <w:rPr>
          <w:rFonts w:ascii="Corbel" w:hAnsi="Corbel"/>
        </w:rPr>
        <w:t>.</w:t>
      </w:r>
      <w:r w:rsidR="00DC33E4">
        <w:rPr>
          <w:rFonts w:ascii="Corbel" w:hAnsi="Corbel"/>
        </w:rPr>
        <w:t xml:space="preserve"> </w:t>
      </w:r>
      <w:r w:rsidR="002611CC" w:rsidRPr="00DC33E4">
        <w:rPr>
          <w:rFonts w:ascii="Corbel" w:hAnsi="Corbel"/>
        </w:rPr>
        <w:t>“Mix” invites</w:t>
      </w:r>
      <w:r w:rsidR="00BA4C55">
        <w:rPr>
          <w:rFonts w:ascii="Corbel" w:hAnsi="Corbel"/>
        </w:rPr>
        <w:t xml:space="preserve"> the</w:t>
      </w:r>
      <w:r w:rsidR="002611CC" w:rsidRPr="00DC33E4">
        <w:rPr>
          <w:rFonts w:ascii="Corbel" w:hAnsi="Corbel"/>
        </w:rPr>
        <w:t xml:space="preserve"> align</w:t>
      </w:r>
      <w:r w:rsidR="00BA4C55">
        <w:rPr>
          <w:rFonts w:ascii="Corbel" w:hAnsi="Corbel"/>
        </w:rPr>
        <w:t>ment</w:t>
      </w:r>
      <w:r w:rsidR="002611CC" w:rsidRPr="00DC33E4">
        <w:rPr>
          <w:rFonts w:ascii="Corbel" w:hAnsi="Corbel"/>
        </w:rPr>
        <w:t xml:space="preserve"> and realign</w:t>
      </w:r>
      <w:r w:rsidR="00BA4C55">
        <w:rPr>
          <w:rFonts w:ascii="Corbel" w:hAnsi="Corbel"/>
        </w:rPr>
        <w:t>ment of</w:t>
      </w:r>
      <w:r w:rsidR="00C43E0D">
        <w:rPr>
          <w:rFonts w:ascii="Corbel" w:hAnsi="Corbel"/>
        </w:rPr>
        <w:t xml:space="preserve"> questions and the guidance on how to answer that question</w:t>
      </w:r>
      <w:r w:rsidR="00B72256" w:rsidRPr="00DC33E4">
        <w:rPr>
          <w:rFonts w:ascii="Corbel" w:hAnsi="Corbel"/>
        </w:rPr>
        <w:t xml:space="preserve">. </w:t>
      </w:r>
      <w:r w:rsidR="00BA4C55">
        <w:rPr>
          <w:rFonts w:ascii="Corbel" w:hAnsi="Corbel"/>
        </w:rPr>
        <w:t xml:space="preserve">Mixing </w:t>
      </w:r>
      <w:r w:rsidR="00C43E0D">
        <w:rPr>
          <w:rFonts w:ascii="Corbel" w:hAnsi="Corbel"/>
        </w:rPr>
        <w:t>the question and</w:t>
      </w:r>
      <w:r w:rsidR="00CA5FC8">
        <w:rPr>
          <w:rFonts w:ascii="Corbel" w:hAnsi="Corbel"/>
        </w:rPr>
        <w:t xml:space="preserve"> </w:t>
      </w:r>
      <w:r w:rsidR="00C43E0D">
        <w:rPr>
          <w:rFonts w:ascii="Corbel" w:hAnsi="Corbel"/>
        </w:rPr>
        <w:t xml:space="preserve">guidance </w:t>
      </w:r>
      <w:r w:rsidR="00992CE6">
        <w:rPr>
          <w:rFonts w:ascii="Corbel" w:hAnsi="Corbel"/>
        </w:rPr>
        <w:t xml:space="preserve">both </w:t>
      </w:r>
      <w:r w:rsidR="009101E6">
        <w:rPr>
          <w:rFonts w:ascii="Corbel" w:hAnsi="Corbel"/>
        </w:rPr>
        <w:t>suggests</w:t>
      </w:r>
      <w:r w:rsidRPr="00DC33E4">
        <w:rPr>
          <w:rFonts w:ascii="Corbel" w:hAnsi="Corbel"/>
        </w:rPr>
        <w:t xml:space="preserve"> the limitations and constrain</w:t>
      </w:r>
      <w:r w:rsidR="00992CE6">
        <w:rPr>
          <w:rFonts w:ascii="Corbel" w:hAnsi="Corbel"/>
        </w:rPr>
        <w:t>t</w:t>
      </w:r>
      <w:r w:rsidRPr="00DC33E4">
        <w:rPr>
          <w:rFonts w:ascii="Corbel" w:hAnsi="Corbel"/>
        </w:rPr>
        <w:t>s o</w:t>
      </w:r>
      <w:r w:rsidR="00DC33E4">
        <w:rPr>
          <w:rFonts w:ascii="Corbel" w:hAnsi="Corbel"/>
        </w:rPr>
        <w:t>f</w:t>
      </w:r>
      <w:r w:rsidRPr="00DC33E4">
        <w:rPr>
          <w:rFonts w:ascii="Corbel" w:hAnsi="Corbel"/>
        </w:rPr>
        <w:t xml:space="preserve"> forms and </w:t>
      </w:r>
      <w:r w:rsidR="009101E6">
        <w:rPr>
          <w:rFonts w:ascii="Corbel" w:hAnsi="Corbel"/>
        </w:rPr>
        <w:t>potentially opens</w:t>
      </w:r>
      <w:r w:rsidR="00DC33E4">
        <w:rPr>
          <w:rFonts w:ascii="Corbel" w:hAnsi="Corbel"/>
        </w:rPr>
        <w:t xml:space="preserve"> </w:t>
      </w:r>
      <w:r w:rsidR="00CA5FC8">
        <w:rPr>
          <w:rFonts w:ascii="Corbel" w:hAnsi="Corbel"/>
        </w:rPr>
        <w:t xml:space="preserve">new possibilities for making sense/not making sense of questions that are asked. </w:t>
      </w:r>
      <w:r w:rsidRPr="00DC33E4">
        <w:rPr>
          <w:rFonts w:ascii="Corbel" w:hAnsi="Corbel"/>
        </w:rPr>
        <w:t>“Move”</w:t>
      </w:r>
      <w:r w:rsidR="00CA5FC8">
        <w:rPr>
          <w:rFonts w:ascii="Corbel" w:hAnsi="Corbel"/>
        </w:rPr>
        <w:t xml:space="preserve"> </w:t>
      </w:r>
      <w:r w:rsidR="00222639">
        <w:rPr>
          <w:rFonts w:ascii="Corbel" w:hAnsi="Corbel"/>
        </w:rPr>
        <w:t>presents a range of similar questions</w:t>
      </w:r>
      <w:r w:rsidR="00BA4C55">
        <w:rPr>
          <w:rFonts w:ascii="Corbel" w:hAnsi="Corbel"/>
        </w:rPr>
        <w:t xml:space="preserve"> </w:t>
      </w:r>
      <w:r w:rsidR="00CA6DFF">
        <w:rPr>
          <w:rFonts w:ascii="Corbel" w:hAnsi="Corbel"/>
        </w:rPr>
        <w:t>to indicate the adjustment</w:t>
      </w:r>
      <w:r w:rsidR="00992CE6">
        <w:rPr>
          <w:rFonts w:ascii="Corbel" w:hAnsi="Corbel"/>
        </w:rPr>
        <w:t>s</w:t>
      </w:r>
      <w:r w:rsidR="00CA6DFF">
        <w:rPr>
          <w:rFonts w:ascii="Corbel" w:hAnsi="Corbel"/>
        </w:rPr>
        <w:t xml:space="preserve"> required in moving between different funders and forms</w:t>
      </w:r>
      <w:r w:rsidR="009B4294">
        <w:rPr>
          <w:rFonts w:ascii="Corbel" w:hAnsi="Corbel"/>
        </w:rPr>
        <w:t xml:space="preserve"> </w:t>
      </w:r>
      <w:r w:rsidR="00CE31C9">
        <w:rPr>
          <w:rFonts w:ascii="Corbel" w:hAnsi="Corbel"/>
        </w:rPr>
        <w:t>and invites</w:t>
      </w:r>
      <w:r w:rsidR="00992CE6">
        <w:rPr>
          <w:rFonts w:ascii="Corbel" w:hAnsi="Corbel"/>
        </w:rPr>
        <w:t xml:space="preserve"> </w:t>
      </w:r>
      <w:r w:rsidR="005469F0">
        <w:rPr>
          <w:rFonts w:ascii="Corbel" w:hAnsi="Corbel"/>
        </w:rPr>
        <w:t xml:space="preserve">reordering or removal of these questions </w:t>
      </w:r>
      <w:r w:rsidR="00CE31C9">
        <w:rPr>
          <w:rFonts w:ascii="Corbel" w:hAnsi="Corbel"/>
        </w:rPr>
        <w:t>to suggest</w:t>
      </w:r>
      <w:r w:rsidR="009E486A">
        <w:rPr>
          <w:rFonts w:ascii="Corbel" w:hAnsi="Corbel"/>
        </w:rPr>
        <w:t xml:space="preserve"> how descriptions of a project could be narrated and communicated in different ways.</w:t>
      </w:r>
    </w:p>
    <w:p w14:paraId="5CB659D8" w14:textId="77777777" w:rsidR="00C37531" w:rsidRPr="00DC33E4" w:rsidRDefault="00C37531">
      <w:pPr>
        <w:rPr>
          <w:rFonts w:ascii="Corbel" w:hAnsi="Corbel"/>
        </w:rPr>
      </w:pPr>
    </w:p>
    <w:p w14:paraId="1503ECF8" w14:textId="65B5DA3A" w:rsidR="00BD1375" w:rsidRPr="00DC33E4" w:rsidRDefault="00C37531" w:rsidP="00BD1375">
      <w:pPr>
        <w:rPr>
          <w:rFonts w:ascii="Corbel" w:hAnsi="Corbel"/>
        </w:rPr>
      </w:pPr>
      <w:r w:rsidRPr="00DC33E4">
        <w:rPr>
          <w:rFonts w:ascii="Corbel" w:hAnsi="Corbel"/>
        </w:rPr>
        <w:t>The</w:t>
      </w:r>
      <w:r w:rsidR="002C12DB" w:rsidRPr="00DC33E4">
        <w:rPr>
          <w:rFonts w:ascii="Corbel" w:hAnsi="Corbel"/>
        </w:rPr>
        <w:t xml:space="preserve"> use of a standard font (Aptos) printed using standard </w:t>
      </w:r>
      <w:r w:rsidR="00083BFA" w:rsidRPr="00DC33E4">
        <w:rPr>
          <w:rFonts w:ascii="Corbel" w:hAnsi="Corbel"/>
        </w:rPr>
        <w:t>toner</w:t>
      </w:r>
      <w:r w:rsidR="002C12DB" w:rsidRPr="00DC33E4">
        <w:rPr>
          <w:rFonts w:ascii="Corbel" w:hAnsi="Corbel"/>
        </w:rPr>
        <w:t xml:space="preserve"> </w:t>
      </w:r>
      <w:r w:rsidR="00B07E79" w:rsidRPr="00DC33E4">
        <w:rPr>
          <w:rFonts w:ascii="Corbel" w:hAnsi="Corbel"/>
        </w:rPr>
        <w:t xml:space="preserve">on standard office paper </w:t>
      </w:r>
      <w:r w:rsidR="00801C55" w:rsidRPr="00DC33E4">
        <w:rPr>
          <w:rFonts w:ascii="Corbel" w:hAnsi="Corbel"/>
        </w:rPr>
        <w:t>aligns with the ways in which funding application forms can be approached as “paperwork”</w:t>
      </w:r>
      <w:r w:rsidR="002326F0" w:rsidRPr="00DC33E4">
        <w:rPr>
          <w:rFonts w:ascii="Corbel" w:hAnsi="Corbel"/>
        </w:rPr>
        <w:t xml:space="preserve"> tasks.</w:t>
      </w:r>
      <w:r w:rsidR="00B72256" w:rsidRPr="00DC33E4">
        <w:rPr>
          <w:rFonts w:ascii="Corbel" w:hAnsi="Corbel"/>
        </w:rPr>
        <w:t xml:space="preserve"> </w:t>
      </w:r>
      <w:r w:rsidR="009E486A">
        <w:rPr>
          <w:rFonts w:ascii="Corbel" w:hAnsi="Corbel"/>
        </w:rPr>
        <w:t>Using</w:t>
      </w:r>
      <w:r w:rsidR="00BD1375" w:rsidRPr="00DC33E4">
        <w:rPr>
          <w:rFonts w:ascii="Corbel" w:hAnsi="Corbel"/>
        </w:rPr>
        <w:t xml:space="preserve"> paper </w:t>
      </w:r>
      <w:r w:rsidR="00B72256" w:rsidRPr="00DC33E4">
        <w:rPr>
          <w:rFonts w:ascii="Corbel" w:hAnsi="Corbel"/>
        </w:rPr>
        <w:t>is also</w:t>
      </w:r>
      <w:r w:rsidR="00BD1375" w:rsidRPr="00DC33E4">
        <w:rPr>
          <w:rFonts w:ascii="Corbel" w:hAnsi="Corbel"/>
        </w:rPr>
        <w:t xml:space="preserve"> a response to the limitations and constraints that come with many funding forms being online and digital and </w:t>
      </w:r>
      <w:r w:rsidR="00B72256" w:rsidRPr="00DC33E4">
        <w:rPr>
          <w:rFonts w:ascii="Corbel" w:hAnsi="Corbel"/>
        </w:rPr>
        <w:t>not open to editing and reworking.</w:t>
      </w:r>
    </w:p>
    <w:p w14:paraId="1B52CD8F" w14:textId="77777777" w:rsidR="00BD1375" w:rsidRDefault="00BD1375">
      <w:pPr>
        <w:pBdr>
          <w:bottom w:val="single" w:sz="6" w:space="1" w:color="auto"/>
        </w:pBdr>
        <w:rPr>
          <w:rFonts w:ascii="Corbel" w:hAnsi="Corbel"/>
        </w:rPr>
      </w:pPr>
    </w:p>
    <w:p w14:paraId="327EEECD" w14:textId="77777777" w:rsidR="00C04C94" w:rsidRPr="00DC33E4" w:rsidRDefault="00C04C94">
      <w:pPr>
        <w:rPr>
          <w:rFonts w:ascii="Corbel" w:hAnsi="Corbel"/>
        </w:rPr>
      </w:pPr>
    </w:p>
    <w:p w14:paraId="7CA1D60F" w14:textId="77777777" w:rsidR="00C04C94" w:rsidRDefault="00C04C94" w:rsidP="00C04C94">
      <w:r>
        <w:br/>
        <w:t xml:space="preserve">Materials/media: </w:t>
      </w:r>
      <w:r>
        <w:br/>
        <w:t>Aptos font in black toner on white paper 80gsm</w:t>
      </w:r>
    </w:p>
    <w:p w14:paraId="679DE78C" w14:textId="77777777" w:rsidR="00C04C94" w:rsidRDefault="00C04C94" w:rsidP="00C04C94">
      <w:r>
        <w:br/>
        <w:t>Dimensions:</w:t>
      </w:r>
    </w:p>
    <w:p w14:paraId="55A063E3" w14:textId="30489618" w:rsidR="005469F0" w:rsidRDefault="00C04C94" w:rsidP="00C04C94">
      <w:pPr>
        <w:rPr>
          <w:color w:val="000000"/>
        </w:rPr>
      </w:pPr>
      <w:r>
        <w:rPr>
          <w:color w:val="000000"/>
        </w:rPr>
        <w:t>Forms of Culture</w:t>
      </w:r>
      <w:r w:rsidR="005469F0">
        <w:rPr>
          <w:color w:val="000000"/>
        </w:rPr>
        <w:t xml:space="preserve">: </w:t>
      </w:r>
      <w:r>
        <w:rPr>
          <w:color w:val="000000"/>
        </w:rPr>
        <w:t>Mix</w:t>
      </w:r>
    </w:p>
    <w:p w14:paraId="2FC8C77E" w14:textId="0548D1AC" w:rsidR="00C04C94" w:rsidRDefault="00C04C94" w:rsidP="00C04C94">
      <w:pPr>
        <w:rPr>
          <w:color w:val="000000"/>
        </w:rPr>
      </w:pPr>
      <w:r>
        <w:rPr>
          <w:color w:val="000000"/>
        </w:rPr>
        <w:t>A4 rind bind folder (210mm x 297mm) with A5 inserts (210mm x 148.55mm)</w:t>
      </w:r>
    </w:p>
    <w:p w14:paraId="730C0C81" w14:textId="77777777" w:rsidR="005469F0" w:rsidRDefault="005469F0" w:rsidP="00C04C94">
      <w:pPr>
        <w:rPr>
          <w:color w:val="000000"/>
        </w:rPr>
      </w:pPr>
    </w:p>
    <w:p w14:paraId="26C58574" w14:textId="029D7F7F" w:rsidR="005469F0" w:rsidRDefault="00C04C94" w:rsidP="00C04C94">
      <w:pPr>
        <w:rPr>
          <w:color w:val="000000"/>
        </w:rPr>
      </w:pPr>
      <w:r>
        <w:rPr>
          <w:color w:val="000000"/>
        </w:rPr>
        <w:t>Forms of Culture</w:t>
      </w:r>
      <w:r w:rsidR="005469F0">
        <w:rPr>
          <w:color w:val="000000"/>
        </w:rPr>
        <w:t xml:space="preserve">: </w:t>
      </w:r>
      <w:r>
        <w:rPr>
          <w:color w:val="000000"/>
        </w:rPr>
        <w:t>Move</w:t>
      </w:r>
    </w:p>
    <w:p w14:paraId="4499FA40" w14:textId="7C14030A" w:rsidR="00C04C94" w:rsidRDefault="00C04C94" w:rsidP="00C04C94">
      <w:pPr>
        <w:rPr>
          <w:color w:val="000000"/>
        </w:rPr>
      </w:pPr>
      <w:r>
        <w:rPr>
          <w:color w:val="000000"/>
        </w:rPr>
        <w:t xml:space="preserve">210mm x various </w:t>
      </w:r>
    </w:p>
    <w:p w14:paraId="2F320FFE" w14:textId="64E82BCC" w:rsidR="00C04C94" w:rsidRDefault="00C04C94" w:rsidP="009B4294">
      <w:r>
        <w:lastRenderedPageBreak/>
        <w:br/>
      </w:r>
      <w:r w:rsidR="00EF05DC">
        <w:t>Images courtesy of Dave Gibbons:</w:t>
      </w:r>
    </w:p>
    <w:p w14:paraId="3498B273" w14:textId="77777777" w:rsidR="00CD5982" w:rsidRDefault="00EF05DC">
      <w:pPr>
        <w:rPr>
          <w:rFonts w:ascii="Corbel" w:hAnsi="Corbel"/>
        </w:rPr>
      </w:pPr>
      <w:r>
        <w:rPr>
          <w:rFonts w:ascii="Corbel" w:hAnsi="Corbel"/>
          <w:noProof/>
        </w:rPr>
        <w:drawing>
          <wp:inline distT="0" distB="0" distL="0" distR="0" wp14:anchorId="5FE85335" wp14:editId="072DC860">
            <wp:extent cx="4152900" cy="6235700"/>
            <wp:effectExtent l="0" t="0" r="0" b="0"/>
            <wp:docPr id="194235793" name="Picture 1" descr="A table with legs and paper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35793" name="Picture 1" descr="A table with legs and papers o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3A7F7" w14:textId="77777777" w:rsidR="00CD5982" w:rsidRDefault="00CD5982">
      <w:pPr>
        <w:rPr>
          <w:rFonts w:ascii="Corbel" w:hAnsi="Corbel"/>
        </w:rPr>
      </w:pPr>
    </w:p>
    <w:p w14:paraId="71D09E46" w14:textId="4D14C482" w:rsidR="00CD5982" w:rsidRDefault="00CD5982">
      <w:pPr>
        <w:rPr>
          <w:rFonts w:ascii="Corbel" w:hAnsi="Corbel"/>
        </w:rPr>
      </w:pPr>
      <w:r>
        <w:rPr>
          <w:rFonts w:ascii="Corbel" w:hAnsi="Corbel"/>
        </w:rPr>
        <w:t>Forms of culture – Mix and Move</w:t>
      </w:r>
    </w:p>
    <w:p w14:paraId="27D864CA" w14:textId="5BCBCD88" w:rsidR="00EF05DC" w:rsidRDefault="00EF05DC">
      <w:pPr>
        <w:rPr>
          <w:rFonts w:ascii="Corbel" w:hAnsi="Corbel"/>
        </w:rPr>
      </w:pPr>
      <w:r>
        <w:rPr>
          <w:rFonts w:ascii="Corbel" w:hAnsi="Corbel"/>
          <w:noProof/>
        </w:rPr>
        <w:lastRenderedPageBreak/>
        <w:drawing>
          <wp:inline distT="0" distB="0" distL="0" distR="0" wp14:anchorId="56AFB16C" wp14:editId="212E4585">
            <wp:extent cx="4152900" cy="6235700"/>
            <wp:effectExtent l="0" t="0" r="0" b="0"/>
            <wp:docPr id="1764985799" name="Picture 2" descr="A white board with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985799" name="Picture 2" descr="A white board with a piece of pap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D04BF" w14:textId="77777777" w:rsidR="00CD5982" w:rsidRDefault="00CD5982">
      <w:pPr>
        <w:rPr>
          <w:rFonts w:ascii="Corbel" w:hAnsi="Corbel"/>
        </w:rPr>
      </w:pPr>
    </w:p>
    <w:p w14:paraId="043FC3F9" w14:textId="6579D2E8" w:rsidR="00EF05DC" w:rsidRDefault="00EF05DC">
      <w:pPr>
        <w:rPr>
          <w:rFonts w:ascii="Corbel" w:hAnsi="Corbel"/>
        </w:rPr>
      </w:pPr>
      <w:r>
        <w:rPr>
          <w:rFonts w:ascii="Corbel" w:hAnsi="Corbel"/>
        </w:rPr>
        <w:t>M</w:t>
      </w:r>
      <w:r w:rsidR="00CD5982">
        <w:rPr>
          <w:rFonts w:ascii="Corbel" w:hAnsi="Corbel"/>
        </w:rPr>
        <w:t>ove</w:t>
      </w:r>
    </w:p>
    <w:p w14:paraId="45B1B1F3" w14:textId="39E52C11" w:rsidR="00CB025B" w:rsidRDefault="00EF05DC">
      <w:pPr>
        <w:rPr>
          <w:rFonts w:ascii="Corbel" w:hAnsi="Corbel"/>
        </w:rPr>
      </w:pPr>
      <w:r>
        <w:rPr>
          <w:rFonts w:ascii="Corbel" w:hAnsi="Corbel"/>
          <w:noProof/>
        </w:rPr>
        <w:lastRenderedPageBreak/>
        <w:drawing>
          <wp:inline distT="0" distB="0" distL="0" distR="0" wp14:anchorId="2B3CE148" wp14:editId="7A08082B">
            <wp:extent cx="5731510" cy="3816985"/>
            <wp:effectExtent l="0" t="0" r="0" b="5715"/>
            <wp:docPr id="1197785139" name="Picture 3" descr="A book on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785139" name="Picture 3" descr="A book on a tab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CEB7A" w14:textId="77777777" w:rsidR="00CD5982" w:rsidRDefault="00CD5982">
      <w:pPr>
        <w:rPr>
          <w:rFonts w:ascii="Corbel" w:hAnsi="Corbel"/>
        </w:rPr>
      </w:pPr>
    </w:p>
    <w:p w14:paraId="10B55714" w14:textId="29B024A0" w:rsidR="00CD5982" w:rsidRPr="00DC33E4" w:rsidRDefault="00CD5982">
      <w:pPr>
        <w:rPr>
          <w:rFonts w:ascii="Corbel" w:hAnsi="Corbel"/>
        </w:rPr>
      </w:pPr>
      <w:r>
        <w:rPr>
          <w:rFonts w:ascii="Corbel" w:hAnsi="Corbel"/>
        </w:rPr>
        <w:t>Mix</w:t>
      </w:r>
    </w:p>
    <w:sectPr w:rsidR="00CD5982" w:rsidRPr="00DC3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A3971"/>
    <w:multiLevelType w:val="hybridMultilevel"/>
    <w:tmpl w:val="17BAAED6"/>
    <w:lvl w:ilvl="0" w:tplc="CF220A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28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EC"/>
    <w:rsid w:val="00083BFA"/>
    <w:rsid w:val="00085009"/>
    <w:rsid w:val="000A2016"/>
    <w:rsid w:val="000A3963"/>
    <w:rsid w:val="000C6EF7"/>
    <w:rsid w:val="000F5159"/>
    <w:rsid w:val="00134C11"/>
    <w:rsid w:val="00137390"/>
    <w:rsid w:val="0016061F"/>
    <w:rsid w:val="00161044"/>
    <w:rsid w:val="001F7EEF"/>
    <w:rsid w:val="00207921"/>
    <w:rsid w:val="00222639"/>
    <w:rsid w:val="002326F0"/>
    <w:rsid w:val="002463D5"/>
    <w:rsid w:val="002611CC"/>
    <w:rsid w:val="00286241"/>
    <w:rsid w:val="002A6488"/>
    <w:rsid w:val="002C12DB"/>
    <w:rsid w:val="002F1BB2"/>
    <w:rsid w:val="00322704"/>
    <w:rsid w:val="00344B89"/>
    <w:rsid w:val="003824AD"/>
    <w:rsid w:val="003D1019"/>
    <w:rsid w:val="00406B74"/>
    <w:rsid w:val="00444F68"/>
    <w:rsid w:val="00496AC6"/>
    <w:rsid w:val="004B0895"/>
    <w:rsid w:val="004F78C3"/>
    <w:rsid w:val="0052164C"/>
    <w:rsid w:val="00541CDD"/>
    <w:rsid w:val="005469F0"/>
    <w:rsid w:val="005A4C9D"/>
    <w:rsid w:val="005D7383"/>
    <w:rsid w:val="00610A6C"/>
    <w:rsid w:val="00610F65"/>
    <w:rsid w:val="00623387"/>
    <w:rsid w:val="00650FB7"/>
    <w:rsid w:val="00665452"/>
    <w:rsid w:val="006B1A9C"/>
    <w:rsid w:val="006B7604"/>
    <w:rsid w:val="00746A76"/>
    <w:rsid w:val="00770973"/>
    <w:rsid w:val="007802E9"/>
    <w:rsid w:val="007E2BBA"/>
    <w:rsid w:val="007E5EEE"/>
    <w:rsid w:val="007E7B75"/>
    <w:rsid w:val="00801C55"/>
    <w:rsid w:val="00831516"/>
    <w:rsid w:val="008B2EEC"/>
    <w:rsid w:val="008B354D"/>
    <w:rsid w:val="008E0E20"/>
    <w:rsid w:val="008F1851"/>
    <w:rsid w:val="00901B82"/>
    <w:rsid w:val="009101E6"/>
    <w:rsid w:val="00933B26"/>
    <w:rsid w:val="00992CE6"/>
    <w:rsid w:val="009B4294"/>
    <w:rsid w:val="009E486A"/>
    <w:rsid w:val="009F7056"/>
    <w:rsid w:val="00A055E0"/>
    <w:rsid w:val="00A71329"/>
    <w:rsid w:val="00A82C8C"/>
    <w:rsid w:val="00B076C4"/>
    <w:rsid w:val="00B07E79"/>
    <w:rsid w:val="00B36D87"/>
    <w:rsid w:val="00B72256"/>
    <w:rsid w:val="00BA4C55"/>
    <w:rsid w:val="00BC6123"/>
    <w:rsid w:val="00BD1375"/>
    <w:rsid w:val="00BE09F5"/>
    <w:rsid w:val="00C04C94"/>
    <w:rsid w:val="00C37531"/>
    <w:rsid w:val="00C43E0D"/>
    <w:rsid w:val="00CA5FC8"/>
    <w:rsid w:val="00CA6DFF"/>
    <w:rsid w:val="00CB025B"/>
    <w:rsid w:val="00CD3F91"/>
    <w:rsid w:val="00CD4B5B"/>
    <w:rsid w:val="00CD5982"/>
    <w:rsid w:val="00CE31C9"/>
    <w:rsid w:val="00D1566A"/>
    <w:rsid w:val="00D70908"/>
    <w:rsid w:val="00D77B14"/>
    <w:rsid w:val="00DA57E7"/>
    <w:rsid w:val="00DA7C77"/>
    <w:rsid w:val="00DC33E4"/>
    <w:rsid w:val="00DF7204"/>
    <w:rsid w:val="00E207EC"/>
    <w:rsid w:val="00E41FED"/>
    <w:rsid w:val="00E70C2A"/>
    <w:rsid w:val="00EC71C0"/>
    <w:rsid w:val="00ED6C5D"/>
    <w:rsid w:val="00EF05DC"/>
    <w:rsid w:val="00EF7ECE"/>
    <w:rsid w:val="00F3325D"/>
    <w:rsid w:val="00F533C8"/>
    <w:rsid w:val="00F90AD1"/>
    <w:rsid w:val="00FC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BA9ACD"/>
  <w15:chartTrackingRefBased/>
  <w15:docId w15:val="{7F499505-B4D5-8E49-9F16-D10B1EB4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A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9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southampton.ac.uk/wsa/news/events/2023/11/25-ordinary-things.pag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Ashton</dc:creator>
  <cp:keywords/>
  <dc:description/>
  <cp:lastModifiedBy>Daniel Ashton</cp:lastModifiedBy>
  <cp:revision>95</cp:revision>
  <dcterms:created xsi:type="dcterms:W3CDTF">2023-09-11T06:43:00Z</dcterms:created>
  <dcterms:modified xsi:type="dcterms:W3CDTF">2023-12-15T22:51:00Z</dcterms:modified>
</cp:coreProperties>
</file>